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B50" w:rsidRPr="00BA1B50" w:rsidRDefault="00BA1B50" w:rsidP="00DC788A">
      <w:pPr>
        <w:spacing w:after="0" w:line="240" w:lineRule="auto"/>
        <w:jc w:val="both"/>
        <w:rPr>
          <w:rFonts w:ascii="Times New Roman" w:eastAsia="Times New Roman" w:hAnsi="Times New Roman" w:cs="Times New Roman"/>
          <w:color w:val="000000"/>
          <w:sz w:val="24"/>
          <w:szCs w:val="24"/>
          <w:lang w:eastAsia="en-ZW"/>
        </w:rPr>
      </w:pPr>
      <w:bookmarkStart w:id="0" w:name="_GoBack"/>
      <w:bookmarkEnd w:id="0"/>
      <w:r w:rsidRPr="00BA1B50">
        <w:rPr>
          <w:rFonts w:ascii="Times New Roman" w:eastAsia="Times New Roman" w:hAnsi="Times New Roman" w:cs="Times New Roman"/>
          <w:color w:val="000000"/>
          <w:sz w:val="24"/>
          <w:szCs w:val="24"/>
          <w:lang w:eastAsia="en-ZW"/>
        </w:rPr>
        <w:t>NOREST NYAMAKOPE</w:t>
      </w:r>
      <w:r w:rsidRPr="00BA1B50">
        <w:rPr>
          <w:rFonts w:ascii="Times New Roman" w:eastAsia="Times New Roman" w:hAnsi="Times New Roman" w:cs="Times New Roman"/>
          <w:color w:val="000000"/>
          <w:sz w:val="24"/>
          <w:szCs w:val="24"/>
          <w:lang w:eastAsia="en-ZW"/>
        </w:rPr>
        <w:tab/>
      </w:r>
      <w:r w:rsidRPr="00BA1B50">
        <w:rPr>
          <w:rFonts w:ascii="Times New Roman" w:eastAsia="Times New Roman" w:hAnsi="Times New Roman" w:cs="Times New Roman"/>
          <w:color w:val="000000"/>
          <w:sz w:val="24"/>
          <w:szCs w:val="24"/>
          <w:lang w:eastAsia="en-ZW"/>
        </w:rPr>
        <w:tab/>
      </w:r>
      <w:r w:rsidRPr="00BA1B50">
        <w:rPr>
          <w:rFonts w:ascii="Times New Roman" w:eastAsia="Times New Roman" w:hAnsi="Times New Roman" w:cs="Times New Roman"/>
          <w:color w:val="000000"/>
          <w:sz w:val="24"/>
          <w:szCs w:val="24"/>
          <w:lang w:eastAsia="en-ZW"/>
        </w:rPr>
        <w:tab/>
      </w:r>
      <w:r w:rsidRPr="00BA1B50">
        <w:rPr>
          <w:rFonts w:ascii="Times New Roman" w:eastAsia="Times New Roman" w:hAnsi="Times New Roman" w:cs="Times New Roman"/>
          <w:color w:val="000000"/>
          <w:sz w:val="24"/>
          <w:szCs w:val="24"/>
          <w:lang w:eastAsia="en-ZW"/>
        </w:rPr>
        <w:tab/>
      </w:r>
      <w:r w:rsidRPr="00BA1B50">
        <w:rPr>
          <w:rFonts w:ascii="Times New Roman" w:eastAsia="Times New Roman" w:hAnsi="Times New Roman" w:cs="Times New Roman"/>
          <w:color w:val="000000"/>
          <w:sz w:val="24"/>
          <w:szCs w:val="24"/>
          <w:lang w:eastAsia="en-ZW"/>
        </w:rPr>
        <w:tab/>
      </w:r>
      <w:r w:rsidRPr="00BA1B50">
        <w:rPr>
          <w:rFonts w:ascii="Times New Roman" w:eastAsia="Times New Roman" w:hAnsi="Times New Roman" w:cs="Times New Roman"/>
          <w:color w:val="000000"/>
          <w:sz w:val="24"/>
          <w:szCs w:val="24"/>
          <w:lang w:eastAsia="en-ZW"/>
        </w:rPr>
        <w:tab/>
      </w:r>
      <w:r w:rsidRPr="00BA1B50">
        <w:rPr>
          <w:rFonts w:ascii="Times New Roman" w:eastAsia="Times New Roman" w:hAnsi="Times New Roman" w:cs="Times New Roman"/>
          <w:color w:val="000000"/>
          <w:sz w:val="24"/>
          <w:szCs w:val="24"/>
          <w:lang w:eastAsia="en-ZW"/>
        </w:rPr>
        <w:tab/>
      </w:r>
    </w:p>
    <w:p w:rsidR="00BA1B50" w:rsidRPr="00BA1B50" w:rsidRDefault="005A6531" w:rsidP="00DC788A">
      <w:pPr>
        <w:spacing w:after="0" w:line="24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v</w:t>
      </w:r>
      <w:r w:rsidR="00BA1B50" w:rsidRPr="00BA1B50">
        <w:rPr>
          <w:rFonts w:ascii="Times New Roman" w:eastAsia="Times New Roman" w:hAnsi="Times New Roman" w:cs="Times New Roman"/>
          <w:color w:val="000000"/>
          <w:sz w:val="24"/>
          <w:szCs w:val="24"/>
          <w:lang w:eastAsia="en-ZW"/>
        </w:rPr>
        <w:t>ersus</w:t>
      </w:r>
    </w:p>
    <w:p w:rsidR="00BA1B50" w:rsidRDefault="00BA1B50" w:rsidP="00DC788A">
      <w:pPr>
        <w:spacing w:after="0" w:line="240" w:lineRule="auto"/>
        <w:jc w:val="both"/>
        <w:rPr>
          <w:rFonts w:ascii="Times New Roman" w:eastAsia="Times New Roman" w:hAnsi="Times New Roman" w:cs="Times New Roman"/>
          <w:color w:val="000000"/>
          <w:sz w:val="24"/>
          <w:szCs w:val="24"/>
          <w:lang w:eastAsia="en-ZW"/>
        </w:rPr>
      </w:pPr>
      <w:r w:rsidRPr="00BA1B50">
        <w:rPr>
          <w:rFonts w:ascii="Times New Roman" w:eastAsia="Times New Roman" w:hAnsi="Times New Roman" w:cs="Times New Roman"/>
          <w:color w:val="000000"/>
          <w:sz w:val="24"/>
          <w:szCs w:val="24"/>
          <w:lang w:eastAsia="en-ZW"/>
        </w:rPr>
        <w:t>Y</w:t>
      </w:r>
      <w:r w:rsidR="005E46CF">
        <w:rPr>
          <w:rFonts w:ascii="Times New Roman" w:eastAsia="Times New Roman" w:hAnsi="Times New Roman" w:cs="Times New Roman"/>
          <w:color w:val="000000"/>
          <w:sz w:val="24"/>
          <w:szCs w:val="24"/>
          <w:lang w:eastAsia="en-ZW"/>
        </w:rPr>
        <w:t>VONNE NYARADZO MAKWI</w:t>
      </w:r>
      <w:r w:rsidRPr="00BA1B50">
        <w:rPr>
          <w:rFonts w:ascii="Times New Roman" w:eastAsia="Times New Roman" w:hAnsi="Times New Roman" w:cs="Times New Roman"/>
          <w:color w:val="000000"/>
          <w:sz w:val="24"/>
          <w:szCs w:val="24"/>
          <w:lang w:eastAsia="en-ZW"/>
        </w:rPr>
        <w:t>YA</w:t>
      </w:r>
      <w:r w:rsidR="005E46CF">
        <w:rPr>
          <w:rFonts w:ascii="Times New Roman" w:eastAsia="Times New Roman" w:hAnsi="Times New Roman" w:cs="Times New Roman"/>
          <w:color w:val="000000"/>
          <w:sz w:val="24"/>
          <w:szCs w:val="24"/>
          <w:lang w:eastAsia="en-ZW"/>
        </w:rPr>
        <w:t>NA</w:t>
      </w:r>
      <w:r w:rsidRPr="00BA1B50">
        <w:rPr>
          <w:rFonts w:ascii="Times New Roman" w:eastAsia="Times New Roman" w:hAnsi="Times New Roman" w:cs="Times New Roman"/>
          <w:color w:val="000000"/>
          <w:sz w:val="24"/>
          <w:szCs w:val="24"/>
          <w:lang w:eastAsia="en-ZW"/>
        </w:rPr>
        <w:t>H</w:t>
      </w:r>
    </w:p>
    <w:p w:rsidR="005E46CF" w:rsidRDefault="00DC788A" w:rsidP="00DC788A">
      <w:pPr>
        <w:spacing w:after="0" w:line="24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a</w:t>
      </w:r>
      <w:r w:rsidR="005E46CF">
        <w:rPr>
          <w:rFonts w:ascii="Times New Roman" w:eastAsia="Times New Roman" w:hAnsi="Times New Roman" w:cs="Times New Roman"/>
          <w:color w:val="000000"/>
          <w:sz w:val="24"/>
          <w:szCs w:val="24"/>
          <w:lang w:eastAsia="en-ZW"/>
        </w:rPr>
        <w:t>nd</w:t>
      </w:r>
    </w:p>
    <w:p w:rsidR="005E46CF" w:rsidRPr="00BA1B50" w:rsidRDefault="005E46CF" w:rsidP="00DC788A">
      <w:pPr>
        <w:spacing w:after="0" w:line="24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REGISTRAR OF DEEDS</w:t>
      </w:r>
    </w:p>
    <w:p w:rsidR="00BA1B50" w:rsidRPr="00BA1B50" w:rsidRDefault="00BA1B50" w:rsidP="005A6531">
      <w:pPr>
        <w:spacing w:before="100" w:beforeAutospacing="1" w:after="100" w:afterAutospacing="1" w:line="276" w:lineRule="auto"/>
        <w:jc w:val="both"/>
        <w:rPr>
          <w:rFonts w:ascii="Times New Roman" w:eastAsia="Times New Roman" w:hAnsi="Times New Roman" w:cs="Times New Roman"/>
          <w:color w:val="000000"/>
          <w:sz w:val="24"/>
          <w:szCs w:val="24"/>
          <w:lang w:eastAsia="en-ZW"/>
        </w:rPr>
      </w:pPr>
    </w:p>
    <w:p w:rsidR="00BA1B50" w:rsidRDefault="00BA1B50" w:rsidP="00DC788A">
      <w:pPr>
        <w:spacing w:after="0" w:line="240" w:lineRule="auto"/>
        <w:jc w:val="both"/>
        <w:rPr>
          <w:rFonts w:ascii="Times New Roman" w:eastAsia="Times New Roman" w:hAnsi="Times New Roman" w:cs="Times New Roman"/>
          <w:color w:val="000000"/>
          <w:sz w:val="24"/>
          <w:szCs w:val="24"/>
          <w:lang w:eastAsia="en-ZW"/>
        </w:rPr>
      </w:pPr>
      <w:r w:rsidRPr="00BA1B50">
        <w:rPr>
          <w:rFonts w:ascii="Times New Roman" w:eastAsia="Times New Roman" w:hAnsi="Times New Roman" w:cs="Times New Roman"/>
          <w:color w:val="000000"/>
          <w:sz w:val="24"/>
          <w:szCs w:val="24"/>
          <w:lang w:eastAsia="en-ZW"/>
        </w:rPr>
        <w:t>HIGH COURT OF ZIMBABWE</w:t>
      </w:r>
    </w:p>
    <w:p w:rsidR="00BA1B50" w:rsidRDefault="00BA1B50" w:rsidP="00DC788A">
      <w:pPr>
        <w:spacing w:after="0" w:line="24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HUNGWE J</w:t>
      </w:r>
    </w:p>
    <w:p w:rsidR="005E46CF" w:rsidRDefault="00BA1B50" w:rsidP="00DC788A">
      <w:pPr>
        <w:spacing w:after="0" w:line="240" w:lineRule="auto"/>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HARARE, </w:t>
      </w:r>
      <w:r w:rsidR="00AE0A4D">
        <w:rPr>
          <w:rFonts w:ascii="Times New Roman" w:eastAsia="Times New Roman" w:hAnsi="Times New Roman" w:cs="Times New Roman"/>
          <w:color w:val="000000"/>
          <w:sz w:val="24"/>
          <w:szCs w:val="24"/>
          <w:lang w:eastAsia="en-ZW"/>
        </w:rPr>
        <w:t xml:space="preserve">13 September 2018 &amp; 21 </w:t>
      </w:r>
      <w:r w:rsidR="00C85D5A">
        <w:rPr>
          <w:rFonts w:ascii="Times New Roman" w:eastAsia="Times New Roman" w:hAnsi="Times New Roman" w:cs="Times New Roman"/>
          <w:color w:val="000000"/>
          <w:sz w:val="24"/>
          <w:szCs w:val="24"/>
          <w:lang w:eastAsia="en-ZW"/>
        </w:rPr>
        <w:t>November</w:t>
      </w:r>
      <w:r w:rsidR="005E46CF">
        <w:rPr>
          <w:rFonts w:ascii="Times New Roman" w:eastAsia="Times New Roman" w:hAnsi="Times New Roman" w:cs="Times New Roman"/>
          <w:color w:val="000000"/>
          <w:sz w:val="24"/>
          <w:szCs w:val="24"/>
          <w:lang w:eastAsia="en-ZW"/>
        </w:rPr>
        <w:t xml:space="preserve"> 2018</w:t>
      </w:r>
    </w:p>
    <w:p w:rsidR="00DC788A" w:rsidRDefault="00DC788A" w:rsidP="00DC788A">
      <w:pPr>
        <w:spacing w:after="0" w:line="240" w:lineRule="auto"/>
        <w:jc w:val="both"/>
        <w:rPr>
          <w:rFonts w:ascii="Times New Roman" w:eastAsia="Times New Roman" w:hAnsi="Times New Roman" w:cs="Times New Roman"/>
          <w:color w:val="000000"/>
          <w:sz w:val="24"/>
          <w:szCs w:val="24"/>
          <w:lang w:eastAsia="en-ZW"/>
        </w:rPr>
      </w:pPr>
    </w:p>
    <w:p w:rsidR="00AE0A4D" w:rsidRPr="00DC788A" w:rsidRDefault="00AE0A4D" w:rsidP="00DC788A">
      <w:pPr>
        <w:spacing w:after="0" w:line="240" w:lineRule="auto"/>
        <w:jc w:val="both"/>
        <w:rPr>
          <w:rFonts w:ascii="Times New Roman" w:eastAsia="Times New Roman" w:hAnsi="Times New Roman" w:cs="Times New Roman"/>
          <w:color w:val="000000"/>
          <w:sz w:val="24"/>
          <w:szCs w:val="24"/>
          <w:lang w:eastAsia="en-ZW"/>
        </w:rPr>
      </w:pPr>
    </w:p>
    <w:p w:rsidR="005E46CF" w:rsidRPr="005E46CF" w:rsidRDefault="00AE0A4D" w:rsidP="005A6531">
      <w:pPr>
        <w:spacing w:before="100" w:beforeAutospacing="1" w:after="100" w:afterAutospacing="1" w:line="276" w:lineRule="auto"/>
        <w:jc w:val="both"/>
        <w:rPr>
          <w:rFonts w:ascii="Times New Roman" w:eastAsia="Times New Roman" w:hAnsi="Times New Roman" w:cs="Times New Roman"/>
          <w:b/>
          <w:color w:val="000000"/>
          <w:sz w:val="24"/>
          <w:szCs w:val="24"/>
          <w:lang w:eastAsia="en-ZW"/>
        </w:rPr>
      </w:pPr>
      <w:r>
        <w:rPr>
          <w:rFonts w:ascii="Times New Roman" w:eastAsia="Times New Roman" w:hAnsi="Times New Roman" w:cs="Times New Roman"/>
          <w:b/>
          <w:color w:val="000000"/>
          <w:sz w:val="24"/>
          <w:szCs w:val="24"/>
          <w:lang w:eastAsia="en-ZW"/>
        </w:rPr>
        <w:t>Stated Case</w:t>
      </w:r>
    </w:p>
    <w:p w:rsidR="00AE0A4D" w:rsidRDefault="00AE0A4D" w:rsidP="00DC788A">
      <w:pPr>
        <w:spacing w:after="0" w:line="240" w:lineRule="auto"/>
        <w:jc w:val="both"/>
        <w:rPr>
          <w:rFonts w:ascii="Times New Roman" w:eastAsia="Times New Roman" w:hAnsi="Times New Roman" w:cs="Times New Roman"/>
          <w:i/>
          <w:color w:val="000000"/>
          <w:sz w:val="24"/>
          <w:szCs w:val="24"/>
          <w:lang w:eastAsia="en-ZW"/>
        </w:rPr>
      </w:pPr>
    </w:p>
    <w:p w:rsidR="005E46CF" w:rsidRDefault="00AE0A4D" w:rsidP="00DC788A">
      <w:pPr>
        <w:spacing w:after="0" w:line="240" w:lineRule="auto"/>
        <w:jc w:val="both"/>
        <w:rPr>
          <w:rFonts w:ascii="Times New Roman" w:eastAsia="Times New Roman" w:hAnsi="Times New Roman" w:cs="Times New Roman"/>
          <w:color w:val="000000"/>
          <w:sz w:val="24"/>
          <w:szCs w:val="24"/>
          <w:lang w:eastAsia="en-ZW"/>
        </w:rPr>
      </w:pPr>
      <w:r w:rsidRPr="00AE0A4D">
        <w:rPr>
          <w:rFonts w:ascii="Times New Roman" w:eastAsia="Times New Roman" w:hAnsi="Times New Roman" w:cs="Times New Roman"/>
          <w:i/>
          <w:color w:val="000000"/>
          <w:sz w:val="24"/>
          <w:szCs w:val="24"/>
          <w:lang w:eastAsia="en-ZW"/>
        </w:rPr>
        <w:t>Ms Chiguvare</w:t>
      </w:r>
      <w:r w:rsidR="005E46CF" w:rsidRPr="00AE0A4D">
        <w:rPr>
          <w:rFonts w:ascii="Times New Roman" w:eastAsia="Times New Roman" w:hAnsi="Times New Roman" w:cs="Times New Roman"/>
          <w:i/>
          <w:color w:val="000000"/>
          <w:sz w:val="24"/>
          <w:szCs w:val="24"/>
          <w:lang w:eastAsia="en-ZW"/>
        </w:rPr>
        <w:t>,</w:t>
      </w:r>
      <w:r w:rsidR="005E46CF" w:rsidRPr="005E46CF">
        <w:rPr>
          <w:rFonts w:ascii="Times New Roman" w:eastAsia="Times New Roman" w:hAnsi="Times New Roman" w:cs="Times New Roman"/>
          <w:color w:val="000000"/>
          <w:sz w:val="24"/>
          <w:szCs w:val="24"/>
          <w:lang w:eastAsia="en-ZW"/>
        </w:rPr>
        <w:t xml:space="preserve"> </w:t>
      </w:r>
      <w:r w:rsidR="005E46CF">
        <w:rPr>
          <w:rFonts w:ascii="Times New Roman" w:eastAsia="Times New Roman" w:hAnsi="Times New Roman" w:cs="Times New Roman"/>
          <w:color w:val="000000"/>
          <w:sz w:val="24"/>
          <w:szCs w:val="24"/>
          <w:lang w:eastAsia="en-ZW"/>
        </w:rPr>
        <w:t>for the applicant</w:t>
      </w:r>
    </w:p>
    <w:p w:rsidR="005E46CF" w:rsidRDefault="00AE0A4D" w:rsidP="00DC788A">
      <w:pPr>
        <w:spacing w:after="0" w:line="240" w:lineRule="auto"/>
        <w:jc w:val="both"/>
        <w:rPr>
          <w:rFonts w:ascii="Times New Roman" w:eastAsia="Times New Roman" w:hAnsi="Times New Roman" w:cs="Times New Roman"/>
          <w:color w:val="000000"/>
          <w:sz w:val="24"/>
          <w:szCs w:val="24"/>
          <w:lang w:eastAsia="en-ZW"/>
        </w:rPr>
      </w:pPr>
      <w:r w:rsidRPr="00AE0A4D">
        <w:rPr>
          <w:rFonts w:ascii="Times New Roman" w:eastAsia="Times New Roman" w:hAnsi="Times New Roman" w:cs="Times New Roman"/>
          <w:i/>
          <w:color w:val="000000"/>
          <w:sz w:val="24"/>
          <w:szCs w:val="24"/>
          <w:lang w:eastAsia="en-ZW"/>
        </w:rPr>
        <w:t>B Mutiro</w:t>
      </w:r>
      <w:r w:rsidR="005E46CF" w:rsidRPr="00AE0A4D">
        <w:rPr>
          <w:rFonts w:ascii="Times New Roman" w:eastAsia="Times New Roman" w:hAnsi="Times New Roman" w:cs="Times New Roman"/>
          <w:i/>
          <w:color w:val="000000"/>
          <w:sz w:val="24"/>
          <w:szCs w:val="24"/>
          <w:lang w:eastAsia="en-ZW"/>
        </w:rPr>
        <w:t>,</w:t>
      </w:r>
      <w:r w:rsidR="005E46CF">
        <w:rPr>
          <w:rFonts w:ascii="Times New Roman" w:eastAsia="Times New Roman" w:hAnsi="Times New Roman" w:cs="Times New Roman"/>
          <w:color w:val="000000"/>
          <w:sz w:val="24"/>
          <w:szCs w:val="24"/>
          <w:lang w:eastAsia="en-ZW"/>
        </w:rPr>
        <w:t xml:space="preserve"> for the respondent</w:t>
      </w:r>
    </w:p>
    <w:p w:rsidR="005E46CF" w:rsidRDefault="005E46CF" w:rsidP="00C72343">
      <w:pPr>
        <w:spacing w:before="100" w:beforeAutospacing="1" w:after="100" w:afterAutospacing="1" w:line="240" w:lineRule="auto"/>
        <w:jc w:val="both"/>
        <w:rPr>
          <w:rFonts w:ascii="Times New Roman" w:eastAsia="Times New Roman" w:hAnsi="Times New Roman" w:cs="Times New Roman"/>
          <w:color w:val="000000"/>
          <w:sz w:val="24"/>
          <w:szCs w:val="24"/>
          <w:lang w:eastAsia="en-ZW"/>
        </w:rPr>
      </w:pPr>
    </w:p>
    <w:p w:rsidR="005A6531" w:rsidRDefault="005E46CF" w:rsidP="00DC788A">
      <w:pPr>
        <w:spacing w:after="0" w:line="360" w:lineRule="auto"/>
        <w:ind w:firstLine="720"/>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HUNGWE J</w:t>
      </w:r>
      <w:r w:rsidR="00DC788A">
        <w:rPr>
          <w:rFonts w:ascii="Times New Roman" w:eastAsia="Times New Roman" w:hAnsi="Times New Roman" w:cs="Times New Roman"/>
          <w:color w:val="000000"/>
          <w:sz w:val="24"/>
          <w:szCs w:val="24"/>
          <w:lang w:eastAsia="en-ZW"/>
        </w:rPr>
        <w:t>:</w:t>
      </w:r>
      <w:r>
        <w:rPr>
          <w:rFonts w:ascii="Times New Roman" w:eastAsia="Times New Roman" w:hAnsi="Times New Roman" w:cs="Times New Roman"/>
          <w:color w:val="000000"/>
          <w:sz w:val="24"/>
          <w:szCs w:val="24"/>
          <w:lang w:eastAsia="en-ZW"/>
        </w:rPr>
        <w:tab/>
      </w:r>
      <w:r w:rsidR="00FB747A">
        <w:rPr>
          <w:rFonts w:ascii="Times New Roman" w:eastAsia="Times New Roman" w:hAnsi="Times New Roman" w:cs="Times New Roman"/>
          <w:color w:val="000000"/>
          <w:sz w:val="24"/>
          <w:szCs w:val="24"/>
          <w:lang w:eastAsia="en-ZW"/>
        </w:rPr>
        <w:t>The p</w:t>
      </w:r>
      <w:r>
        <w:rPr>
          <w:rFonts w:ascii="Times New Roman" w:eastAsia="Times New Roman" w:hAnsi="Times New Roman" w:cs="Times New Roman"/>
          <w:color w:val="000000"/>
          <w:sz w:val="24"/>
          <w:szCs w:val="24"/>
          <w:lang w:eastAsia="en-ZW"/>
        </w:rPr>
        <w:t xml:space="preserve">laintiff issued summons </w:t>
      </w:r>
      <w:r w:rsidR="00C5523C">
        <w:rPr>
          <w:rFonts w:ascii="Times New Roman" w:eastAsia="Times New Roman" w:hAnsi="Times New Roman" w:cs="Times New Roman"/>
          <w:color w:val="000000"/>
          <w:sz w:val="24"/>
          <w:szCs w:val="24"/>
          <w:lang w:eastAsia="en-ZW"/>
        </w:rPr>
        <w:t>against the defendants s</w:t>
      </w:r>
      <w:r w:rsidR="005A6531">
        <w:rPr>
          <w:rFonts w:ascii="Times New Roman" w:eastAsia="Times New Roman" w:hAnsi="Times New Roman" w:cs="Times New Roman"/>
          <w:color w:val="000000"/>
          <w:sz w:val="24"/>
          <w:szCs w:val="24"/>
          <w:lang w:eastAsia="en-ZW"/>
        </w:rPr>
        <w:t>eeking an order declaring him</w:t>
      </w:r>
      <w:r w:rsidR="00C5523C">
        <w:rPr>
          <w:rFonts w:ascii="Times New Roman" w:eastAsia="Times New Roman" w:hAnsi="Times New Roman" w:cs="Times New Roman"/>
          <w:color w:val="000000"/>
          <w:sz w:val="24"/>
          <w:szCs w:val="24"/>
          <w:lang w:eastAsia="en-ZW"/>
        </w:rPr>
        <w:t xml:space="preserve"> the sole holder of the rights, title and interest in a certain piece of land situate in the district of Salisbury called Stand 757 Kambuzuma Township measuring 255 square metres held under Deed of Transfer </w:t>
      </w:r>
      <w:r w:rsidR="009B20D5">
        <w:rPr>
          <w:rFonts w:ascii="Times New Roman" w:eastAsia="Times New Roman" w:hAnsi="Times New Roman" w:cs="Times New Roman"/>
          <w:color w:val="000000"/>
          <w:sz w:val="24"/>
          <w:szCs w:val="24"/>
          <w:lang w:eastAsia="en-ZW"/>
        </w:rPr>
        <w:t>No 1251/2012 also known as Stand</w:t>
      </w:r>
      <w:r w:rsidR="00C5523C">
        <w:rPr>
          <w:rFonts w:ascii="Times New Roman" w:eastAsia="Times New Roman" w:hAnsi="Times New Roman" w:cs="Times New Roman"/>
          <w:color w:val="000000"/>
          <w:sz w:val="24"/>
          <w:szCs w:val="24"/>
          <w:lang w:eastAsia="en-ZW"/>
        </w:rPr>
        <w:t xml:space="preserve"> No 757 Section 3 Kambuzuma, Harare. He also seeks an order that second defendant be ordered to, within three days of service of the order of court upon him, rectify the said Deed of Transfer No. 1251/2012 by deleting the first defendant’s name as registered co-owner o</w:t>
      </w:r>
      <w:r w:rsidR="00AE0A4D">
        <w:rPr>
          <w:rFonts w:ascii="Times New Roman" w:eastAsia="Times New Roman" w:hAnsi="Times New Roman" w:cs="Times New Roman"/>
          <w:color w:val="000000"/>
          <w:sz w:val="24"/>
          <w:szCs w:val="24"/>
          <w:lang w:eastAsia="en-ZW"/>
        </w:rPr>
        <w:t>f the said piece of land. First</w:t>
      </w:r>
      <w:r w:rsidR="00C5523C">
        <w:rPr>
          <w:rFonts w:ascii="Times New Roman" w:eastAsia="Times New Roman" w:hAnsi="Times New Roman" w:cs="Times New Roman"/>
          <w:color w:val="000000"/>
          <w:sz w:val="24"/>
          <w:szCs w:val="24"/>
          <w:lang w:eastAsia="en-ZW"/>
        </w:rPr>
        <w:t xml:space="preserve"> defendant entered an appearance to defend. </w:t>
      </w:r>
      <w:r w:rsidR="00AE0A4D">
        <w:rPr>
          <w:rFonts w:ascii="Times New Roman" w:eastAsia="Times New Roman" w:hAnsi="Times New Roman" w:cs="Times New Roman"/>
          <w:color w:val="000000"/>
          <w:sz w:val="24"/>
          <w:szCs w:val="24"/>
          <w:lang w:eastAsia="en-ZW"/>
        </w:rPr>
        <w:t xml:space="preserve">Second defendant did not. </w:t>
      </w:r>
      <w:r w:rsidR="00C5523C">
        <w:rPr>
          <w:rFonts w:ascii="Times New Roman" w:eastAsia="Times New Roman" w:hAnsi="Times New Roman" w:cs="Times New Roman"/>
          <w:color w:val="000000"/>
          <w:sz w:val="24"/>
          <w:szCs w:val="24"/>
          <w:lang w:eastAsia="en-ZW"/>
        </w:rPr>
        <w:t xml:space="preserve">Pleadings were exchanged and the parties appeared before me at the pre-trial conference stage. </w:t>
      </w:r>
    </w:p>
    <w:p w:rsidR="00221C97" w:rsidRDefault="00221C97" w:rsidP="00DC788A">
      <w:pPr>
        <w:spacing w:after="0" w:line="360" w:lineRule="auto"/>
        <w:ind w:firstLine="720"/>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 xml:space="preserve">By then both parties had effected discovery. They had prepared their bundles of documents in preparation for trial. It was clear that first defendant opposed the declaration of sole ownership on the basis that she had contributed towards the purchase price of the house and that she was a registered co-owner of the immovable property. She claimed that she was entitled to 75% of the value of the property which applicant ought to pay before he assumed sole ownership. The parties agreed that it would resolve the matter if first respondent was asked to furnish some form of proof of her claim of a contribution towards the purchase price. The pre-trial conference was postponed to allow her to secure something to support her claim. She could not. At the resumed hearing the parties agreed that </w:t>
      </w:r>
      <w:r w:rsidR="00140DEA">
        <w:rPr>
          <w:rFonts w:ascii="Times New Roman" w:eastAsia="Times New Roman" w:hAnsi="Times New Roman" w:cs="Times New Roman"/>
          <w:color w:val="000000"/>
          <w:sz w:val="24"/>
          <w:szCs w:val="24"/>
          <w:lang w:eastAsia="en-ZW"/>
        </w:rPr>
        <w:t xml:space="preserve">the matter </w:t>
      </w:r>
      <w:r w:rsidR="00D60912">
        <w:rPr>
          <w:rFonts w:ascii="Times New Roman" w:eastAsia="Times New Roman" w:hAnsi="Times New Roman" w:cs="Times New Roman"/>
          <w:color w:val="000000"/>
          <w:sz w:val="24"/>
          <w:szCs w:val="24"/>
          <w:lang w:eastAsia="en-ZW"/>
        </w:rPr>
        <w:t>proceeded</w:t>
      </w:r>
      <w:r w:rsidR="00140DEA">
        <w:rPr>
          <w:rFonts w:ascii="Times New Roman" w:eastAsia="Times New Roman" w:hAnsi="Times New Roman" w:cs="Times New Roman"/>
          <w:color w:val="000000"/>
          <w:sz w:val="24"/>
          <w:szCs w:val="24"/>
          <w:lang w:eastAsia="en-ZW"/>
        </w:rPr>
        <w:t xml:space="preserve"> as a stated case </w:t>
      </w:r>
      <w:r w:rsidR="00140DEA">
        <w:rPr>
          <w:rFonts w:ascii="Times New Roman" w:eastAsia="Times New Roman" w:hAnsi="Times New Roman" w:cs="Times New Roman"/>
          <w:color w:val="000000"/>
          <w:sz w:val="24"/>
          <w:szCs w:val="24"/>
          <w:lang w:eastAsia="en-ZW"/>
        </w:rPr>
        <w:lastRenderedPageBreak/>
        <w:t>on the basis of the papers filed in the pleadings and the bundle of documents</w:t>
      </w:r>
      <w:r w:rsidR="00D60912">
        <w:rPr>
          <w:rFonts w:ascii="Times New Roman" w:eastAsia="Times New Roman" w:hAnsi="Times New Roman" w:cs="Times New Roman"/>
          <w:color w:val="000000"/>
          <w:sz w:val="24"/>
          <w:szCs w:val="24"/>
          <w:lang w:eastAsia="en-ZW"/>
        </w:rPr>
        <w:t>.</w:t>
      </w:r>
      <w:r w:rsidR="000B5626">
        <w:rPr>
          <w:rFonts w:ascii="Times New Roman" w:eastAsia="Times New Roman" w:hAnsi="Times New Roman" w:cs="Times New Roman"/>
          <w:color w:val="000000"/>
          <w:sz w:val="24"/>
          <w:szCs w:val="24"/>
          <w:lang w:eastAsia="en-ZW"/>
        </w:rPr>
        <w:t xml:space="preserve"> The statement of agreed facts upon which the case was stated did not advert to the fact that plaintiff produced proof that he had paid the purchase price of the immovable property. First defendant, on the other hand relied, for her claim on the property, on the fact of registration only. Although she had promised to produce evidence of her contribution towards the purchase of the immovable property, she never did so.</w:t>
      </w:r>
      <w:r w:rsidR="00AE0A4D">
        <w:rPr>
          <w:rFonts w:ascii="Times New Roman" w:eastAsia="Times New Roman" w:hAnsi="Times New Roman" w:cs="Times New Roman"/>
          <w:color w:val="000000"/>
          <w:sz w:val="24"/>
          <w:szCs w:val="24"/>
          <w:lang w:eastAsia="en-ZW"/>
        </w:rPr>
        <w:t xml:space="preserve"> Her claim regarding her contribution was not proven and the parties agreed that the matter proceeded on the basis that her claim to an interest in the property arose from being a registered co-owner of the property.</w:t>
      </w:r>
    </w:p>
    <w:p w:rsidR="006072AD" w:rsidRPr="005E46CF" w:rsidRDefault="006072AD" w:rsidP="00DC788A">
      <w:pPr>
        <w:spacing w:after="0" w:line="360" w:lineRule="auto"/>
        <w:ind w:firstLine="720"/>
        <w:jc w:val="both"/>
        <w:rPr>
          <w:rFonts w:ascii="Times New Roman" w:eastAsia="Times New Roman" w:hAnsi="Times New Roman" w:cs="Times New Roman"/>
          <w:color w:val="000000"/>
          <w:sz w:val="24"/>
          <w:szCs w:val="24"/>
          <w:lang w:eastAsia="en-ZW"/>
        </w:rPr>
      </w:pPr>
      <w:r>
        <w:rPr>
          <w:rFonts w:ascii="Times New Roman" w:eastAsia="Times New Roman" w:hAnsi="Times New Roman" w:cs="Times New Roman"/>
          <w:color w:val="000000"/>
          <w:sz w:val="24"/>
          <w:szCs w:val="24"/>
          <w:lang w:eastAsia="en-ZW"/>
        </w:rPr>
        <w:t>The case was therefore stated as follows: who between the two should be declared the sole owner of the immovable property?</w:t>
      </w:r>
    </w:p>
    <w:p w:rsidR="00C72343" w:rsidRPr="00140DEA" w:rsidRDefault="00C72343" w:rsidP="00140DEA">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en-ZW"/>
        </w:rPr>
      </w:pPr>
      <w:r w:rsidRPr="00140DEA">
        <w:rPr>
          <w:rFonts w:ascii="Times" w:eastAsia="Times New Roman" w:hAnsi="Times" w:cs="Times"/>
          <w:b/>
          <w:bCs/>
          <w:color w:val="000000"/>
          <w:sz w:val="24"/>
          <w:szCs w:val="24"/>
          <w:lang w:eastAsia="en-ZW"/>
        </w:rPr>
        <w:t>Facts</w:t>
      </w:r>
    </w:p>
    <w:p w:rsidR="00C72343" w:rsidRPr="00140DEA" w:rsidRDefault="00C72343" w:rsidP="00DC788A">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 xml:space="preserve">The agreed facts are as follows: </w:t>
      </w:r>
      <w:r w:rsidR="00DC788A">
        <w:rPr>
          <w:rFonts w:ascii="Times" w:eastAsia="Times New Roman" w:hAnsi="Times" w:cs="Times"/>
          <w:color w:val="000000"/>
          <w:sz w:val="24"/>
          <w:szCs w:val="24"/>
          <w:lang w:eastAsia="en-ZW"/>
        </w:rPr>
        <w:t>The a</w:t>
      </w:r>
      <w:r w:rsidRPr="00140DEA">
        <w:rPr>
          <w:rFonts w:ascii="Times" w:eastAsia="Times New Roman" w:hAnsi="Times" w:cs="Times"/>
          <w:color w:val="000000"/>
          <w:sz w:val="24"/>
          <w:szCs w:val="24"/>
          <w:lang w:eastAsia="en-ZW"/>
        </w:rPr>
        <w:t xml:space="preserve">pplicant and respondent met at a shopping centre </w:t>
      </w:r>
      <w:r w:rsidR="00AE0A4D">
        <w:rPr>
          <w:rFonts w:ascii="Times" w:eastAsia="Times New Roman" w:hAnsi="Times" w:cs="Times"/>
          <w:color w:val="000000"/>
          <w:sz w:val="24"/>
          <w:szCs w:val="24"/>
          <w:lang w:eastAsia="en-ZW"/>
        </w:rPr>
        <w:t xml:space="preserve">in 2012 and </w:t>
      </w:r>
      <w:r w:rsidRPr="00140DEA">
        <w:rPr>
          <w:rFonts w:ascii="Times" w:eastAsia="Times New Roman" w:hAnsi="Times" w:cs="Times"/>
          <w:color w:val="000000"/>
          <w:sz w:val="24"/>
          <w:szCs w:val="24"/>
          <w:lang w:eastAsia="en-ZW"/>
        </w:rPr>
        <w:t>fell in love. Both were married to someone else. In contemplation of their own happier marriage</w:t>
      </w:r>
      <w:r w:rsidR="002B60CB">
        <w:rPr>
          <w:rFonts w:ascii="Times" w:eastAsia="Times New Roman" w:hAnsi="Times" w:cs="Times"/>
          <w:color w:val="000000"/>
          <w:sz w:val="24"/>
          <w:szCs w:val="24"/>
          <w:lang w:eastAsia="en-ZW"/>
        </w:rPr>
        <w:t xml:space="preserve"> plaintiff paid for their future home</w:t>
      </w:r>
      <w:r w:rsidR="006072AD">
        <w:rPr>
          <w:rFonts w:ascii="Times" w:eastAsia="Times New Roman" w:hAnsi="Times" w:cs="Times"/>
          <w:color w:val="000000"/>
          <w:sz w:val="24"/>
          <w:szCs w:val="24"/>
          <w:lang w:eastAsia="en-ZW"/>
        </w:rPr>
        <w:t xml:space="preserve"> </w:t>
      </w:r>
      <w:r w:rsidR="00DD416E">
        <w:rPr>
          <w:rFonts w:ascii="Times" w:eastAsia="Times New Roman" w:hAnsi="Times" w:cs="Times"/>
          <w:color w:val="000000"/>
          <w:sz w:val="24"/>
          <w:szCs w:val="24"/>
          <w:lang w:eastAsia="en-ZW"/>
        </w:rPr>
        <w:t>in Kambuzumba. The immovable property was</w:t>
      </w:r>
      <w:r w:rsidRPr="00140DEA">
        <w:rPr>
          <w:rFonts w:ascii="Times" w:eastAsia="Times New Roman" w:hAnsi="Times" w:cs="Times"/>
          <w:color w:val="000000"/>
          <w:sz w:val="24"/>
          <w:szCs w:val="24"/>
          <w:lang w:eastAsia="en-ZW"/>
        </w:rPr>
        <w:t xml:space="preserve"> register</w:t>
      </w:r>
      <w:r w:rsidR="00DD416E">
        <w:rPr>
          <w:rFonts w:ascii="Times" w:eastAsia="Times New Roman" w:hAnsi="Times" w:cs="Times"/>
          <w:color w:val="000000"/>
          <w:sz w:val="24"/>
          <w:szCs w:val="24"/>
          <w:lang w:eastAsia="en-ZW"/>
        </w:rPr>
        <w:t>ed</w:t>
      </w:r>
      <w:r w:rsidRPr="00140DEA">
        <w:rPr>
          <w:rFonts w:ascii="Times" w:eastAsia="Times New Roman" w:hAnsi="Times" w:cs="Times"/>
          <w:color w:val="000000"/>
          <w:sz w:val="24"/>
          <w:szCs w:val="24"/>
          <w:lang w:eastAsia="en-ZW"/>
        </w:rPr>
        <w:t xml:space="preserve"> in their joint names. Before they moved in together, the woman grew cold feet and announced that she could not go ahead with their original plan. The affair crumbled before it blossomed. He approached this Court for an order declaring him sole owner </w:t>
      </w:r>
      <w:r w:rsidR="006072AD">
        <w:rPr>
          <w:rFonts w:ascii="Times" w:eastAsia="Times New Roman" w:hAnsi="Times" w:cs="Times"/>
          <w:color w:val="000000"/>
          <w:sz w:val="24"/>
          <w:szCs w:val="24"/>
          <w:lang w:eastAsia="en-ZW"/>
        </w:rPr>
        <w:t xml:space="preserve">of all rights, title and interest in the immovable property </w:t>
      </w:r>
      <w:r w:rsidRPr="00140DEA">
        <w:rPr>
          <w:rFonts w:ascii="Times" w:eastAsia="Times New Roman" w:hAnsi="Times" w:cs="Times"/>
          <w:color w:val="000000"/>
          <w:sz w:val="24"/>
          <w:szCs w:val="24"/>
          <w:lang w:eastAsia="en-ZW"/>
        </w:rPr>
        <w:t xml:space="preserve">and that the Deeds Registrar expunges </w:t>
      </w:r>
      <w:r w:rsidR="00362D76">
        <w:rPr>
          <w:rFonts w:ascii="Times" w:eastAsia="Times New Roman" w:hAnsi="Times" w:cs="Times"/>
          <w:color w:val="000000"/>
          <w:sz w:val="24"/>
          <w:szCs w:val="24"/>
          <w:lang w:eastAsia="en-ZW"/>
        </w:rPr>
        <w:t xml:space="preserve">first </w:t>
      </w:r>
      <w:r w:rsidRPr="00140DEA">
        <w:rPr>
          <w:rFonts w:ascii="Times" w:eastAsia="Times New Roman" w:hAnsi="Times" w:cs="Times"/>
          <w:color w:val="000000"/>
          <w:sz w:val="24"/>
          <w:szCs w:val="24"/>
          <w:lang w:eastAsia="en-ZW"/>
        </w:rPr>
        <w:t>respondent</w:t>
      </w:r>
      <w:r w:rsidR="00362D76">
        <w:rPr>
          <w:rFonts w:ascii="Times" w:eastAsia="Times New Roman" w:hAnsi="Times" w:cs="Times"/>
          <w:color w:val="000000"/>
          <w:sz w:val="24"/>
          <w:szCs w:val="24"/>
          <w:lang w:eastAsia="en-ZW"/>
        </w:rPr>
        <w:t>’</w:t>
      </w:r>
      <w:r w:rsidRPr="00140DEA">
        <w:rPr>
          <w:rFonts w:ascii="Times" w:eastAsia="Times New Roman" w:hAnsi="Times" w:cs="Times"/>
          <w:color w:val="000000"/>
          <w:sz w:val="24"/>
          <w:szCs w:val="24"/>
          <w:lang w:eastAsia="en-ZW"/>
        </w:rPr>
        <w:t>s name</w:t>
      </w:r>
      <w:r w:rsidR="006072AD">
        <w:rPr>
          <w:rFonts w:ascii="Times" w:eastAsia="Times New Roman" w:hAnsi="Times" w:cs="Times"/>
          <w:color w:val="000000"/>
          <w:sz w:val="24"/>
          <w:szCs w:val="24"/>
          <w:lang w:eastAsia="en-ZW"/>
        </w:rPr>
        <w:t xml:space="preserve"> from the Deed of Transfer of the same. First respondent</w:t>
      </w:r>
      <w:r w:rsidRPr="00140DEA">
        <w:rPr>
          <w:rFonts w:ascii="Times" w:eastAsia="Times New Roman" w:hAnsi="Times" w:cs="Times"/>
          <w:color w:val="000000"/>
          <w:sz w:val="24"/>
          <w:szCs w:val="24"/>
          <w:lang w:eastAsia="en-ZW"/>
        </w:rPr>
        <w:t xml:space="preserve"> oppose</w:t>
      </w:r>
      <w:r w:rsidR="006072AD">
        <w:rPr>
          <w:rFonts w:ascii="Times" w:eastAsia="Times New Roman" w:hAnsi="Times" w:cs="Times"/>
          <w:color w:val="000000"/>
          <w:sz w:val="24"/>
          <w:szCs w:val="24"/>
          <w:lang w:eastAsia="en-ZW"/>
        </w:rPr>
        <w:t>s the grant of such an order.</w:t>
      </w:r>
      <w:r w:rsidRPr="00140DEA">
        <w:rPr>
          <w:rFonts w:ascii="Times" w:eastAsia="Times New Roman" w:hAnsi="Times" w:cs="Times"/>
          <w:color w:val="000000"/>
          <w:sz w:val="24"/>
          <w:szCs w:val="24"/>
          <w:lang w:eastAsia="en-ZW"/>
        </w:rPr>
        <w:t> </w:t>
      </w:r>
      <w:r w:rsidR="006072AD">
        <w:rPr>
          <w:rFonts w:ascii="Times" w:eastAsia="Times New Roman" w:hAnsi="Times" w:cs="Times"/>
          <w:color w:val="000000"/>
          <w:sz w:val="24"/>
          <w:szCs w:val="24"/>
          <w:lang w:eastAsia="en-ZW"/>
        </w:rPr>
        <w:t>S</w:t>
      </w:r>
      <w:r w:rsidRPr="00140DEA">
        <w:rPr>
          <w:rFonts w:ascii="Times" w:eastAsia="Times New Roman" w:hAnsi="Times" w:cs="Times"/>
          <w:color w:val="000000"/>
          <w:sz w:val="24"/>
          <w:szCs w:val="24"/>
          <w:lang w:eastAsia="en-ZW"/>
        </w:rPr>
        <w:t>he argues that her rights flow from the act of registration</w:t>
      </w:r>
      <w:r w:rsidR="006072AD">
        <w:rPr>
          <w:rFonts w:ascii="Times" w:eastAsia="Times New Roman" w:hAnsi="Times" w:cs="Times"/>
          <w:color w:val="000000"/>
          <w:sz w:val="24"/>
          <w:szCs w:val="24"/>
          <w:lang w:eastAsia="en-ZW"/>
        </w:rPr>
        <w:t xml:space="preserve"> and as such she is entitled to be paid half the value of the property before he can assume full ownership</w:t>
      </w:r>
      <w:r w:rsidRPr="00140DEA">
        <w:rPr>
          <w:rFonts w:ascii="Times" w:eastAsia="Times New Roman" w:hAnsi="Times" w:cs="Times"/>
          <w:color w:val="000000"/>
          <w:sz w:val="24"/>
          <w:szCs w:val="24"/>
          <w:lang w:eastAsia="en-ZW"/>
        </w:rPr>
        <w:t>. </w:t>
      </w:r>
      <w:r w:rsidRPr="00140DEA">
        <w:rPr>
          <w:rFonts w:ascii="Times New Roman" w:eastAsia="Times New Roman" w:hAnsi="Times New Roman" w:cs="Times New Roman"/>
          <w:color w:val="000000"/>
          <w:sz w:val="24"/>
          <w:szCs w:val="24"/>
          <w:lang w:eastAsia="en-ZW"/>
        </w:rPr>
        <w:t> </w:t>
      </w:r>
    </w:p>
    <w:p w:rsidR="00C72343" w:rsidRPr="005A6531" w:rsidRDefault="00C72343" w:rsidP="00B906BD">
      <w:pPr>
        <w:numPr>
          <w:ilvl w:val="0"/>
          <w:numId w:val="2"/>
        </w:numPr>
        <w:spacing w:before="100" w:beforeAutospacing="1" w:after="100" w:afterAutospacing="1" w:line="360" w:lineRule="auto"/>
        <w:jc w:val="both"/>
        <w:rPr>
          <w:rFonts w:ascii="Times New Roman" w:eastAsia="Times New Roman" w:hAnsi="Times New Roman" w:cs="Times New Roman"/>
          <w:color w:val="000000"/>
          <w:sz w:val="24"/>
          <w:szCs w:val="24"/>
          <w:lang w:eastAsia="en-ZW"/>
        </w:rPr>
      </w:pPr>
      <w:r w:rsidRPr="005A6531">
        <w:rPr>
          <w:rFonts w:ascii="Times" w:eastAsia="Times New Roman" w:hAnsi="Times" w:cs="Times"/>
          <w:b/>
          <w:bCs/>
          <w:color w:val="000000"/>
          <w:sz w:val="24"/>
          <w:szCs w:val="24"/>
          <w:lang w:eastAsia="en-ZW"/>
        </w:rPr>
        <w:t>Legal consequence of the act of registration</w:t>
      </w:r>
      <w:r w:rsidRPr="005A6531">
        <w:rPr>
          <w:rFonts w:ascii="Times New Roman" w:eastAsia="Times New Roman" w:hAnsi="Times New Roman" w:cs="Times New Roman"/>
          <w:color w:val="000000"/>
          <w:sz w:val="24"/>
          <w:szCs w:val="24"/>
          <w:lang w:eastAsia="en-ZW"/>
        </w:rPr>
        <w:t> </w:t>
      </w:r>
    </w:p>
    <w:p w:rsidR="00C72343" w:rsidRPr="00140DEA" w:rsidRDefault="00C72343" w:rsidP="00DC788A">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Ownership of immovable property can only pass by registration of transfer into the name of the new owner</w:t>
      </w:r>
      <w:r w:rsidR="005A6531">
        <w:rPr>
          <w:rStyle w:val="FootnoteReference"/>
          <w:rFonts w:ascii="Times" w:eastAsia="Times New Roman" w:hAnsi="Times" w:cs="Times"/>
          <w:color w:val="000000"/>
          <w:sz w:val="24"/>
          <w:szCs w:val="24"/>
          <w:lang w:eastAsia="en-ZW"/>
        </w:rPr>
        <w:footnoteReference w:id="1"/>
      </w:r>
      <w:r w:rsidRPr="00140DEA">
        <w:rPr>
          <w:rFonts w:ascii="Times" w:eastAsia="Times New Roman" w:hAnsi="Times" w:cs="Times"/>
          <w:color w:val="000000"/>
          <w:sz w:val="24"/>
          <w:szCs w:val="24"/>
          <w:lang w:eastAsia="en-ZW"/>
        </w:rPr>
        <w:t>. However, an act of registration is only but </w:t>
      </w:r>
      <w:r w:rsidRPr="00140DEA">
        <w:rPr>
          <w:rFonts w:ascii="Times" w:eastAsia="Times New Roman" w:hAnsi="Times" w:cs="Times"/>
          <w:i/>
          <w:iCs/>
          <w:color w:val="000000"/>
          <w:sz w:val="24"/>
          <w:szCs w:val="24"/>
          <w:lang w:eastAsia="en-ZW"/>
        </w:rPr>
        <w:t>prima facie</w:t>
      </w:r>
      <w:r w:rsidR="005A6531">
        <w:rPr>
          <w:rFonts w:ascii="Times" w:eastAsia="Times New Roman" w:hAnsi="Times" w:cs="Times"/>
          <w:i/>
          <w:iCs/>
          <w:color w:val="000000"/>
          <w:sz w:val="24"/>
          <w:szCs w:val="24"/>
          <w:lang w:eastAsia="en-ZW"/>
        </w:rPr>
        <w:t xml:space="preserve"> </w:t>
      </w:r>
      <w:r w:rsidRPr="00140DEA">
        <w:rPr>
          <w:rFonts w:ascii="Times" w:eastAsia="Times New Roman" w:hAnsi="Times" w:cs="Times"/>
          <w:color w:val="000000"/>
          <w:sz w:val="24"/>
          <w:szCs w:val="24"/>
          <w:lang w:eastAsia="en-ZW"/>
        </w:rPr>
        <w:t>proof that one is the owner of the property</w:t>
      </w:r>
      <w:r w:rsidR="005A6531">
        <w:rPr>
          <w:rStyle w:val="FootnoteReference"/>
          <w:rFonts w:ascii="Times" w:eastAsia="Times New Roman" w:hAnsi="Times" w:cs="Times"/>
          <w:color w:val="000000"/>
          <w:sz w:val="24"/>
          <w:szCs w:val="24"/>
          <w:lang w:eastAsia="en-ZW"/>
        </w:rPr>
        <w:footnoteReference w:id="2"/>
      </w:r>
      <w:r w:rsidR="00DD416E">
        <w:rPr>
          <w:rFonts w:ascii="Times" w:eastAsia="Times New Roman" w:hAnsi="Times" w:cs="Times"/>
          <w:color w:val="000000"/>
          <w:sz w:val="24"/>
          <w:szCs w:val="24"/>
          <w:lang w:eastAsia="en-ZW"/>
        </w:rPr>
        <w:t>.</w:t>
      </w:r>
      <w:r w:rsidRPr="00140DEA">
        <w:rPr>
          <w:rFonts w:ascii="Times" w:eastAsia="Times New Roman" w:hAnsi="Times" w:cs="Times"/>
          <w:color w:val="000000"/>
          <w:sz w:val="24"/>
          <w:szCs w:val="24"/>
          <w:lang w:eastAsia="en-ZW"/>
        </w:rPr>
        <w:t> Therefore, there is a </w:t>
      </w:r>
      <w:r w:rsidRPr="00140DEA">
        <w:rPr>
          <w:rFonts w:ascii="Times" w:eastAsia="Times New Roman" w:hAnsi="Times" w:cs="Times"/>
          <w:i/>
          <w:iCs/>
          <w:color w:val="000000"/>
          <w:sz w:val="24"/>
          <w:szCs w:val="24"/>
          <w:lang w:eastAsia="en-ZW"/>
        </w:rPr>
        <w:t>prima facie</w:t>
      </w:r>
      <w:r w:rsidRPr="00140DEA">
        <w:rPr>
          <w:rFonts w:ascii="Times" w:eastAsia="Times New Roman" w:hAnsi="Times" w:cs="Times"/>
          <w:color w:val="000000"/>
          <w:sz w:val="24"/>
          <w:szCs w:val="24"/>
          <w:lang w:eastAsia="en-ZW"/>
        </w:rPr>
        <w:t xml:space="preserve"> proof that </w:t>
      </w:r>
      <w:r w:rsidR="00DD416E">
        <w:rPr>
          <w:rFonts w:ascii="Times" w:eastAsia="Times New Roman" w:hAnsi="Times" w:cs="Times"/>
          <w:color w:val="000000"/>
          <w:sz w:val="24"/>
          <w:szCs w:val="24"/>
          <w:lang w:eastAsia="en-ZW"/>
        </w:rPr>
        <w:t xml:space="preserve">first </w:t>
      </w:r>
      <w:r w:rsidR="00DC788A">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is a co-owner of the said property. However, this is a rebuttable presumption. If </w:t>
      </w:r>
      <w:r w:rsidR="00DD416E">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can </w:t>
      </w:r>
      <w:r w:rsidRPr="00140DEA">
        <w:rPr>
          <w:rFonts w:ascii="Times" w:eastAsia="Times New Roman" w:hAnsi="Times" w:cs="Times"/>
          <w:color w:val="000000"/>
          <w:sz w:val="24"/>
          <w:szCs w:val="24"/>
          <w:lang w:eastAsia="en-ZW"/>
        </w:rPr>
        <w:lastRenderedPageBreak/>
        <w:t xml:space="preserve">show that </w:t>
      </w:r>
      <w:r w:rsidR="00DD416E">
        <w:rPr>
          <w:rFonts w:ascii="Times" w:eastAsia="Times New Roman" w:hAnsi="Times" w:cs="Times"/>
          <w:color w:val="000000"/>
          <w:sz w:val="24"/>
          <w:szCs w:val="24"/>
          <w:lang w:eastAsia="en-ZW"/>
        </w:rPr>
        <w:t xml:space="preserve">first </w:t>
      </w:r>
      <w:r w:rsidRPr="00140DEA">
        <w:rPr>
          <w:rFonts w:ascii="Times" w:eastAsia="Times New Roman" w:hAnsi="Times" w:cs="Times"/>
          <w:color w:val="000000"/>
          <w:sz w:val="24"/>
          <w:szCs w:val="24"/>
          <w:lang w:eastAsia="en-ZW"/>
        </w:rPr>
        <w:t>defendant obtained ownership unlawfully</w:t>
      </w:r>
      <w:r w:rsidR="009B1674">
        <w:rPr>
          <w:rStyle w:val="FootnoteReference"/>
          <w:rFonts w:ascii="Times" w:eastAsia="Times New Roman" w:hAnsi="Times" w:cs="Times"/>
          <w:color w:val="000000"/>
          <w:sz w:val="24"/>
          <w:szCs w:val="24"/>
          <w:lang w:eastAsia="en-ZW"/>
        </w:rPr>
        <w:footnoteReference w:id="3"/>
      </w:r>
      <w:r w:rsidRPr="00140DEA">
        <w:rPr>
          <w:rFonts w:ascii="Times" w:eastAsia="Times New Roman" w:hAnsi="Times" w:cs="Times"/>
          <w:color w:val="000000"/>
          <w:sz w:val="24"/>
          <w:szCs w:val="24"/>
          <w:lang w:eastAsia="en-ZW"/>
        </w:rPr>
        <w:t> or that she has failed to meet certain conditions which entitle her to continue as a co-owner, the ownership can be revoked.</w:t>
      </w:r>
      <w:r w:rsidRPr="00140DEA">
        <w:rPr>
          <w:rFonts w:ascii="Times New Roman" w:eastAsia="Times New Roman" w:hAnsi="Times New Roman" w:cs="Times New Roman"/>
          <w:color w:val="000000"/>
          <w:sz w:val="24"/>
          <w:szCs w:val="24"/>
          <w:lang w:eastAsia="en-ZW"/>
        </w:rPr>
        <w:t> </w:t>
      </w:r>
    </w:p>
    <w:p w:rsidR="00C72343" w:rsidRPr="00FB747A" w:rsidRDefault="00DD416E" w:rsidP="00FB747A">
      <w:pPr>
        <w:spacing w:after="0" w:line="360" w:lineRule="auto"/>
        <w:ind w:firstLine="720"/>
        <w:jc w:val="both"/>
        <w:rPr>
          <w:rFonts w:ascii="Times New Roman" w:eastAsia="Times New Roman" w:hAnsi="Times New Roman" w:cs="Times New Roman"/>
          <w:color w:val="000000"/>
          <w:sz w:val="24"/>
          <w:szCs w:val="24"/>
          <w:lang w:eastAsia="en-ZW"/>
        </w:rPr>
      </w:pPr>
      <w:r>
        <w:rPr>
          <w:rFonts w:ascii="Times" w:eastAsia="Times New Roman" w:hAnsi="Times" w:cs="Times"/>
          <w:color w:val="000000"/>
          <w:sz w:val="24"/>
          <w:szCs w:val="24"/>
          <w:lang w:eastAsia="en-ZW"/>
        </w:rPr>
        <w:t>The plaintiff</w:t>
      </w:r>
      <w:r w:rsidR="00C72343" w:rsidRPr="00140DEA">
        <w:rPr>
          <w:rFonts w:ascii="Times" w:eastAsia="Times New Roman" w:hAnsi="Times" w:cs="Times"/>
          <w:color w:val="000000"/>
          <w:sz w:val="24"/>
          <w:szCs w:val="24"/>
          <w:lang w:eastAsia="en-ZW"/>
        </w:rPr>
        <w:t xml:space="preserve"> wants </w:t>
      </w:r>
      <w:r>
        <w:rPr>
          <w:rFonts w:ascii="Times" w:eastAsia="Times New Roman" w:hAnsi="Times" w:cs="Times"/>
          <w:color w:val="000000"/>
          <w:sz w:val="24"/>
          <w:szCs w:val="24"/>
          <w:lang w:eastAsia="en-ZW"/>
        </w:rPr>
        <w:t xml:space="preserve">first </w:t>
      </w:r>
      <w:r w:rsidR="00DC788A">
        <w:rPr>
          <w:rFonts w:ascii="Times" w:eastAsia="Times New Roman" w:hAnsi="Times" w:cs="Times"/>
          <w:color w:val="000000"/>
          <w:sz w:val="24"/>
          <w:szCs w:val="24"/>
          <w:lang w:eastAsia="en-ZW"/>
        </w:rPr>
        <w:t>d</w:t>
      </w:r>
      <w:r w:rsidR="00C72343" w:rsidRPr="00140DEA">
        <w:rPr>
          <w:rFonts w:ascii="Times" w:eastAsia="Times New Roman" w:hAnsi="Times" w:cs="Times"/>
          <w:color w:val="000000"/>
          <w:sz w:val="24"/>
          <w:szCs w:val="24"/>
          <w:lang w:eastAsia="en-ZW"/>
        </w:rPr>
        <w:t xml:space="preserve">efendant’s right of co-ownership revoked. He advances three arguments in support of his claim. The first argument is that the romantic relationship between him and </w:t>
      </w:r>
      <w:r>
        <w:rPr>
          <w:rFonts w:ascii="Times" w:eastAsia="Times New Roman" w:hAnsi="Times" w:cs="Times"/>
          <w:color w:val="000000"/>
          <w:sz w:val="24"/>
          <w:szCs w:val="24"/>
          <w:lang w:eastAsia="en-ZW"/>
        </w:rPr>
        <w:t xml:space="preserve">first </w:t>
      </w:r>
      <w:r w:rsidR="00C72343" w:rsidRPr="00140DEA">
        <w:rPr>
          <w:rFonts w:ascii="Times" w:eastAsia="Times New Roman" w:hAnsi="Times" w:cs="Times"/>
          <w:color w:val="000000"/>
          <w:sz w:val="24"/>
          <w:szCs w:val="24"/>
          <w:lang w:eastAsia="en-ZW"/>
        </w:rPr>
        <w:t xml:space="preserve">defendant has broken down. It is important to note that the nature of their relationship was neither a marriage nor a civil union for they never lived together. Theirs was </w:t>
      </w:r>
      <w:r w:rsidR="00C72343" w:rsidRPr="00FB747A">
        <w:rPr>
          <w:rFonts w:ascii="Times New Roman" w:eastAsia="Times New Roman" w:hAnsi="Times New Roman" w:cs="Times New Roman"/>
          <w:color w:val="000000"/>
          <w:sz w:val="24"/>
          <w:szCs w:val="24"/>
          <w:lang w:eastAsia="en-ZW"/>
        </w:rPr>
        <w:t xml:space="preserve">what other people could classify as dating, where the couple is staying apart, living different lives but hoping to eventually get married to each other.  The second argument advanced by </w:t>
      </w:r>
      <w:r>
        <w:rPr>
          <w:rFonts w:ascii="Times New Roman" w:eastAsia="Times New Roman" w:hAnsi="Times New Roman" w:cs="Times New Roman"/>
          <w:color w:val="000000"/>
          <w:sz w:val="24"/>
          <w:szCs w:val="24"/>
          <w:lang w:eastAsia="en-ZW"/>
        </w:rPr>
        <w:t>the plaintiff</w:t>
      </w:r>
      <w:r w:rsidR="00C72343" w:rsidRPr="00FB747A">
        <w:rPr>
          <w:rFonts w:ascii="Times New Roman" w:eastAsia="Times New Roman" w:hAnsi="Times New Roman" w:cs="Times New Roman"/>
          <w:color w:val="000000"/>
          <w:sz w:val="24"/>
          <w:szCs w:val="24"/>
          <w:lang w:eastAsia="en-ZW"/>
        </w:rPr>
        <w:t xml:space="preserve"> is that </w:t>
      </w:r>
      <w:r w:rsidR="00DC788A" w:rsidRPr="00FB747A">
        <w:rPr>
          <w:rFonts w:ascii="Times New Roman" w:eastAsia="Times New Roman" w:hAnsi="Times New Roman" w:cs="Times New Roman"/>
          <w:color w:val="000000"/>
          <w:sz w:val="24"/>
          <w:szCs w:val="24"/>
          <w:lang w:eastAsia="en-ZW"/>
        </w:rPr>
        <w:t xml:space="preserve">the </w:t>
      </w:r>
      <w:r>
        <w:rPr>
          <w:rFonts w:ascii="Times New Roman" w:eastAsia="Times New Roman" w:hAnsi="Times New Roman" w:cs="Times New Roman"/>
          <w:color w:val="000000"/>
          <w:sz w:val="24"/>
          <w:szCs w:val="24"/>
          <w:lang w:eastAsia="en-ZW"/>
        </w:rPr>
        <w:t xml:space="preserve">first </w:t>
      </w:r>
      <w:r w:rsidR="00DC788A" w:rsidRPr="00FB747A">
        <w:rPr>
          <w:rFonts w:ascii="Times New Roman" w:eastAsia="Times New Roman" w:hAnsi="Times New Roman" w:cs="Times New Roman"/>
          <w:color w:val="000000"/>
          <w:sz w:val="24"/>
          <w:szCs w:val="24"/>
          <w:lang w:eastAsia="en-ZW"/>
        </w:rPr>
        <w:t>d</w:t>
      </w:r>
      <w:r w:rsidR="00C72343" w:rsidRPr="00FB747A">
        <w:rPr>
          <w:rFonts w:ascii="Times New Roman" w:eastAsia="Times New Roman" w:hAnsi="Times New Roman" w:cs="Times New Roman"/>
          <w:color w:val="000000"/>
          <w:sz w:val="24"/>
          <w:szCs w:val="24"/>
          <w:lang w:eastAsia="en-ZW"/>
        </w:rPr>
        <w:t xml:space="preserve">efendant did not contribute anything towards the acquisition of the property. Here, </w:t>
      </w:r>
      <w:r>
        <w:rPr>
          <w:rFonts w:ascii="Times New Roman" w:eastAsia="Times New Roman" w:hAnsi="Times New Roman" w:cs="Times New Roman"/>
          <w:color w:val="000000"/>
          <w:sz w:val="24"/>
          <w:szCs w:val="24"/>
          <w:lang w:eastAsia="en-ZW"/>
        </w:rPr>
        <w:t>the plaintiff</w:t>
      </w:r>
      <w:r w:rsidR="00C72343" w:rsidRPr="00FB747A">
        <w:rPr>
          <w:rFonts w:ascii="Times New Roman" w:eastAsia="Times New Roman" w:hAnsi="Times New Roman" w:cs="Times New Roman"/>
          <w:color w:val="000000"/>
          <w:sz w:val="24"/>
          <w:szCs w:val="24"/>
          <w:lang w:eastAsia="en-ZW"/>
        </w:rPr>
        <w:t xml:space="preserve"> is referring to the undisputed fact that </w:t>
      </w:r>
      <w:r w:rsidR="00DC788A" w:rsidRPr="00FB747A">
        <w:rPr>
          <w:rFonts w:ascii="Times New Roman" w:eastAsia="Times New Roman" w:hAnsi="Times New Roman" w:cs="Times New Roman"/>
          <w:color w:val="000000"/>
          <w:sz w:val="24"/>
          <w:szCs w:val="24"/>
          <w:lang w:eastAsia="en-ZW"/>
        </w:rPr>
        <w:t xml:space="preserve">the </w:t>
      </w:r>
      <w:r>
        <w:rPr>
          <w:rFonts w:ascii="Times New Roman" w:eastAsia="Times New Roman" w:hAnsi="Times New Roman" w:cs="Times New Roman"/>
          <w:color w:val="000000"/>
          <w:sz w:val="24"/>
          <w:szCs w:val="24"/>
          <w:lang w:eastAsia="en-ZW"/>
        </w:rPr>
        <w:t xml:space="preserve">first </w:t>
      </w:r>
      <w:r w:rsidR="00DC788A" w:rsidRPr="00FB747A">
        <w:rPr>
          <w:rFonts w:ascii="Times New Roman" w:eastAsia="Times New Roman" w:hAnsi="Times New Roman" w:cs="Times New Roman"/>
          <w:color w:val="000000"/>
          <w:sz w:val="24"/>
          <w:szCs w:val="24"/>
          <w:lang w:eastAsia="en-ZW"/>
        </w:rPr>
        <w:t>d</w:t>
      </w:r>
      <w:r w:rsidR="00C72343" w:rsidRPr="00FB747A">
        <w:rPr>
          <w:rFonts w:ascii="Times New Roman" w:eastAsia="Times New Roman" w:hAnsi="Times New Roman" w:cs="Times New Roman"/>
          <w:color w:val="000000"/>
          <w:sz w:val="24"/>
          <w:szCs w:val="24"/>
          <w:lang w:eastAsia="en-ZW"/>
        </w:rPr>
        <w:t xml:space="preserve">efendant did not pay anything towards the </w:t>
      </w:r>
      <w:r>
        <w:rPr>
          <w:rFonts w:ascii="Times New Roman" w:eastAsia="Times New Roman" w:hAnsi="Times New Roman" w:cs="Times New Roman"/>
          <w:color w:val="000000"/>
          <w:sz w:val="24"/>
          <w:szCs w:val="24"/>
          <w:lang w:eastAsia="en-ZW"/>
        </w:rPr>
        <w:t xml:space="preserve">acquisition of the property. The question is whether </w:t>
      </w:r>
      <w:r w:rsidR="00C72343" w:rsidRPr="00FB747A">
        <w:rPr>
          <w:rFonts w:ascii="Times New Roman" w:eastAsia="Times New Roman" w:hAnsi="Times New Roman" w:cs="Times New Roman"/>
          <w:color w:val="000000"/>
          <w:sz w:val="24"/>
          <w:szCs w:val="24"/>
          <w:lang w:eastAsia="en-ZW"/>
        </w:rPr>
        <w:t xml:space="preserve">these </w:t>
      </w:r>
      <w:r>
        <w:rPr>
          <w:rFonts w:ascii="Times New Roman" w:eastAsia="Times New Roman" w:hAnsi="Times New Roman" w:cs="Times New Roman"/>
          <w:color w:val="000000"/>
          <w:sz w:val="24"/>
          <w:szCs w:val="24"/>
          <w:lang w:eastAsia="en-ZW"/>
        </w:rPr>
        <w:t xml:space="preserve">would </w:t>
      </w:r>
      <w:r w:rsidR="00C72343" w:rsidRPr="00FB747A">
        <w:rPr>
          <w:rFonts w:ascii="Times New Roman" w:eastAsia="Times New Roman" w:hAnsi="Times New Roman" w:cs="Times New Roman"/>
          <w:color w:val="000000"/>
          <w:sz w:val="24"/>
          <w:szCs w:val="24"/>
          <w:lang w:eastAsia="en-ZW"/>
        </w:rPr>
        <w:t xml:space="preserve">be valid arguments to revoke </w:t>
      </w:r>
      <w:r>
        <w:rPr>
          <w:rFonts w:ascii="Times New Roman" w:eastAsia="Times New Roman" w:hAnsi="Times New Roman" w:cs="Times New Roman"/>
          <w:color w:val="000000"/>
          <w:sz w:val="24"/>
          <w:szCs w:val="24"/>
          <w:lang w:eastAsia="en-ZW"/>
        </w:rPr>
        <w:t xml:space="preserve">first </w:t>
      </w:r>
      <w:r w:rsidR="00DC788A" w:rsidRPr="00FB747A">
        <w:rPr>
          <w:rFonts w:ascii="Times New Roman" w:eastAsia="Times New Roman" w:hAnsi="Times New Roman" w:cs="Times New Roman"/>
          <w:color w:val="000000"/>
          <w:sz w:val="24"/>
          <w:szCs w:val="24"/>
          <w:lang w:eastAsia="en-ZW"/>
        </w:rPr>
        <w:t>d</w:t>
      </w:r>
      <w:r w:rsidR="00C72343" w:rsidRPr="00FB747A">
        <w:rPr>
          <w:rFonts w:ascii="Times New Roman" w:eastAsia="Times New Roman" w:hAnsi="Times New Roman" w:cs="Times New Roman"/>
          <w:color w:val="000000"/>
          <w:sz w:val="24"/>
          <w:szCs w:val="24"/>
          <w:lang w:eastAsia="en-ZW"/>
        </w:rPr>
        <w:t>e</w:t>
      </w:r>
      <w:r>
        <w:rPr>
          <w:rFonts w:ascii="Times New Roman" w:eastAsia="Times New Roman" w:hAnsi="Times New Roman" w:cs="Times New Roman"/>
          <w:color w:val="000000"/>
          <w:sz w:val="24"/>
          <w:szCs w:val="24"/>
          <w:lang w:eastAsia="en-ZW"/>
        </w:rPr>
        <w:t>fendant’s right of co-ownership.</w:t>
      </w:r>
      <w:r w:rsidR="00C72343" w:rsidRPr="00FB747A">
        <w:rPr>
          <w:rFonts w:ascii="Times New Roman" w:eastAsia="Times New Roman" w:hAnsi="Times New Roman" w:cs="Times New Roman"/>
          <w:color w:val="000000"/>
          <w:sz w:val="24"/>
          <w:szCs w:val="24"/>
          <w:lang w:eastAsia="en-ZW"/>
        </w:rPr>
        <w:t> </w:t>
      </w:r>
    </w:p>
    <w:p w:rsidR="00C72343" w:rsidRPr="00FB747A" w:rsidRDefault="00C72343" w:rsidP="00FB747A">
      <w:pPr>
        <w:spacing w:after="100" w:afterAutospacing="1" w:line="360" w:lineRule="auto"/>
        <w:ind w:firstLine="720"/>
        <w:jc w:val="both"/>
        <w:rPr>
          <w:rFonts w:ascii="Times New Roman" w:eastAsia="Times New Roman" w:hAnsi="Times New Roman" w:cs="Times New Roman"/>
          <w:color w:val="000000"/>
          <w:sz w:val="24"/>
          <w:szCs w:val="24"/>
          <w:lang w:eastAsia="en-ZW"/>
        </w:rPr>
      </w:pPr>
      <w:r w:rsidRPr="00FB747A">
        <w:rPr>
          <w:rFonts w:ascii="Times New Roman" w:eastAsia="Times New Roman" w:hAnsi="Times New Roman" w:cs="Times New Roman"/>
          <w:color w:val="000000"/>
          <w:sz w:val="24"/>
          <w:szCs w:val="24"/>
          <w:lang w:eastAsia="en-ZW"/>
        </w:rPr>
        <w:t xml:space="preserve">The question whether </w:t>
      </w:r>
      <w:r w:rsidR="00DC788A" w:rsidRPr="00FB747A">
        <w:rPr>
          <w:rFonts w:ascii="Times New Roman" w:eastAsia="Times New Roman" w:hAnsi="Times New Roman" w:cs="Times New Roman"/>
          <w:color w:val="000000"/>
          <w:sz w:val="24"/>
          <w:szCs w:val="24"/>
          <w:lang w:eastAsia="en-ZW"/>
        </w:rPr>
        <w:t xml:space="preserve">the </w:t>
      </w:r>
      <w:r w:rsidR="00DD416E">
        <w:rPr>
          <w:rFonts w:ascii="Times New Roman" w:eastAsia="Times New Roman" w:hAnsi="Times New Roman" w:cs="Times New Roman"/>
          <w:color w:val="000000"/>
          <w:sz w:val="24"/>
          <w:szCs w:val="24"/>
          <w:lang w:eastAsia="en-ZW"/>
        </w:rPr>
        <w:t xml:space="preserve">first </w:t>
      </w:r>
      <w:r w:rsidR="00DC788A" w:rsidRPr="00FB747A">
        <w:rPr>
          <w:rFonts w:ascii="Times New Roman" w:eastAsia="Times New Roman" w:hAnsi="Times New Roman" w:cs="Times New Roman"/>
          <w:color w:val="000000"/>
          <w:sz w:val="24"/>
          <w:szCs w:val="24"/>
          <w:lang w:eastAsia="en-ZW"/>
        </w:rPr>
        <w:t>d</w:t>
      </w:r>
      <w:r w:rsidRPr="00FB747A">
        <w:rPr>
          <w:rFonts w:ascii="Times New Roman" w:eastAsia="Times New Roman" w:hAnsi="Times New Roman" w:cs="Times New Roman"/>
          <w:color w:val="000000"/>
          <w:sz w:val="24"/>
          <w:szCs w:val="24"/>
          <w:lang w:eastAsia="en-ZW"/>
        </w:rPr>
        <w:t xml:space="preserve">efendant’s right of co-ownership can be revoked turns on the analysis of the nature of the legal instrument through which </w:t>
      </w:r>
      <w:r w:rsidR="00DD416E">
        <w:rPr>
          <w:rFonts w:ascii="Times New Roman" w:eastAsia="Times New Roman" w:hAnsi="Times New Roman" w:cs="Times New Roman"/>
          <w:color w:val="000000"/>
          <w:sz w:val="24"/>
          <w:szCs w:val="24"/>
          <w:lang w:eastAsia="en-ZW"/>
        </w:rPr>
        <w:t>the plaintiff</w:t>
      </w:r>
      <w:r w:rsidRPr="00FB747A">
        <w:rPr>
          <w:rFonts w:ascii="Times New Roman" w:eastAsia="Times New Roman" w:hAnsi="Times New Roman" w:cs="Times New Roman"/>
          <w:color w:val="000000"/>
          <w:sz w:val="24"/>
          <w:szCs w:val="24"/>
          <w:lang w:eastAsia="en-ZW"/>
        </w:rPr>
        <w:t xml:space="preserve"> ceded or transferred a portion of his rights of ownership to </w:t>
      </w:r>
      <w:r w:rsidR="00DD416E">
        <w:rPr>
          <w:rFonts w:ascii="Times New Roman" w:eastAsia="Times New Roman" w:hAnsi="Times New Roman" w:cs="Times New Roman"/>
          <w:color w:val="000000"/>
          <w:sz w:val="24"/>
          <w:szCs w:val="24"/>
          <w:lang w:eastAsia="en-ZW"/>
        </w:rPr>
        <w:t xml:space="preserve">first </w:t>
      </w:r>
      <w:r w:rsidR="00DC788A" w:rsidRPr="00FB747A">
        <w:rPr>
          <w:rFonts w:ascii="Times New Roman" w:eastAsia="Times New Roman" w:hAnsi="Times New Roman" w:cs="Times New Roman"/>
          <w:color w:val="000000"/>
          <w:sz w:val="24"/>
          <w:szCs w:val="24"/>
          <w:lang w:eastAsia="en-ZW"/>
        </w:rPr>
        <w:t>d</w:t>
      </w:r>
      <w:r w:rsidRPr="00FB747A">
        <w:rPr>
          <w:rFonts w:ascii="Times New Roman" w:eastAsia="Times New Roman" w:hAnsi="Times New Roman" w:cs="Times New Roman"/>
          <w:color w:val="000000"/>
          <w:sz w:val="24"/>
          <w:szCs w:val="24"/>
          <w:lang w:eastAsia="en-ZW"/>
        </w:rPr>
        <w:t xml:space="preserve">efendant. The facts do not expressly indicate the type of an agreement entered into by </w:t>
      </w:r>
      <w:r w:rsidR="00DC788A" w:rsidRPr="00FB747A">
        <w:rPr>
          <w:rFonts w:ascii="Times New Roman" w:eastAsia="Times New Roman" w:hAnsi="Times New Roman" w:cs="Times New Roman"/>
          <w:color w:val="000000"/>
          <w:sz w:val="24"/>
          <w:szCs w:val="24"/>
          <w:lang w:eastAsia="en-ZW"/>
        </w:rPr>
        <w:t xml:space="preserve">the </w:t>
      </w:r>
      <w:r w:rsidR="00DD416E">
        <w:rPr>
          <w:rFonts w:ascii="Times New Roman" w:eastAsia="Times New Roman" w:hAnsi="Times New Roman" w:cs="Times New Roman"/>
          <w:color w:val="000000"/>
          <w:sz w:val="24"/>
          <w:szCs w:val="24"/>
          <w:lang w:eastAsia="en-ZW"/>
        </w:rPr>
        <w:t>first d</w:t>
      </w:r>
      <w:r w:rsidRPr="00FB747A">
        <w:rPr>
          <w:rFonts w:ascii="Times New Roman" w:eastAsia="Times New Roman" w:hAnsi="Times New Roman" w:cs="Times New Roman"/>
          <w:color w:val="000000"/>
          <w:sz w:val="24"/>
          <w:szCs w:val="24"/>
          <w:lang w:eastAsia="en-ZW"/>
        </w:rPr>
        <w:t xml:space="preserve">efendant and </w:t>
      </w:r>
      <w:r w:rsidR="00DC788A" w:rsidRPr="00FB747A">
        <w:rPr>
          <w:rFonts w:ascii="Times New Roman" w:eastAsia="Times New Roman" w:hAnsi="Times New Roman" w:cs="Times New Roman"/>
          <w:color w:val="000000"/>
          <w:sz w:val="24"/>
          <w:szCs w:val="24"/>
          <w:lang w:eastAsia="en-ZW"/>
        </w:rPr>
        <w:t xml:space="preserve">the </w:t>
      </w:r>
      <w:r w:rsidR="00DD416E">
        <w:rPr>
          <w:rFonts w:ascii="Times New Roman" w:eastAsia="Times New Roman" w:hAnsi="Times New Roman" w:cs="Times New Roman"/>
          <w:color w:val="000000"/>
          <w:sz w:val="24"/>
          <w:szCs w:val="24"/>
          <w:lang w:eastAsia="en-ZW"/>
        </w:rPr>
        <w:t>plaintiff</w:t>
      </w:r>
      <w:r w:rsidRPr="00FB747A">
        <w:rPr>
          <w:rFonts w:ascii="Times New Roman" w:eastAsia="Times New Roman" w:hAnsi="Times New Roman" w:cs="Times New Roman"/>
          <w:color w:val="000000"/>
          <w:sz w:val="24"/>
          <w:szCs w:val="24"/>
          <w:lang w:eastAsia="en-ZW"/>
        </w:rPr>
        <w:t xml:space="preserve">. Put differently, the facts to not clearly indicate the legal instrument by which </w:t>
      </w:r>
      <w:r w:rsidR="00DD416E">
        <w:rPr>
          <w:rFonts w:ascii="Times New Roman" w:eastAsia="Times New Roman" w:hAnsi="Times New Roman" w:cs="Times New Roman"/>
          <w:color w:val="000000"/>
          <w:sz w:val="24"/>
          <w:szCs w:val="24"/>
          <w:lang w:eastAsia="en-ZW"/>
        </w:rPr>
        <w:t>the plaintiff</w:t>
      </w:r>
      <w:r w:rsidRPr="00FB747A">
        <w:rPr>
          <w:rFonts w:ascii="Times New Roman" w:eastAsia="Times New Roman" w:hAnsi="Times New Roman" w:cs="Times New Roman"/>
          <w:color w:val="000000"/>
          <w:sz w:val="24"/>
          <w:szCs w:val="24"/>
          <w:lang w:eastAsia="en-ZW"/>
        </w:rPr>
        <w:t xml:space="preserve"> ceded or transferred part of his ownership rights to </w:t>
      </w:r>
      <w:r w:rsidR="00DC788A" w:rsidRPr="00FB747A">
        <w:rPr>
          <w:rFonts w:ascii="Times New Roman" w:eastAsia="Times New Roman" w:hAnsi="Times New Roman" w:cs="Times New Roman"/>
          <w:color w:val="000000"/>
          <w:sz w:val="24"/>
          <w:szCs w:val="24"/>
          <w:lang w:eastAsia="en-ZW"/>
        </w:rPr>
        <w:t>the d</w:t>
      </w:r>
      <w:r w:rsidRPr="00FB747A">
        <w:rPr>
          <w:rFonts w:ascii="Times New Roman" w:eastAsia="Times New Roman" w:hAnsi="Times New Roman" w:cs="Times New Roman"/>
          <w:color w:val="000000"/>
          <w:sz w:val="24"/>
          <w:szCs w:val="24"/>
          <w:lang w:eastAsia="en-ZW"/>
        </w:rPr>
        <w:t xml:space="preserve">efendant. However, one can infer that the legal instrument was either a contractual agreement or the rights were ceded by </w:t>
      </w:r>
      <w:r w:rsidR="00DD416E">
        <w:rPr>
          <w:rFonts w:ascii="Times New Roman" w:eastAsia="Times New Roman" w:hAnsi="Times New Roman" w:cs="Times New Roman"/>
          <w:color w:val="000000"/>
          <w:sz w:val="24"/>
          <w:szCs w:val="24"/>
          <w:lang w:eastAsia="en-ZW"/>
        </w:rPr>
        <w:t>the plaintiff</w:t>
      </w:r>
      <w:r w:rsidRPr="00FB747A">
        <w:rPr>
          <w:rFonts w:ascii="Times New Roman" w:eastAsia="Times New Roman" w:hAnsi="Times New Roman" w:cs="Times New Roman"/>
          <w:color w:val="000000"/>
          <w:sz w:val="24"/>
          <w:szCs w:val="24"/>
          <w:lang w:eastAsia="en-ZW"/>
        </w:rPr>
        <w:t xml:space="preserve"> as a gift to </w:t>
      </w:r>
      <w:r w:rsidR="00DC788A" w:rsidRPr="00FB747A">
        <w:rPr>
          <w:rFonts w:ascii="Times New Roman" w:eastAsia="Times New Roman" w:hAnsi="Times New Roman" w:cs="Times New Roman"/>
          <w:color w:val="000000"/>
          <w:sz w:val="24"/>
          <w:szCs w:val="24"/>
          <w:lang w:eastAsia="en-ZW"/>
        </w:rPr>
        <w:t xml:space="preserve">the </w:t>
      </w:r>
      <w:r w:rsidR="00DD416E">
        <w:rPr>
          <w:rFonts w:ascii="Times New Roman" w:eastAsia="Times New Roman" w:hAnsi="Times New Roman" w:cs="Times New Roman"/>
          <w:color w:val="000000"/>
          <w:sz w:val="24"/>
          <w:szCs w:val="24"/>
          <w:lang w:eastAsia="en-ZW"/>
        </w:rPr>
        <w:t xml:space="preserve">first </w:t>
      </w:r>
      <w:r w:rsidR="00DC788A" w:rsidRPr="00FB747A">
        <w:rPr>
          <w:rFonts w:ascii="Times New Roman" w:eastAsia="Times New Roman" w:hAnsi="Times New Roman" w:cs="Times New Roman"/>
          <w:color w:val="000000"/>
          <w:sz w:val="24"/>
          <w:szCs w:val="24"/>
          <w:lang w:eastAsia="en-ZW"/>
        </w:rPr>
        <w:t>d</w:t>
      </w:r>
      <w:r w:rsidRPr="00FB747A">
        <w:rPr>
          <w:rFonts w:ascii="Times New Roman" w:eastAsia="Times New Roman" w:hAnsi="Times New Roman" w:cs="Times New Roman"/>
          <w:color w:val="000000"/>
          <w:sz w:val="24"/>
          <w:szCs w:val="24"/>
          <w:lang w:eastAsia="en-ZW"/>
        </w:rPr>
        <w:t>efendant. Thus, in order to determine whether the presumpt</w:t>
      </w:r>
      <w:r w:rsidR="00DD416E">
        <w:rPr>
          <w:rFonts w:ascii="Times New Roman" w:eastAsia="Times New Roman" w:hAnsi="Times New Roman" w:cs="Times New Roman"/>
          <w:color w:val="000000"/>
          <w:sz w:val="24"/>
          <w:szCs w:val="24"/>
          <w:lang w:eastAsia="en-ZW"/>
        </w:rPr>
        <w:t>ion of co-ownership can be rebutt</w:t>
      </w:r>
      <w:r w:rsidRPr="00FB747A">
        <w:rPr>
          <w:rFonts w:ascii="Times New Roman" w:eastAsia="Times New Roman" w:hAnsi="Times New Roman" w:cs="Times New Roman"/>
          <w:color w:val="000000"/>
          <w:sz w:val="24"/>
          <w:szCs w:val="24"/>
          <w:lang w:eastAsia="en-ZW"/>
        </w:rPr>
        <w:t xml:space="preserve">ed or not, the Court has to inquire into whether there was any valid agreement of donation or contractual agreement between the two, which saw </w:t>
      </w:r>
      <w:r w:rsidR="00DD416E">
        <w:rPr>
          <w:rFonts w:ascii="Times New Roman" w:eastAsia="Times New Roman" w:hAnsi="Times New Roman" w:cs="Times New Roman"/>
          <w:color w:val="000000"/>
          <w:sz w:val="24"/>
          <w:szCs w:val="24"/>
          <w:lang w:eastAsia="en-ZW"/>
        </w:rPr>
        <w:t xml:space="preserve">the plaintiff </w:t>
      </w:r>
      <w:r w:rsidRPr="00FB747A">
        <w:rPr>
          <w:rFonts w:ascii="Times New Roman" w:eastAsia="Times New Roman" w:hAnsi="Times New Roman" w:cs="Times New Roman"/>
          <w:color w:val="000000"/>
          <w:sz w:val="24"/>
          <w:szCs w:val="24"/>
          <w:lang w:eastAsia="en-ZW"/>
        </w:rPr>
        <w:t xml:space="preserve">ceding and or transferring a portion of his rights to </w:t>
      </w:r>
      <w:r w:rsidR="00DC788A" w:rsidRPr="00FB747A">
        <w:rPr>
          <w:rFonts w:ascii="Times New Roman" w:eastAsia="Times New Roman" w:hAnsi="Times New Roman" w:cs="Times New Roman"/>
          <w:color w:val="000000"/>
          <w:sz w:val="24"/>
          <w:szCs w:val="24"/>
          <w:lang w:eastAsia="en-ZW"/>
        </w:rPr>
        <w:t xml:space="preserve">the </w:t>
      </w:r>
      <w:r w:rsidR="00DD416E">
        <w:rPr>
          <w:rFonts w:ascii="Times New Roman" w:eastAsia="Times New Roman" w:hAnsi="Times New Roman" w:cs="Times New Roman"/>
          <w:color w:val="000000"/>
          <w:sz w:val="24"/>
          <w:szCs w:val="24"/>
          <w:lang w:eastAsia="en-ZW"/>
        </w:rPr>
        <w:t xml:space="preserve">first </w:t>
      </w:r>
      <w:r w:rsidR="00DC788A" w:rsidRPr="00FB747A">
        <w:rPr>
          <w:rFonts w:ascii="Times New Roman" w:eastAsia="Times New Roman" w:hAnsi="Times New Roman" w:cs="Times New Roman"/>
          <w:color w:val="000000"/>
          <w:sz w:val="24"/>
          <w:szCs w:val="24"/>
          <w:lang w:eastAsia="en-ZW"/>
        </w:rPr>
        <w:t>d</w:t>
      </w:r>
      <w:r w:rsidRPr="00FB747A">
        <w:rPr>
          <w:rFonts w:ascii="Times New Roman" w:eastAsia="Times New Roman" w:hAnsi="Times New Roman" w:cs="Times New Roman"/>
          <w:color w:val="000000"/>
          <w:sz w:val="24"/>
          <w:szCs w:val="24"/>
          <w:lang w:eastAsia="en-ZW"/>
        </w:rPr>
        <w:t>efendant. </w:t>
      </w:r>
    </w:p>
    <w:p w:rsidR="00C72343" w:rsidRPr="00C85D5A" w:rsidRDefault="00C72343" w:rsidP="005A4156">
      <w:pPr>
        <w:numPr>
          <w:ilvl w:val="0"/>
          <w:numId w:val="3"/>
        </w:numPr>
        <w:spacing w:before="100" w:beforeAutospacing="1" w:after="100" w:afterAutospacing="1" w:line="360" w:lineRule="auto"/>
        <w:jc w:val="both"/>
        <w:rPr>
          <w:rFonts w:ascii="Times New Roman" w:eastAsia="Times New Roman" w:hAnsi="Times New Roman" w:cs="Times New Roman"/>
          <w:color w:val="000000"/>
          <w:sz w:val="24"/>
          <w:szCs w:val="24"/>
          <w:lang w:eastAsia="en-ZW"/>
        </w:rPr>
      </w:pPr>
      <w:r w:rsidRPr="00C85D5A">
        <w:rPr>
          <w:rFonts w:ascii="Times" w:eastAsia="Times New Roman" w:hAnsi="Times" w:cs="Times"/>
          <w:b/>
          <w:bCs/>
          <w:color w:val="000000"/>
          <w:sz w:val="24"/>
          <w:szCs w:val="24"/>
          <w:lang w:eastAsia="en-ZW"/>
        </w:rPr>
        <w:t>Was there a valid agreement of donation between the two?</w:t>
      </w:r>
      <w:r w:rsidRPr="00C85D5A">
        <w:rPr>
          <w:rFonts w:ascii="Times New Roman" w:eastAsia="Times New Roman" w:hAnsi="Times New Roman" w:cs="Times New Roman"/>
          <w:color w:val="000000"/>
          <w:sz w:val="24"/>
          <w:szCs w:val="24"/>
          <w:lang w:eastAsia="en-ZW"/>
        </w:rPr>
        <w:t> </w:t>
      </w:r>
    </w:p>
    <w:p w:rsidR="00C72343" w:rsidRPr="00FB747A" w:rsidRDefault="00C72343" w:rsidP="00F27542">
      <w:pPr>
        <w:spacing w:before="100" w:beforeAutospacing="1" w:after="100" w:afterAutospacing="1" w:line="360" w:lineRule="auto"/>
        <w:ind w:firstLine="720"/>
        <w:jc w:val="both"/>
        <w:rPr>
          <w:rFonts w:ascii="Times New Roman" w:eastAsia="Times New Roman" w:hAnsi="Times New Roman" w:cs="Times New Roman"/>
          <w:color w:val="000000"/>
          <w:lang w:eastAsia="en-ZW"/>
        </w:rPr>
      </w:pPr>
      <w:r w:rsidRPr="00140DEA">
        <w:rPr>
          <w:rFonts w:ascii="Times" w:eastAsia="Times New Roman" w:hAnsi="Times" w:cs="Times"/>
          <w:color w:val="000000"/>
          <w:sz w:val="24"/>
          <w:szCs w:val="24"/>
          <w:lang w:eastAsia="en-ZW"/>
        </w:rPr>
        <w:t xml:space="preserve">This matter may be disposed by inquiring into whether </w:t>
      </w:r>
      <w:r w:rsidR="00DC788A">
        <w:rPr>
          <w:rFonts w:ascii="Times" w:eastAsia="Times New Roman" w:hAnsi="Times" w:cs="Times"/>
          <w:color w:val="000000"/>
          <w:sz w:val="24"/>
          <w:szCs w:val="24"/>
          <w:lang w:eastAsia="en-ZW"/>
        </w:rPr>
        <w:t xml:space="preserve">the </w:t>
      </w:r>
      <w:r w:rsidR="00F27542">
        <w:rPr>
          <w:rFonts w:ascii="Times" w:eastAsia="Times New Roman" w:hAnsi="Times" w:cs="Times"/>
          <w:color w:val="000000"/>
          <w:sz w:val="24"/>
          <w:szCs w:val="24"/>
          <w:lang w:eastAsia="en-ZW"/>
        </w:rPr>
        <w:t xml:space="preserve">first </w:t>
      </w:r>
      <w:r w:rsidR="00DC788A">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received the right of co-ownership as a gift or donation from </w:t>
      </w:r>
      <w:r w:rsidR="00F27542">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and if so, whether </w:t>
      </w:r>
      <w:r w:rsidR="00A63BB8">
        <w:rPr>
          <w:rFonts w:ascii="Times" w:eastAsia="Times New Roman" w:hAnsi="Times" w:cs="Times"/>
          <w:color w:val="000000"/>
          <w:sz w:val="24"/>
          <w:szCs w:val="24"/>
          <w:lang w:eastAsia="en-ZW"/>
        </w:rPr>
        <w:t xml:space="preserve">the plaintiff </w:t>
      </w:r>
      <w:r w:rsidRPr="00140DEA">
        <w:rPr>
          <w:rFonts w:ascii="Times" w:eastAsia="Times New Roman" w:hAnsi="Times" w:cs="Times"/>
          <w:color w:val="000000"/>
          <w:sz w:val="24"/>
          <w:szCs w:val="24"/>
          <w:lang w:eastAsia="en-ZW"/>
        </w:rPr>
        <w:lastRenderedPageBreak/>
        <w:t>has a valid ground for revoking the gift. In </w:t>
      </w:r>
      <w:r w:rsidRPr="00140DEA">
        <w:rPr>
          <w:rFonts w:ascii="Times" w:eastAsia="Times New Roman" w:hAnsi="Times" w:cs="Times"/>
          <w:i/>
          <w:iCs/>
          <w:color w:val="000000"/>
          <w:sz w:val="24"/>
          <w:szCs w:val="24"/>
          <w:lang w:eastAsia="en-ZW"/>
        </w:rPr>
        <w:t xml:space="preserve">Potte </w:t>
      </w:r>
      <w:r w:rsidRPr="00DC788A">
        <w:rPr>
          <w:rFonts w:ascii="Times" w:eastAsia="Times New Roman" w:hAnsi="Times" w:cs="Times"/>
          <w:iCs/>
          <w:color w:val="000000"/>
          <w:sz w:val="24"/>
          <w:szCs w:val="24"/>
          <w:lang w:eastAsia="en-ZW"/>
        </w:rPr>
        <w:t>v</w:t>
      </w:r>
      <w:r w:rsidRPr="00140DEA">
        <w:rPr>
          <w:rFonts w:ascii="Times" w:eastAsia="Times New Roman" w:hAnsi="Times" w:cs="Times"/>
          <w:i/>
          <w:iCs/>
          <w:color w:val="000000"/>
          <w:sz w:val="24"/>
          <w:szCs w:val="24"/>
          <w:lang w:eastAsia="en-ZW"/>
        </w:rPr>
        <w:t xml:space="preserve"> Rand Township Register</w:t>
      </w:r>
      <w:r w:rsidR="00F27542">
        <w:rPr>
          <w:rFonts w:ascii="Times" w:eastAsia="Times New Roman" w:hAnsi="Times" w:cs="Times"/>
          <w:color w:val="000000"/>
          <w:sz w:val="24"/>
          <w:szCs w:val="24"/>
          <w:lang w:eastAsia="en-ZW"/>
        </w:rPr>
        <w:t> 1945 AD 277 at 290</w:t>
      </w:r>
      <w:r w:rsidRPr="00140DEA">
        <w:rPr>
          <w:rFonts w:ascii="Times" w:eastAsia="Times New Roman" w:hAnsi="Times" w:cs="Times"/>
          <w:color w:val="000000"/>
          <w:sz w:val="24"/>
          <w:szCs w:val="24"/>
          <w:lang w:eastAsia="en-ZW"/>
        </w:rPr>
        <w:t xml:space="preserve">, </w:t>
      </w:r>
      <w:r w:rsidRPr="00FB747A">
        <w:rPr>
          <w:rFonts w:ascii="Times New Roman" w:eastAsia="Times New Roman" w:hAnsi="Times New Roman" w:cs="Times New Roman"/>
          <w:color w:val="000000"/>
          <w:lang w:eastAsia="en-ZW"/>
        </w:rPr>
        <w:t>a gift or donation was defined as:  </w:t>
      </w:r>
    </w:p>
    <w:p w:rsidR="00C72343" w:rsidRPr="00140DEA" w:rsidRDefault="00C72343" w:rsidP="00FB747A">
      <w:pPr>
        <w:spacing w:before="100" w:beforeAutospacing="1" w:after="100" w:afterAutospacing="1" w:line="240" w:lineRule="auto"/>
        <w:ind w:left="720"/>
        <w:jc w:val="both"/>
        <w:rPr>
          <w:rFonts w:ascii="Times New Roman" w:eastAsia="Times New Roman" w:hAnsi="Times New Roman" w:cs="Times New Roman"/>
          <w:color w:val="000000"/>
          <w:sz w:val="24"/>
          <w:szCs w:val="24"/>
          <w:lang w:eastAsia="en-ZW"/>
        </w:rPr>
      </w:pPr>
      <w:r w:rsidRPr="00FB747A">
        <w:rPr>
          <w:rFonts w:ascii="Times New Roman" w:eastAsia="Times New Roman" w:hAnsi="Times New Roman" w:cs="Times New Roman"/>
          <w:i/>
          <w:iCs/>
          <w:color w:val="000000"/>
          <w:lang w:eastAsia="en-ZW"/>
        </w:rPr>
        <w:t>“</w:t>
      </w:r>
      <w:r w:rsidRPr="00FB747A">
        <w:rPr>
          <w:rFonts w:ascii="Times New Roman" w:eastAsia="Times New Roman" w:hAnsi="Times New Roman" w:cs="Times New Roman"/>
          <w:iCs/>
          <w:color w:val="000000"/>
          <w:lang w:eastAsia="en-ZW"/>
        </w:rPr>
        <w:t>an agreement which has been induced by pure benevolence or sheer liberality whereby a person under no legal obligation undertakes to give something to another person, called the donee, with the intention of enriching the donee, in return for which the donor </w:t>
      </w:r>
      <w:r w:rsidRPr="00FB747A">
        <w:rPr>
          <w:rFonts w:ascii="Times New Roman" w:eastAsia="Times New Roman" w:hAnsi="Times New Roman" w:cs="Times New Roman"/>
          <w:iCs/>
          <w:color w:val="000000"/>
          <w:u w:val="single"/>
          <w:lang w:eastAsia="en-ZW"/>
        </w:rPr>
        <w:t>receives no consideration nor expects any further advantage</w:t>
      </w:r>
      <w:r w:rsidRPr="00FB747A">
        <w:rPr>
          <w:rFonts w:ascii="Times New Roman" w:eastAsia="Times New Roman" w:hAnsi="Times New Roman" w:cs="Times New Roman"/>
          <w:iCs/>
          <w:color w:val="000000"/>
          <w:lang w:eastAsia="en-ZW"/>
        </w:rPr>
        <w:t> ".</w:t>
      </w:r>
      <w:r w:rsidRPr="00FB747A">
        <w:rPr>
          <w:rFonts w:ascii="Times New Roman" w:eastAsia="Times New Roman" w:hAnsi="Times New Roman" w:cs="Times New Roman"/>
          <w:color w:val="000000"/>
          <w:lang w:eastAsia="en-ZW"/>
        </w:rPr>
        <w:t>[</w:t>
      </w:r>
      <w:r w:rsidRPr="00140DEA">
        <w:rPr>
          <w:rFonts w:ascii="Times" w:eastAsia="Times New Roman" w:hAnsi="Times" w:cs="Times"/>
          <w:color w:val="000000"/>
          <w:sz w:val="24"/>
          <w:szCs w:val="24"/>
          <w:lang w:eastAsia="en-ZW"/>
        </w:rPr>
        <w:t>My own emphasis]</w:t>
      </w:r>
      <w:r w:rsidRPr="00140DEA">
        <w:rPr>
          <w:rFonts w:ascii="Times New Roman" w:eastAsia="Times New Roman" w:hAnsi="Times New Roman" w:cs="Times New Roman"/>
          <w:color w:val="000000"/>
          <w:sz w:val="24"/>
          <w:szCs w:val="24"/>
          <w:lang w:eastAsia="en-ZW"/>
        </w:rPr>
        <w:t> </w:t>
      </w:r>
    </w:p>
    <w:p w:rsidR="00C72343" w:rsidRPr="00DC788A" w:rsidRDefault="00C72343" w:rsidP="00DC788A">
      <w:pPr>
        <w:spacing w:after="0" w:line="360" w:lineRule="auto"/>
        <w:ind w:firstLine="720"/>
        <w:jc w:val="both"/>
        <w:rPr>
          <w:rFonts w:ascii="Times New Roman" w:eastAsia="Times New Roman" w:hAnsi="Times New Roman" w:cs="Times New Roman"/>
          <w:color w:val="000000"/>
          <w:lang w:eastAsia="en-ZW"/>
        </w:rPr>
      </w:pPr>
      <w:r w:rsidRPr="00140DEA">
        <w:rPr>
          <w:rFonts w:ascii="Times" w:eastAsia="Times New Roman" w:hAnsi="Times" w:cs="Times"/>
          <w:color w:val="000000"/>
          <w:sz w:val="24"/>
          <w:szCs w:val="24"/>
          <w:lang w:eastAsia="en-ZW"/>
        </w:rPr>
        <w:t>The above definition was adopted without variation in the South African case of </w:t>
      </w:r>
      <w:r w:rsidRPr="00140DEA">
        <w:rPr>
          <w:rFonts w:ascii="Times" w:eastAsia="Times New Roman" w:hAnsi="Times" w:cs="Times"/>
          <w:i/>
          <w:iCs/>
          <w:color w:val="000000"/>
          <w:sz w:val="24"/>
          <w:szCs w:val="24"/>
          <w:lang w:eastAsia="en-ZW"/>
        </w:rPr>
        <w:t xml:space="preserve">Peter Fenton </w:t>
      </w:r>
      <w:r w:rsidRPr="00FB747A">
        <w:rPr>
          <w:rFonts w:ascii="Times" w:eastAsia="Times New Roman" w:hAnsi="Times" w:cs="Times"/>
          <w:iCs/>
          <w:color w:val="000000"/>
          <w:sz w:val="24"/>
          <w:szCs w:val="24"/>
          <w:lang w:eastAsia="en-ZW"/>
        </w:rPr>
        <w:t xml:space="preserve">v </w:t>
      </w:r>
      <w:r w:rsidRPr="00140DEA">
        <w:rPr>
          <w:rFonts w:ascii="Times" w:eastAsia="Times New Roman" w:hAnsi="Times" w:cs="Times"/>
          <w:i/>
          <w:iCs/>
          <w:color w:val="000000"/>
          <w:sz w:val="24"/>
          <w:szCs w:val="24"/>
          <w:lang w:eastAsia="en-ZW"/>
        </w:rPr>
        <w:t>Paul Neil Fenton</w:t>
      </w:r>
      <w:r w:rsidR="00F27542">
        <w:rPr>
          <w:rStyle w:val="FootnoteReference"/>
          <w:rFonts w:ascii="Times" w:eastAsia="Times New Roman" w:hAnsi="Times" w:cs="Times"/>
          <w:i/>
          <w:iCs/>
          <w:color w:val="000000"/>
          <w:sz w:val="24"/>
          <w:szCs w:val="24"/>
          <w:lang w:eastAsia="en-ZW"/>
        </w:rPr>
        <w:footnoteReference w:id="4"/>
      </w:r>
      <w:r w:rsidRPr="00140DEA">
        <w:rPr>
          <w:rFonts w:ascii="Times" w:eastAsia="Times New Roman" w:hAnsi="Times" w:cs="Times"/>
          <w:color w:val="000000"/>
          <w:sz w:val="24"/>
          <w:szCs w:val="24"/>
          <w:lang w:eastAsia="en-ZW"/>
        </w:rPr>
        <w:t> a</w:t>
      </w:r>
      <w:r w:rsidR="006072AD">
        <w:rPr>
          <w:rFonts w:ascii="Times" w:eastAsia="Times New Roman" w:hAnsi="Times" w:cs="Times"/>
          <w:color w:val="000000"/>
          <w:sz w:val="24"/>
          <w:szCs w:val="24"/>
          <w:lang w:eastAsia="en-ZW"/>
        </w:rPr>
        <w:t>t para 3</w:t>
      </w:r>
      <w:r w:rsidRPr="00140DEA">
        <w:rPr>
          <w:rFonts w:ascii="Times" w:eastAsia="Times New Roman" w:hAnsi="Times" w:cs="Times"/>
          <w:color w:val="000000"/>
          <w:sz w:val="24"/>
          <w:szCs w:val="24"/>
          <w:lang w:eastAsia="en-ZW"/>
        </w:rPr>
        <w:t>. A similar definition was proffered in another South African case of </w:t>
      </w:r>
      <w:r w:rsidR="006072AD">
        <w:rPr>
          <w:rFonts w:ascii="Times" w:eastAsia="Times New Roman" w:hAnsi="Times" w:cs="Times"/>
          <w:i/>
          <w:iCs/>
          <w:color w:val="000000"/>
          <w:sz w:val="24"/>
          <w:szCs w:val="24"/>
          <w:lang w:eastAsia="en-ZW"/>
        </w:rPr>
        <w:t>J. P. M. K. v </w:t>
      </w:r>
      <w:r w:rsidRPr="00140DEA">
        <w:rPr>
          <w:rFonts w:ascii="Times" w:eastAsia="Times New Roman" w:hAnsi="Times" w:cs="Times"/>
          <w:i/>
          <w:iCs/>
          <w:color w:val="000000"/>
          <w:sz w:val="24"/>
          <w:szCs w:val="24"/>
          <w:lang w:eastAsia="en-ZW"/>
        </w:rPr>
        <w:t>R. P</w:t>
      </w:r>
      <w:r w:rsidR="009B1674">
        <w:rPr>
          <w:rStyle w:val="FootnoteReference"/>
          <w:rFonts w:ascii="Times" w:eastAsia="Times New Roman" w:hAnsi="Times" w:cs="Times"/>
          <w:i/>
          <w:iCs/>
          <w:color w:val="000000"/>
          <w:sz w:val="24"/>
          <w:szCs w:val="24"/>
          <w:lang w:eastAsia="en-ZW"/>
        </w:rPr>
        <w:footnoteReference w:id="5"/>
      </w:r>
      <w:r w:rsidRPr="00140DEA">
        <w:rPr>
          <w:rFonts w:ascii="Times" w:eastAsia="Times New Roman" w:hAnsi="Times" w:cs="Times"/>
          <w:color w:val="000000"/>
          <w:sz w:val="24"/>
          <w:szCs w:val="24"/>
          <w:lang w:eastAsia="en-ZW"/>
        </w:rPr>
        <w:t> where at para 10 the Court said:</w:t>
      </w:r>
      <w:r w:rsidRPr="00140DEA">
        <w:rPr>
          <w:rFonts w:ascii="Times New Roman" w:eastAsia="Times New Roman" w:hAnsi="Times New Roman" w:cs="Times New Roman"/>
          <w:color w:val="000000"/>
          <w:sz w:val="24"/>
          <w:szCs w:val="24"/>
          <w:lang w:eastAsia="en-ZW"/>
        </w:rPr>
        <w:t> </w:t>
      </w:r>
    </w:p>
    <w:p w:rsidR="00C72343" w:rsidRDefault="00C72343" w:rsidP="00F27542">
      <w:pPr>
        <w:spacing w:after="0" w:line="240" w:lineRule="auto"/>
        <w:ind w:left="720"/>
        <w:jc w:val="both"/>
        <w:rPr>
          <w:rFonts w:ascii="Times New Roman" w:eastAsia="Times New Roman" w:hAnsi="Times New Roman" w:cs="Times New Roman"/>
          <w:color w:val="000000"/>
          <w:sz w:val="24"/>
          <w:szCs w:val="24"/>
          <w:lang w:eastAsia="en-ZW"/>
        </w:rPr>
      </w:pPr>
      <w:r w:rsidRPr="00DC788A">
        <w:rPr>
          <w:rFonts w:ascii="Times New Roman" w:eastAsia="Times New Roman" w:hAnsi="Times New Roman" w:cs="Times New Roman"/>
          <w:i/>
          <w:iCs/>
          <w:color w:val="000000"/>
          <w:lang w:eastAsia="en-ZW"/>
        </w:rPr>
        <w:t>“</w:t>
      </w:r>
      <w:r w:rsidRPr="00FB747A">
        <w:rPr>
          <w:rFonts w:ascii="Times New Roman" w:eastAsia="Times New Roman" w:hAnsi="Times New Roman" w:cs="Times New Roman"/>
          <w:iCs/>
          <w:color w:val="000000"/>
          <w:lang w:eastAsia="en-ZW"/>
        </w:rPr>
        <w:t>A true donation is an agreement whereby the donor, motivated by pure liberality, undertakes to give to a donee a gift without receiving any advantage in return for it, in </w:t>
      </w:r>
      <w:r w:rsidRPr="00FB747A">
        <w:rPr>
          <w:rFonts w:ascii="Times New Roman" w:eastAsia="Times New Roman" w:hAnsi="Times New Roman" w:cs="Times New Roman"/>
          <w:iCs/>
          <w:color w:val="000000"/>
          <w:u w:val="single"/>
          <w:lang w:eastAsia="en-ZW"/>
        </w:rPr>
        <w:t>other words, unconditionally</w:t>
      </w:r>
      <w:r w:rsidRPr="00FB747A">
        <w:rPr>
          <w:rFonts w:ascii="Times New Roman" w:eastAsia="Times New Roman" w:hAnsi="Times New Roman" w:cs="Times New Roman"/>
          <w:iCs/>
          <w:color w:val="000000"/>
          <w:lang w:eastAsia="en-ZW"/>
        </w:rPr>
        <w:t>. The onus is on the party alleging a donation to prove that the motive of the donor to the agreement was one of “pure liberality.”</w:t>
      </w:r>
      <w:r w:rsidRPr="00140DEA">
        <w:rPr>
          <w:rFonts w:ascii="Times New Roman" w:eastAsia="Times New Roman" w:hAnsi="Times New Roman" w:cs="Times New Roman"/>
          <w:color w:val="000000"/>
          <w:sz w:val="24"/>
          <w:szCs w:val="24"/>
          <w:lang w:eastAsia="en-ZW"/>
        </w:rPr>
        <w:t> </w:t>
      </w:r>
    </w:p>
    <w:p w:rsidR="00FB747A" w:rsidRPr="00140DEA" w:rsidRDefault="00FB747A" w:rsidP="00FB747A">
      <w:pPr>
        <w:spacing w:after="0" w:line="360" w:lineRule="auto"/>
        <w:ind w:left="720"/>
        <w:jc w:val="both"/>
        <w:rPr>
          <w:rFonts w:ascii="Times New Roman" w:eastAsia="Times New Roman" w:hAnsi="Times New Roman" w:cs="Times New Roman"/>
          <w:color w:val="000000"/>
          <w:sz w:val="24"/>
          <w:szCs w:val="24"/>
          <w:lang w:eastAsia="en-ZW"/>
        </w:rPr>
      </w:pPr>
    </w:p>
    <w:p w:rsidR="00C72343" w:rsidRPr="00140DEA" w:rsidRDefault="00C72343" w:rsidP="00DC788A">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 xml:space="preserve">If the Court strictly applies the above definition, then the rights ceded to </w:t>
      </w:r>
      <w:r w:rsidR="00DC788A">
        <w:rPr>
          <w:rFonts w:ascii="Times" w:eastAsia="Times New Roman" w:hAnsi="Times" w:cs="Times"/>
          <w:color w:val="000000"/>
          <w:sz w:val="24"/>
          <w:szCs w:val="24"/>
          <w:lang w:eastAsia="en-ZW"/>
        </w:rPr>
        <w:t xml:space="preserve">the </w:t>
      </w:r>
      <w:r w:rsidR="00A4521A">
        <w:rPr>
          <w:rFonts w:ascii="Times" w:eastAsia="Times New Roman" w:hAnsi="Times" w:cs="Times"/>
          <w:color w:val="000000"/>
          <w:sz w:val="24"/>
          <w:szCs w:val="24"/>
          <w:lang w:eastAsia="en-ZW"/>
        </w:rPr>
        <w:t xml:space="preserve">first </w:t>
      </w:r>
      <w:r w:rsidR="00DC788A">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cannot qualify as a true gift or donation because the facts show that </w:t>
      </w:r>
      <w:r w:rsidR="00A4521A">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ceded those rights with a clear and substantial expectation of marriage with </w:t>
      </w:r>
      <w:r w:rsidR="00DC788A">
        <w:rPr>
          <w:rFonts w:ascii="Times" w:eastAsia="Times New Roman" w:hAnsi="Times" w:cs="Times"/>
          <w:color w:val="000000"/>
          <w:sz w:val="24"/>
          <w:szCs w:val="24"/>
          <w:lang w:eastAsia="en-ZW"/>
        </w:rPr>
        <w:t xml:space="preserve">the </w:t>
      </w:r>
      <w:r w:rsidR="00A4521A">
        <w:rPr>
          <w:rFonts w:ascii="Times" w:eastAsia="Times New Roman" w:hAnsi="Times" w:cs="Times"/>
          <w:color w:val="000000"/>
          <w:sz w:val="24"/>
          <w:szCs w:val="24"/>
          <w:lang w:eastAsia="en-ZW"/>
        </w:rPr>
        <w:t xml:space="preserve">first </w:t>
      </w:r>
      <w:r w:rsidR="00DC788A">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Thus, </w:t>
      </w:r>
      <w:r w:rsidR="00DC788A">
        <w:rPr>
          <w:rFonts w:ascii="Times" w:eastAsia="Times New Roman" w:hAnsi="Times" w:cs="Times"/>
          <w:color w:val="000000"/>
          <w:sz w:val="24"/>
          <w:szCs w:val="24"/>
          <w:lang w:eastAsia="en-ZW"/>
        </w:rPr>
        <w:t>the a</w:t>
      </w:r>
      <w:r w:rsidRPr="00140DEA">
        <w:rPr>
          <w:rFonts w:ascii="Times" w:eastAsia="Times New Roman" w:hAnsi="Times" w:cs="Times"/>
          <w:color w:val="000000"/>
          <w:sz w:val="24"/>
          <w:szCs w:val="24"/>
          <w:lang w:eastAsia="en-ZW"/>
        </w:rPr>
        <w:t>pplicant did not unconditionally cede a portion of his rights over the property.</w:t>
      </w:r>
      <w:r w:rsidRPr="00140DEA">
        <w:rPr>
          <w:rFonts w:ascii="Times New Roman" w:eastAsia="Times New Roman" w:hAnsi="Times New Roman" w:cs="Times New Roman"/>
          <w:color w:val="000000"/>
          <w:sz w:val="24"/>
          <w:szCs w:val="24"/>
          <w:lang w:eastAsia="en-ZW"/>
        </w:rPr>
        <w:t> </w:t>
      </w:r>
    </w:p>
    <w:p w:rsidR="00C72343" w:rsidRPr="00140DEA" w:rsidRDefault="00C72343" w:rsidP="00DC788A">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 xml:space="preserve">Alternatively, it could be argued that the rights were given up as a conditional gift. It seems (from the facts) that there was an implied condition that the two would live in the house not just as co-owners but as husband and wife.  This has not happened because </w:t>
      </w:r>
      <w:r w:rsidR="00A4521A">
        <w:rPr>
          <w:rFonts w:ascii="Times" w:eastAsia="Times New Roman" w:hAnsi="Times" w:cs="Times"/>
          <w:color w:val="000000"/>
          <w:sz w:val="24"/>
          <w:szCs w:val="24"/>
          <w:lang w:eastAsia="en-ZW"/>
        </w:rPr>
        <w:t xml:space="preserve">first </w:t>
      </w:r>
      <w:r w:rsidR="00DC788A">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grew cold feet and decided not to move in with </w:t>
      </w:r>
      <w:r w:rsidR="00A4521A">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By so doing, she did not meet the condition against which the gift was given and thus the gift is revocable. This reasoning is well supported in </w:t>
      </w:r>
      <w:r w:rsidRPr="00140DEA">
        <w:rPr>
          <w:rFonts w:ascii="Times" w:eastAsia="Times New Roman" w:hAnsi="Times" w:cs="Times"/>
          <w:i/>
          <w:iCs/>
          <w:color w:val="000000"/>
          <w:sz w:val="24"/>
          <w:szCs w:val="24"/>
          <w:lang w:eastAsia="en-ZW"/>
        </w:rPr>
        <w:t xml:space="preserve">Vogler </w:t>
      </w:r>
      <w:r w:rsidRPr="00DC788A">
        <w:rPr>
          <w:rFonts w:ascii="Times" w:eastAsia="Times New Roman" w:hAnsi="Times" w:cs="Times"/>
          <w:iCs/>
          <w:color w:val="000000"/>
          <w:sz w:val="24"/>
          <w:szCs w:val="24"/>
          <w:lang w:eastAsia="en-ZW"/>
        </w:rPr>
        <w:t>v</w:t>
      </w:r>
      <w:r w:rsidRPr="00140DEA">
        <w:rPr>
          <w:rFonts w:ascii="Times" w:eastAsia="Times New Roman" w:hAnsi="Times" w:cs="Times"/>
          <w:i/>
          <w:iCs/>
          <w:color w:val="000000"/>
          <w:sz w:val="24"/>
          <w:szCs w:val="24"/>
          <w:lang w:eastAsia="en-ZW"/>
        </w:rPr>
        <w:t xml:space="preserve"> Matzick </w:t>
      </w:r>
      <w:r w:rsidRPr="00140DEA">
        <w:rPr>
          <w:rFonts w:ascii="Times" w:eastAsia="Times New Roman" w:hAnsi="Times" w:cs="Times"/>
          <w:color w:val="000000"/>
          <w:sz w:val="24"/>
          <w:szCs w:val="24"/>
          <w:lang w:eastAsia="en-ZW"/>
        </w:rPr>
        <w:t>(1988), 33 B.C.L.R. (2d) 82 (C.A.) at 84-85, where the court said:</w:t>
      </w:r>
    </w:p>
    <w:p w:rsidR="00C72343" w:rsidRPr="00DC788A" w:rsidRDefault="00DC788A" w:rsidP="00DC788A">
      <w:pPr>
        <w:spacing w:before="100" w:beforeAutospacing="1" w:after="100" w:afterAutospacing="1" w:line="240" w:lineRule="auto"/>
        <w:ind w:left="720"/>
        <w:jc w:val="both"/>
        <w:rPr>
          <w:rFonts w:ascii="Times New Roman" w:eastAsia="Times New Roman" w:hAnsi="Times New Roman" w:cs="Times New Roman"/>
          <w:color w:val="000000"/>
          <w:lang w:eastAsia="en-ZW"/>
        </w:rPr>
      </w:pPr>
      <w:r>
        <w:rPr>
          <w:rFonts w:ascii="Times New Roman" w:eastAsia="Times New Roman" w:hAnsi="Times New Roman" w:cs="Times New Roman"/>
          <w:iCs/>
          <w:color w:val="000000"/>
          <w:lang w:eastAsia="en-ZW"/>
        </w:rPr>
        <w:t>“</w:t>
      </w:r>
      <w:r w:rsidR="00C72343" w:rsidRPr="00DC788A">
        <w:rPr>
          <w:rFonts w:ascii="Times New Roman" w:eastAsia="Times New Roman" w:hAnsi="Times New Roman" w:cs="Times New Roman"/>
          <w:iCs/>
          <w:color w:val="000000"/>
          <w:lang w:eastAsia="en-ZW"/>
        </w:rPr>
        <w:t xml:space="preserve">I add this comment about gifts made “in contemplation of marriage”. Any gift may be made conditional, or subject to revocation. A term to that effect may be expressed or it may be implied. If it is implied, the factual matrix that gives rise to the implication must make the implication obvious, in accordance with the requirements of the officious bystander test. Where a household item is given by one prospective marriage partner to another, at a time when they are engaged but not sharing a household, the implication of a term that the gift was intended to be revocable if the marriage did not take place and the household never came into being, without any change of heart on the part of the donor, would be straightforward. As a form of shorthand, such a gift could be said to be “in contemplation of marriage”. But if the household is already in being, and if, as in this case, the donor may have </w:t>
      </w:r>
      <w:r w:rsidR="00C72343" w:rsidRPr="00DC788A">
        <w:rPr>
          <w:rFonts w:ascii="Times New Roman" w:eastAsia="Times New Roman" w:hAnsi="Times New Roman" w:cs="Times New Roman"/>
          <w:iCs/>
          <w:color w:val="000000"/>
          <w:lang w:eastAsia="en-ZW"/>
        </w:rPr>
        <w:lastRenderedPageBreak/>
        <w:t>had some motive for making the gift other than, or as well as, a prospective marriage, then the implication of a term that the gift is intended to be revocable if the marriage does not take place becomes much more problematical. A gift made “in contemplation of marriage” is not merely a gift between an engaged couple, with a marriage clearly in the offing. Nor is it a gift for use by both parties in a joint household. At the very least it requires that the gift would not have been made but for the impending marriage itself.</w:t>
      </w:r>
      <w:r w:rsidR="00B0001E">
        <w:rPr>
          <w:rFonts w:ascii="Times New Roman" w:eastAsia="Times New Roman" w:hAnsi="Times New Roman" w:cs="Times New Roman"/>
          <w:iCs/>
          <w:color w:val="000000"/>
          <w:lang w:eastAsia="en-ZW"/>
        </w:rPr>
        <w:t>”</w:t>
      </w:r>
      <w:r w:rsidR="00C72343" w:rsidRPr="00DC788A">
        <w:rPr>
          <w:rFonts w:ascii="Times New Roman" w:eastAsia="Times New Roman" w:hAnsi="Times New Roman" w:cs="Times New Roman"/>
          <w:color w:val="000000"/>
          <w:lang w:eastAsia="en-ZW"/>
        </w:rPr>
        <w:t> </w:t>
      </w:r>
    </w:p>
    <w:p w:rsidR="00C72343" w:rsidRPr="00140DEA" w:rsidRDefault="00C72343" w:rsidP="00B0001E">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At p 80 of the </w:t>
      </w:r>
      <w:r w:rsidRPr="00140DEA">
        <w:rPr>
          <w:rFonts w:ascii="Times" w:eastAsia="Times New Roman" w:hAnsi="Times" w:cs="Times"/>
          <w:i/>
          <w:iCs/>
          <w:color w:val="000000"/>
          <w:sz w:val="24"/>
          <w:szCs w:val="24"/>
          <w:lang w:eastAsia="en-ZW"/>
        </w:rPr>
        <w:t>“Treatise on the Law Relating to Gifts and Advancements (1893)”</w:t>
      </w:r>
      <w:r w:rsidRPr="00140DEA">
        <w:rPr>
          <w:rFonts w:ascii="Times" w:eastAsia="Times New Roman" w:hAnsi="Times" w:cs="Times"/>
          <w:color w:val="000000"/>
          <w:sz w:val="24"/>
          <w:szCs w:val="24"/>
          <w:lang w:eastAsia="en-ZW"/>
        </w:rPr>
        <w:t> W. W. Thornton said as follows in support of the above reasoning: </w:t>
      </w:r>
      <w:r w:rsidRPr="00140DEA">
        <w:rPr>
          <w:rFonts w:ascii="Times New Roman" w:eastAsia="Times New Roman" w:hAnsi="Times New Roman" w:cs="Times New Roman"/>
          <w:color w:val="000000"/>
          <w:sz w:val="24"/>
          <w:szCs w:val="24"/>
          <w:lang w:eastAsia="en-ZW"/>
        </w:rPr>
        <w:t> </w:t>
      </w:r>
    </w:p>
    <w:p w:rsidR="00C72343" w:rsidRPr="00B0001E" w:rsidRDefault="00C72343" w:rsidP="00B0001E">
      <w:pPr>
        <w:spacing w:before="100" w:beforeAutospacing="1" w:after="100" w:afterAutospacing="1" w:line="240" w:lineRule="auto"/>
        <w:ind w:left="720"/>
        <w:jc w:val="both"/>
        <w:rPr>
          <w:rFonts w:ascii="Times New Roman" w:eastAsia="Times New Roman" w:hAnsi="Times New Roman" w:cs="Times New Roman"/>
          <w:color w:val="000000"/>
          <w:lang w:eastAsia="en-ZW"/>
        </w:rPr>
      </w:pPr>
      <w:r w:rsidRPr="00B0001E">
        <w:rPr>
          <w:rFonts w:ascii="Times New Roman" w:eastAsia="Times New Roman" w:hAnsi="Times New Roman" w:cs="Times New Roman"/>
          <w:i/>
          <w:iCs/>
          <w:color w:val="000000"/>
          <w:lang w:eastAsia="en-ZW"/>
        </w:rPr>
        <w:t>“</w:t>
      </w:r>
      <w:r w:rsidRPr="00B0001E">
        <w:rPr>
          <w:rFonts w:ascii="Times New Roman" w:eastAsia="Times New Roman" w:hAnsi="Times New Roman" w:cs="Times New Roman"/>
          <w:iCs/>
          <w:color w:val="000000"/>
          <w:lang w:eastAsia="en-ZW"/>
        </w:rPr>
        <w:t>If a person making his addresses in view of marriage, on reasonable expectation of success gives presents, and the lady deceive him afterward, the presents must be returned, or the value of them paid; but where made to introduce a person only to a woman's acquaintance, he is looked upon in the light of an adventurer, and, if he lose by</w:t>
      </w:r>
      <w:r w:rsidRPr="00B0001E">
        <w:rPr>
          <w:rFonts w:ascii="Times New Roman" w:eastAsia="Times New Roman" w:hAnsi="Times New Roman" w:cs="Times New Roman"/>
          <w:b/>
          <w:bCs/>
          <w:iCs/>
          <w:color w:val="000000"/>
          <w:lang w:eastAsia="en-ZW"/>
        </w:rPr>
        <w:t> </w:t>
      </w:r>
      <w:r w:rsidRPr="00B0001E">
        <w:rPr>
          <w:rFonts w:ascii="Times New Roman" w:eastAsia="Times New Roman" w:hAnsi="Times New Roman" w:cs="Times New Roman"/>
          <w:iCs/>
          <w:color w:val="000000"/>
          <w:lang w:eastAsia="en-ZW"/>
        </w:rPr>
        <w:t>the attempt, must take it for his pains, especially where there is a disproportion between the lady's fortune and his own.”</w:t>
      </w:r>
      <w:r w:rsidRPr="00B0001E">
        <w:rPr>
          <w:rFonts w:ascii="Times New Roman" w:eastAsia="Times New Roman" w:hAnsi="Times New Roman" w:cs="Times New Roman"/>
          <w:color w:val="000000"/>
          <w:lang w:eastAsia="en-ZW"/>
        </w:rPr>
        <w:t> </w:t>
      </w:r>
    </w:p>
    <w:p w:rsidR="00C85D5A" w:rsidRDefault="00C72343" w:rsidP="00B0001E">
      <w:pPr>
        <w:spacing w:after="0" w:line="360" w:lineRule="auto"/>
        <w:ind w:firstLine="720"/>
        <w:jc w:val="both"/>
        <w:rPr>
          <w:rFonts w:ascii="Times" w:eastAsia="Times New Roman" w:hAnsi="Times" w:cs="Times"/>
          <w:color w:val="000000"/>
          <w:sz w:val="24"/>
          <w:szCs w:val="24"/>
          <w:lang w:eastAsia="en-ZW"/>
        </w:rPr>
      </w:pPr>
      <w:r w:rsidRPr="00140DEA">
        <w:rPr>
          <w:rFonts w:ascii="Times" w:eastAsia="Times New Roman" w:hAnsi="Times" w:cs="Times"/>
          <w:color w:val="000000"/>
          <w:sz w:val="24"/>
          <w:szCs w:val="24"/>
          <w:lang w:eastAsia="en-ZW"/>
        </w:rPr>
        <w:t xml:space="preserve">The above suggests that a distinction must be made between gifts given in order to introduce a person to another person's acquaintance and gifts that are given upon reasonable expectation of marriage. The facts show that </w:t>
      </w:r>
      <w:r w:rsidR="00A4521A">
        <w:rPr>
          <w:rFonts w:ascii="Times" w:eastAsia="Times New Roman" w:hAnsi="Times" w:cs="Times"/>
          <w:color w:val="000000"/>
          <w:sz w:val="24"/>
          <w:szCs w:val="24"/>
          <w:lang w:eastAsia="en-ZW"/>
        </w:rPr>
        <w:t>plaintiff</w:t>
      </w:r>
      <w:r w:rsidRPr="00140DEA">
        <w:rPr>
          <w:rFonts w:ascii="Times" w:eastAsia="Times New Roman" w:hAnsi="Times" w:cs="Times"/>
          <w:color w:val="000000"/>
          <w:sz w:val="24"/>
          <w:szCs w:val="24"/>
          <w:lang w:eastAsia="en-ZW"/>
        </w:rPr>
        <w:t xml:space="preserve"> ceded a portion of his rights of ownership not as a way of introducing himself to </w:t>
      </w:r>
      <w:r w:rsidR="00B0001E">
        <w:rPr>
          <w:rFonts w:ascii="Times" w:eastAsia="Times New Roman" w:hAnsi="Times" w:cs="Times"/>
          <w:color w:val="000000"/>
          <w:sz w:val="24"/>
          <w:szCs w:val="24"/>
          <w:lang w:eastAsia="en-ZW"/>
        </w:rPr>
        <w:t>the a</w:t>
      </w:r>
      <w:r w:rsidRPr="00140DEA">
        <w:rPr>
          <w:rFonts w:ascii="Times" w:eastAsia="Times New Roman" w:hAnsi="Times" w:cs="Times"/>
          <w:color w:val="000000"/>
          <w:sz w:val="24"/>
          <w:szCs w:val="24"/>
          <w:lang w:eastAsia="en-ZW"/>
        </w:rPr>
        <w:t xml:space="preserve">pplicant’s acquaintance but in anticipation of a marriage. Thus the rights were ceded on condition that the two would eventually get married to each other. </w:t>
      </w:r>
      <w:r w:rsidR="00B0001E">
        <w:rPr>
          <w:rFonts w:ascii="Times" w:eastAsia="Times New Roman" w:hAnsi="Times" w:cs="Times"/>
          <w:color w:val="000000"/>
          <w:sz w:val="24"/>
          <w:szCs w:val="24"/>
          <w:lang w:eastAsia="en-ZW"/>
        </w:rPr>
        <w:t xml:space="preserve">The </w:t>
      </w:r>
      <w:r w:rsidR="00A4521A">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has refused to marry </w:t>
      </w:r>
      <w:r w:rsidR="00A4521A">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and therefore, the rights of co-ownership can be revoked if </w:t>
      </w:r>
      <w:r w:rsidR="00A4521A">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so wishes. </w:t>
      </w:r>
    </w:p>
    <w:p w:rsidR="00C72343" w:rsidRPr="00140DEA" w:rsidRDefault="00C72343" w:rsidP="00B0001E">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The position in the United States jurisprudence is also supportive of the above and it has been summarised follows</w:t>
      </w:r>
      <w:r w:rsidR="009B1674">
        <w:rPr>
          <w:rStyle w:val="FootnoteReference"/>
          <w:rFonts w:ascii="Times" w:eastAsia="Times New Roman" w:hAnsi="Times" w:cs="Times"/>
          <w:color w:val="000000"/>
          <w:sz w:val="24"/>
          <w:szCs w:val="24"/>
          <w:lang w:eastAsia="en-ZW"/>
        </w:rPr>
        <w:footnoteReference w:id="6"/>
      </w:r>
      <w:r w:rsidRPr="00140DEA">
        <w:rPr>
          <w:rFonts w:ascii="Times" w:eastAsia="Times New Roman" w:hAnsi="Times" w:cs="Times"/>
          <w:color w:val="000000"/>
          <w:sz w:val="24"/>
          <w:szCs w:val="24"/>
          <w:lang w:eastAsia="en-ZW"/>
        </w:rPr>
        <w:t>:</w:t>
      </w:r>
    </w:p>
    <w:p w:rsidR="00C72343" w:rsidRPr="00B0001E" w:rsidRDefault="00C72343" w:rsidP="00B0001E">
      <w:pPr>
        <w:spacing w:before="100" w:beforeAutospacing="1" w:after="100" w:afterAutospacing="1" w:line="240" w:lineRule="auto"/>
        <w:ind w:left="720"/>
        <w:jc w:val="both"/>
        <w:rPr>
          <w:rFonts w:ascii="Times New Roman" w:eastAsia="Times New Roman" w:hAnsi="Times New Roman" w:cs="Times New Roman"/>
          <w:color w:val="000000"/>
          <w:lang w:eastAsia="en-ZW"/>
        </w:rPr>
      </w:pPr>
      <w:r w:rsidRPr="00B0001E">
        <w:rPr>
          <w:rFonts w:ascii="Times New Roman" w:eastAsia="Times New Roman" w:hAnsi="Times New Roman" w:cs="Times New Roman"/>
          <w:iCs/>
          <w:color w:val="000000"/>
          <w:lang w:eastAsia="en-ZW"/>
        </w:rPr>
        <w:t xml:space="preserve">“Under general principles in the law of gifts, a valid </w:t>
      </w:r>
      <w:r w:rsidRPr="00A4521A">
        <w:rPr>
          <w:rFonts w:ascii="Times New Roman" w:eastAsia="Times New Roman" w:hAnsi="Times New Roman" w:cs="Times New Roman"/>
          <w:i/>
          <w:iCs/>
          <w:color w:val="000000"/>
          <w:lang w:eastAsia="en-ZW"/>
        </w:rPr>
        <w:t>inter vivos</w:t>
      </w:r>
      <w:r w:rsidRPr="00B0001E">
        <w:rPr>
          <w:rFonts w:ascii="Times New Roman" w:eastAsia="Times New Roman" w:hAnsi="Times New Roman" w:cs="Times New Roman"/>
          <w:iCs/>
          <w:color w:val="000000"/>
          <w:lang w:eastAsia="en-ZW"/>
        </w:rPr>
        <w:t xml:space="preserve"> gift cannot be revoked and recovered. In a consideration of the cases, it is necessary to distinguish between gifts given merely to advance the donor in the acquaintance of the donee and thereby gain her favor, and those in anticipation of or in contemplation of marriage. The former are held to be absolute, the donor being considered "only in the light of an adventurer . . . if he will run risks and loses by the attempt, he must take it for his pains."  Where the gift made in contemplation of marriage, different results have been reached in certain general situations. (I) Where the donee has breached the contract to marry the donor is universally allowed to recover [the gift] either on the theory of a pled or a conditional gift, the two terms often being used by the court simultaneously and interchangeably, or, in the reasoning of other courts, on a theory of consideration." ; (2) Where the donor has breached, or caused the breach by his own actions, recovery is generally denied on the ground that one cannot take advantage of his own wrongful acts.”</w:t>
      </w:r>
    </w:p>
    <w:p w:rsidR="00C72343" w:rsidRPr="00140DEA" w:rsidRDefault="00C72343" w:rsidP="00B0001E">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lastRenderedPageBreak/>
        <w:t>In a United States case of </w:t>
      </w:r>
      <w:r w:rsidRPr="00140DEA">
        <w:rPr>
          <w:rFonts w:ascii="Times" w:eastAsia="Times New Roman" w:hAnsi="Times" w:cs="Times"/>
          <w:i/>
          <w:iCs/>
          <w:color w:val="000000"/>
          <w:sz w:val="24"/>
          <w:szCs w:val="24"/>
          <w:lang w:eastAsia="en-ZW"/>
        </w:rPr>
        <w:t xml:space="preserve">Meyer </w:t>
      </w:r>
      <w:r w:rsidRPr="00B0001E">
        <w:rPr>
          <w:rFonts w:ascii="Times" w:eastAsia="Times New Roman" w:hAnsi="Times" w:cs="Times"/>
          <w:iCs/>
          <w:color w:val="000000"/>
          <w:sz w:val="24"/>
          <w:szCs w:val="24"/>
          <w:lang w:eastAsia="en-ZW"/>
        </w:rPr>
        <w:t>v</w:t>
      </w:r>
      <w:r w:rsidRPr="00140DEA">
        <w:rPr>
          <w:rFonts w:ascii="Times" w:eastAsia="Times New Roman" w:hAnsi="Times" w:cs="Times"/>
          <w:i/>
          <w:iCs/>
          <w:color w:val="000000"/>
          <w:sz w:val="24"/>
          <w:szCs w:val="24"/>
          <w:lang w:eastAsia="en-ZW"/>
        </w:rPr>
        <w:t xml:space="preserve"> Mitnick</w:t>
      </w:r>
      <w:r w:rsidR="009B1674">
        <w:rPr>
          <w:rStyle w:val="FootnoteReference"/>
          <w:rFonts w:ascii="Times" w:eastAsia="Times New Roman" w:hAnsi="Times" w:cs="Times"/>
          <w:i/>
          <w:iCs/>
          <w:color w:val="000000"/>
          <w:sz w:val="24"/>
          <w:szCs w:val="24"/>
          <w:lang w:eastAsia="en-ZW"/>
        </w:rPr>
        <w:footnoteReference w:id="7"/>
      </w:r>
      <w:r w:rsidRPr="00140DEA">
        <w:rPr>
          <w:rFonts w:ascii="Times" w:eastAsia="Times New Roman" w:hAnsi="Times" w:cs="Times"/>
          <w:color w:val="000000"/>
          <w:sz w:val="24"/>
          <w:szCs w:val="24"/>
          <w:lang w:eastAsia="en-ZW"/>
        </w:rPr>
        <w:t>, a question arose as to whether an engagement ring was a gift or not</w:t>
      </w:r>
      <w:r w:rsidR="00A4521A">
        <w:rPr>
          <w:rFonts w:ascii="Times" w:eastAsia="Times New Roman" w:hAnsi="Times" w:cs="Times"/>
          <w:color w:val="000000"/>
          <w:sz w:val="24"/>
          <w:szCs w:val="24"/>
          <w:lang w:eastAsia="en-ZW"/>
        </w:rPr>
        <w:t>.</w:t>
      </w:r>
      <w:r w:rsidRPr="00140DEA">
        <w:rPr>
          <w:rFonts w:ascii="Times" w:eastAsia="Times New Roman" w:hAnsi="Times" w:cs="Times"/>
          <w:color w:val="000000"/>
          <w:sz w:val="24"/>
          <w:szCs w:val="24"/>
          <w:lang w:eastAsia="en-ZW"/>
        </w:rPr>
        <w:t xml:space="preserve"> </w:t>
      </w:r>
      <w:r w:rsidR="00A4521A">
        <w:rPr>
          <w:rFonts w:ascii="Times" w:eastAsia="Times New Roman" w:hAnsi="Times" w:cs="Times"/>
          <w:color w:val="000000"/>
          <w:sz w:val="24"/>
          <w:szCs w:val="24"/>
          <w:lang w:eastAsia="en-ZW"/>
        </w:rPr>
        <w:t>T</w:t>
      </w:r>
      <w:r w:rsidRPr="00140DEA">
        <w:rPr>
          <w:rFonts w:ascii="Times" w:eastAsia="Times New Roman" w:hAnsi="Times" w:cs="Times"/>
          <w:color w:val="000000"/>
          <w:sz w:val="24"/>
          <w:szCs w:val="24"/>
          <w:lang w:eastAsia="en-ZW"/>
        </w:rPr>
        <w:t>he Court held that an engagement ring i</w:t>
      </w:r>
      <w:r w:rsidR="009B1674">
        <w:rPr>
          <w:rFonts w:ascii="Times" w:eastAsia="Times New Roman" w:hAnsi="Times" w:cs="Times"/>
          <w:color w:val="000000"/>
          <w:sz w:val="24"/>
          <w:szCs w:val="24"/>
          <w:lang w:eastAsia="en-ZW"/>
        </w:rPr>
        <w:t>s an implied conditional gift, </w:t>
      </w:r>
      <w:r w:rsidRPr="00140DEA">
        <w:rPr>
          <w:rFonts w:ascii="Times" w:eastAsia="Times New Roman" w:hAnsi="Times" w:cs="Times"/>
          <w:color w:val="000000"/>
          <w:sz w:val="24"/>
          <w:szCs w:val="24"/>
          <w:lang w:eastAsia="en-ZW"/>
        </w:rPr>
        <w:t>which is only a completed gift upon marriage and if the engagement is terminated for whatever reason, the gift is not capable of being a completed gift and must be returned to the donor. This approach was upheld in South Africa in </w:t>
      </w:r>
      <w:r w:rsidR="009B1674">
        <w:rPr>
          <w:rFonts w:ascii="Times" w:eastAsia="Times New Roman" w:hAnsi="Times" w:cs="Times"/>
          <w:i/>
          <w:iCs/>
          <w:color w:val="000000"/>
          <w:sz w:val="24"/>
          <w:szCs w:val="24"/>
          <w:lang w:eastAsia="en-ZW"/>
        </w:rPr>
        <w:t>J. P. M. K. v </w:t>
      </w:r>
      <w:r w:rsidRPr="00140DEA">
        <w:rPr>
          <w:rFonts w:ascii="Times" w:eastAsia="Times New Roman" w:hAnsi="Times" w:cs="Times"/>
          <w:i/>
          <w:iCs/>
          <w:color w:val="000000"/>
          <w:sz w:val="24"/>
          <w:szCs w:val="24"/>
          <w:lang w:eastAsia="en-ZW"/>
        </w:rPr>
        <w:t>R. P</w:t>
      </w:r>
      <w:r w:rsidR="009B1674">
        <w:rPr>
          <w:rStyle w:val="FootnoteReference"/>
          <w:rFonts w:ascii="Times" w:eastAsia="Times New Roman" w:hAnsi="Times" w:cs="Times"/>
          <w:i/>
          <w:iCs/>
          <w:color w:val="000000"/>
          <w:sz w:val="24"/>
          <w:szCs w:val="24"/>
          <w:lang w:eastAsia="en-ZW"/>
        </w:rPr>
        <w:footnoteReference w:id="8"/>
      </w:r>
      <w:r w:rsidR="009B1674">
        <w:rPr>
          <w:rFonts w:ascii="Times" w:eastAsia="Times New Roman" w:hAnsi="Times" w:cs="Times"/>
          <w:i/>
          <w:iCs/>
          <w:color w:val="000000"/>
          <w:sz w:val="24"/>
          <w:szCs w:val="24"/>
          <w:lang w:eastAsia="en-ZW"/>
        </w:rPr>
        <w:t xml:space="preserve"> </w:t>
      </w:r>
      <w:r w:rsidRPr="00140DEA">
        <w:rPr>
          <w:rFonts w:ascii="Times" w:eastAsia="Times New Roman" w:hAnsi="Times" w:cs="Times"/>
          <w:color w:val="000000"/>
          <w:sz w:val="24"/>
          <w:szCs w:val="24"/>
          <w:lang w:eastAsia="en-ZW"/>
        </w:rPr>
        <w:t>where the Court held as follows:</w:t>
      </w:r>
      <w:r w:rsidRPr="00140DEA">
        <w:rPr>
          <w:rFonts w:ascii="Times New Roman" w:eastAsia="Times New Roman" w:hAnsi="Times New Roman" w:cs="Times New Roman"/>
          <w:color w:val="000000"/>
          <w:sz w:val="24"/>
          <w:szCs w:val="24"/>
          <w:lang w:eastAsia="en-ZW"/>
        </w:rPr>
        <w:t> </w:t>
      </w:r>
    </w:p>
    <w:p w:rsidR="00C72343" w:rsidRPr="00B0001E" w:rsidRDefault="00C72343" w:rsidP="00B0001E">
      <w:pPr>
        <w:spacing w:before="100" w:beforeAutospacing="1" w:after="100" w:afterAutospacing="1" w:line="240" w:lineRule="auto"/>
        <w:ind w:left="720"/>
        <w:jc w:val="both"/>
        <w:rPr>
          <w:rFonts w:ascii="Times New Roman" w:eastAsia="Times New Roman" w:hAnsi="Times New Roman" w:cs="Times New Roman"/>
          <w:color w:val="000000"/>
          <w:lang w:eastAsia="en-ZW"/>
        </w:rPr>
      </w:pPr>
      <w:r w:rsidRPr="00B0001E">
        <w:rPr>
          <w:rFonts w:ascii="Times New Roman" w:eastAsia="Times New Roman" w:hAnsi="Times New Roman" w:cs="Times New Roman"/>
          <w:iCs/>
          <w:color w:val="000000"/>
          <w:lang w:eastAsia="en-ZW"/>
        </w:rPr>
        <w:t>“The engagement ring was given to the respondent in this case in contemplation of a marriage and remained a conditional gift. Since the condition of marriage was not fulfilled, the ring ought to be returned to the donor, because it is no longer capable of becoming a completed gift.”</w:t>
      </w:r>
      <w:r w:rsidRPr="00B0001E">
        <w:rPr>
          <w:rFonts w:ascii="Times New Roman" w:eastAsia="Times New Roman" w:hAnsi="Times New Roman" w:cs="Times New Roman"/>
          <w:color w:val="000000"/>
          <w:lang w:eastAsia="en-ZW"/>
        </w:rPr>
        <w:t> </w:t>
      </w:r>
    </w:p>
    <w:p w:rsidR="00C72343" w:rsidRPr="00140DEA" w:rsidRDefault="00C72343" w:rsidP="00B0001E">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 xml:space="preserve">Although the case between </w:t>
      </w:r>
      <w:r w:rsidR="00A4521A">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and </w:t>
      </w:r>
      <w:r w:rsidR="00A4521A">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concerns an immovable property and not an engagement ring, the same principle should apply because it is a principle which governs circumstances under which conditional gifts can be revoked. If it were to be accepted that </w:t>
      </w:r>
      <w:r w:rsidR="00A4521A">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ceded a portion of his ownership rights to </w:t>
      </w:r>
      <w:r w:rsidR="00B0001E">
        <w:rPr>
          <w:rFonts w:ascii="Times" w:eastAsia="Times New Roman" w:hAnsi="Times" w:cs="Times"/>
          <w:color w:val="000000"/>
          <w:sz w:val="24"/>
          <w:szCs w:val="24"/>
          <w:lang w:eastAsia="en-ZW"/>
        </w:rPr>
        <w:t xml:space="preserve">the </w:t>
      </w:r>
      <w:r w:rsidR="00A4521A">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e</w:t>
      </w:r>
      <w:r w:rsidR="009B1674">
        <w:rPr>
          <w:rFonts w:ascii="Times" w:eastAsia="Times New Roman" w:hAnsi="Times" w:cs="Times"/>
          <w:color w:val="000000"/>
          <w:sz w:val="24"/>
          <w:szCs w:val="24"/>
          <w:lang w:eastAsia="en-ZW"/>
        </w:rPr>
        <w:t>fendant as a conditional gift, </w:t>
      </w:r>
      <w:r w:rsidRPr="00140DEA">
        <w:rPr>
          <w:rFonts w:ascii="Times" w:eastAsia="Times New Roman" w:hAnsi="Times" w:cs="Times"/>
          <w:color w:val="000000"/>
          <w:sz w:val="24"/>
          <w:szCs w:val="24"/>
          <w:lang w:eastAsia="en-ZW"/>
        </w:rPr>
        <w:t>the facts show that the gift was given on an implied condition that the two would get married to each other. The condition for which the gift was g</w:t>
      </w:r>
      <w:r w:rsidR="00A4521A">
        <w:rPr>
          <w:rFonts w:ascii="Times" w:eastAsia="Times New Roman" w:hAnsi="Times" w:cs="Times"/>
          <w:color w:val="000000"/>
          <w:sz w:val="24"/>
          <w:szCs w:val="24"/>
          <w:lang w:eastAsia="en-ZW"/>
        </w:rPr>
        <w:t>iven was not fulfilled because first d</w:t>
      </w:r>
      <w:r w:rsidRPr="00140DEA">
        <w:rPr>
          <w:rFonts w:ascii="Times" w:eastAsia="Times New Roman" w:hAnsi="Times" w:cs="Times"/>
          <w:color w:val="000000"/>
          <w:sz w:val="24"/>
          <w:szCs w:val="24"/>
          <w:lang w:eastAsia="en-ZW"/>
        </w:rPr>
        <w:t>efendant developed cold feet. The gift therefore falls revocable. </w:t>
      </w:r>
    </w:p>
    <w:p w:rsidR="00C72343" w:rsidRPr="00140DEA" w:rsidRDefault="00C72343" w:rsidP="00140DEA">
      <w:pPr>
        <w:numPr>
          <w:ilvl w:val="0"/>
          <w:numId w:val="4"/>
        </w:numPr>
        <w:spacing w:before="100" w:beforeAutospacing="1" w:after="100" w:afterAutospacing="1" w:line="360" w:lineRule="auto"/>
        <w:jc w:val="both"/>
        <w:rPr>
          <w:rFonts w:ascii="Times New Roman" w:eastAsia="Times New Roman" w:hAnsi="Times New Roman" w:cs="Times New Roman"/>
          <w:color w:val="000000"/>
          <w:sz w:val="24"/>
          <w:szCs w:val="24"/>
          <w:lang w:eastAsia="en-ZW"/>
        </w:rPr>
      </w:pPr>
      <w:r w:rsidRPr="00140DEA">
        <w:rPr>
          <w:rFonts w:ascii="Times" w:eastAsia="Times New Roman" w:hAnsi="Times" w:cs="Times"/>
          <w:b/>
          <w:bCs/>
          <w:color w:val="000000"/>
          <w:sz w:val="24"/>
          <w:szCs w:val="24"/>
          <w:lang w:eastAsia="en-ZW"/>
        </w:rPr>
        <w:t>Was there a valid contractual agreement?</w:t>
      </w:r>
    </w:p>
    <w:p w:rsidR="00C72343" w:rsidRPr="00140DEA" w:rsidRDefault="00C72343" w:rsidP="00B0001E">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 xml:space="preserve">Another way of disposing this matter is to consider whether the instrument by means of which rights were transferred to </w:t>
      </w:r>
      <w:r w:rsidR="00B0001E">
        <w:rPr>
          <w:rFonts w:ascii="Times" w:eastAsia="Times New Roman" w:hAnsi="Times" w:cs="Times"/>
          <w:color w:val="000000"/>
          <w:sz w:val="24"/>
          <w:szCs w:val="24"/>
          <w:lang w:eastAsia="en-ZW"/>
        </w:rPr>
        <w:t xml:space="preserve">the </w:t>
      </w:r>
      <w:r w:rsidR="00114434">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00114434">
        <w:rPr>
          <w:rFonts w:ascii="Times" w:eastAsia="Times New Roman" w:hAnsi="Times" w:cs="Times"/>
          <w:color w:val="000000"/>
          <w:sz w:val="24"/>
          <w:szCs w:val="24"/>
          <w:lang w:eastAsia="en-ZW"/>
        </w:rPr>
        <w:t>efendant created</w:t>
      </w:r>
      <w:r w:rsidRPr="00140DEA">
        <w:rPr>
          <w:rFonts w:ascii="Times" w:eastAsia="Times New Roman" w:hAnsi="Times" w:cs="Times"/>
          <w:color w:val="000000"/>
          <w:sz w:val="24"/>
          <w:szCs w:val="24"/>
          <w:lang w:eastAsia="en-ZW"/>
        </w:rPr>
        <w:t xml:space="preserve"> a valid contractual agreement. However, the facts do not seem to suggest the possibility of a contract of sale because there was no consideration received from </w:t>
      </w:r>
      <w:r w:rsidR="00B0001E">
        <w:rPr>
          <w:rFonts w:ascii="Times" w:eastAsia="Times New Roman" w:hAnsi="Times" w:cs="Times"/>
          <w:color w:val="000000"/>
          <w:sz w:val="24"/>
          <w:szCs w:val="24"/>
          <w:lang w:eastAsia="en-ZW"/>
        </w:rPr>
        <w:t xml:space="preserve">the </w:t>
      </w:r>
      <w:r w:rsidR="00114434">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when the rights were ceded to her by </w:t>
      </w:r>
      <w:r w:rsidR="00114434">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It may have been some kind of a verbal contractual agreement.</w:t>
      </w:r>
    </w:p>
    <w:p w:rsidR="00C72343" w:rsidRPr="00140DEA" w:rsidRDefault="00114434" w:rsidP="00FB747A">
      <w:pPr>
        <w:spacing w:after="0" w:line="360" w:lineRule="auto"/>
        <w:ind w:firstLine="720"/>
        <w:jc w:val="both"/>
        <w:rPr>
          <w:rFonts w:ascii="Times New Roman" w:eastAsia="Times New Roman" w:hAnsi="Times New Roman" w:cs="Times New Roman"/>
          <w:color w:val="000000"/>
          <w:sz w:val="24"/>
          <w:szCs w:val="24"/>
          <w:lang w:eastAsia="en-ZW"/>
        </w:rPr>
      </w:pPr>
      <w:r>
        <w:rPr>
          <w:rFonts w:ascii="Times" w:eastAsia="Times New Roman" w:hAnsi="Times" w:cs="Times"/>
          <w:color w:val="000000"/>
          <w:sz w:val="24"/>
          <w:szCs w:val="24"/>
          <w:lang w:eastAsia="en-ZW"/>
        </w:rPr>
        <w:t>The plaintiff</w:t>
      </w:r>
      <w:r w:rsidR="00C72343" w:rsidRPr="00140DEA">
        <w:rPr>
          <w:rFonts w:ascii="Times" w:eastAsia="Times New Roman" w:hAnsi="Times" w:cs="Times"/>
          <w:color w:val="000000"/>
          <w:sz w:val="24"/>
          <w:szCs w:val="24"/>
          <w:lang w:eastAsia="en-ZW"/>
        </w:rPr>
        <w:t xml:space="preserve"> argue</w:t>
      </w:r>
      <w:r>
        <w:rPr>
          <w:rFonts w:ascii="Times" w:eastAsia="Times New Roman" w:hAnsi="Times" w:cs="Times"/>
          <w:color w:val="000000"/>
          <w:sz w:val="24"/>
          <w:szCs w:val="24"/>
          <w:lang w:eastAsia="en-ZW"/>
        </w:rPr>
        <w:t>s</w:t>
      </w:r>
      <w:r w:rsidR="00C72343" w:rsidRPr="00140DEA">
        <w:rPr>
          <w:rFonts w:ascii="Times" w:eastAsia="Times New Roman" w:hAnsi="Times" w:cs="Times"/>
          <w:color w:val="000000"/>
          <w:sz w:val="24"/>
          <w:szCs w:val="24"/>
          <w:lang w:eastAsia="en-ZW"/>
        </w:rPr>
        <w:t xml:space="preserve"> that there is one requirement which may have not been complied with. It is the requir</w:t>
      </w:r>
      <w:r>
        <w:rPr>
          <w:rFonts w:ascii="Times" w:eastAsia="Times New Roman" w:hAnsi="Times" w:cs="Times"/>
          <w:color w:val="000000"/>
          <w:sz w:val="24"/>
          <w:szCs w:val="24"/>
          <w:lang w:eastAsia="en-ZW"/>
        </w:rPr>
        <w:t xml:space="preserve">ement relating to consideration, </w:t>
      </w:r>
      <w:r w:rsidR="00C72343" w:rsidRPr="00140DEA">
        <w:rPr>
          <w:rFonts w:ascii="Times" w:eastAsia="Times New Roman" w:hAnsi="Times" w:cs="Times"/>
          <w:color w:val="000000"/>
          <w:sz w:val="24"/>
          <w:szCs w:val="24"/>
          <w:lang w:eastAsia="en-ZW"/>
        </w:rPr>
        <w:t xml:space="preserve">which entails that the party who accepted the offer must pay some consideration. If </w:t>
      </w:r>
      <w:r w:rsidR="00B0001E">
        <w:rPr>
          <w:rFonts w:ascii="Times" w:eastAsia="Times New Roman" w:hAnsi="Times" w:cs="Times"/>
          <w:color w:val="000000"/>
          <w:sz w:val="24"/>
          <w:szCs w:val="24"/>
          <w:lang w:eastAsia="en-ZW"/>
        </w:rPr>
        <w:t xml:space="preserve">the </w:t>
      </w:r>
      <w:r>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00C72343" w:rsidRPr="00140DEA">
        <w:rPr>
          <w:rFonts w:ascii="Times" w:eastAsia="Times New Roman" w:hAnsi="Times" w:cs="Times"/>
          <w:color w:val="000000"/>
          <w:sz w:val="24"/>
          <w:szCs w:val="24"/>
          <w:lang w:eastAsia="en-ZW"/>
        </w:rPr>
        <w:t xml:space="preserve">efendant did not pay any consideration (as claimed by </w:t>
      </w:r>
      <w:r>
        <w:rPr>
          <w:rFonts w:ascii="Times" w:eastAsia="Times New Roman" w:hAnsi="Times" w:cs="Times"/>
          <w:color w:val="000000"/>
          <w:sz w:val="24"/>
          <w:szCs w:val="24"/>
          <w:lang w:eastAsia="en-ZW"/>
        </w:rPr>
        <w:t>plaintiff</w:t>
      </w:r>
      <w:r w:rsidR="00C72343" w:rsidRPr="00140DEA">
        <w:rPr>
          <w:rFonts w:ascii="Times" w:eastAsia="Times New Roman" w:hAnsi="Times" w:cs="Times"/>
          <w:color w:val="000000"/>
          <w:sz w:val="24"/>
          <w:szCs w:val="24"/>
          <w:lang w:eastAsia="en-ZW"/>
        </w:rPr>
        <w:t>), does that mean there was no valid contractual agreement between the two?</w:t>
      </w:r>
    </w:p>
    <w:p w:rsidR="00C72343" w:rsidRPr="00140DEA" w:rsidRDefault="00C72343" w:rsidP="00FB747A">
      <w:pPr>
        <w:spacing w:after="100" w:afterAutospacing="1"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 xml:space="preserve">In Zimbabwe, consideration is not part of the requirements for a valid contract. The doctrine of consideration was dropped from our law in 1919 through the landmark case </w:t>
      </w:r>
      <w:r w:rsidRPr="00140DEA">
        <w:rPr>
          <w:rFonts w:ascii="Times" w:eastAsia="Times New Roman" w:hAnsi="Times" w:cs="Times"/>
          <w:color w:val="000000"/>
          <w:sz w:val="24"/>
          <w:szCs w:val="24"/>
          <w:lang w:eastAsia="en-ZW"/>
        </w:rPr>
        <w:lastRenderedPageBreak/>
        <w:t>of </w:t>
      </w:r>
      <w:r w:rsidRPr="00140DEA">
        <w:rPr>
          <w:rFonts w:ascii="Times" w:eastAsia="Times New Roman" w:hAnsi="Times" w:cs="Times"/>
          <w:i/>
          <w:iCs/>
          <w:color w:val="000000"/>
          <w:sz w:val="24"/>
          <w:szCs w:val="24"/>
          <w:lang w:eastAsia="en-ZW"/>
        </w:rPr>
        <w:t xml:space="preserve">Conradie </w:t>
      </w:r>
      <w:r w:rsidRPr="00B0001E">
        <w:rPr>
          <w:rFonts w:ascii="Times" w:eastAsia="Times New Roman" w:hAnsi="Times" w:cs="Times"/>
          <w:iCs/>
          <w:color w:val="000000"/>
          <w:sz w:val="24"/>
          <w:szCs w:val="24"/>
          <w:lang w:eastAsia="en-ZW"/>
        </w:rPr>
        <w:t>v</w:t>
      </w:r>
      <w:r w:rsidRPr="00140DEA">
        <w:rPr>
          <w:rFonts w:ascii="Times" w:eastAsia="Times New Roman" w:hAnsi="Times" w:cs="Times"/>
          <w:i/>
          <w:iCs/>
          <w:color w:val="000000"/>
          <w:sz w:val="24"/>
          <w:szCs w:val="24"/>
          <w:lang w:eastAsia="en-ZW"/>
        </w:rPr>
        <w:t xml:space="preserve"> Rossouw </w:t>
      </w:r>
      <w:r w:rsidRPr="00140DEA">
        <w:rPr>
          <w:rFonts w:ascii="Times" w:eastAsia="Times New Roman" w:hAnsi="Times" w:cs="Times"/>
          <w:color w:val="000000"/>
          <w:sz w:val="24"/>
          <w:szCs w:val="24"/>
          <w:lang w:eastAsia="en-ZW"/>
        </w:rPr>
        <w:t>1919 AD 279. Also see para 94 of the Constitutional Court of South Africa’s decision in </w:t>
      </w:r>
      <w:r w:rsidRPr="00140DEA">
        <w:rPr>
          <w:rFonts w:ascii="Times" w:eastAsia="Times New Roman" w:hAnsi="Times" w:cs="Times"/>
          <w:i/>
          <w:iCs/>
          <w:color w:val="000000"/>
          <w:sz w:val="24"/>
          <w:szCs w:val="24"/>
          <w:lang w:eastAsia="en-ZW"/>
        </w:rPr>
        <w:t xml:space="preserve">Kwazulu-Natal Joint Liaison Committee </w:t>
      </w:r>
      <w:r w:rsidR="00B0001E">
        <w:rPr>
          <w:rFonts w:ascii="Times" w:eastAsia="Times New Roman" w:hAnsi="Times" w:cs="Times"/>
          <w:iCs/>
          <w:color w:val="000000"/>
          <w:sz w:val="24"/>
          <w:szCs w:val="24"/>
          <w:lang w:eastAsia="en-ZW"/>
        </w:rPr>
        <w:t>v</w:t>
      </w:r>
      <w:r w:rsidRPr="00140DEA">
        <w:rPr>
          <w:rFonts w:ascii="Times" w:eastAsia="Times New Roman" w:hAnsi="Times" w:cs="Times"/>
          <w:i/>
          <w:iCs/>
          <w:color w:val="000000"/>
          <w:sz w:val="24"/>
          <w:szCs w:val="24"/>
          <w:lang w:eastAsia="en-ZW"/>
        </w:rPr>
        <w:t xml:space="preserve"> Member Of </w:t>
      </w:r>
      <w:r w:rsidR="009B1674">
        <w:rPr>
          <w:rFonts w:ascii="Times" w:eastAsia="Times New Roman" w:hAnsi="Times" w:cs="Times"/>
          <w:i/>
          <w:iCs/>
          <w:color w:val="000000"/>
          <w:sz w:val="24"/>
          <w:szCs w:val="24"/>
          <w:lang w:eastAsia="en-ZW"/>
        </w:rPr>
        <w:t>t</w:t>
      </w:r>
      <w:r w:rsidRPr="00140DEA">
        <w:rPr>
          <w:rFonts w:ascii="Times" w:eastAsia="Times New Roman" w:hAnsi="Times" w:cs="Times"/>
          <w:i/>
          <w:iCs/>
          <w:color w:val="000000"/>
          <w:sz w:val="24"/>
          <w:szCs w:val="24"/>
          <w:lang w:eastAsia="en-ZW"/>
        </w:rPr>
        <w:t>he Executive Council, Department Of Education, Kwazulu-Natal </w:t>
      </w:r>
      <w:r w:rsidRPr="00140DEA">
        <w:rPr>
          <w:rFonts w:ascii="Times" w:eastAsia="Times New Roman" w:hAnsi="Times" w:cs="Times"/>
          <w:color w:val="000000"/>
          <w:sz w:val="24"/>
          <w:szCs w:val="24"/>
          <w:lang w:eastAsia="en-ZW"/>
        </w:rPr>
        <w:t>[2013] ZACC 10,</w:t>
      </w:r>
      <w:r w:rsidR="009B1674">
        <w:rPr>
          <w:rFonts w:ascii="Times" w:eastAsia="Times New Roman" w:hAnsi="Times" w:cs="Times"/>
          <w:color w:val="000000"/>
          <w:sz w:val="24"/>
          <w:szCs w:val="24"/>
          <w:lang w:eastAsia="en-ZW"/>
        </w:rPr>
        <w:t xml:space="preserve"> w</w:t>
      </w:r>
      <w:r w:rsidRPr="00140DEA">
        <w:rPr>
          <w:rFonts w:ascii="Times" w:eastAsia="Times New Roman" w:hAnsi="Times" w:cs="Times"/>
          <w:color w:val="000000"/>
          <w:sz w:val="24"/>
          <w:szCs w:val="24"/>
          <w:lang w:eastAsia="en-ZW"/>
        </w:rPr>
        <w:t>hich confirms beyond doubt that the effect of </w:t>
      </w:r>
      <w:r w:rsidRPr="00140DEA">
        <w:rPr>
          <w:rFonts w:ascii="Times" w:eastAsia="Times New Roman" w:hAnsi="Times" w:cs="Times"/>
          <w:i/>
          <w:iCs/>
          <w:color w:val="000000"/>
          <w:sz w:val="24"/>
          <w:szCs w:val="24"/>
          <w:lang w:eastAsia="en-ZW"/>
        </w:rPr>
        <w:t>Conradie v Rossouw </w:t>
      </w:r>
      <w:r w:rsidRPr="00140DEA">
        <w:rPr>
          <w:rFonts w:ascii="Times" w:eastAsia="Times New Roman" w:hAnsi="Times" w:cs="Times"/>
          <w:color w:val="000000"/>
          <w:sz w:val="24"/>
          <w:szCs w:val="24"/>
          <w:lang w:eastAsia="en-ZW"/>
        </w:rPr>
        <w:t>was to do away with consideration as a stand-alone requirement for a valid contract.</w:t>
      </w:r>
      <w:r w:rsidRPr="00140DEA">
        <w:rPr>
          <w:rFonts w:ascii="Times New Roman" w:eastAsia="Times New Roman" w:hAnsi="Times New Roman" w:cs="Times New Roman"/>
          <w:color w:val="000000"/>
          <w:sz w:val="24"/>
          <w:szCs w:val="24"/>
          <w:lang w:eastAsia="en-ZW"/>
        </w:rPr>
        <w:t> </w:t>
      </w:r>
    </w:p>
    <w:p w:rsidR="00C72343" w:rsidRPr="009B1674" w:rsidRDefault="00C72343" w:rsidP="009C6FF0">
      <w:pPr>
        <w:numPr>
          <w:ilvl w:val="0"/>
          <w:numId w:val="5"/>
        </w:numPr>
        <w:spacing w:before="100" w:beforeAutospacing="1" w:after="100" w:afterAutospacing="1" w:line="360" w:lineRule="auto"/>
        <w:jc w:val="both"/>
        <w:rPr>
          <w:rFonts w:ascii="Times New Roman" w:eastAsia="Times New Roman" w:hAnsi="Times New Roman" w:cs="Times New Roman"/>
          <w:color w:val="000000"/>
          <w:sz w:val="24"/>
          <w:szCs w:val="24"/>
          <w:lang w:eastAsia="en-ZW"/>
        </w:rPr>
      </w:pPr>
      <w:r w:rsidRPr="009B1674">
        <w:rPr>
          <w:rFonts w:ascii="Times" w:eastAsia="Times New Roman" w:hAnsi="Times" w:cs="Times"/>
          <w:b/>
          <w:bCs/>
          <w:color w:val="000000"/>
          <w:sz w:val="24"/>
          <w:szCs w:val="24"/>
          <w:lang w:eastAsia="en-ZW"/>
        </w:rPr>
        <w:t>Contra bonis mores?</w:t>
      </w:r>
      <w:r w:rsidRPr="009B1674">
        <w:rPr>
          <w:rFonts w:ascii="Times New Roman" w:eastAsia="Times New Roman" w:hAnsi="Times New Roman" w:cs="Times New Roman"/>
          <w:color w:val="000000"/>
          <w:sz w:val="24"/>
          <w:szCs w:val="24"/>
          <w:lang w:eastAsia="en-ZW"/>
        </w:rPr>
        <w:t> </w:t>
      </w:r>
    </w:p>
    <w:p w:rsidR="00C72343" w:rsidRPr="00140DEA" w:rsidRDefault="003A6165" w:rsidP="00B0001E">
      <w:pPr>
        <w:spacing w:after="0" w:line="360" w:lineRule="auto"/>
        <w:ind w:firstLine="720"/>
        <w:jc w:val="both"/>
        <w:rPr>
          <w:rFonts w:ascii="Times New Roman" w:eastAsia="Times New Roman" w:hAnsi="Times New Roman" w:cs="Times New Roman"/>
          <w:color w:val="000000"/>
          <w:sz w:val="24"/>
          <w:szCs w:val="24"/>
          <w:lang w:eastAsia="en-ZW"/>
        </w:rPr>
      </w:pPr>
      <w:r>
        <w:rPr>
          <w:rFonts w:ascii="Times" w:eastAsia="Times New Roman" w:hAnsi="Times" w:cs="Times"/>
          <w:color w:val="000000"/>
          <w:sz w:val="24"/>
          <w:szCs w:val="24"/>
          <w:lang w:eastAsia="en-ZW"/>
        </w:rPr>
        <w:t xml:space="preserve">However, this Court </w:t>
      </w:r>
      <w:r w:rsidR="00C72343" w:rsidRPr="00140DEA">
        <w:rPr>
          <w:rFonts w:ascii="Times" w:eastAsia="Times New Roman" w:hAnsi="Times" w:cs="Times"/>
          <w:color w:val="000000"/>
          <w:sz w:val="24"/>
          <w:szCs w:val="24"/>
          <w:lang w:eastAsia="en-ZW"/>
        </w:rPr>
        <w:t>also consider</w:t>
      </w:r>
      <w:r>
        <w:rPr>
          <w:rFonts w:ascii="Times" w:eastAsia="Times New Roman" w:hAnsi="Times" w:cs="Times"/>
          <w:color w:val="000000"/>
          <w:sz w:val="24"/>
          <w:szCs w:val="24"/>
          <w:lang w:eastAsia="en-ZW"/>
        </w:rPr>
        <w:t>ed</w:t>
      </w:r>
      <w:r w:rsidR="00C72343" w:rsidRPr="00140DEA">
        <w:rPr>
          <w:rFonts w:ascii="Times" w:eastAsia="Times New Roman" w:hAnsi="Times" w:cs="Times"/>
          <w:color w:val="000000"/>
          <w:sz w:val="24"/>
          <w:szCs w:val="24"/>
          <w:lang w:eastAsia="en-ZW"/>
        </w:rPr>
        <w:t xml:space="preserve"> the marital status of </w:t>
      </w:r>
      <w:r>
        <w:rPr>
          <w:rFonts w:ascii="Times" w:eastAsia="Times New Roman" w:hAnsi="Times" w:cs="Times"/>
          <w:color w:val="000000"/>
          <w:sz w:val="24"/>
          <w:szCs w:val="24"/>
          <w:lang w:eastAsia="en-ZW"/>
        </w:rPr>
        <w:t xml:space="preserve">both </w:t>
      </w:r>
      <w:r w:rsidR="00B0001E">
        <w:rPr>
          <w:rFonts w:ascii="Times" w:eastAsia="Times New Roman" w:hAnsi="Times" w:cs="Times"/>
          <w:color w:val="000000"/>
          <w:sz w:val="24"/>
          <w:szCs w:val="24"/>
          <w:lang w:eastAsia="en-ZW"/>
        </w:rPr>
        <w:t xml:space="preserve">the </w:t>
      </w:r>
      <w:r>
        <w:rPr>
          <w:rFonts w:ascii="Times" w:eastAsia="Times New Roman" w:hAnsi="Times" w:cs="Times"/>
          <w:color w:val="000000"/>
          <w:sz w:val="24"/>
          <w:szCs w:val="24"/>
          <w:lang w:eastAsia="en-ZW"/>
        </w:rPr>
        <w:t>plaintiff</w:t>
      </w:r>
      <w:r w:rsidR="00C72343" w:rsidRPr="00140DEA">
        <w:rPr>
          <w:rFonts w:ascii="Times" w:eastAsia="Times New Roman" w:hAnsi="Times" w:cs="Times"/>
          <w:color w:val="000000"/>
          <w:sz w:val="24"/>
          <w:szCs w:val="24"/>
          <w:lang w:eastAsia="en-ZW"/>
        </w:rPr>
        <w:t xml:space="preserve"> and </w:t>
      </w:r>
      <w:r>
        <w:rPr>
          <w:rFonts w:ascii="Times" w:eastAsia="Times New Roman" w:hAnsi="Times" w:cs="Times"/>
          <w:color w:val="000000"/>
          <w:sz w:val="24"/>
          <w:szCs w:val="24"/>
          <w:lang w:eastAsia="en-ZW"/>
        </w:rPr>
        <w:t xml:space="preserve">the </w:t>
      </w:r>
      <w:r w:rsidR="00B0001E">
        <w:rPr>
          <w:rFonts w:ascii="Times" w:eastAsia="Times New Roman" w:hAnsi="Times" w:cs="Times"/>
          <w:color w:val="000000"/>
          <w:sz w:val="24"/>
          <w:szCs w:val="24"/>
          <w:lang w:eastAsia="en-ZW"/>
        </w:rPr>
        <w:t>d</w:t>
      </w:r>
      <w:r w:rsidR="00C72343" w:rsidRPr="00140DEA">
        <w:rPr>
          <w:rFonts w:ascii="Times" w:eastAsia="Times New Roman" w:hAnsi="Times" w:cs="Times"/>
          <w:color w:val="000000"/>
          <w:sz w:val="24"/>
          <w:szCs w:val="24"/>
          <w:lang w:eastAsia="en-ZW"/>
        </w:rPr>
        <w:t>efendant when they entered into this contractual agreement. They were both married to someone else. A</w:t>
      </w:r>
      <w:r w:rsidR="00454E7C">
        <w:rPr>
          <w:rFonts w:ascii="Times" w:eastAsia="Times New Roman" w:hAnsi="Times" w:cs="Times"/>
          <w:color w:val="000000"/>
          <w:sz w:val="24"/>
          <w:szCs w:val="24"/>
          <w:lang w:eastAsia="en-ZW"/>
        </w:rPr>
        <w:t>s such, the question whether their agreement was</w:t>
      </w:r>
      <w:r w:rsidR="00C72343" w:rsidRPr="00140DEA">
        <w:rPr>
          <w:rFonts w:ascii="Times" w:eastAsia="Times New Roman" w:hAnsi="Times" w:cs="Times"/>
          <w:color w:val="000000"/>
          <w:sz w:val="24"/>
          <w:szCs w:val="24"/>
          <w:lang w:eastAsia="en-ZW"/>
        </w:rPr>
        <w:t> </w:t>
      </w:r>
      <w:r w:rsidR="00C72343" w:rsidRPr="00140DEA">
        <w:rPr>
          <w:rFonts w:ascii="Times" w:eastAsia="Times New Roman" w:hAnsi="Times" w:cs="Times"/>
          <w:i/>
          <w:iCs/>
          <w:color w:val="000000"/>
          <w:sz w:val="24"/>
          <w:szCs w:val="24"/>
          <w:lang w:eastAsia="en-ZW"/>
        </w:rPr>
        <w:t>contra bonis mores</w:t>
      </w:r>
      <w:r w:rsidR="00454E7C">
        <w:rPr>
          <w:rFonts w:ascii="Times" w:eastAsia="Times New Roman" w:hAnsi="Times" w:cs="Times"/>
          <w:color w:val="000000"/>
          <w:sz w:val="24"/>
          <w:szCs w:val="24"/>
          <w:lang w:eastAsia="en-ZW"/>
        </w:rPr>
        <w:t> does arise</w:t>
      </w:r>
      <w:r w:rsidR="00C72343" w:rsidRPr="00140DEA">
        <w:rPr>
          <w:rFonts w:ascii="Times" w:eastAsia="Times New Roman" w:hAnsi="Times" w:cs="Times"/>
          <w:color w:val="000000"/>
          <w:sz w:val="24"/>
          <w:szCs w:val="24"/>
          <w:lang w:eastAsia="en-ZW"/>
        </w:rPr>
        <w:t>.</w:t>
      </w:r>
      <w:r w:rsidR="00C72343" w:rsidRPr="00140DEA">
        <w:rPr>
          <w:rFonts w:ascii="Times New Roman" w:eastAsia="Times New Roman" w:hAnsi="Times New Roman" w:cs="Times New Roman"/>
          <w:color w:val="000000"/>
          <w:sz w:val="24"/>
          <w:szCs w:val="24"/>
          <w:lang w:eastAsia="en-ZW"/>
        </w:rPr>
        <w:t> </w:t>
      </w:r>
    </w:p>
    <w:p w:rsidR="00C72343" w:rsidRPr="00140DEA" w:rsidRDefault="00C72343" w:rsidP="00B0001E">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When considering whether a contract is </w:t>
      </w:r>
      <w:r w:rsidRPr="00140DEA">
        <w:rPr>
          <w:rFonts w:ascii="Times" w:eastAsia="Times New Roman" w:hAnsi="Times" w:cs="Times"/>
          <w:i/>
          <w:iCs/>
          <w:color w:val="000000"/>
          <w:sz w:val="24"/>
          <w:szCs w:val="24"/>
          <w:lang w:eastAsia="en-ZW"/>
        </w:rPr>
        <w:t>contra bonis mores</w:t>
      </w:r>
      <w:r w:rsidRPr="00140DEA">
        <w:rPr>
          <w:rFonts w:ascii="Times" w:eastAsia="Times New Roman" w:hAnsi="Times" w:cs="Times"/>
          <w:color w:val="000000"/>
          <w:sz w:val="24"/>
          <w:szCs w:val="24"/>
          <w:lang w:eastAsia="en-ZW"/>
        </w:rPr>
        <w:t> or not, the Court ought to remember the following remarks by </w:t>
      </w:r>
      <w:r w:rsidRPr="00B0001E">
        <w:rPr>
          <w:rFonts w:ascii="Times" w:eastAsia="Times New Roman" w:hAnsi="Times" w:cs="Times"/>
          <w:smallCaps/>
          <w:color w:val="242121"/>
          <w:sz w:val="24"/>
          <w:szCs w:val="24"/>
          <w:lang w:eastAsia="en-ZW"/>
        </w:rPr>
        <w:t>Smalberger</w:t>
      </w:r>
      <w:r w:rsidRPr="00140DEA">
        <w:rPr>
          <w:rFonts w:ascii="Times" w:eastAsia="Times New Roman" w:hAnsi="Times" w:cs="Times"/>
          <w:color w:val="242121"/>
          <w:sz w:val="24"/>
          <w:szCs w:val="24"/>
          <w:lang w:eastAsia="en-ZW"/>
        </w:rPr>
        <w:t xml:space="preserve"> JA</w:t>
      </w:r>
      <w:r w:rsidRPr="00140DEA">
        <w:rPr>
          <w:rFonts w:ascii="Times" w:eastAsia="Times New Roman" w:hAnsi="Times" w:cs="Times"/>
          <w:color w:val="000000"/>
          <w:sz w:val="24"/>
          <w:szCs w:val="24"/>
          <w:lang w:eastAsia="en-ZW"/>
        </w:rPr>
        <w:t> in </w:t>
      </w:r>
      <w:r w:rsidR="000F7AF6">
        <w:rPr>
          <w:rFonts w:ascii="Times" w:eastAsia="Times New Roman" w:hAnsi="Times" w:cs="Times"/>
          <w:i/>
          <w:iCs/>
          <w:color w:val="242121"/>
          <w:sz w:val="24"/>
          <w:szCs w:val="24"/>
          <w:lang w:eastAsia="en-ZW"/>
        </w:rPr>
        <w:t>Sasfin (Pt</w:t>
      </w:r>
      <w:r w:rsidRPr="00140DEA">
        <w:rPr>
          <w:rFonts w:ascii="Times" w:eastAsia="Times New Roman" w:hAnsi="Times" w:cs="Times"/>
          <w:i/>
          <w:iCs/>
          <w:color w:val="242121"/>
          <w:sz w:val="24"/>
          <w:szCs w:val="24"/>
          <w:lang w:eastAsia="en-ZW"/>
        </w:rPr>
        <w:t xml:space="preserve">y) Ltd </w:t>
      </w:r>
      <w:r w:rsidRPr="00B0001E">
        <w:rPr>
          <w:rFonts w:ascii="Times" w:eastAsia="Times New Roman" w:hAnsi="Times" w:cs="Times"/>
          <w:iCs/>
          <w:color w:val="242121"/>
          <w:sz w:val="24"/>
          <w:szCs w:val="24"/>
          <w:lang w:eastAsia="en-ZW"/>
        </w:rPr>
        <w:t>v</w:t>
      </w:r>
      <w:r w:rsidRPr="00140DEA">
        <w:rPr>
          <w:rFonts w:ascii="Times" w:eastAsia="Times New Roman" w:hAnsi="Times" w:cs="Times"/>
          <w:i/>
          <w:iCs/>
          <w:color w:val="242121"/>
          <w:sz w:val="24"/>
          <w:szCs w:val="24"/>
          <w:lang w:eastAsia="en-ZW"/>
        </w:rPr>
        <w:t xml:space="preserve"> Hendrik Johannes</w:t>
      </w:r>
      <w:r w:rsidR="009B1674">
        <w:rPr>
          <w:rStyle w:val="FootnoteReference"/>
          <w:rFonts w:ascii="Times" w:eastAsia="Times New Roman" w:hAnsi="Times" w:cs="Times"/>
          <w:i/>
          <w:iCs/>
          <w:color w:val="242121"/>
          <w:sz w:val="24"/>
          <w:szCs w:val="24"/>
          <w:lang w:eastAsia="en-ZW"/>
        </w:rPr>
        <w:footnoteReference w:id="9"/>
      </w:r>
      <w:r w:rsidRPr="00140DEA">
        <w:rPr>
          <w:rFonts w:ascii="Times" w:eastAsia="Times New Roman" w:hAnsi="Times" w:cs="Times"/>
          <w:color w:val="242121"/>
          <w:sz w:val="24"/>
          <w:szCs w:val="24"/>
          <w:lang w:eastAsia="en-ZW"/>
        </w:rPr>
        <w:t>:</w:t>
      </w:r>
      <w:r w:rsidRPr="00140DEA">
        <w:rPr>
          <w:rFonts w:ascii="Times New Roman" w:eastAsia="Times New Roman" w:hAnsi="Times New Roman" w:cs="Times New Roman"/>
          <w:color w:val="000000"/>
          <w:sz w:val="24"/>
          <w:szCs w:val="24"/>
          <w:lang w:eastAsia="en-ZW"/>
        </w:rPr>
        <w:t> </w:t>
      </w:r>
    </w:p>
    <w:p w:rsidR="00C72343" w:rsidRPr="00B0001E" w:rsidRDefault="00C72343" w:rsidP="00B0001E">
      <w:pPr>
        <w:spacing w:before="100" w:beforeAutospacing="1" w:after="100" w:afterAutospacing="1" w:line="240" w:lineRule="auto"/>
        <w:ind w:left="1080"/>
        <w:jc w:val="both"/>
        <w:rPr>
          <w:rFonts w:ascii="Times New Roman" w:eastAsia="Times New Roman" w:hAnsi="Times New Roman" w:cs="Times New Roman"/>
          <w:color w:val="000000"/>
          <w:lang w:eastAsia="en-ZW"/>
        </w:rPr>
      </w:pPr>
      <w:bookmarkStart w:id="1" w:name="0.3__GoBack"/>
      <w:bookmarkEnd w:id="1"/>
      <w:r w:rsidRPr="00B0001E">
        <w:rPr>
          <w:rFonts w:ascii="Times New Roman" w:eastAsia="Times New Roman" w:hAnsi="Times New Roman" w:cs="Times New Roman"/>
          <w:iCs/>
          <w:color w:val="000000"/>
          <w:lang w:eastAsia="en-ZW"/>
        </w:rPr>
        <w:t xml:space="preserve">“One must be careful not to conclude that a contract is contrary to public policy merely because its terms (or some of them) offend one's individual sense of propriety and fairness. In the words of Lord Atkin in </w:t>
      </w:r>
      <w:r w:rsidRPr="00454E7C">
        <w:rPr>
          <w:rFonts w:ascii="Times New Roman" w:eastAsia="Times New Roman" w:hAnsi="Times New Roman" w:cs="Times New Roman"/>
          <w:i/>
          <w:iCs/>
          <w:color w:val="000000"/>
          <w:lang w:eastAsia="en-ZW"/>
        </w:rPr>
        <w:t>Fender v St John-Mildmay</w:t>
      </w:r>
      <w:r w:rsidRPr="00454E7C">
        <w:rPr>
          <w:rFonts w:ascii="Times New Roman" w:eastAsia="Times New Roman" w:hAnsi="Times New Roman" w:cs="Times New Roman"/>
          <w:i/>
          <w:iCs/>
          <w:color w:val="000000" w:themeColor="text1"/>
          <w:lang w:eastAsia="en-ZW"/>
        </w:rPr>
        <w:t> </w:t>
      </w:r>
      <w:hyperlink r:id="rId8" w:tgtFrame="_blank" w:tooltip="View LawCiteRecord" w:history="1">
        <w:r w:rsidRPr="00454E7C">
          <w:rPr>
            <w:rFonts w:ascii="Times New Roman" w:eastAsia="Times New Roman" w:hAnsi="Times New Roman" w:cs="Times New Roman"/>
            <w:b/>
            <w:bCs/>
            <w:iCs/>
            <w:color w:val="000000" w:themeColor="text1"/>
            <w:lang w:eastAsia="en-ZW"/>
          </w:rPr>
          <w:t>[1938] AC 1 </w:t>
        </w:r>
      </w:hyperlink>
      <w:r w:rsidRPr="00B0001E">
        <w:rPr>
          <w:rFonts w:ascii="Times New Roman" w:eastAsia="Times New Roman" w:hAnsi="Times New Roman" w:cs="Times New Roman"/>
          <w:iCs/>
          <w:color w:val="000000"/>
          <w:lang w:eastAsia="en-ZW"/>
        </w:rPr>
        <w:t>at 12 'the doctrine should only be invoked in clear cases in which the harm to the public is substantially incontestable and does not depend upon the idiosyncratic inferences of a few judicial minds”</w:t>
      </w:r>
      <w:r w:rsidRPr="00B0001E">
        <w:rPr>
          <w:rFonts w:ascii="Times New Roman" w:eastAsia="Times New Roman" w:hAnsi="Times New Roman" w:cs="Times New Roman"/>
          <w:color w:val="000000"/>
          <w:lang w:eastAsia="en-ZW"/>
        </w:rPr>
        <w:t> </w:t>
      </w:r>
    </w:p>
    <w:p w:rsidR="00C72343" w:rsidRPr="00140DEA" w:rsidRDefault="00C72343" w:rsidP="00B0001E">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Christie and Bradfileld</w:t>
      </w:r>
      <w:r w:rsidR="009B1674">
        <w:rPr>
          <w:rStyle w:val="FootnoteReference"/>
          <w:rFonts w:ascii="Times" w:eastAsia="Times New Roman" w:hAnsi="Times" w:cs="Times"/>
          <w:color w:val="000000"/>
          <w:sz w:val="24"/>
          <w:szCs w:val="24"/>
          <w:lang w:eastAsia="en-ZW"/>
        </w:rPr>
        <w:footnoteReference w:id="10"/>
      </w:r>
      <w:r w:rsidRPr="00140DEA">
        <w:rPr>
          <w:rFonts w:ascii="Times" w:eastAsia="Times New Roman" w:hAnsi="Times" w:cs="Times"/>
          <w:color w:val="000000"/>
          <w:sz w:val="24"/>
          <w:szCs w:val="24"/>
          <w:lang w:eastAsia="en-ZW"/>
        </w:rPr>
        <w:t> make the point that </w:t>
      </w:r>
      <w:r w:rsidRPr="00140DEA">
        <w:rPr>
          <w:rFonts w:ascii="Times" w:eastAsia="Times New Roman" w:hAnsi="Times" w:cs="Times"/>
          <w:i/>
          <w:iCs/>
          <w:color w:val="000000"/>
          <w:sz w:val="24"/>
          <w:szCs w:val="24"/>
          <w:lang w:eastAsia="en-ZW"/>
        </w:rPr>
        <w:t>“the importance of marriage as an institution is naturally recognised by the law, and any contract which undermines this institution is therefore void”.</w:t>
      </w:r>
      <w:r w:rsidRPr="00140DEA">
        <w:rPr>
          <w:rFonts w:ascii="Times" w:eastAsia="Times New Roman" w:hAnsi="Times" w:cs="Times"/>
          <w:color w:val="000000"/>
          <w:sz w:val="24"/>
          <w:szCs w:val="24"/>
          <w:lang w:eastAsia="en-ZW"/>
        </w:rPr>
        <w:t xml:space="preserve">  In Zimbabwe, both the law and culture attach enormous significance to marriage. Whilst there is nothing that would stop </w:t>
      </w:r>
      <w:r w:rsidR="00B0001E">
        <w:rPr>
          <w:rFonts w:ascii="Times" w:eastAsia="Times New Roman" w:hAnsi="Times" w:cs="Times"/>
          <w:color w:val="000000"/>
          <w:sz w:val="24"/>
          <w:szCs w:val="24"/>
          <w:lang w:eastAsia="en-ZW"/>
        </w:rPr>
        <w:t xml:space="preserve">the </w:t>
      </w:r>
      <w:r w:rsidR="00454E7C">
        <w:rPr>
          <w:rFonts w:ascii="Times" w:eastAsia="Times New Roman" w:hAnsi="Times" w:cs="Times"/>
          <w:color w:val="000000"/>
          <w:sz w:val="24"/>
          <w:szCs w:val="24"/>
          <w:lang w:eastAsia="en-ZW"/>
        </w:rPr>
        <w:t>plaintiff</w:t>
      </w:r>
      <w:r w:rsidRPr="00140DEA">
        <w:rPr>
          <w:rFonts w:ascii="Times" w:eastAsia="Times New Roman" w:hAnsi="Times" w:cs="Times"/>
          <w:color w:val="000000"/>
          <w:sz w:val="24"/>
          <w:szCs w:val="24"/>
          <w:lang w:eastAsia="en-ZW"/>
        </w:rPr>
        <w:t xml:space="preserve"> and </w:t>
      </w:r>
      <w:r w:rsidR="00454E7C">
        <w:rPr>
          <w:rFonts w:ascii="Times" w:eastAsia="Times New Roman" w:hAnsi="Times" w:cs="Times"/>
          <w:color w:val="000000"/>
          <w:sz w:val="24"/>
          <w:szCs w:val="24"/>
          <w:lang w:eastAsia="en-ZW"/>
        </w:rPr>
        <w:t>first defendant</w:t>
      </w:r>
      <w:r w:rsidRPr="00140DEA">
        <w:rPr>
          <w:rFonts w:ascii="Times" w:eastAsia="Times New Roman" w:hAnsi="Times" w:cs="Times"/>
          <w:color w:val="000000"/>
          <w:sz w:val="24"/>
          <w:szCs w:val="24"/>
          <w:lang w:eastAsia="en-ZW"/>
        </w:rPr>
        <w:t xml:space="preserve"> to divorce from their marriages, they certainly could not enter into a contractual agreement which undermines their existing marriages. It is reasonably clear (from the facts) that </w:t>
      </w:r>
      <w:r w:rsidR="00454E7C">
        <w:rPr>
          <w:rFonts w:ascii="Times" w:eastAsia="Times New Roman" w:hAnsi="Times" w:cs="Times"/>
          <w:color w:val="000000"/>
          <w:sz w:val="24"/>
          <w:szCs w:val="24"/>
          <w:lang w:eastAsia="en-ZW"/>
        </w:rPr>
        <w:t>the defendant</w:t>
      </w:r>
      <w:r w:rsidRPr="00140DEA">
        <w:rPr>
          <w:rFonts w:ascii="Times" w:eastAsia="Times New Roman" w:hAnsi="Times" w:cs="Times"/>
          <w:color w:val="000000"/>
          <w:sz w:val="24"/>
          <w:szCs w:val="24"/>
          <w:lang w:eastAsia="en-ZW"/>
        </w:rPr>
        <w:t xml:space="preserve"> ceded a portion of his ownership rights to </w:t>
      </w:r>
      <w:r w:rsidR="00B0001E">
        <w:rPr>
          <w:rFonts w:ascii="Times" w:eastAsia="Times New Roman" w:hAnsi="Times" w:cs="Times"/>
          <w:color w:val="000000"/>
          <w:sz w:val="24"/>
          <w:szCs w:val="24"/>
          <w:lang w:eastAsia="en-ZW"/>
        </w:rPr>
        <w:t xml:space="preserve">the </w:t>
      </w:r>
      <w:r w:rsidR="00454E7C">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with the hope that or in preparation for an anticipated marriage with </w:t>
      </w:r>
      <w:r w:rsidR="00B0001E">
        <w:rPr>
          <w:rFonts w:ascii="Times" w:eastAsia="Times New Roman" w:hAnsi="Times" w:cs="Times"/>
          <w:color w:val="000000"/>
          <w:sz w:val="24"/>
          <w:szCs w:val="24"/>
          <w:lang w:eastAsia="en-ZW"/>
        </w:rPr>
        <w:t xml:space="preserve">the </w:t>
      </w:r>
      <w:r w:rsidR="00454E7C">
        <w:rPr>
          <w:rFonts w:ascii="Times" w:eastAsia="Times New Roman" w:hAnsi="Times" w:cs="Times"/>
          <w:color w:val="000000"/>
          <w:sz w:val="24"/>
          <w:szCs w:val="24"/>
          <w:lang w:eastAsia="en-ZW"/>
        </w:rPr>
        <w:t>her</w:t>
      </w:r>
      <w:r w:rsidRPr="00140DEA">
        <w:rPr>
          <w:rFonts w:ascii="Times" w:eastAsia="Times New Roman" w:hAnsi="Times" w:cs="Times"/>
          <w:color w:val="000000"/>
          <w:sz w:val="24"/>
          <w:szCs w:val="24"/>
          <w:lang w:eastAsia="en-ZW"/>
        </w:rPr>
        <w:t xml:space="preserve">, and yet this transaction was carried out at a time when </w:t>
      </w:r>
      <w:r w:rsidR="00454E7C">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was married to someone else, and </w:t>
      </w:r>
      <w:r w:rsidR="00B0001E">
        <w:rPr>
          <w:rFonts w:ascii="Times" w:eastAsia="Times New Roman" w:hAnsi="Times" w:cs="Times"/>
          <w:color w:val="000000"/>
          <w:sz w:val="24"/>
          <w:szCs w:val="24"/>
          <w:lang w:eastAsia="en-ZW"/>
        </w:rPr>
        <w:t xml:space="preserve">the </w:t>
      </w:r>
      <w:r w:rsidR="00454E7C">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was also married to someone else. The resources used to purchase the property do not exclusively belong to </w:t>
      </w:r>
      <w:r w:rsidR="00454E7C">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but also to </w:t>
      </w:r>
      <w:r w:rsidR="00454E7C">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’s wife wit</w:t>
      </w:r>
      <w:r w:rsidR="00454E7C">
        <w:rPr>
          <w:rFonts w:ascii="Times" w:eastAsia="Times New Roman" w:hAnsi="Times" w:cs="Times"/>
          <w:color w:val="000000"/>
          <w:sz w:val="24"/>
          <w:szCs w:val="24"/>
          <w:lang w:eastAsia="en-ZW"/>
        </w:rPr>
        <w:t>h whom he was in a marriage</w:t>
      </w:r>
      <w:r w:rsidRPr="00140DEA">
        <w:rPr>
          <w:rFonts w:ascii="Times" w:eastAsia="Times New Roman" w:hAnsi="Times" w:cs="Times"/>
          <w:color w:val="000000"/>
          <w:sz w:val="24"/>
          <w:szCs w:val="24"/>
          <w:lang w:eastAsia="en-ZW"/>
        </w:rPr>
        <w:t xml:space="preserve"> at that time. It seems</w:t>
      </w:r>
      <w:r w:rsidR="00454E7C">
        <w:rPr>
          <w:rFonts w:ascii="Times" w:eastAsia="Times New Roman" w:hAnsi="Times" w:cs="Times"/>
          <w:color w:val="000000"/>
          <w:sz w:val="24"/>
          <w:szCs w:val="24"/>
          <w:lang w:eastAsia="en-ZW"/>
        </w:rPr>
        <w:t xml:space="preserve">, on that </w:t>
      </w:r>
      <w:r w:rsidR="000F7AF6">
        <w:rPr>
          <w:rFonts w:ascii="Times" w:eastAsia="Times New Roman" w:hAnsi="Times" w:cs="Times"/>
          <w:color w:val="000000"/>
          <w:sz w:val="24"/>
          <w:szCs w:val="24"/>
          <w:lang w:eastAsia="en-ZW"/>
        </w:rPr>
        <w:t>basis</w:t>
      </w:r>
      <w:r w:rsidR="00454E7C">
        <w:rPr>
          <w:rFonts w:ascii="Times" w:eastAsia="Times New Roman" w:hAnsi="Times" w:cs="Times"/>
          <w:color w:val="000000"/>
          <w:sz w:val="24"/>
          <w:szCs w:val="24"/>
          <w:lang w:eastAsia="en-ZW"/>
        </w:rPr>
        <w:t>,</w:t>
      </w:r>
      <w:r w:rsidRPr="00140DEA">
        <w:rPr>
          <w:rFonts w:ascii="Times" w:eastAsia="Times New Roman" w:hAnsi="Times" w:cs="Times"/>
          <w:color w:val="000000"/>
          <w:sz w:val="24"/>
          <w:szCs w:val="24"/>
          <w:lang w:eastAsia="en-ZW"/>
        </w:rPr>
        <w:t xml:space="preserve"> that the contractual agreement between </w:t>
      </w:r>
      <w:r w:rsidR="00454E7C">
        <w:rPr>
          <w:rFonts w:ascii="Times" w:eastAsia="Times New Roman" w:hAnsi="Times" w:cs="Times"/>
          <w:color w:val="000000"/>
          <w:sz w:val="24"/>
          <w:szCs w:val="24"/>
          <w:lang w:eastAsia="en-ZW"/>
        </w:rPr>
        <w:t>plaintiff</w:t>
      </w:r>
      <w:r w:rsidRPr="00140DEA">
        <w:rPr>
          <w:rFonts w:ascii="Times" w:eastAsia="Times New Roman" w:hAnsi="Times" w:cs="Times"/>
          <w:color w:val="000000"/>
          <w:sz w:val="24"/>
          <w:szCs w:val="24"/>
          <w:lang w:eastAsia="en-ZW"/>
        </w:rPr>
        <w:t xml:space="preserve"> </w:t>
      </w:r>
      <w:r w:rsidRPr="00140DEA">
        <w:rPr>
          <w:rFonts w:ascii="Times" w:eastAsia="Times New Roman" w:hAnsi="Times" w:cs="Times"/>
          <w:color w:val="000000"/>
          <w:sz w:val="24"/>
          <w:szCs w:val="24"/>
          <w:lang w:eastAsia="en-ZW"/>
        </w:rPr>
        <w:lastRenderedPageBreak/>
        <w:t xml:space="preserve">and </w:t>
      </w:r>
      <w:r w:rsidR="00454E7C">
        <w:rPr>
          <w:rFonts w:ascii="Times" w:eastAsia="Times New Roman" w:hAnsi="Times" w:cs="Times"/>
          <w:color w:val="000000"/>
          <w:sz w:val="24"/>
          <w:szCs w:val="24"/>
          <w:lang w:eastAsia="en-ZW"/>
        </w:rPr>
        <w:t xml:space="preserve">first </w:t>
      </w:r>
      <w:r w:rsidR="00FB747A">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efendant was </w:t>
      </w:r>
      <w:r w:rsidRPr="00140DEA">
        <w:rPr>
          <w:rFonts w:ascii="Times" w:eastAsia="Times New Roman" w:hAnsi="Times" w:cs="Times"/>
          <w:i/>
          <w:iCs/>
          <w:color w:val="000000"/>
          <w:sz w:val="24"/>
          <w:szCs w:val="24"/>
          <w:lang w:eastAsia="en-ZW"/>
        </w:rPr>
        <w:t>contra bonis mores.</w:t>
      </w:r>
      <w:r w:rsidRPr="00140DEA">
        <w:rPr>
          <w:rFonts w:ascii="Times" w:eastAsia="Times New Roman" w:hAnsi="Times" w:cs="Times"/>
          <w:color w:val="000000"/>
          <w:sz w:val="24"/>
          <w:szCs w:val="24"/>
          <w:lang w:eastAsia="en-ZW"/>
        </w:rPr>
        <w:t> It was a contract concluded against public policy relating to protection of marriage.</w:t>
      </w:r>
      <w:r w:rsidRPr="00140DEA">
        <w:rPr>
          <w:rFonts w:ascii="Times New Roman" w:eastAsia="Times New Roman" w:hAnsi="Times New Roman" w:cs="Times New Roman"/>
          <w:color w:val="000000"/>
          <w:sz w:val="24"/>
          <w:szCs w:val="24"/>
          <w:lang w:eastAsia="en-ZW"/>
        </w:rPr>
        <w:t> </w:t>
      </w:r>
    </w:p>
    <w:p w:rsidR="00C72343" w:rsidRPr="00140DEA" w:rsidRDefault="00C72343" w:rsidP="00B0001E">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In </w:t>
      </w:r>
      <w:r w:rsidRPr="00140DEA">
        <w:rPr>
          <w:rFonts w:ascii="Times" w:eastAsia="Times New Roman" w:hAnsi="Times" w:cs="Times"/>
          <w:i/>
          <w:iCs/>
          <w:color w:val="000000"/>
          <w:sz w:val="24"/>
          <w:szCs w:val="24"/>
          <w:lang w:eastAsia="en-ZW"/>
        </w:rPr>
        <w:t xml:space="preserve">Holman </w:t>
      </w:r>
      <w:r w:rsidRPr="00B0001E">
        <w:rPr>
          <w:rFonts w:ascii="Times" w:eastAsia="Times New Roman" w:hAnsi="Times" w:cs="Times"/>
          <w:iCs/>
          <w:color w:val="000000"/>
          <w:sz w:val="24"/>
          <w:szCs w:val="24"/>
          <w:lang w:eastAsia="en-ZW"/>
        </w:rPr>
        <w:t xml:space="preserve">v </w:t>
      </w:r>
      <w:r w:rsidRPr="00140DEA">
        <w:rPr>
          <w:rFonts w:ascii="Times" w:eastAsia="Times New Roman" w:hAnsi="Times" w:cs="Times"/>
          <w:i/>
          <w:iCs/>
          <w:color w:val="000000"/>
          <w:sz w:val="24"/>
          <w:szCs w:val="24"/>
          <w:lang w:eastAsia="en-ZW"/>
        </w:rPr>
        <w:t>Johnson</w:t>
      </w:r>
      <w:r w:rsidRPr="00140DEA">
        <w:rPr>
          <w:rFonts w:ascii="Times" w:eastAsia="Times New Roman" w:hAnsi="Times" w:cs="Times"/>
          <w:color w:val="000000"/>
          <w:sz w:val="24"/>
          <w:szCs w:val="24"/>
          <w:lang w:eastAsia="en-ZW"/>
        </w:rPr>
        <w:t xml:space="preserve"> (1775) 1 Cowp at 341, Lord </w:t>
      </w:r>
      <w:r w:rsidRPr="00B0001E">
        <w:rPr>
          <w:rFonts w:ascii="Times" w:eastAsia="Times New Roman" w:hAnsi="Times" w:cs="Times"/>
          <w:smallCaps/>
          <w:color w:val="000000"/>
          <w:sz w:val="24"/>
          <w:szCs w:val="24"/>
          <w:lang w:eastAsia="en-ZW"/>
        </w:rPr>
        <w:t xml:space="preserve">Mansfield </w:t>
      </w:r>
      <w:r w:rsidRPr="00140DEA">
        <w:rPr>
          <w:rFonts w:ascii="Times" w:eastAsia="Times New Roman" w:hAnsi="Times" w:cs="Times"/>
          <w:color w:val="000000"/>
          <w:sz w:val="24"/>
          <w:szCs w:val="24"/>
          <w:lang w:eastAsia="en-ZW"/>
        </w:rPr>
        <w:t>said:</w:t>
      </w:r>
    </w:p>
    <w:p w:rsidR="00C72343" w:rsidRPr="00B0001E" w:rsidRDefault="00C72343" w:rsidP="00B0001E">
      <w:pPr>
        <w:spacing w:before="100" w:beforeAutospacing="1" w:after="100" w:afterAutospacing="1" w:line="240" w:lineRule="auto"/>
        <w:ind w:left="720"/>
        <w:jc w:val="both"/>
        <w:rPr>
          <w:rFonts w:ascii="Times New Roman" w:eastAsia="Times New Roman" w:hAnsi="Times New Roman" w:cs="Times New Roman"/>
          <w:color w:val="000000"/>
          <w:lang w:eastAsia="en-ZW"/>
        </w:rPr>
      </w:pPr>
      <w:r w:rsidRPr="00B0001E">
        <w:rPr>
          <w:rFonts w:ascii="Times New Roman" w:eastAsia="Times New Roman" w:hAnsi="Times New Roman" w:cs="Times New Roman"/>
          <w:iCs/>
          <w:color w:val="000000"/>
          <w:lang w:eastAsia="en-ZW"/>
        </w:rPr>
        <w:t>“No Court will lend its aid to a man who founds his cause of action upon an immoral or illegal act. If from the plaintiff’s own stating or otherwise, the cause of action appears to arise ex turpi causa (i.e out of an evil cause), or the transgression of a positive law of this country, there the courts say he has no right to be assisted”.</w:t>
      </w:r>
    </w:p>
    <w:p w:rsidR="00C72343" w:rsidRPr="00140DEA" w:rsidRDefault="00C72343" w:rsidP="00B0001E">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 xml:space="preserve">The above would suggest that </w:t>
      </w:r>
      <w:r w:rsidR="00B0001E">
        <w:rPr>
          <w:rFonts w:ascii="Times" w:eastAsia="Times New Roman" w:hAnsi="Times" w:cs="Times"/>
          <w:color w:val="000000"/>
          <w:sz w:val="24"/>
          <w:szCs w:val="24"/>
          <w:lang w:eastAsia="en-ZW"/>
        </w:rPr>
        <w:t>the a</w:t>
      </w:r>
      <w:r w:rsidRPr="00140DEA">
        <w:rPr>
          <w:rFonts w:ascii="Times" w:eastAsia="Times New Roman" w:hAnsi="Times" w:cs="Times"/>
          <w:color w:val="000000"/>
          <w:sz w:val="24"/>
          <w:szCs w:val="24"/>
          <w:lang w:eastAsia="en-ZW"/>
        </w:rPr>
        <w:t xml:space="preserve">pplicant does not deserve protection because the basis upon which he ceded his rights to </w:t>
      </w:r>
      <w:r w:rsidR="00B0001E">
        <w:rPr>
          <w:rFonts w:ascii="Times" w:eastAsia="Times New Roman" w:hAnsi="Times" w:cs="Times"/>
          <w:color w:val="000000"/>
          <w:sz w:val="24"/>
          <w:szCs w:val="24"/>
          <w:lang w:eastAsia="en-ZW"/>
        </w:rPr>
        <w:t>the d</w:t>
      </w:r>
      <w:r w:rsidRPr="00140DEA">
        <w:rPr>
          <w:rFonts w:ascii="Times" w:eastAsia="Times New Roman" w:hAnsi="Times" w:cs="Times"/>
          <w:color w:val="000000"/>
          <w:sz w:val="24"/>
          <w:szCs w:val="24"/>
          <w:lang w:eastAsia="en-ZW"/>
        </w:rPr>
        <w:t>efendant was </w:t>
      </w:r>
      <w:r w:rsidRPr="00140DEA">
        <w:rPr>
          <w:rFonts w:ascii="Times" w:eastAsia="Times New Roman" w:hAnsi="Times" w:cs="Times"/>
          <w:i/>
          <w:iCs/>
          <w:color w:val="000000"/>
          <w:sz w:val="24"/>
          <w:szCs w:val="24"/>
          <w:lang w:eastAsia="en-ZW"/>
        </w:rPr>
        <w:t>contra bonis mores</w:t>
      </w:r>
      <w:r w:rsidRPr="00140DEA">
        <w:rPr>
          <w:rFonts w:ascii="Times" w:eastAsia="Times New Roman" w:hAnsi="Times" w:cs="Times"/>
          <w:color w:val="000000"/>
          <w:sz w:val="24"/>
          <w:szCs w:val="24"/>
          <w:lang w:eastAsia="en-ZW"/>
        </w:rPr>
        <w:t>. However, the Court should depart from that position in the interests of justice and fairness, particularly when one considers th</w:t>
      </w:r>
      <w:r w:rsidR="00125617">
        <w:rPr>
          <w:rFonts w:ascii="Times" w:eastAsia="Times New Roman" w:hAnsi="Times" w:cs="Times"/>
          <w:color w:val="000000"/>
          <w:sz w:val="24"/>
          <w:szCs w:val="24"/>
          <w:lang w:eastAsia="en-ZW"/>
        </w:rPr>
        <w:t xml:space="preserve">at behind </w:t>
      </w:r>
      <w:r w:rsidR="00B0001E">
        <w:rPr>
          <w:rFonts w:ascii="Times" w:eastAsia="Times New Roman" w:hAnsi="Times" w:cs="Times"/>
          <w:color w:val="000000"/>
          <w:sz w:val="24"/>
          <w:szCs w:val="24"/>
          <w:lang w:eastAsia="en-ZW"/>
        </w:rPr>
        <w:t>the a</w:t>
      </w:r>
      <w:r w:rsidR="00125617">
        <w:rPr>
          <w:rFonts w:ascii="Times" w:eastAsia="Times New Roman" w:hAnsi="Times" w:cs="Times"/>
          <w:color w:val="000000"/>
          <w:sz w:val="24"/>
          <w:szCs w:val="24"/>
          <w:lang w:eastAsia="en-ZW"/>
        </w:rPr>
        <w:t>pplicant is a wife (</w:t>
      </w:r>
      <w:r w:rsidRPr="00140DEA">
        <w:rPr>
          <w:rFonts w:ascii="Times" w:eastAsia="Times New Roman" w:hAnsi="Times" w:cs="Times"/>
          <w:color w:val="000000"/>
          <w:sz w:val="24"/>
          <w:szCs w:val="24"/>
          <w:lang w:eastAsia="en-ZW"/>
        </w:rPr>
        <w:t xml:space="preserve">and potentially children) who may have been prejudiced when </w:t>
      </w:r>
      <w:r w:rsidR="00B0001E">
        <w:rPr>
          <w:rFonts w:ascii="Times" w:eastAsia="Times New Roman" w:hAnsi="Times" w:cs="Times"/>
          <w:color w:val="000000"/>
          <w:sz w:val="24"/>
          <w:szCs w:val="24"/>
          <w:lang w:eastAsia="en-ZW"/>
        </w:rPr>
        <w:t>the a</w:t>
      </w:r>
      <w:r w:rsidRPr="00140DEA">
        <w:rPr>
          <w:rFonts w:ascii="Times" w:eastAsia="Times New Roman" w:hAnsi="Times" w:cs="Times"/>
          <w:color w:val="000000"/>
          <w:sz w:val="24"/>
          <w:szCs w:val="24"/>
          <w:lang w:eastAsia="en-ZW"/>
        </w:rPr>
        <w:t xml:space="preserve">pplicant ceded these rights to </w:t>
      </w:r>
      <w:r w:rsidR="00B0001E">
        <w:rPr>
          <w:rFonts w:ascii="Times" w:eastAsia="Times New Roman" w:hAnsi="Times" w:cs="Times"/>
          <w:color w:val="000000"/>
          <w:sz w:val="24"/>
          <w:szCs w:val="24"/>
          <w:lang w:eastAsia="en-ZW"/>
        </w:rPr>
        <w:t>the d</w:t>
      </w:r>
      <w:r w:rsidRPr="00140DEA">
        <w:rPr>
          <w:rFonts w:ascii="Times" w:eastAsia="Times New Roman" w:hAnsi="Times" w:cs="Times"/>
          <w:color w:val="000000"/>
          <w:sz w:val="24"/>
          <w:szCs w:val="24"/>
          <w:lang w:eastAsia="en-ZW"/>
        </w:rPr>
        <w:t xml:space="preserve">efendant. The fact that </w:t>
      </w:r>
      <w:r w:rsidR="00B0001E">
        <w:rPr>
          <w:rFonts w:ascii="Times" w:eastAsia="Times New Roman" w:hAnsi="Times" w:cs="Times"/>
          <w:color w:val="000000"/>
          <w:sz w:val="24"/>
          <w:szCs w:val="24"/>
          <w:lang w:eastAsia="en-ZW"/>
        </w:rPr>
        <w:t>the a</w:t>
      </w:r>
      <w:r w:rsidRPr="00140DEA">
        <w:rPr>
          <w:rFonts w:ascii="Times" w:eastAsia="Times New Roman" w:hAnsi="Times" w:cs="Times"/>
          <w:color w:val="000000"/>
          <w:sz w:val="24"/>
          <w:szCs w:val="24"/>
          <w:lang w:eastAsia="en-ZW"/>
        </w:rPr>
        <w:t>pplicant’s wife is not a party to these proceedings does not means she does not exist.</w:t>
      </w:r>
    </w:p>
    <w:p w:rsidR="00C72343" w:rsidRPr="00140DEA" w:rsidRDefault="00C72343" w:rsidP="00B0001E">
      <w:pPr>
        <w:spacing w:after="0" w:line="360" w:lineRule="auto"/>
        <w:ind w:firstLine="720"/>
        <w:jc w:val="both"/>
        <w:rPr>
          <w:rFonts w:ascii="Times New Roman" w:eastAsia="Times New Roman" w:hAnsi="Times New Roman" w:cs="Times New Roman"/>
          <w:color w:val="000000"/>
          <w:sz w:val="24"/>
          <w:szCs w:val="24"/>
          <w:lang w:eastAsia="en-ZW"/>
        </w:rPr>
      </w:pPr>
      <w:r w:rsidRPr="00140DEA">
        <w:rPr>
          <w:rFonts w:ascii="Times" w:eastAsia="Times New Roman" w:hAnsi="Times" w:cs="Times"/>
          <w:color w:val="000000"/>
          <w:sz w:val="24"/>
          <w:szCs w:val="24"/>
          <w:lang w:eastAsia="en-ZW"/>
        </w:rPr>
        <w:t>The South African case of </w:t>
      </w:r>
      <w:r w:rsidRPr="00140DEA">
        <w:rPr>
          <w:rFonts w:ascii="Times" w:eastAsia="Times New Roman" w:hAnsi="Times" w:cs="Times"/>
          <w:i/>
          <w:iCs/>
          <w:color w:val="000000"/>
          <w:sz w:val="24"/>
          <w:szCs w:val="24"/>
          <w:lang w:eastAsia="en-ZW"/>
        </w:rPr>
        <w:t>J. P. M. K v R. P</w:t>
      </w:r>
      <w:r w:rsidR="00454E7C">
        <w:rPr>
          <w:rFonts w:ascii="Times" w:eastAsia="Times New Roman" w:hAnsi="Times" w:cs="Times"/>
          <w:i/>
          <w:iCs/>
          <w:color w:val="000000"/>
          <w:sz w:val="24"/>
          <w:szCs w:val="24"/>
          <w:lang w:eastAsia="en-ZW"/>
        </w:rPr>
        <w:t xml:space="preserve"> (supra)</w:t>
      </w:r>
      <w:r w:rsidRPr="00140DEA">
        <w:rPr>
          <w:rFonts w:ascii="Times" w:eastAsia="Times New Roman" w:hAnsi="Times" w:cs="Times"/>
          <w:color w:val="000000"/>
          <w:sz w:val="24"/>
          <w:szCs w:val="24"/>
          <w:lang w:eastAsia="en-ZW"/>
        </w:rPr>
        <w:t xml:space="preserve"> is of persuasive value here. One of the questions in this case was whether the engagement ring should be returned to plaintiff given that the engagement between plaintiff and </w:t>
      </w:r>
      <w:r w:rsidR="00B0001E">
        <w:rPr>
          <w:rFonts w:ascii="Times" w:eastAsia="Times New Roman" w:hAnsi="Times" w:cs="Times"/>
          <w:color w:val="000000"/>
          <w:sz w:val="24"/>
          <w:szCs w:val="24"/>
          <w:lang w:eastAsia="en-ZW"/>
        </w:rPr>
        <w:t xml:space="preserve">the </w:t>
      </w:r>
      <w:r w:rsidRPr="00140DEA">
        <w:rPr>
          <w:rFonts w:ascii="Times" w:eastAsia="Times New Roman" w:hAnsi="Times" w:cs="Times"/>
          <w:color w:val="000000"/>
          <w:sz w:val="24"/>
          <w:szCs w:val="24"/>
          <w:lang w:eastAsia="en-ZW"/>
        </w:rPr>
        <w:t xml:space="preserve">defendant was void by virtue of it being </w:t>
      </w:r>
      <w:r w:rsidRPr="00454E7C">
        <w:rPr>
          <w:rFonts w:ascii="Times" w:eastAsia="Times New Roman" w:hAnsi="Times" w:cs="Times"/>
          <w:i/>
          <w:color w:val="000000"/>
          <w:sz w:val="24"/>
          <w:szCs w:val="24"/>
          <w:lang w:eastAsia="en-ZW"/>
        </w:rPr>
        <w:t>contra bonis mores</w:t>
      </w:r>
      <w:r w:rsidRPr="00140DEA">
        <w:rPr>
          <w:rFonts w:ascii="Times" w:eastAsia="Times New Roman" w:hAnsi="Times" w:cs="Times"/>
          <w:color w:val="000000"/>
          <w:sz w:val="24"/>
          <w:szCs w:val="24"/>
          <w:lang w:eastAsia="en-ZW"/>
        </w:rPr>
        <w:t>. In this case, plaintiff and defendant engaged at a time when both knew that defendant was married to someone else. The court held as follows:</w:t>
      </w:r>
    </w:p>
    <w:p w:rsidR="00C72343" w:rsidRPr="00B0001E" w:rsidRDefault="00B0001E" w:rsidP="00B0001E">
      <w:pPr>
        <w:spacing w:before="100" w:after="100" w:line="240" w:lineRule="auto"/>
        <w:ind w:left="720"/>
        <w:jc w:val="both"/>
        <w:rPr>
          <w:rFonts w:ascii="Times New Roman" w:eastAsia="Times New Roman" w:hAnsi="Times New Roman" w:cs="Times New Roman"/>
          <w:color w:val="000000"/>
          <w:lang w:eastAsia="en-ZW"/>
        </w:rPr>
      </w:pPr>
      <w:r w:rsidRPr="00B0001E">
        <w:rPr>
          <w:rFonts w:ascii="Times New Roman" w:eastAsia="Times New Roman" w:hAnsi="Times New Roman" w:cs="Times New Roman"/>
          <w:iCs/>
          <w:color w:val="000000"/>
          <w:lang w:eastAsia="en-ZW"/>
        </w:rPr>
        <w:t>“</w:t>
      </w:r>
      <w:r w:rsidR="00C72343" w:rsidRPr="00B0001E">
        <w:rPr>
          <w:rFonts w:ascii="Times New Roman" w:eastAsia="Times New Roman" w:hAnsi="Times New Roman" w:cs="Times New Roman"/>
          <w:iCs/>
          <w:color w:val="000000"/>
          <w:lang w:eastAsia="en-ZW"/>
        </w:rPr>
        <w:t>[16] Counsel for the applicant referred me to a decision of the Court of Appeals of Michigan</w:t>
      </w:r>
      <w:r w:rsidR="00C72343" w:rsidRPr="00B0001E">
        <w:rPr>
          <w:rFonts w:ascii="Times New Roman" w:eastAsia="Times New Roman" w:hAnsi="Times New Roman" w:cs="Times New Roman"/>
          <w:iCs/>
          <w:color w:val="000000"/>
          <w:vertAlign w:val="superscript"/>
          <w:lang w:eastAsia="en-ZW"/>
        </w:rPr>
        <w:t> </w:t>
      </w:r>
      <w:r w:rsidR="00C72343" w:rsidRPr="00B0001E">
        <w:rPr>
          <w:rFonts w:ascii="Times New Roman" w:eastAsia="Times New Roman" w:hAnsi="Times New Roman" w:cs="Times New Roman"/>
          <w:iCs/>
          <w:color w:val="000000"/>
          <w:lang w:eastAsia="en-ZW"/>
        </w:rPr>
        <w:t>where it was held that an engagement ring is an “impliedly conditional gift” which is only a completed gift upon marriage and if the engagement is terminated for whatever reason, the gift is not capable of being a completed gift and must be returned to the donor. That is with respect, a sensible approach.</w:t>
      </w:r>
    </w:p>
    <w:p w:rsidR="00C72343" w:rsidRPr="00B0001E" w:rsidRDefault="00C72343" w:rsidP="00B0001E">
      <w:pPr>
        <w:spacing w:before="100" w:after="100" w:line="240" w:lineRule="auto"/>
        <w:ind w:left="720"/>
        <w:jc w:val="both"/>
        <w:rPr>
          <w:rFonts w:ascii="Times New Roman" w:eastAsia="Times New Roman" w:hAnsi="Times New Roman" w:cs="Times New Roman"/>
          <w:color w:val="000000"/>
          <w:lang w:eastAsia="en-ZW"/>
        </w:rPr>
      </w:pPr>
      <w:r w:rsidRPr="00B0001E">
        <w:rPr>
          <w:rFonts w:ascii="Times New Roman" w:eastAsia="Times New Roman" w:hAnsi="Times New Roman" w:cs="Times New Roman"/>
          <w:iCs/>
          <w:color w:val="000000"/>
          <w:lang w:eastAsia="en-ZW"/>
        </w:rPr>
        <w:t>[17] The engagement ring was given to the respondent in this case in contemplation of a marriage and remained a conditional gift. Since the condition of marriage was not fulfilled, the ring ought to be returned to the donor, because it is no longer capable of becoming a completed gift. This principle, in my view, also applies if the engagement is void ab initio by virtue of it being contra bonis mores.</w:t>
      </w:r>
    </w:p>
    <w:p w:rsidR="00C72343" w:rsidRPr="00B0001E" w:rsidRDefault="00C72343" w:rsidP="00B0001E">
      <w:pPr>
        <w:spacing w:before="100" w:beforeAutospacing="1" w:after="100" w:afterAutospacing="1" w:line="240" w:lineRule="auto"/>
        <w:ind w:left="720"/>
        <w:jc w:val="both"/>
        <w:rPr>
          <w:rFonts w:ascii="Times New Roman" w:eastAsia="Times New Roman" w:hAnsi="Times New Roman" w:cs="Times New Roman"/>
          <w:color w:val="000000"/>
          <w:lang w:eastAsia="en-ZW"/>
        </w:rPr>
      </w:pPr>
      <w:r w:rsidRPr="00B0001E">
        <w:rPr>
          <w:rFonts w:ascii="Times New Roman" w:eastAsia="Times New Roman" w:hAnsi="Times New Roman" w:cs="Times New Roman"/>
          <w:iCs/>
          <w:color w:val="000000"/>
          <w:lang w:eastAsia="en-ZW"/>
        </w:rPr>
        <w:t>[18] It strikes me as rather unfair in these particular circumstances that the respondent (donee) should benefit from the par delictum rule at the expense of the applicant, if both parties were “at fault” and the engagement was terminated by mutual consent. Why should the applicant alone be penalized? It makes no sense.</w:t>
      </w:r>
      <w:r w:rsidR="00B0001E">
        <w:rPr>
          <w:rFonts w:ascii="Times New Roman" w:eastAsia="Times New Roman" w:hAnsi="Times New Roman" w:cs="Times New Roman"/>
          <w:iCs/>
          <w:color w:val="000000"/>
          <w:lang w:eastAsia="en-ZW"/>
        </w:rPr>
        <w:t>”</w:t>
      </w:r>
      <w:r w:rsidRPr="00B0001E">
        <w:rPr>
          <w:rFonts w:ascii="Times New Roman" w:eastAsia="Times New Roman" w:hAnsi="Times New Roman" w:cs="Times New Roman"/>
          <w:color w:val="000000"/>
          <w:lang w:eastAsia="en-ZW"/>
        </w:rPr>
        <w:t> </w:t>
      </w:r>
    </w:p>
    <w:p w:rsidR="00627FF1" w:rsidRDefault="00C72343" w:rsidP="00454E7C">
      <w:pPr>
        <w:spacing w:after="0" w:line="360" w:lineRule="auto"/>
        <w:ind w:firstLine="720"/>
        <w:jc w:val="both"/>
        <w:rPr>
          <w:rFonts w:ascii="Times" w:eastAsia="Times New Roman" w:hAnsi="Times" w:cs="Times"/>
          <w:color w:val="000000"/>
          <w:sz w:val="24"/>
          <w:szCs w:val="24"/>
          <w:lang w:eastAsia="en-ZW"/>
        </w:rPr>
      </w:pPr>
      <w:r w:rsidRPr="00140DEA">
        <w:rPr>
          <w:rFonts w:ascii="Times" w:eastAsia="Times New Roman" w:hAnsi="Times" w:cs="Times"/>
          <w:color w:val="000000"/>
          <w:sz w:val="24"/>
          <w:szCs w:val="24"/>
          <w:lang w:eastAsia="en-ZW"/>
        </w:rPr>
        <w:t xml:space="preserve">In the matter before this Court, both </w:t>
      </w:r>
      <w:r w:rsidR="00454E7C">
        <w:rPr>
          <w:rFonts w:ascii="Times" w:eastAsia="Times New Roman" w:hAnsi="Times" w:cs="Times"/>
          <w:color w:val="000000"/>
          <w:sz w:val="24"/>
          <w:szCs w:val="24"/>
          <w:lang w:eastAsia="en-ZW"/>
        </w:rPr>
        <w:t>plaintiff</w:t>
      </w:r>
      <w:r w:rsidRPr="00140DEA">
        <w:rPr>
          <w:rFonts w:ascii="Times" w:eastAsia="Times New Roman" w:hAnsi="Times" w:cs="Times"/>
          <w:color w:val="000000"/>
          <w:sz w:val="24"/>
          <w:szCs w:val="24"/>
          <w:lang w:eastAsia="en-ZW"/>
        </w:rPr>
        <w:t xml:space="preserve"> and </w:t>
      </w:r>
      <w:r w:rsidR="00454E7C">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were fully aware that they are both married to someone else and their verbal agreement which resulted in rights being ceded to </w:t>
      </w:r>
      <w:r w:rsidR="00B0001E">
        <w:rPr>
          <w:rFonts w:ascii="Times" w:eastAsia="Times New Roman" w:hAnsi="Times" w:cs="Times"/>
          <w:color w:val="000000"/>
          <w:sz w:val="24"/>
          <w:szCs w:val="24"/>
          <w:lang w:eastAsia="en-ZW"/>
        </w:rPr>
        <w:t xml:space="preserve">the </w:t>
      </w:r>
      <w:r w:rsidR="00454E7C">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efendant was </w:t>
      </w:r>
      <w:r w:rsidRPr="00140DEA">
        <w:rPr>
          <w:rFonts w:ascii="Times" w:eastAsia="Times New Roman" w:hAnsi="Times" w:cs="Times"/>
          <w:i/>
          <w:iCs/>
          <w:color w:val="000000"/>
          <w:sz w:val="24"/>
          <w:szCs w:val="24"/>
          <w:lang w:eastAsia="en-ZW"/>
        </w:rPr>
        <w:t>contra bonis mores</w:t>
      </w:r>
      <w:r w:rsidRPr="00140DEA">
        <w:rPr>
          <w:rFonts w:ascii="Times" w:eastAsia="Times New Roman" w:hAnsi="Times" w:cs="Times"/>
          <w:color w:val="000000"/>
          <w:sz w:val="24"/>
          <w:szCs w:val="24"/>
          <w:lang w:eastAsia="en-ZW"/>
        </w:rPr>
        <w:t xml:space="preserve">, in the sense that it undermined the existing marriages. It is therefore in the interests of justice and fairness that the Court reverses this contractual agreement and revoke </w:t>
      </w:r>
      <w:r w:rsidR="00B0001E">
        <w:rPr>
          <w:rFonts w:ascii="Times" w:eastAsia="Times New Roman" w:hAnsi="Times" w:cs="Times"/>
          <w:color w:val="000000"/>
          <w:sz w:val="24"/>
          <w:szCs w:val="24"/>
          <w:lang w:eastAsia="en-ZW"/>
        </w:rPr>
        <w:t xml:space="preserve">the </w:t>
      </w:r>
      <w:r w:rsidR="00454E7C">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efendant’s rights of co-ownership given that: </w:t>
      </w:r>
      <w:r w:rsidRPr="00140DEA">
        <w:rPr>
          <w:rFonts w:ascii="Times" w:eastAsia="Times New Roman" w:hAnsi="Times" w:cs="Times"/>
          <w:color w:val="000000"/>
          <w:sz w:val="24"/>
          <w:szCs w:val="24"/>
          <w:lang w:eastAsia="en-ZW"/>
        </w:rPr>
        <w:lastRenderedPageBreak/>
        <w:t xml:space="preserve">(a) Both </w:t>
      </w:r>
      <w:r w:rsidR="00454E7C">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and </w:t>
      </w:r>
      <w:r w:rsidR="00B0001E">
        <w:rPr>
          <w:rFonts w:ascii="Times" w:eastAsia="Times New Roman" w:hAnsi="Times" w:cs="Times"/>
          <w:color w:val="000000"/>
          <w:sz w:val="24"/>
          <w:szCs w:val="24"/>
          <w:lang w:eastAsia="en-ZW"/>
        </w:rPr>
        <w:t xml:space="preserve">the </w:t>
      </w:r>
      <w:r w:rsidR="00454E7C">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are at fault as they knew about their marital status at the time they entered into this verbal agreement to cede rights to </w:t>
      </w:r>
      <w:r w:rsidR="00B0001E">
        <w:rPr>
          <w:rFonts w:ascii="Times" w:eastAsia="Times New Roman" w:hAnsi="Times" w:cs="Times"/>
          <w:color w:val="000000"/>
          <w:sz w:val="24"/>
          <w:szCs w:val="24"/>
          <w:lang w:eastAsia="en-ZW"/>
        </w:rPr>
        <w:t xml:space="preserve">the </w:t>
      </w:r>
      <w:r w:rsidR="00454E7C">
        <w:rPr>
          <w:rFonts w:ascii="Times" w:eastAsia="Times New Roman" w:hAnsi="Times" w:cs="Times"/>
          <w:color w:val="000000"/>
          <w:sz w:val="24"/>
          <w:szCs w:val="24"/>
          <w:lang w:eastAsia="en-ZW"/>
        </w:rPr>
        <w:t xml:space="preserve">first </w:t>
      </w:r>
      <w:r w:rsidR="00B0001E">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(b) </w:t>
      </w:r>
      <w:r w:rsidR="00454E7C">
        <w:rPr>
          <w:rFonts w:ascii="Times" w:eastAsia="Times New Roman" w:hAnsi="Times" w:cs="Times"/>
          <w:color w:val="000000"/>
          <w:sz w:val="24"/>
          <w:szCs w:val="24"/>
          <w:lang w:eastAsia="en-ZW"/>
        </w:rPr>
        <w:t xml:space="preserve">first </w:t>
      </w:r>
      <w:r w:rsidR="00FB747A">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 xml:space="preserve">efendant did not pay any consideration in exchange for the rights given to her by </w:t>
      </w:r>
      <w:r w:rsidR="00454E7C">
        <w:rPr>
          <w:rFonts w:ascii="Times" w:eastAsia="Times New Roman" w:hAnsi="Times" w:cs="Times"/>
          <w:color w:val="000000"/>
          <w:sz w:val="24"/>
          <w:szCs w:val="24"/>
          <w:lang w:eastAsia="en-ZW"/>
        </w:rPr>
        <w:t>the plaintiff;</w:t>
      </w:r>
      <w:r w:rsidRPr="00140DEA">
        <w:rPr>
          <w:rFonts w:ascii="Times" w:eastAsia="Times New Roman" w:hAnsi="Times" w:cs="Times"/>
          <w:color w:val="000000"/>
          <w:sz w:val="24"/>
          <w:szCs w:val="24"/>
          <w:lang w:eastAsia="en-ZW"/>
        </w:rPr>
        <w:t xml:space="preserve"> and (c) </w:t>
      </w:r>
      <w:r w:rsidR="00454E7C">
        <w:rPr>
          <w:rFonts w:ascii="Times" w:eastAsia="Times New Roman" w:hAnsi="Times" w:cs="Times"/>
          <w:color w:val="000000"/>
          <w:sz w:val="24"/>
          <w:szCs w:val="24"/>
          <w:lang w:eastAsia="en-ZW"/>
        </w:rPr>
        <w:t>plaintiff</w:t>
      </w:r>
      <w:r w:rsidRPr="00140DEA">
        <w:rPr>
          <w:rFonts w:ascii="Times" w:eastAsia="Times New Roman" w:hAnsi="Times" w:cs="Times"/>
          <w:color w:val="000000"/>
          <w:sz w:val="24"/>
          <w:szCs w:val="24"/>
          <w:lang w:eastAsia="en-ZW"/>
        </w:rPr>
        <w:t xml:space="preserve"> potentially prejudiced his wife and children when he ceded those rights to </w:t>
      </w:r>
      <w:r w:rsidR="00454E7C">
        <w:rPr>
          <w:rFonts w:ascii="Times" w:eastAsia="Times New Roman" w:hAnsi="Times" w:cs="Times"/>
          <w:color w:val="000000"/>
          <w:sz w:val="24"/>
          <w:szCs w:val="24"/>
          <w:lang w:eastAsia="en-ZW"/>
        </w:rPr>
        <w:t xml:space="preserve">first </w:t>
      </w:r>
      <w:r w:rsidR="00FB747A">
        <w:rPr>
          <w:rFonts w:ascii="Times" w:eastAsia="Times New Roman" w:hAnsi="Times" w:cs="Times"/>
          <w:color w:val="000000"/>
          <w:sz w:val="24"/>
          <w:szCs w:val="24"/>
          <w:lang w:eastAsia="en-ZW"/>
        </w:rPr>
        <w:t>d</w:t>
      </w:r>
      <w:r w:rsidRPr="00140DEA">
        <w:rPr>
          <w:rFonts w:ascii="Times" w:eastAsia="Times New Roman" w:hAnsi="Times" w:cs="Times"/>
          <w:color w:val="000000"/>
          <w:sz w:val="24"/>
          <w:szCs w:val="24"/>
          <w:lang w:eastAsia="en-ZW"/>
        </w:rPr>
        <w:t>efendant.    </w:t>
      </w:r>
    </w:p>
    <w:p w:rsidR="00454E7C" w:rsidRDefault="00454E7C" w:rsidP="00454E7C">
      <w:pPr>
        <w:spacing w:after="0" w:line="360" w:lineRule="auto"/>
        <w:ind w:firstLine="720"/>
        <w:jc w:val="both"/>
        <w:rPr>
          <w:rFonts w:ascii="Times" w:eastAsia="Times New Roman" w:hAnsi="Times" w:cs="Times"/>
          <w:color w:val="000000"/>
          <w:sz w:val="24"/>
          <w:szCs w:val="24"/>
          <w:lang w:eastAsia="en-ZW"/>
        </w:rPr>
      </w:pPr>
    </w:p>
    <w:p w:rsidR="00627FF1" w:rsidRDefault="00627FF1" w:rsidP="00FB747A">
      <w:pPr>
        <w:spacing w:after="0" w:line="360" w:lineRule="auto"/>
        <w:ind w:firstLine="720"/>
        <w:jc w:val="both"/>
        <w:rPr>
          <w:rFonts w:ascii="Times" w:eastAsia="Times New Roman" w:hAnsi="Times" w:cs="Times"/>
          <w:color w:val="000000"/>
          <w:sz w:val="24"/>
          <w:szCs w:val="24"/>
          <w:lang w:eastAsia="en-ZW"/>
        </w:rPr>
      </w:pPr>
      <w:r>
        <w:rPr>
          <w:rFonts w:ascii="Times" w:eastAsia="Times New Roman" w:hAnsi="Times" w:cs="Times"/>
          <w:color w:val="000000"/>
          <w:sz w:val="24"/>
          <w:szCs w:val="24"/>
          <w:lang w:eastAsia="en-ZW"/>
        </w:rPr>
        <w:t>Consequently I make the following order:</w:t>
      </w:r>
    </w:p>
    <w:p w:rsidR="00627FF1" w:rsidRDefault="00125617" w:rsidP="00627FF1">
      <w:pPr>
        <w:pStyle w:val="ListParagraph"/>
        <w:numPr>
          <w:ilvl w:val="0"/>
          <w:numId w:val="6"/>
        </w:numPr>
        <w:spacing w:before="100" w:beforeAutospacing="1" w:after="100" w:afterAutospacing="1" w:line="360" w:lineRule="auto"/>
        <w:jc w:val="both"/>
        <w:rPr>
          <w:rFonts w:ascii="Times" w:eastAsia="Times New Roman" w:hAnsi="Times" w:cs="Times"/>
          <w:color w:val="000000"/>
          <w:sz w:val="24"/>
          <w:szCs w:val="24"/>
          <w:lang w:eastAsia="en-ZW"/>
        </w:rPr>
      </w:pPr>
      <w:r>
        <w:rPr>
          <w:rFonts w:ascii="Times" w:eastAsia="Times New Roman" w:hAnsi="Times" w:cs="Times"/>
          <w:color w:val="000000"/>
          <w:sz w:val="24"/>
          <w:szCs w:val="24"/>
          <w:lang w:eastAsia="en-ZW"/>
        </w:rPr>
        <w:t>That it be and</w:t>
      </w:r>
      <w:r w:rsidR="00627FF1">
        <w:rPr>
          <w:rFonts w:ascii="Times" w:eastAsia="Times New Roman" w:hAnsi="Times" w:cs="Times"/>
          <w:color w:val="000000"/>
          <w:sz w:val="24"/>
          <w:szCs w:val="24"/>
          <w:lang w:eastAsia="en-ZW"/>
        </w:rPr>
        <w:t xml:space="preserve"> is hereby declared that plaintiff is the sole owner of the rights, title and interests in certain piece of land situate in the District of Salisbury called Stand 757 Kambuzuma Township measuring 255square metres held under Deed of Transfer No. 1251/2012 also known as house No 757 Section 3 Kambuzuma, Harare.</w:t>
      </w:r>
    </w:p>
    <w:p w:rsidR="00627FF1" w:rsidRDefault="00627FF1" w:rsidP="00627FF1">
      <w:pPr>
        <w:pStyle w:val="ListParagraph"/>
        <w:numPr>
          <w:ilvl w:val="0"/>
          <w:numId w:val="6"/>
        </w:numPr>
        <w:spacing w:before="100" w:beforeAutospacing="1" w:after="100" w:afterAutospacing="1" w:line="360" w:lineRule="auto"/>
        <w:jc w:val="both"/>
        <w:rPr>
          <w:rFonts w:ascii="Times" w:eastAsia="Times New Roman" w:hAnsi="Times" w:cs="Times"/>
          <w:color w:val="000000"/>
          <w:sz w:val="24"/>
          <w:szCs w:val="24"/>
          <w:lang w:eastAsia="en-ZW"/>
        </w:rPr>
      </w:pPr>
      <w:r>
        <w:rPr>
          <w:rFonts w:ascii="Times" w:eastAsia="Times New Roman" w:hAnsi="Times" w:cs="Times"/>
          <w:color w:val="000000"/>
          <w:sz w:val="24"/>
          <w:szCs w:val="24"/>
          <w:lang w:eastAsia="en-ZW"/>
        </w:rPr>
        <w:t xml:space="preserve">Second Defendant be and is hereby </w:t>
      </w:r>
      <w:r w:rsidR="00125617">
        <w:rPr>
          <w:rFonts w:ascii="Times" w:eastAsia="Times New Roman" w:hAnsi="Times" w:cs="Times"/>
          <w:color w:val="000000"/>
          <w:sz w:val="24"/>
          <w:szCs w:val="24"/>
          <w:lang w:eastAsia="en-ZW"/>
        </w:rPr>
        <w:t>ordered and directed to rectify Deed of Transfer No. 1251/2012 by deleting all reference to the First Defendant as a registered co-owner of a certain piece of land situate in the District of Salisbury called Stand 757 Kambuzuma Township measuring 255square metres held under Deed of Transfer No. 1251/2012 also known as house No 757 Section 3 Kambuzuma, Harare.</w:t>
      </w:r>
    </w:p>
    <w:p w:rsidR="00627FF1" w:rsidRDefault="00125617" w:rsidP="00873185">
      <w:pPr>
        <w:pStyle w:val="ListParagraph"/>
        <w:numPr>
          <w:ilvl w:val="0"/>
          <w:numId w:val="6"/>
        </w:numPr>
        <w:spacing w:before="100" w:beforeAutospacing="1" w:after="100" w:afterAutospacing="1" w:line="360" w:lineRule="auto"/>
        <w:jc w:val="both"/>
        <w:rPr>
          <w:rFonts w:ascii="Times" w:eastAsia="Times New Roman" w:hAnsi="Times" w:cs="Times"/>
          <w:color w:val="000000"/>
          <w:sz w:val="24"/>
          <w:szCs w:val="24"/>
          <w:lang w:eastAsia="en-ZW"/>
        </w:rPr>
      </w:pPr>
      <w:r w:rsidRPr="00125617">
        <w:rPr>
          <w:rFonts w:ascii="Times" w:eastAsia="Times New Roman" w:hAnsi="Times" w:cs="Times"/>
          <w:color w:val="000000"/>
          <w:sz w:val="24"/>
          <w:szCs w:val="24"/>
          <w:lang w:eastAsia="en-ZW"/>
        </w:rPr>
        <w:t>First defendant is to pay plaintiff’s costs.</w:t>
      </w:r>
    </w:p>
    <w:p w:rsidR="00125617" w:rsidRPr="00125617" w:rsidRDefault="00125617" w:rsidP="00125617">
      <w:pPr>
        <w:pStyle w:val="ListParagraph"/>
        <w:spacing w:before="100" w:beforeAutospacing="1" w:after="100" w:afterAutospacing="1" w:line="360" w:lineRule="auto"/>
        <w:jc w:val="both"/>
        <w:rPr>
          <w:rFonts w:ascii="Times" w:eastAsia="Times New Roman" w:hAnsi="Times" w:cs="Times"/>
          <w:color w:val="000000"/>
          <w:sz w:val="24"/>
          <w:szCs w:val="24"/>
          <w:lang w:eastAsia="en-ZW"/>
        </w:rPr>
      </w:pPr>
    </w:p>
    <w:p w:rsidR="00C72343" w:rsidRDefault="00C72343" w:rsidP="00140DEA">
      <w:pPr>
        <w:spacing w:before="100" w:beforeAutospacing="1" w:after="100" w:afterAutospacing="1" w:line="360" w:lineRule="auto"/>
        <w:jc w:val="both"/>
        <w:rPr>
          <w:rFonts w:ascii="Times" w:eastAsia="Times New Roman" w:hAnsi="Times" w:cs="Times"/>
          <w:color w:val="000000"/>
          <w:sz w:val="24"/>
          <w:szCs w:val="24"/>
          <w:lang w:eastAsia="en-ZW"/>
        </w:rPr>
      </w:pPr>
      <w:r w:rsidRPr="00140DEA">
        <w:rPr>
          <w:rFonts w:ascii="Times" w:eastAsia="Times New Roman" w:hAnsi="Times" w:cs="Times"/>
          <w:color w:val="000000"/>
          <w:sz w:val="24"/>
          <w:szCs w:val="24"/>
          <w:lang w:eastAsia="en-ZW"/>
        </w:rPr>
        <w:t> </w:t>
      </w:r>
    </w:p>
    <w:p w:rsidR="00627FF1" w:rsidRDefault="00627FF1" w:rsidP="00FB747A">
      <w:pPr>
        <w:spacing w:after="0" w:line="240" w:lineRule="auto"/>
        <w:jc w:val="both"/>
        <w:rPr>
          <w:rFonts w:ascii="Times" w:eastAsia="Times New Roman" w:hAnsi="Times" w:cs="Times"/>
          <w:color w:val="000000"/>
          <w:sz w:val="24"/>
          <w:szCs w:val="24"/>
          <w:lang w:eastAsia="en-ZW"/>
        </w:rPr>
      </w:pPr>
      <w:r w:rsidRPr="00627FF1">
        <w:rPr>
          <w:rFonts w:ascii="Times" w:eastAsia="Times New Roman" w:hAnsi="Times" w:cs="Times"/>
          <w:i/>
          <w:color w:val="000000"/>
          <w:sz w:val="24"/>
          <w:szCs w:val="24"/>
          <w:lang w:eastAsia="en-ZW"/>
        </w:rPr>
        <w:t>Muvirimi Law Chambers,</w:t>
      </w:r>
      <w:r>
        <w:rPr>
          <w:rFonts w:ascii="Times" w:eastAsia="Times New Roman" w:hAnsi="Times" w:cs="Times"/>
          <w:color w:val="000000"/>
          <w:sz w:val="24"/>
          <w:szCs w:val="24"/>
          <w:lang w:eastAsia="en-ZW"/>
        </w:rPr>
        <w:t xml:space="preserve"> plaintiff’s legal practitioners</w:t>
      </w:r>
    </w:p>
    <w:p w:rsidR="00C72343" w:rsidRPr="00140DEA" w:rsidRDefault="00627FF1" w:rsidP="00FB747A">
      <w:pPr>
        <w:spacing w:after="0" w:line="240" w:lineRule="auto"/>
        <w:jc w:val="both"/>
        <w:rPr>
          <w:rFonts w:ascii="Times New Roman" w:eastAsia="Times New Roman" w:hAnsi="Times New Roman" w:cs="Times New Roman"/>
          <w:color w:val="000000"/>
          <w:sz w:val="24"/>
          <w:szCs w:val="24"/>
          <w:lang w:eastAsia="en-ZW"/>
        </w:rPr>
      </w:pPr>
      <w:r w:rsidRPr="00627FF1">
        <w:rPr>
          <w:rFonts w:ascii="Times" w:eastAsia="Times New Roman" w:hAnsi="Times" w:cs="Times"/>
          <w:i/>
          <w:color w:val="000000"/>
          <w:sz w:val="24"/>
          <w:szCs w:val="24"/>
          <w:lang w:eastAsia="en-ZW"/>
        </w:rPr>
        <w:t>Rubay</w:t>
      </w:r>
      <w:r>
        <w:rPr>
          <w:rFonts w:ascii="Times" w:eastAsia="Times New Roman" w:hAnsi="Times" w:cs="Times"/>
          <w:i/>
          <w:color w:val="000000"/>
          <w:sz w:val="24"/>
          <w:szCs w:val="24"/>
          <w:lang w:eastAsia="en-ZW"/>
        </w:rPr>
        <w:t>a</w:t>
      </w:r>
      <w:r w:rsidRPr="00627FF1">
        <w:rPr>
          <w:rFonts w:ascii="Times" w:eastAsia="Times New Roman" w:hAnsi="Times" w:cs="Times"/>
          <w:i/>
          <w:color w:val="000000"/>
          <w:sz w:val="24"/>
          <w:szCs w:val="24"/>
          <w:lang w:eastAsia="en-ZW"/>
        </w:rPr>
        <w:t xml:space="preserve"> &amp; Chatambudza,</w:t>
      </w:r>
      <w:r>
        <w:rPr>
          <w:rFonts w:ascii="Times" w:eastAsia="Times New Roman" w:hAnsi="Times" w:cs="Times"/>
          <w:color w:val="000000"/>
          <w:sz w:val="24"/>
          <w:szCs w:val="24"/>
          <w:lang w:eastAsia="en-ZW"/>
        </w:rPr>
        <w:t xml:space="preserve"> 1</w:t>
      </w:r>
      <w:r w:rsidRPr="00627FF1">
        <w:rPr>
          <w:rFonts w:ascii="Times" w:eastAsia="Times New Roman" w:hAnsi="Times" w:cs="Times"/>
          <w:color w:val="000000"/>
          <w:sz w:val="24"/>
          <w:szCs w:val="24"/>
          <w:vertAlign w:val="superscript"/>
          <w:lang w:eastAsia="en-ZW"/>
        </w:rPr>
        <w:t>st</w:t>
      </w:r>
      <w:r>
        <w:rPr>
          <w:rFonts w:ascii="Times" w:eastAsia="Times New Roman" w:hAnsi="Times" w:cs="Times"/>
          <w:color w:val="000000"/>
          <w:sz w:val="24"/>
          <w:szCs w:val="24"/>
          <w:lang w:eastAsia="en-ZW"/>
        </w:rPr>
        <w:t xml:space="preserve"> defendant’s legal practitioners</w:t>
      </w:r>
      <w:r w:rsidR="00C72343" w:rsidRPr="00140DEA">
        <w:rPr>
          <w:rFonts w:ascii="Times" w:eastAsia="Times New Roman" w:hAnsi="Times" w:cs="Times"/>
          <w:color w:val="000000"/>
          <w:sz w:val="24"/>
          <w:szCs w:val="24"/>
          <w:lang w:eastAsia="en-ZW"/>
        </w:rPr>
        <w:t> </w:t>
      </w:r>
    </w:p>
    <w:sectPr w:rsidR="00C72343" w:rsidRPr="00140DE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ED8" w:rsidRDefault="00A60ED8" w:rsidP="005A6531">
      <w:pPr>
        <w:spacing w:after="0" w:line="240" w:lineRule="auto"/>
      </w:pPr>
      <w:r>
        <w:separator/>
      </w:r>
    </w:p>
  </w:endnote>
  <w:endnote w:type="continuationSeparator" w:id="0">
    <w:p w:rsidR="00A60ED8" w:rsidRDefault="00A60ED8" w:rsidP="005A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ED8" w:rsidRDefault="00A60ED8" w:rsidP="005A6531">
      <w:pPr>
        <w:spacing w:after="0" w:line="240" w:lineRule="auto"/>
      </w:pPr>
      <w:r>
        <w:separator/>
      </w:r>
    </w:p>
  </w:footnote>
  <w:footnote w:type="continuationSeparator" w:id="0">
    <w:p w:rsidR="00A60ED8" w:rsidRDefault="00A60ED8" w:rsidP="005A6531">
      <w:pPr>
        <w:spacing w:after="0" w:line="240" w:lineRule="auto"/>
      </w:pPr>
      <w:r>
        <w:continuationSeparator/>
      </w:r>
    </w:p>
  </w:footnote>
  <w:footnote w:id="1">
    <w:p w:rsidR="005A6531" w:rsidRDefault="005A6531">
      <w:pPr>
        <w:pStyle w:val="FootnoteText"/>
      </w:pPr>
      <w:r>
        <w:rPr>
          <w:rStyle w:val="FootnoteReference"/>
        </w:rPr>
        <w:footnoteRef/>
      </w:r>
      <w:r>
        <w:t xml:space="preserve"> </w:t>
      </w:r>
      <w:r w:rsidRPr="005A6531">
        <w:rPr>
          <w:rFonts w:ascii="Times New Roman" w:hAnsi="Times New Roman" w:cs="Times New Roman"/>
        </w:rPr>
        <w:t>Oreste v Devi and Another [2014] ZAGPPHC 189 (4 April 2014)</w:t>
      </w:r>
    </w:p>
  </w:footnote>
  <w:footnote w:id="2">
    <w:p w:rsidR="005A6531" w:rsidRDefault="005A6531">
      <w:pPr>
        <w:pStyle w:val="FootnoteText"/>
      </w:pPr>
      <w:r>
        <w:rPr>
          <w:rStyle w:val="FootnoteReference"/>
        </w:rPr>
        <w:footnoteRef/>
      </w:r>
      <w:r>
        <w:t xml:space="preserve"> </w:t>
      </w:r>
      <w:r w:rsidRPr="005A6531">
        <w:rPr>
          <w:rFonts w:ascii="Times" w:eastAsia="Times New Roman" w:hAnsi="Times" w:cs="Times"/>
          <w:color w:val="000000"/>
          <w:lang w:eastAsia="en-ZW"/>
        </w:rPr>
        <w:t>See AJ van der Walt and GJ Pienar. </w:t>
      </w:r>
      <w:r w:rsidRPr="005A6531">
        <w:rPr>
          <w:rFonts w:ascii="Times" w:eastAsia="Times New Roman" w:hAnsi="Times" w:cs="Times"/>
          <w:i/>
          <w:iCs/>
          <w:color w:val="000000"/>
          <w:lang w:eastAsia="en-ZW"/>
        </w:rPr>
        <w:t>Introduction to the Law of Property (6</w:t>
      </w:r>
      <w:r w:rsidRPr="005A6531">
        <w:rPr>
          <w:rFonts w:ascii="Times" w:eastAsia="Times New Roman" w:hAnsi="Times" w:cs="Times"/>
          <w:i/>
          <w:iCs/>
          <w:color w:val="000000"/>
          <w:vertAlign w:val="superscript"/>
          <w:lang w:eastAsia="en-ZW"/>
        </w:rPr>
        <w:t>th</w:t>
      </w:r>
      <w:r w:rsidRPr="005A6531">
        <w:rPr>
          <w:rFonts w:ascii="Times" w:eastAsia="Times New Roman" w:hAnsi="Times" w:cs="Times"/>
          <w:i/>
          <w:iCs/>
          <w:color w:val="000000"/>
          <w:lang w:eastAsia="en-ZW"/>
        </w:rPr>
        <w:t> ed)</w:t>
      </w:r>
      <w:r w:rsidRPr="005A6531">
        <w:rPr>
          <w:rFonts w:ascii="Times" w:eastAsia="Times New Roman" w:hAnsi="Times" w:cs="Times"/>
          <w:color w:val="000000"/>
          <w:lang w:eastAsia="en-ZW"/>
        </w:rPr>
        <w:t> at page 137. Also see Hoffman and Zeffert.  </w:t>
      </w:r>
      <w:r w:rsidRPr="005A6531">
        <w:rPr>
          <w:rFonts w:ascii="Times" w:eastAsia="Times New Roman" w:hAnsi="Times" w:cs="Times"/>
          <w:i/>
          <w:iCs/>
          <w:color w:val="000000"/>
          <w:lang w:eastAsia="en-ZW"/>
        </w:rPr>
        <w:t>The South African Law of Evidence</w:t>
      </w:r>
      <w:r w:rsidRPr="005A6531">
        <w:rPr>
          <w:rFonts w:ascii="Times" w:eastAsia="Times New Roman" w:hAnsi="Times" w:cs="Times"/>
          <w:color w:val="000000"/>
          <w:lang w:eastAsia="en-ZW"/>
        </w:rPr>
        <w:t> (4th ed) at pages 533 and 555</w:t>
      </w:r>
    </w:p>
  </w:footnote>
  <w:footnote w:id="3">
    <w:p w:rsidR="009B1674" w:rsidRPr="009B1674" w:rsidRDefault="009B1674" w:rsidP="009B1674">
      <w:pPr>
        <w:spacing w:before="100" w:beforeAutospacing="1" w:after="100" w:afterAutospacing="1" w:line="360" w:lineRule="auto"/>
        <w:jc w:val="both"/>
        <w:rPr>
          <w:rFonts w:ascii="Times New Roman" w:eastAsia="Times New Roman" w:hAnsi="Times New Roman" w:cs="Times New Roman"/>
          <w:color w:val="000000"/>
          <w:sz w:val="20"/>
          <w:szCs w:val="20"/>
          <w:lang w:eastAsia="en-ZW"/>
        </w:rPr>
      </w:pPr>
      <w:r>
        <w:rPr>
          <w:rStyle w:val="FootnoteReference"/>
        </w:rPr>
        <w:footnoteRef/>
      </w:r>
      <w:r>
        <w:t xml:space="preserve"> </w:t>
      </w:r>
      <w:r w:rsidRPr="009B1674">
        <w:rPr>
          <w:rFonts w:ascii="Times" w:eastAsia="Times New Roman" w:hAnsi="Times" w:cs="Times"/>
          <w:color w:val="000000"/>
          <w:sz w:val="20"/>
          <w:szCs w:val="20"/>
          <w:lang w:eastAsia="en-ZW"/>
        </w:rPr>
        <w:t>Zavaza &amp; Another v Tendere &amp; Others (HH 740-15 HC 8382/14) [2015] ZWHHC 740 (23 September 2015)</w:t>
      </w:r>
    </w:p>
    <w:p w:rsidR="009B1674" w:rsidRDefault="009B1674">
      <w:pPr>
        <w:pStyle w:val="FootnoteText"/>
      </w:pPr>
    </w:p>
  </w:footnote>
  <w:footnote w:id="4">
    <w:p w:rsidR="00F27542" w:rsidRPr="00F27542" w:rsidRDefault="00F27542">
      <w:pPr>
        <w:pStyle w:val="FootnoteText"/>
        <w:rPr>
          <w:rFonts w:ascii="Times New Roman" w:hAnsi="Times New Roman" w:cs="Times New Roman"/>
          <w:sz w:val="18"/>
          <w:szCs w:val="18"/>
        </w:rPr>
      </w:pPr>
      <w:r w:rsidRPr="00F27542">
        <w:rPr>
          <w:rStyle w:val="FootnoteReference"/>
          <w:rFonts w:ascii="Times New Roman" w:hAnsi="Times New Roman" w:cs="Times New Roman"/>
          <w:sz w:val="18"/>
          <w:szCs w:val="18"/>
        </w:rPr>
        <w:footnoteRef/>
      </w:r>
      <w:r w:rsidRPr="00F27542">
        <w:rPr>
          <w:rFonts w:ascii="Times New Roman" w:hAnsi="Times New Roman" w:cs="Times New Roman"/>
          <w:sz w:val="18"/>
          <w:szCs w:val="18"/>
        </w:rPr>
        <w:t xml:space="preserve"> [2006] ZAGPHC 182</w:t>
      </w:r>
    </w:p>
  </w:footnote>
  <w:footnote w:id="5">
    <w:p w:rsidR="009B1674" w:rsidRDefault="009B1674">
      <w:pPr>
        <w:pStyle w:val="FootnoteText"/>
      </w:pPr>
      <w:r>
        <w:rPr>
          <w:rStyle w:val="FootnoteReference"/>
        </w:rPr>
        <w:footnoteRef/>
      </w:r>
      <w:r>
        <w:t xml:space="preserve"> </w:t>
      </w:r>
      <w:r w:rsidRPr="009B1674">
        <w:rPr>
          <w:rFonts w:ascii="Times" w:eastAsia="Times New Roman" w:hAnsi="Times" w:cs="Times"/>
          <w:color w:val="000000"/>
          <w:lang w:eastAsia="en-ZW"/>
        </w:rPr>
        <w:t>Case No: 2233/2014</w:t>
      </w:r>
    </w:p>
  </w:footnote>
  <w:footnote w:id="6">
    <w:p w:rsidR="009B1674" w:rsidRDefault="009B1674" w:rsidP="009B1674">
      <w:pPr>
        <w:spacing w:after="0" w:line="360" w:lineRule="auto"/>
        <w:jc w:val="both"/>
      </w:pPr>
      <w:r>
        <w:rPr>
          <w:rStyle w:val="FootnoteReference"/>
        </w:rPr>
        <w:footnoteRef/>
      </w:r>
      <w:r>
        <w:t xml:space="preserve"> </w:t>
      </w:r>
      <w:r w:rsidRPr="009B1674">
        <w:rPr>
          <w:rFonts w:ascii="Times" w:eastAsia="Times New Roman" w:hAnsi="Times" w:cs="Times"/>
          <w:color w:val="000000"/>
          <w:sz w:val="20"/>
          <w:szCs w:val="20"/>
          <w:lang w:eastAsia="en-ZW"/>
        </w:rPr>
        <w:t>See “Gifts: Marriage and Divorce: Restitution of Gifts Given in Contemplation of Marriage Source” Michigan Law Review, Vol. 38, No. 2 (Dec., 1939), pp. 248-249</w:t>
      </w:r>
    </w:p>
  </w:footnote>
  <w:footnote w:id="7">
    <w:p w:rsidR="009B1674" w:rsidRDefault="009B1674">
      <w:pPr>
        <w:pStyle w:val="FootnoteText"/>
      </w:pPr>
      <w:r>
        <w:rPr>
          <w:rStyle w:val="FootnoteReference"/>
        </w:rPr>
        <w:footnoteRef/>
      </w:r>
      <w:r>
        <w:t xml:space="preserve"> </w:t>
      </w:r>
      <w:r w:rsidRPr="009B1674">
        <w:rPr>
          <w:rFonts w:ascii="Times" w:eastAsia="Times New Roman" w:hAnsi="Times" w:cs="Times"/>
          <w:color w:val="000000"/>
          <w:lang w:eastAsia="en-ZW"/>
        </w:rPr>
        <w:t>Michigan Court of Appeals (USA) Docket No 213950, dated 20 February 2009</w:t>
      </w:r>
    </w:p>
  </w:footnote>
  <w:footnote w:id="8">
    <w:p w:rsidR="009B1674" w:rsidRDefault="009B1674">
      <w:pPr>
        <w:pStyle w:val="FootnoteText"/>
      </w:pPr>
      <w:r>
        <w:rPr>
          <w:rStyle w:val="FootnoteReference"/>
        </w:rPr>
        <w:footnoteRef/>
      </w:r>
      <w:r>
        <w:t xml:space="preserve"> </w:t>
      </w:r>
      <w:r w:rsidRPr="009B1674">
        <w:rPr>
          <w:rFonts w:ascii="Times" w:eastAsia="Times New Roman" w:hAnsi="Times" w:cs="Times"/>
          <w:color w:val="000000"/>
          <w:lang w:eastAsia="en-ZW"/>
        </w:rPr>
        <w:t>Case No: 2233/2014 at para 16-17</w:t>
      </w:r>
    </w:p>
  </w:footnote>
  <w:footnote w:id="9">
    <w:p w:rsidR="009B1674" w:rsidRDefault="009B1674">
      <w:pPr>
        <w:pStyle w:val="FootnoteText"/>
      </w:pPr>
      <w:r>
        <w:rPr>
          <w:rStyle w:val="FootnoteReference"/>
        </w:rPr>
        <w:footnoteRef/>
      </w:r>
      <w:r>
        <w:t xml:space="preserve"> </w:t>
      </w:r>
      <w:r w:rsidRPr="009B1674">
        <w:rPr>
          <w:rFonts w:ascii="Times" w:eastAsia="Times New Roman" w:hAnsi="Times" w:cs="Times"/>
          <w:bCs/>
          <w:color w:val="000000"/>
          <w:lang w:eastAsia="en-ZW"/>
        </w:rPr>
        <w:t>[1988] ZASCA 94; [1989] 1 All SA 347 (A) (19 September 1988)</w:t>
      </w:r>
    </w:p>
  </w:footnote>
  <w:footnote w:id="10">
    <w:p w:rsidR="009B1674" w:rsidRDefault="009B1674">
      <w:pPr>
        <w:pStyle w:val="FootnoteText"/>
      </w:pPr>
      <w:r>
        <w:rPr>
          <w:rStyle w:val="FootnoteReference"/>
        </w:rPr>
        <w:footnoteRef/>
      </w:r>
      <w:r>
        <w:t xml:space="preserve"> </w:t>
      </w:r>
      <w:r w:rsidR="00627FF1" w:rsidRPr="00627FF1">
        <w:rPr>
          <w:rFonts w:ascii="Times" w:eastAsia="Times New Roman" w:hAnsi="Times" w:cs="Times"/>
          <w:color w:val="000000"/>
          <w:lang w:eastAsia="en-ZW"/>
        </w:rPr>
        <w:t>See The Law of Contract in South Africa 6</w:t>
      </w:r>
      <w:r w:rsidR="00627FF1" w:rsidRPr="00627FF1">
        <w:rPr>
          <w:rFonts w:ascii="Times" w:eastAsia="Times New Roman" w:hAnsi="Times" w:cs="Times"/>
          <w:color w:val="000000"/>
          <w:vertAlign w:val="superscript"/>
          <w:lang w:eastAsia="en-ZW"/>
        </w:rPr>
        <w:t>th</w:t>
      </w:r>
      <w:r w:rsidR="00627FF1" w:rsidRPr="00627FF1">
        <w:rPr>
          <w:rFonts w:ascii="Times" w:eastAsia="Times New Roman" w:hAnsi="Times" w:cs="Times"/>
          <w:color w:val="000000"/>
          <w:lang w:eastAsia="en-ZW"/>
        </w:rPr>
        <w:t> Edition (2011) at page 372.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950769"/>
      <w:docPartObj>
        <w:docPartGallery w:val="Page Numbers (Top of Page)"/>
        <w:docPartUnique/>
      </w:docPartObj>
    </w:sdtPr>
    <w:sdtEndPr>
      <w:rPr>
        <w:noProof/>
      </w:rPr>
    </w:sdtEndPr>
    <w:sdtContent>
      <w:p w:rsidR="00FB747A" w:rsidRDefault="00FB747A">
        <w:pPr>
          <w:pStyle w:val="Header"/>
          <w:jc w:val="right"/>
          <w:rPr>
            <w:noProof/>
          </w:rPr>
        </w:pPr>
        <w:r>
          <w:fldChar w:fldCharType="begin"/>
        </w:r>
        <w:r>
          <w:instrText xml:space="preserve"> PAGE   \* MERGEFORMAT </w:instrText>
        </w:r>
        <w:r>
          <w:fldChar w:fldCharType="separate"/>
        </w:r>
        <w:r w:rsidR="00550967">
          <w:rPr>
            <w:noProof/>
          </w:rPr>
          <w:t>1</w:t>
        </w:r>
        <w:r>
          <w:rPr>
            <w:noProof/>
          </w:rPr>
          <w:fldChar w:fldCharType="end"/>
        </w:r>
      </w:p>
      <w:p w:rsidR="00FB747A" w:rsidRDefault="00FB747A">
        <w:pPr>
          <w:pStyle w:val="Header"/>
          <w:jc w:val="right"/>
          <w:rPr>
            <w:noProof/>
          </w:rPr>
        </w:pPr>
        <w:r>
          <w:rPr>
            <w:noProof/>
          </w:rPr>
          <w:t>HH</w:t>
        </w:r>
        <w:r w:rsidR="00B330AF">
          <w:rPr>
            <w:noProof/>
          </w:rPr>
          <w:t xml:space="preserve"> </w:t>
        </w:r>
        <w:r w:rsidR="00E52CD5">
          <w:rPr>
            <w:noProof/>
          </w:rPr>
          <w:t>770</w:t>
        </w:r>
        <w:r w:rsidR="00B330AF">
          <w:rPr>
            <w:noProof/>
          </w:rPr>
          <w:t>-18</w:t>
        </w:r>
      </w:p>
      <w:p w:rsidR="00FB747A" w:rsidRDefault="00FB747A">
        <w:pPr>
          <w:pStyle w:val="Header"/>
          <w:jc w:val="right"/>
        </w:pPr>
        <w:r>
          <w:rPr>
            <w:noProof/>
          </w:rPr>
          <w:t>HC 9475/16</w:t>
        </w:r>
      </w:p>
    </w:sdtContent>
  </w:sdt>
  <w:p w:rsidR="00FB747A" w:rsidRDefault="00FB74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7545"/>
    <w:multiLevelType w:val="hybridMultilevel"/>
    <w:tmpl w:val="AD02A9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8E1B38"/>
    <w:multiLevelType w:val="multilevel"/>
    <w:tmpl w:val="E9C6F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B4D25"/>
    <w:multiLevelType w:val="multilevel"/>
    <w:tmpl w:val="9474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876B7"/>
    <w:multiLevelType w:val="multilevel"/>
    <w:tmpl w:val="4C586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948D9"/>
    <w:multiLevelType w:val="multilevel"/>
    <w:tmpl w:val="BCF0E3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0E3CA4"/>
    <w:multiLevelType w:val="multilevel"/>
    <w:tmpl w:val="4658E9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43"/>
    <w:rsid w:val="000B5626"/>
    <w:rsid w:val="000F7AF6"/>
    <w:rsid w:val="00114434"/>
    <w:rsid w:val="00125617"/>
    <w:rsid w:val="00140DEA"/>
    <w:rsid w:val="0017227B"/>
    <w:rsid w:val="00221C97"/>
    <w:rsid w:val="00254E0B"/>
    <w:rsid w:val="002639EF"/>
    <w:rsid w:val="002B60CB"/>
    <w:rsid w:val="00362D76"/>
    <w:rsid w:val="003A6165"/>
    <w:rsid w:val="00454E7C"/>
    <w:rsid w:val="00550967"/>
    <w:rsid w:val="005A6531"/>
    <w:rsid w:val="005E46CF"/>
    <w:rsid w:val="006072AD"/>
    <w:rsid w:val="00627FF1"/>
    <w:rsid w:val="006705C0"/>
    <w:rsid w:val="007F5D4D"/>
    <w:rsid w:val="009B1674"/>
    <w:rsid w:val="009B20D5"/>
    <w:rsid w:val="009E7E0A"/>
    <w:rsid w:val="00A4521A"/>
    <w:rsid w:val="00A60ED8"/>
    <w:rsid w:val="00A63BB8"/>
    <w:rsid w:val="00AE0A4D"/>
    <w:rsid w:val="00B0001E"/>
    <w:rsid w:val="00B330AF"/>
    <w:rsid w:val="00BA1B50"/>
    <w:rsid w:val="00C5523C"/>
    <w:rsid w:val="00C72343"/>
    <w:rsid w:val="00C85D5A"/>
    <w:rsid w:val="00D60912"/>
    <w:rsid w:val="00DC788A"/>
    <w:rsid w:val="00DD416E"/>
    <w:rsid w:val="00E52CD5"/>
    <w:rsid w:val="00ED1C5A"/>
    <w:rsid w:val="00F27542"/>
    <w:rsid w:val="00FB74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7110D-90E8-4574-9A9E-22D9DF8F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72343"/>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343"/>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C7234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C72343"/>
    <w:rPr>
      <w:color w:val="0000FF"/>
      <w:u w:val="single"/>
    </w:rPr>
  </w:style>
  <w:style w:type="paragraph" w:styleId="BalloonText">
    <w:name w:val="Balloon Text"/>
    <w:basedOn w:val="Normal"/>
    <w:link w:val="BalloonTextChar"/>
    <w:uiPriority w:val="99"/>
    <w:semiHidden/>
    <w:unhideWhenUsed/>
    <w:rsid w:val="00C72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343"/>
    <w:rPr>
      <w:rFonts w:ascii="Segoe UI" w:hAnsi="Segoe UI" w:cs="Segoe UI"/>
      <w:sz w:val="18"/>
      <w:szCs w:val="18"/>
    </w:rPr>
  </w:style>
  <w:style w:type="paragraph" w:styleId="FootnoteText">
    <w:name w:val="footnote text"/>
    <w:basedOn w:val="Normal"/>
    <w:link w:val="FootnoteTextChar"/>
    <w:uiPriority w:val="99"/>
    <w:semiHidden/>
    <w:unhideWhenUsed/>
    <w:rsid w:val="005A65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531"/>
    <w:rPr>
      <w:sz w:val="20"/>
      <w:szCs w:val="20"/>
    </w:rPr>
  </w:style>
  <w:style w:type="character" w:styleId="FootnoteReference">
    <w:name w:val="footnote reference"/>
    <w:basedOn w:val="DefaultParagraphFont"/>
    <w:uiPriority w:val="99"/>
    <w:semiHidden/>
    <w:unhideWhenUsed/>
    <w:rsid w:val="005A6531"/>
    <w:rPr>
      <w:vertAlign w:val="superscript"/>
    </w:rPr>
  </w:style>
  <w:style w:type="paragraph" w:styleId="ListParagraph">
    <w:name w:val="List Paragraph"/>
    <w:basedOn w:val="Normal"/>
    <w:uiPriority w:val="34"/>
    <w:qFormat/>
    <w:rsid w:val="00627FF1"/>
    <w:pPr>
      <w:ind w:left="720"/>
      <w:contextualSpacing/>
    </w:pPr>
  </w:style>
  <w:style w:type="paragraph" w:styleId="Header">
    <w:name w:val="header"/>
    <w:basedOn w:val="Normal"/>
    <w:link w:val="HeaderChar"/>
    <w:uiPriority w:val="99"/>
    <w:unhideWhenUsed/>
    <w:rsid w:val="00FB7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7A"/>
  </w:style>
  <w:style w:type="paragraph" w:styleId="Footer">
    <w:name w:val="footer"/>
    <w:basedOn w:val="Normal"/>
    <w:link w:val="FooterChar"/>
    <w:uiPriority w:val="99"/>
    <w:unhideWhenUsed/>
    <w:rsid w:val="00FB7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973386">
      <w:bodyDiv w:val="1"/>
      <w:marLeft w:val="0"/>
      <w:marRight w:val="0"/>
      <w:marTop w:val="0"/>
      <w:marBottom w:val="0"/>
      <w:divBdr>
        <w:top w:val="none" w:sz="0" w:space="0" w:color="auto"/>
        <w:left w:val="none" w:sz="0" w:space="0" w:color="auto"/>
        <w:bottom w:val="none" w:sz="0" w:space="0" w:color="auto"/>
        <w:right w:val="none" w:sz="0" w:space="0" w:color="auto"/>
      </w:divBdr>
      <w:divsChild>
        <w:div w:id="1569075831">
          <w:marLeft w:val="0"/>
          <w:marRight w:val="0"/>
          <w:marTop w:val="0"/>
          <w:marBottom w:val="0"/>
          <w:divBdr>
            <w:top w:val="none" w:sz="0" w:space="0" w:color="auto"/>
            <w:left w:val="none" w:sz="0" w:space="0" w:color="auto"/>
            <w:bottom w:val="single" w:sz="8" w:space="1" w:color="000000"/>
            <w:right w:val="none" w:sz="0" w:space="0" w:color="auto"/>
          </w:divBdr>
        </w:div>
        <w:div w:id="1843470324">
          <w:marLeft w:val="0"/>
          <w:marRight w:val="0"/>
          <w:marTop w:val="0"/>
          <w:marBottom w:val="0"/>
          <w:divBdr>
            <w:top w:val="none" w:sz="0" w:space="0" w:color="auto"/>
            <w:left w:val="none" w:sz="0" w:space="0" w:color="auto"/>
            <w:bottom w:val="none" w:sz="0" w:space="0" w:color="auto"/>
            <w:right w:val="none" w:sz="0" w:space="0" w:color="auto"/>
          </w:divBdr>
          <w:divsChild>
            <w:div w:id="13958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lii.org/cgi-bin/LawCite?cit=%5b1938%5d%20AC%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A28C-D899-41F4-88A0-CE822A48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3233</Words>
  <Characters>18432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2018-10-20T14:44:00Z</cp:lastPrinted>
  <dcterms:created xsi:type="dcterms:W3CDTF">2018-11-23T09:54:00Z</dcterms:created>
  <dcterms:modified xsi:type="dcterms:W3CDTF">2018-11-23T09:54:00Z</dcterms:modified>
</cp:coreProperties>
</file>