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940F54">
        <w:rPr>
          <w:rFonts w:ascii="Tahoma" w:hAnsi="Tahoma" w:cs="Tahoma"/>
          <w:b/>
          <w:sz w:val="24"/>
          <w:szCs w:val="24"/>
        </w:rPr>
        <w:t>217</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9111D0" w:rsidRPr="007E544C">
        <w:rPr>
          <w:rFonts w:ascii="Tahoma" w:hAnsi="Tahoma" w:cs="Tahoma"/>
          <w:b/>
          <w:sz w:val="24"/>
          <w:szCs w:val="24"/>
        </w:rPr>
        <w:t>1</w:t>
      </w:r>
      <w:r w:rsidR="00904DDA">
        <w:rPr>
          <w:rFonts w:ascii="Tahoma" w:hAnsi="Tahoma" w:cs="Tahoma"/>
          <w:b/>
          <w:sz w:val="24"/>
          <w:szCs w:val="24"/>
        </w:rPr>
        <w:t>7</w:t>
      </w:r>
      <w:r w:rsidR="009111D0" w:rsidRPr="007E544C">
        <w:rPr>
          <w:rFonts w:ascii="Tahoma" w:hAnsi="Tahoma" w:cs="Tahoma"/>
          <w:b/>
          <w:sz w:val="24"/>
          <w:szCs w:val="24"/>
          <w:vertAlign w:val="superscript"/>
        </w:rPr>
        <w:t>th</w:t>
      </w:r>
      <w:r w:rsidR="007A3E60" w:rsidRPr="007E544C">
        <w:rPr>
          <w:rFonts w:ascii="Tahoma" w:hAnsi="Tahoma" w:cs="Tahoma"/>
          <w:b/>
          <w:sz w:val="24"/>
          <w:szCs w:val="24"/>
        </w:rPr>
        <w:t xml:space="preserve"> </w:t>
      </w:r>
      <w:r w:rsidR="00743501">
        <w:rPr>
          <w:rFonts w:ascii="Tahoma" w:hAnsi="Tahoma" w:cs="Tahoma"/>
          <w:b/>
          <w:sz w:val="24"/>
          <w:szCs w:val="24"/>
        </w:rPr>
        <w:t>NOVEMBER</w:t>
      </w:r>
      <w:r w:rsidRPr="007E544C">
        <w:rPr>
          <w:rFonts w:ascii="Tahoma" w:hAnsi="Tahoma" w:cs="Tahoma"/>
          <w:b/>
          <w:sz w:val="24"/>
          <w:szCs w:val="24"/>
        </w:rPr>
        <w:t>,</w:t>
      </w:r>
      <w:r w:rsidR="00743501">
        <w:rPr>
          <w:rFonts w:ascii="Tahoma" w:hAnsi="Tahoma" w:cs="Tahoma"/>
          <w:b/>
          <w:sz w:val="24"/>
          <w:szCs w:val="24"/>
        </w:rPr>
        <w:t xml:space="preserve"> 2015</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743501">
        <w:rPr>
          <w:rFonts w:ascii="Tahoma" w:hAnsi="Tahoma" w:cs="Tahoma"/>
          <w:b/>
          <w:sz w:val="24"/>
          <w:szCs w:val="24"/>
        </w:rPr>
        <w:t>47</w:t>
      </w:r>
      <w:r w:rsidR="00192EC2" w:rsidRPr="007E544C">
        <w:rPr>
          <w:rFonts w:ascii="Tahoma" w:hAnsi="Tahoma" w:cs="Tahoma"/>
          <w:b/>
          <w:sz w:val="24"/>
          <w:szCs w:val="24"/>
        </w:rPr>
        <w:t>/</w:t>
      </w:r>
      <w:r w:rsidR="00904DDA">
        <w:rPr>
          <w:rFonts w:ascii="Tahoma" w:hAnsi="Tahoma" w:cs="Tahoma"/>
          <w:b/>
          <w:sz w:val="24"/>
          <w:szCs w:val="24"/>
        </w:rPr>
        <w:t>14</w:t>
      </w:r>
    </w:p>
    <w:p w:rsidR="007A3E60" w:rsidRPr="00D95B8F"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F06F4E" w:rsidRPr="007E544C">
        <w:rPr>
          <w:rFonts w:ascii="Tahoma" w:hAnsi="Tahoma" w:cs="Tahoma"/>
          <w:b/>
          <w:sz w:val="24"/>
          <w:szCs w:val="24"/>
        </w:rPr>
        <w:t>8</w:t>
      </w:r>
      <w:r w:rsidR="000E5A35" w:rsidRPr="007E544C">
        <w:rPr>
          <w:rFonts w:ascii="Tahoma" w:hAnsi="Tahoma" w:cs="Tahoma"/>
          <w:b/>
          <w:sz w:val="24"/>
          <w:szCs w:val="24"/>
          <w:vertAlign w:val="superscript"/>
        </w:rPr>
        <w:t>TH</w:t>
      </w:r>
      <w:r w:rsidR="000E5A35" w:rsidRPr="007E544C">
        <w:rPr>
          <w:rFonts w:ascii="Tahoma" w:hAnsi="Tahoma" w:cs="Tahoma"/>
          <w:b/>
          <w:sz w:val="24"/>
          <w:szCs w:val="24"/>
        </w:rPr>
        <w:t xml:space="preserve"> </w:t>
      </w:r>
      <w:r w:rsidR="00904DDA">
        <w:rPr>
          <w:rFonts w:ascii="Tahoma" w:hAnsi="Tahoma" w:cs="Tahoma"/>
          <w:b/>
          <w:sz w:val="24"/>
          <w:szCs w:val="24"/>
        </w:rPr>
        <w:t>APRIL</w:t>
      </w:r>
      <w:r w:rsidR="00BD43C4" w:rsidRPr="007E544C">
        <w:rPr>
          <w:rFonts w:ascii="Tahoma" w:hAnsi="Tahoma" w:cs="Tahoma"/>
          <w:b/>
          <w:sz w:val="24"/>
          <w:szCs w:val="24"/>
        </w:rPr>
        <w:t>, 2016</w:t>
      </w:r>
      <w:r w:rsidR="004E6DBC" w:rsidRPr="007E544C">
        <w:rPr>
          <w:rFonts w:ascii="Tahoma" w:hAnsi="Tahoma" w:cs="Tahoma"/>
          <w:b/>
          <w:sz w:val="24"/>
          <w:szCs w:val="24"/>
        </w:rPr>
        <w:tab/>
      </w:r>
      <w:r w:rsidR="001B7DFE">
        <w:rPr>
          <w:rFonts w:ascii="Tahoma" w:hAnsi="Tahoma" w:cs="Tahoma"/>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4515C2" w:rsidP="0011530D">
      <w:pPr>
        <w:spacing w:after="0" w:line="360" w:lineRule="auto"/>
        <w:rPr>
          <w:rFonts w:ascii="Tahoma" w:hAnsi="Tahoma" w:cs="Tahoma"/>
          <w:b/>
          <w:sz w:val="25"/>
          <w:szCs w:val="25"/>
        </w:rPr>
      </w:pPr>
      <w:r>
        <w:rPr>
          <w:rFonts w:ascii="Tahoma" w:hAnsi="Tahoma" w:cs="Tahoma"/>
          <w:b/>
          <w:sz w:val="25"/>
          <w:szCs w:val="25"/>
        </w:rPr>
        <w:t>NOKUXOLA TSHAKA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743501">
        <w:rPr>
          <w:rFonts w:ascii="Tahoma" w:hAnsi="Tahoma" w:cs="Tahoma"/>
          <w:b/>
          <w:sz w:val="25"/>
          <w:szCs w:val="25"/>
        </w:rPr>
        <w:tab/>
      </w:r>
      <w:r w:rsidR="00743501">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4515C2" w:rsidP="00743501">
      <w:pPr>
        <w:spacing w:after="0" w:line="240" w:lineRule="auto"/>
        <w:rPr>
          <w:rFonts w:ascii="Tahoma" w:hAnsi="Tahoma" w:cs="Tahoma"/>
          <w:b/>
          <w:sz w:val="25"/>
          <w:szCs w:val="25"/>
        </w:rPr>
      </w:pPr>
      <w:r>
        <w:rPr>
          <w:rFonts w:ascii="Tahoma" w:hAnsi="Tahoma" w:cs="Tahoma"/>
          <w:b/>
          <w:sz w:val="25"/>
          <w:szCs w:val="25"/>
        </w:rPr>
        <w:t>RAINBOW TOURISM GROUP</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4515C2">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4515C2">
        <w:rPr>
          <w:rFonts w:ascii="Tahoma" w:hAnsi="Tahoma" w:cs="Tahoma"/>
          <w:b/>
          <w:sz w:val="25"/>
          <w:szCs w:val="25"/>
        </w:rPr>
        <w:t>A. Marara</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Ms</w:t>
      </w:r>
      <w:r w:rsidR="003102CF" w:rsidRPr="00D95B8F">
        <w:rPr>
          <w:rFonts w:ascii="Tahoma" w:hAnsi="Tahoma" w:cs="Tahoma"/>
          <w:b/>
          <w:sz w:val="25"/>
          <w:szCs w:val="25"/>
        </w:rPr>
        <w:t xml:space="preserve"> </w:t>
      </w:r>
      <w:r w:rsidR="00743501">
        <w:rPr>
          <w:rFonts w:ascii="Tahoma" w:hAnsi="Tahoma" w:cs="Tahoma"/>
          <w:b/>
          <w:sz w:val="25"/>
          <w:szCs w:val="25"/>
        </w:rPr>
        <w:t>N</w:t>
      </w:r>
      <w:r w:rsidR="00F11DA5">
        <w:rPr>
          <w:rFonts w:ascii="Tahoma" w:hAnsi="Tahoma" w:cs="Tahoma"/>
          <w:b/>
          <w:sz w:val="25"/>
          <w:szCs w:val="25"/>
        </w:rPr>
        <w:t>.</w:t>
      </w:r>
      <w:r w:rsidR="00743501">
        <w:rPr>
          <w:rFonts w:ascii="Tahoma" w:hAnsi="Tahoma" w:cs="Tahoma"/>
          <w:b/>
          <w:sz w:val="25"/>
          <w:szCs w:val="25"/>
        </w:rPr>
        <w:t xml:space="preserve"> </w:t>
      </w:r>
      <w:r w:rsidR="004515C2">
        <w:rPr>
          <w:rFonts w:ascii="Tahoma" w:hAnsi="Tahoma" w:cs="Tahoma"/>
          <w:b/>
          <w:sz w:val="25"/>
          <w:szCs w:val="25"/>
        </w:rPr>
        <w:t>P. Timba</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902BC2">
      <w:pPr>
        <w:spacing w:after="0" w:line="24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617D29">
        <w:rPr>
          <w:rFonts w:ascii="Tahoma" w:hAnsi="Tahoma" w:cs="Tahoma"/>
          <w:sz w:val="25"/>
          <w:szCs w:val="25"/>
        </w:rPr>
        <w:t xml:space="preserve">This is an appeal against an arbitral award. </w:t>
      </w:r>
    </w:p>
    <w:p w:rsidR="00617D29" w:rsidRDefault="00617D29" w:rsidP="00441E66">
      <w:pPr>
        <w:spacing w:after="0" w:line="240" w:lineRule="auto"/>
        <w:jc w:val="both"/>
        <w:rPr>
          <w:rFonts w:ascii="Tahoma" w:hAnsi="Tahoma" w:cs="Tahoma"/>
          <w:sz w:val="25"/>
          <w:szCs w:val="25"/>
        </w:rPr>
      </w:pPr>
    </w:p>
    <w:p w:rsidR="00617D29" w:rsidRDefault="00617D29" w:rsidP="00A42E04">
      <w:pPr>
        <w:spacing w:after="0" w:line="360" w:lineRule="auto"/>
        <w:jc w:val="both"/>
        <w:rPr>
          <w:rFonts w:ascii="Tahoma" w:hAnsi="Tahoma" w:cs="Tahoma"/>
          <w:sz w:val="25"/>
          <w:szCs w:val="25"/>
        </w:rPr>
      </w:pPr>
      <w:r>
        <w:rPr>
          <w:rFonts w:ascii="Tahoma" w:hAnsi="Tahoma" w:cs="Tahoma"/>
          <w:sz w:val="25"/>
          <w:szCs w:val="25"/>
        </w:rPr>
        <w:tab/>
        <w:t>The brief background of this case is that:-</w:t>
      </w:r>
    </w:p>
    <w:p w:rsidR="00617D29" w:rsidRPr="00037B33" w:rsidRDefault="00617D29" w:rsidP="00902BC2">
      <w:pPr>
        <w:spacing w:after="0" w:line="240" w:lineRule="auto"/>
        <w:jc w:val="both"/>
        <w:rPr>
          <w:rFonts w:ascii="Tahoma" w:hAnsi="Tahoma" w:cs="Tahoma"/>
          <w:sz w:val="25"/>
          <w:szCs w:val="25"/>
        </w:rPr>
      </w:pPr>
    </w:p>
    <w:p w:rsidR="00617D29" w:rsidRPr="00037B33" w:rsidRDefault="00617D29" w:rsidP="00902BC2">
      <w:pPr>
        <w:spacing w:after="0" w:line="360" w:lineRule="auto"/>
        <w:ind w:left="720"/>
        <w:jc w:val="both"/>
        <w:rPr>
          <w:rFonts w:ascii="Tahoma" w:hAnsi="Tahoma" w:cs="Tahoma"/>
          <w:sz w:val="25"/>
          <w:szCs w:val="25"/>
        </w:rPr>
      </w:pPr>
      <w:r w:rsidRPr="00037B33">
        <w:rPr>
          <w:rFonts w:ascii="Tahoma" w:hAnsi="Tahoma" w:cs="Tahoma"/>
          <w:sz w:val="25"/>
          <w:szCs w:val="25"/>
        </w:rPr>
        <w:t xml:space="preserve">Appellant was in Respondent’s employ as a Personal Assistant (PA) to the Chief Executive Officer </w:t>
      </w:r>
    </w:p>
    <w:p w:rsidR="00617D29" w:rsidRPr="00037B33" w:rsidRDefault="00617D29" w:rsidP="00902BC2">
      <w:pPr>
        <w:spacing w:after="0" w:line="240" w:lineRule="auto"/>
        <w:ind w:left="720"/>
        <w:jc w:val="both"/>
        <w:rPr>
          <w:rFonts w:ascii="Tahoma" w:hAnsi="Tahoma" w:cs="Tahoma"/>
          <w:sz w:val="25"/>
          <w:szCs w:val="25"/>
        </w:rPr>
      </w:pPr>
    </w:p>
    <w:p w:rsidR="00617D29" w:rsidRPr="00037B33" w:rsidRDefault="00617D29" w:rsidP="00902BC2">
      <w:pPr>
        <w:spacing w:after="0" w:line="360" w:lineRule="auto"/>
        <w:ind w:left="720"/>
        <w:jc w:val="both"/>
        <w:rPr>
          <w:rFonts w:ascii="Tahoma" w:hAnsi="Tahoma" w:cs="Tahoma"/>
          <w:sz w:val="25"/>
          <w:szCs w:val="25"/>
        </w:rPr>
      </w:pPr>
      <w:r w:rsidRPr="00037B33">
        <w:rPr>
          <w:rFonts w:ascii="Tahoma" w:hAnsi="Tahoma" w:cs="Tahoma"/>
          <w:sz w:val="25"/>
          <w:szCs w:val="25"/>
        </w:rPr>
        <w:t>On the 13</w:t>
      </w:r>
      <w:r w:rsidRPr="00037B33">
        <w:rPr>
          <w:rFonts w:ascii="Tahoma" w:hAnsi="Tahoma" w:cs="Tahoma"/>
          <w:sz w:val="25"/>
          <w:szCs w:val="25"/>
          <w:vertAlign w:val="superscript"/>
        </w:rPr>
        <w:t>th</w:t>
      </w:r>
      <w:r w:rsidRPr="00037B33">
        <w:rPr>
          <w:rFonts w:ascii="Tahoma" w:hAnsi="Tahoma" w:cs="Tahoma"/>
          <w:sz w:val="25"/>
          <w:szCs w:val="25"/>
        </w:rPr>
        <w:t xml:space="preserve"> December, 2012 Appellant was advised of her immediate transfer from the position of Personal Assistant to the position of Assistant Front Office Manager. </w:t>
      </w:r>
    </w:p>
    <w:p w:rsidR="00617D29" w:rsidRPr="00037B33" w:rsidRDefault="00617D29" w:rsidP="00902BC2">
      <w:pPr>
        <w:spacing w:after="0" w:line="240" w:lineRule="auto"/>
        <w:ind w:left="720"/>
        <w:jc w:val="both"/>
        <w:rPr>
          <w:rFonts w:ascii="Tahoma" w:hAnsi="Tahoma" w:cs="Tahoma"/>
          <w:sz w:val="25"/>
          <w:szCs w:val="25"/>
        </w:rPr>
      </w:pPr>
    </w:p>
    <w:p w:rsidR="00617D29" w:rsidRPr="00037B33" w:rsidRDefault="00617D29" w:rsidP="00902BC2">
      <w:pPr>
        <w:spacing w:after="0" w:line="360" w:lineRule="auto"/>
        <w:ind w:left="720"/>
        <w:jc w:val="both"/>
        <w:rPr>
          <w:rFonts w:ascii="Tahoma" w:hAnsi="Tahoma" w:cs="Tahoma"/>
          <w:sz w:val="25"/>
          <w:szCs w:val="25"/>
        </w:rPr>
      </w:pPr>
      <w:r w:rsidRPr="00037B33">
        <w:rPr>
          <w:rFonts w:ascii="Tahoma" w:hAnsi="Tahoma" w:cs="Tahoma"/>
          <w:sz w:val="25"/>
          <w:szCs w:val="25"/>
        </w:rPr>
        <w:t>Taking over her position with effect from 3</w:t>
      </w:r>
      <w:r w:rsidRPr="00037B33">
        <w:rPr>
          <w:rFonts w:ascii="Tahoma" w:hAnsi="Tahoma" w:cs="Tahoma"/>
          <w:sz w:val="25"/>
          <w:szCs w:val="25"/>
          <w:vertAlign w:val="superscript"/>
        </w:rPr>
        <w:t>rd</w:t>
      </w:r>
      <w:r w:rsidRPr="00037B33">
        <w:rPr>
          <w:rFonts w:ascii="Tahoma" w:hAnsi="Tahoma" w:cs="Tahoma"/>
          <w:sz w:val="25"/>
          <w:szCs w:val="25"/>
        </w:rPr>
        <w:t xml:space="preserve"> December, 2012 was Ms. V. Kamudyariwo. </w:t>
      </w:r>
    </w:p>
    <w:p w:rsidR="00617D29" w:rsidRPr="00037B33" w:rsidRDefault="00617D29" w:rsidP="00902BC2">
      <w:pPr>
        <w:spacing w:after="0" w:line="240" w:lineRule="auto"/>
        <w:ind w:left="720"/>
        <w:jc w:val="both"/>
        <w:rPr>
          <w:rFonts w:ascii="Tahoma" w:hAnsi="Tahoma" w:cs="Tahoma"/>
          <w:sz w:val="25"/>
          <w:szCs w:val="25"/>
        </w:rPr>
      </w:pPr>
    </w:p>
    <w:p w:rsidR="00617D29" w:rsidRPr="00037B33" w:rsidRDefault="00617D29" w:rsidP="00902BC2">
      <w:pPr>
        <w:spacing w:after="0" w:line="360" w:lineRule="auto"/>
        <w:ind w:left="720"/>
        <w:jc w:val="both"/>
        <w:rPr>
          <w:rFonts w:ascii="Tahoma" w:hAnsi="Tahoma" w:cs="Tahoma"/>
          <w:sz w:val="25"/>
          <w:szCs w:val="25"/>
        </w:rPr>
      </w:pPr>
      <w:r w:rsidRPr="00037B33">
        <w:rPr>
          <w:rFonts w:ascii="Tahoma" w:hAnsi="Tahoma" w:cs="Tahoma"/>
          <w:sz w:val="25"/>
          <w:szCs w:val="25"/>
        </w:rPr>
        <w:t>Aggrieved by this transfer</w:t>
      </w:r>
      <w:r w:rsidR="00902BC2" w:rsidRPr="00037B33">
        <w:rPr>
          <w:rFonts w:ascii="Tahoma" w:hAnsi="Tahoma" w:cs="Tahoma"/>
          <w:sz w:val="25"/>
          <w:szCs w:val="25"/>
        </w:rPr>
        <w:t>,</w:t>
      </w:r>
      <w:r w:rsidRPr="00037B33">
        <w:rPr>
          <w:rFonts w:ascii="Tahoma" w:hAnsi="Tahoma" w:cs="Tahoma"/>
          <w:sz w:val="25"/>
          <w:szCs w:val="25"/>
        </w:rPr>
        <w:t xml:space="preserve"> Appellant raised a grievance which was ruled against her. </w:t>
      </w:r>
    </w:p>
    <w:p w:rsidR="00902BC2" w:rsidRPr="00037B33" w:rsidRDefault="00902BC2" w:rsidP="00902BC2">
      <w:pPr>
        <w:spacing w:after="0" w:line="240" w:lineRule="auto"/>
        <w:ind w:left="720"/>
        <w:jc w:val="both"/>
        <w:rPr>
          <w:rFonts w:ascii="Tahoma" w:hAnsi="Tahoma" w:cs="Tahoma"/>
          <w:sz w:val="25"/>
          <w:szCs w:val="25"/>
        </w:rPr>
      </w:pPr>
    </w:p>
    <w:p w:rsidR="00617D29" w:rsidRPr="00037B33" w:rsidRDefault="00617D29" w:rsidP="00902BC2">
      <w:pPr>
        <w:spacing w:after="0" w:line="360" w:lineRule="auto"/>
        <w:ind w:left="720"/>
        <w:jc w:val="both"/>
        <w:rPr>
          <w:rFonts w:ascii="Tahoma" w:hAnsi="Tahoma" w:cs="Tahoma"/>
          <w:sz w:val="25"/>
          <w:szCs w:val="25"/>
        </w:rPr>
      </w:pPr>
      <w:r w:rsidRPr="00037B33">
        <w:rPr>
          <w:rFonts w:ascii="Tahoma" w:hAnsi="Tahoma" w:cs="Tahoma"/>
          <w:sz w:val="25"/>
          <w:szCs w:val="25"/>
        </w:rPr>
        <w:lastRenderedPageBreak/>
        <w:t>By a letter dated the 30</w:t>
      </w:r>
      <w:r w:rsidRPr="00037B33">
        <w:rPr>
          <w:rFonts w:ascii="Tahoma" w:hAnsi="Tahoma" w:cs="Tahoma"/>
          <w:sz w:val="25"/>
          <w:szCs w:val="25"/>
          <w:vertAlign w:val="superscript"/>
        </w:rPr>
        <w:t>th</w:t>
      </w:r>
      <w:r w:rsidRPr="00037B33">
        <w:rPr>
          <w:rFonts w:ascii="Tahoma" w:hAnsi="Tahoma" w:cs="Tahoma"/>
          <w:sz w:val="25"/>
          <w:szCs w:val="25"/>
        </w:rPr>
        <w:t xml:space="preserve"> July, 2013, Appellant tendered her resignation with effect from 31</w:t>
      </w:r>
      <w:r w:rsidRPr="00037B33">
        <w:rPr>
          <w:rFonts w:ascii="Tahoma" w:hAnsi="Tahoma" w:cs="Tahoma"/>
          <w:sz w:val="25"/>
          <w:szCs w:val="25"/>
          <w:vertAlign w:val="superscript"/>
        </w:rPr>
        <w:t>st</w:t>
      </w:r>
      <w:r w:rsidRPr="00037B33">
        <w:rPr>
          <w:rFonts w:ascii="Tahoma" w:hAnsi="Tahoma" w:cs="Tahoma"/>
          <w:sz w:val="25"/>
          <w:szCs w:val="25"/>
        </w:rPr>
        <w:t xml:space="preserve"> October,</w:t>
      </w:r>
      <w:r w:rsidR="004F570A" w:rsidRPr="00037B33">
        <w:rPr>
          <w:rFonts w:ascii="Tahoma" w:hAnsi="Tahoma" w:cs="Tahoma"/>
          <w:sz w:val="25"/>
          <w:szCs w:val="25"/>
        </w:rPr>
        <w:t xml:space="preserve"> 2013.  She cited intolerable conditions perpetrated by Respondent as her reason for the resignation. </w:t>
      </w:r>
    </w:p>
    <w:p w:rsidR="004F570A" w:rsidRPr="00037B33" w:rsidRDefault="004F570A" w:rsidP="001D7721">
      <w:pPr>
        <w:spacing w:after="0" w:line="360" w:lineRule="auto"/>
        <w:ind w:left="720"/>
        <w:jc w:val="both"/>
        <w:rPr>
          <w:rFonts w:ascii="Tahoma" w:hAnsi="Tahoma" w:cs="Tahoma"/>
          <w:sz w:val="25"/>
          <w:szCs w:val="25"/>
        </w:rPr>
      </w:pPr>
    </w:p>
    <w:p w:rsidR="004F570A" w:rsidRPr="00037B33" w:rsidRDefault="004F570A" w:rsidP="00902BC2">
      <w:pPr>
        <w:spacing w:after="0" w:line="360" w:lineRule="auto"/>
        <w:ind w:left="720"/>
        <w:jc w:val="both"/>
        <w:rPr>
          <w:rFonts w:ascii="Tahoma" w:hAnsi="Tahoma" w:cs="Tahoma"/>
          <w:sz w:val="25"/>
          <w:szCs w:val="25"/>
        </w:rPr>
      </w:pPr>
      <w:r w:rsidRPr="00037B33">
        <w:rPr>
          <w:rFonts w:ascii="Tahoma" w:hAnsi="Tahoma" w:cs="Tahoma"/>
          <w:sz w:val="25"/>
          <w:szCs w:val="25"/>
        </w:rPr>
        <w:t xml:space="preserve">A complaint of unfair labour practice, concerning </w:t>
      </w:r>
      <w:r w:rsidR="00902BC2" w:rsidRPr="00037B33">
        <w:rPr>
          <w:rFonts w:ascii="Tahoma" w:hAnsi="Tahoma" w:cs="Tahoma"/>
          <w:sz w:val="25"/>
          <w:szCs w:val="25"/>
        </w:rPr>
        <w:t>vari</w:t>
      </w:r>
      <w:r w:rsidRPr="00037B33">
        <w:rPr>
          <w:rFonts w:ascii="Tahoma" w:hAnsi="Tahoma" w:cs="Tahoma"/>
          <w:sz w:val="25"/>
          <w:szCs w:val="25"/>
        </w:rPr>
        <w:t>ation of contract, demotion and constructive dismissal was raised with the Labour Officer.</w:t>
      </w:r>
    </w:p>
    <w:p w:rsidR="004F570A" w:rsidRPr="00037B33" w:rsidRDefault="004F570A" w:rsidP="001D7721">
      <w:pPr>
        <w:spacing w:after="0" w:line="360" w:lineRule="auto"/>
        <w:ind w:left="720"/>
        <w:jc w:val="both"/>
        <w:rPr>
          <w:rFonts w:ascii="Tahoma" w:hAnsi="Tahoma" w:cs="Tahoma"/>
          <w:sz w:val="25"/>
          <w:szCs w:val="25"/>
        </w:rPr>
      </w:pPr>
    </w:p>
    <w:p w:rsidR="004F570A" w:rsidRDefault="004F570A" w:rsidP="00902BC2">
      <w:pPr>
        <w:spacing w:after="0" w:line="360" w:lineRule="auto"/>
        <w:ind w:left="720"/>
        <w:jc w:val="both"/>
        <w:rPr>
          <w:rFonts w:ascii="Tahoma" w:hAnsi="Tahoma" w:cs="Tahoma"/>
          <w:sz w:val="25"/>
          <w:szCs w:val="25"/>
        </w:rPr>
      </w:pPr>
      <w:r w:rsidRPr="00037B33">
        <w:rPr>
          <w:rFonts w:ascii="Tahoma" w:hAnsi="Tahoma" w:cs="Tahoma"/>
          <w:sz w:val="25"/>
          <w:szCs w:val="25"/>
        </w:rPr>
        <w:t xml:space="preserve">Eventually the matter was referred for arbitration, the award which is the subject of this appeal. </w:t>
      </w:r>
    </w:p>
    <w:p w:rsidR="00037B33" w:rsidRPr="00037B33" w:rsidRDefault="00037B33" w:rsidP="00902BC2">
      <w:pPr>
        <w:spacing w:after="0" w:line="360" w:lineRule="auto"/>
        <w:ind w:left="720"/>
        <w:jc w:val="both"/>
        <w:rPr>
          <w:rFonts w:ascii="Tahoma" w:hAnsi="Tahoma" w:cs="Tahoma"/>
          <w:sz w:val="25"/>
          <w:szCs w:val="25"/>
        </w:rPr>
      </w:pPr>
    </w:p>
    <w:p w:rsidR="004F570A" w:rsidRDefault="004F570A" w:rsidP="00617D29">
      <w:pPr>
        <w:spacing w:after="0" w:line="360" w:lineRule="auto"/>
        <w:ind w:firstLine="720"/>
        <w:jc w:val="both"/>
        <w:rPr>
          <w:rFonts w:ascii="Tahoma" w:hAnsi="Tahoma" w:cs="Tahoma"/>
          <w:sz w:val="25"/>
          <w:szCs w:val="25"/>
        </w:rPr>
      </w:pPr>
      <w:r>
        <w:rPr>
          <w:rFonts w:ascii="Tahoma" w:hAnsi="Tahoma" w:cs="Tahoma"/>
          <w:sz w:val="25"/>
          <w:szCs w:val="25"/>
        </w:rPr>
        <w:t>Section 12B (3</w:t>
      </w:r>
      <w:r w:rsidR="00337D65">
        <w:rPr>
          <w:rFonts w:ascii="Tahoma" w:hAnsi="Tahoma" w:cs="Tahoma"/>
          <w:sz w:val="25"/>
          <w:szCs w:val="25"/>
        </w:rPr>
        <w:t>) (</w:t>
      </w:r>
      <w:r>
        <w:rPr>
          <w:rFonts w:ascii="Tahoma" w:hAnsi="Tahoma" w:cs="Tahoma"/>
          <w:sz w:val="25"/>
          <w:szCs w:val="25"/>
        </w:rPr>
        <w:t>a) of the Labour Act [</w:t>
      </w:r>
      <w:r>
        <w:rPr>
          <w:rFonts w:ascii="Tahoma" w:hAnsi="Tahoma" w:cs="Tahoma"/>
          <w:i/>
          <w:sz w:val="25"/>
          <w:szCs w:val="25"/>
        </w:rPr>
        <w:t>Chapter 28:01</w:t>
      </w:r>
      <w:r>
        <w:rPr>
          <w:rFonts w:ascii="Tahoma" w:hAnsi="Tahoma" w:cs="Tahoma"/>
          <w:sz w:val="25"/>
          <w:szCs w:val="25"/>
        </w:rPr>
        <w:t xml:space="preserve">] states the law on constructive dismissal. </w:t>
      </w:r>
    </w:p>
    <w:p w:rsidR="004F570A" w:rsidRDefault="004F570A" w:rsidP="00617D29">
      <w:pPr>
        <w:spacing w:after="0" w:line="360" w:lineRule="auto"/>
        <w:ind w:firstLine="720"/>
        <w:jc w:val="both"/>
        <w:rPr>
          <w:rFonts w:ascii="Tahoma" w:hAnsi="Tahoma" w:cs="Tahoma"/>
          <w:sz w:val="25"/>
          <w:szCs w:val="25"/>
        </w:rPr>
      </w:pPr>
    </w:p>
    <w:p w:rsidR="004F570A" w:rsidRDefault="004F570A" w:rsidP="00617D29">
      <w:pPr>
        <w:spacing w:after="0" w:line="360" w:lineRule="auto"/>
        <w:ind w:firstLine="720"/>
        <w:jc w:val="both"/>
        <w:rPr>
          <w:rFonts w:ascii="Tahoma" w:hAnsi="Tahoma" w:cs="Tahoma"/>
          <w:sz w:val="25"/>
          <w:szCs w:val="25"/>
        </w:rPr>
      </w:pPr>
      <w:r>
        <w:rPr>
          <w:rFonts w:ascii="Tahoma" w:hAnsi="Tahoma" w:cs="Tahoma"/>
          <w:sz w:val="25"/>
          <w:szCs w:val="25"/>
        </w:rPr>
        <w:t xml:space="preserve">It reads; </w:t>
      </w:r>
    </w:p>
    <w:p w:rsidR="004F570A" w:rsidRPr="00441E66" w:rsidRDefault="004F570A" w:rsidP="00617D29">
      <w:pPr>
        <w:spacing w:after="0" w:line="360" w:lineRule="auto"/>
        <w:ind w:firstLine="720"/>
        <w:jc w:val="both"/>
        <w:rPr>
          <w:rFonts w:ascii="Times New Roman" w:hAnsi="Times New Roman" w:cs="Times New Roman"/>
          <w:b/>
          <w:i/>
          <w:sz w:val="20"/>
          <w:szCs w:val="20"/>
        </w:rPr>
      </w:pPr>
      <w:r w:rsidRPr="00441E66">
        <w:rPr>
          <w:rFonts w:ascii="Times New Roman" w:hAnsi="Times New Roman" w:cs="Times New Roman"/>
          <w:b/>
          <w:i/>
          <w:sz w:val="20"/>
          <w:szCs w:val="20"/>
        </w:rPr>
        <w:t>“(3)</w:t>
      </w:r>
      <w:r w:rsidRPr="00441E66">
        <w:rPr>
          <w:rFonts w:ascii="Times New Roman" w:hAnsi="Times New Roman" w:cs="Times New Roman"/>
          <w:b/>
          <w:i/>
          <w:sz w:val="20"/>
          <w:szCs w:val="20"/>
        </w:rPr>
        <w:tab/>
        <w:t>An employee is deemed to have been unfairly dismissed –</w:t>
      </w:r>
    </w:p>
    <w:p w:rsidR="004F570A" w:rsidRPr="00441E66" w:rsidRDefault="004F570A" w:rsidP="004F570A">
      <w:pPr>
        <w:pStyle w:val="ListParagraph"/>
        <w:numPr>
          <w:ilvl w:val="0"/>
          <w:numId w:val="2"/>
        </w:numPr>
        <w:spacing w:after="0" w:line="360" w:lineRule="auto"/>
        <w:jc w:val="both"/>
        <w:rPr>
          <w:rFonts w:ascii="Times New Roman" w:hAnsi="Times New Roman" w:cs="Times New Roman"/>
          <w:b/>
          <w:i/>
          <w:sz w:val="20"/>
          <w:szCs w:val="20"/>
        </w:rPr>
      </w:pPr>
      <w:r w:rsidRPr="00441E66">
        <w:rPr>
          <w:rFonts w:ascii="Times New Roman" w:hAnsi="Times New Roman" w:cs="Times New Roman"/>
          <w:b/>
          <w:i/>
          <w:sz w:val="20"/>
          <w:szCs w:val="20"/>
        </w:rPr>
        <w:t xml:space="preserve">If the employee terminated the contract of employment with or without notice because the employer deliberately made continued employment intolerable for the employee; </w:t>
      </w:r>
    </w:p>
    <w:p w:rsidR="004F570A" w:rsidRPr="00441E66" w:rsidRDefault="004F570A" w:rsidP="004F570A">
      <w:pPr>
        <w:pStyle w:val="ListParagraph"/>
        <w:numPr>
          <w:ilvl w:val="0"/>
          <w:numId w:val="2"/>
        </w:numPr>
        <w:spacing w:after="0" w:line="360" w:lineRule="auto"/>
        <w:jc w:val="both"/>
        <w:rPr>
          <w:rFonts w:ascii="Times New Roman" w:hAnsi="Times New Roman" w:cs="Times New Roman"/>
          <w:b/>
          <w:i/>
          <w:sz w:val="20"/>
          <w:szCs w:val="20"/>
        </w:rPr>
      </w:pPr>
      <w:r w:rsidRPr="00441E66">
        <w:rPr>
          <w:rFonts w:ascii="Times New Roman" w:hAnsi="Times New Roman" w:cs="Times New Roman"/>
          <w:b/>
          <w:i/>
          <w:sz w:val="20"/>
          <w:szCs w:val="20"/>
        </w:rPr>
        <w:t>…………………………………………………………………………..”</w:t>
      </w:r>
    </w:p>
    <w:p w:rsidR="00A42E04" w:rsidRPr="00441E66" w:rsidRDefault="00A42E04" w:rsidP="00A42E04">
      <w:pPr>
        <w:spacing w:after="0" w:line="360" w:lineRule="auto"/>
        <w:jc w:val="both"/>
        <w:rPr>
          <w:rFonts w:ascii="Times New Roman" w:hAnsi="Times New Roman" w:cs="Times New Roman"/>
          <w:b/>
          <w:i/>
          <w:sz w:val="20"/>
          <w:szCs w:val="20"/>
        </w:rPr>
      </w:pPr>
    </w:p>
    <w:p w:rsidR="00A42E04" w:rsidRDefault="00A42E04" w:rsidP="00A42E04">
      <w:pPr>
        <w:spacing w:after="0" w:line="360" w:lineRule="auto"/>
        <w:jc w:val="both"/>
        <w:rPr>
          <w:rFonts w:ascii="Tahoma" w:hAnsi="Tahoma" w:cs="Tahoma"/>
          <w:sz w:val="25"/>
          <w:szCs w:val="25"/>
        </w:rPr>
      </w:pPr>
      <w:r w:rsidRPr="00D95B8F">
        <w:rPr>
          <w:rFonts w:ascii="Tahoma" w:hAnsi="Tahoma" w:cs="Tahoma"/>
          <w:sz w:val="25"/>
          <w:szCs w:val="25"/>
        </w:rPr>
        <w:tab/>
      </w:r>
      <w:r w:rsidR="00441E66">
        <w:rPr>
          <w:rFonts w:ascii="Tahoma" w:hAnsi="Tahoma" w:cs="Tahoma"/>
          <w:sz w:val="25"/>
          <w:szCs w:val="25"/>
        </w:rPr>
        <w:t xml:space="preserve">It is also an accepted position of the law that a transfer is the prerogative of the employer.   In the case of </w:t>
      </w:r>
    </w:p>
    <w:p w:rsidR="00441E66" w:rsidRDefault="00441E66" w:rsidP="001D7721">
      <w:pPr>
        <w:spacing w:after="0" w:line="360" w:lineRule="auto"/>
        <w:jc w:val="both"/>
        <w:rPr>
          <w:rFonts w:ascii="Tahoma" w:hAnsi="Tahoma" w:cs="Tahoma"/>
          <w:sz w:val="25"/>
          <w:szCs w:val="25"/>
        </w:rPr>
      </w:pPr>
      <w:r>
        <w:rPr>
          <w:rFonts w:ascii="Tahoma" w:hAnsi="Tahoma" w:cs="Tahoma"/>
          <w:sz w:val="25"/>
          <w:szCs w:val="25"/>
        </w:rPr>
        <w:tab/>
      </w:r>
    </w:p>
    <w:p w:rsidR="00441E66" w:rsidRDefault="00441E66" w:rsidP="00441E66">
      <w:pPr>
        <w:spacing w:after="0" w:line="360" w:lineRule="auto"/>
        <w:ind w:firstLine="720"/>
        <w:jc w:val="both"/>
        <w:rPr>
          <w:rFonts w:ascii="Tahoma" w:hAnsi="Tahoma" w:cs="Tahoma"/>
          <w:b/>
          <w:i/>
          <w:sz w:val="24"/>
          <w:szCs w:val="24"/>
        </w:rPr>
      </w:pPr>
      <w:r w:rsidRPr="00441E66">
        <w:rPr>
          <w:rFonts w:ascii="Tahoma" w:hAnsi="Tahoma" w:cs="Tahoma"/>
          <w:b/>
          <w:i/>
          <w:sz w:val="24"/>
          <w:szCs w:val="24"/>
        </w:rPr>
        <w:t>GURUVA vs TRAFFIC SAFETY COUNCIL OF ZIMBABWE SC 28/2008</w:t>
      </w:r>
    </w:p>
    <w:p w:rsidR="00441E66" w:rsidRPr="00441E66" w:rsidRDefault="00441E66" w:rsidP="001D7721">
      <w:pPr>
        <w:spacing w:after="0" w:line="360" w:lineRule="auto"/>
        <w:ind w:firstLine="720"/>
        <w:jc w:val="both"/>
        <w:rPr>
          <w:rFonts w:ascii="Tahoma" w:hAnsi="Tahoma" w:cs="Tahoma"/>
          <w:b/>
          <w:i/>
          <w:sz w:val="24"/>
          <w:szCs w:val="24"/>
        </w:rPr>
      </w:pPr>
    </w:p>
    <w:p w:rsidR="00441E66" w:rsidRDefault="00441E66" w:rsidP="001D7721">
      <w:pPr>
        <w:spacing w:after="0" w:line="360" w:lineRule="auto"/>
        <w:jc w:val="both"/>
        <w:rPr>
          <w:rFonts w:ascii="Tahoma" w:hAnsi="Tahoma" w:cs="Tahoma"/>
          <w:sz w:val="25"/>
          <w:szCs w:val="25"/>
        </w:rPr>
      </w:pPr>
      <w:proofErr w:type="gramStart"/>
      <w:r>
        <w:rPr>
          <w:rFonts w:ascii="Tahoma" w:hAnsi="Tahoma" w:cs="Tahoma"/>
          <w:sz w:val="25"/>
          <w:szCs w:val="25"/>
        </w:rPr>
        <w:t>the</w:t>
      </w:r>
      <w:proofErr w:type="gramEnd"/>
      <w:r>
        <w:rPr>
          <w:rFonts w:ascii="Tahoma" w:hAnsi="Tahoma" w:cs="Tahoma"/>
          <w:sz w:val="25"/>
          <w:szCs w:val="25"/>
        </w:rPr>
        <w:t xml:space="preserve"> Supreme Court had this to say; </w:t>
      </w:r>
    </w:p>
    <w:p w:rsidR="001D7721" w:rsidRDefault="001D7721" w:rsidP="001D7721">
      <w:pPr>
        <w:spacing w:after="0" w:line="360" w:lineRule="auto"/>
        <w:jc w:val="both"/>
        <w:rPr>
          <w:rFonts w:ascii="Tahoma" w:hAnsi="Tahoma" w:cs="Tahoma"/>
          <w:sz w:val="25"/>
          <w:szCs w:val="25"/>
        </w:rPr>
      </w:pPr>
      <w:bookmarkStart w:id="0" w:name="_GoBack"/>
      <w:bookmarkEnd w:id="0"/>
    </w:p>
    <w:p w:rsidR="00441E66" w:rsidRPr="00441E66" w:rsidRDefault="00441E66" w:rsidP="00441E66">
      <w:pPr>
        <w:spacing w:after="0" w:line="360" w:lineRule="auto"/>
        <w:ind w:left="720"/>
        <w:jc w:val="both"/>
        <w:rPr>
          <w:rFonts w:ascii="Times New Roman" w:hAnsi="Times New Roman" w:cs="Times New Roman"/>
          <w:b/>
          <w:i/>
          <w:sz w:val="20"/>
          <w:szCs w:val="20"/>
        </w:rPr>
      </w:pPr>
      <w:r w:rsidRPr="00441E66">
        <w:rPr>
          <w:rFonts w:ascii="Times New Roman" w:hAnsi="Times New Roman" w:cs="Times New Roman"/>
          <w:b/>
          <w:i/>
          <w:sz w:val="20"/>
          <w:szCs w:val="20"/>
        </w:rPr>
        <w:t>“It must be accepted that the right to transfer an employee from one place to another is the prerogative of the employer.</w:t>
      </w:r>
    </w:p>
    <w:p w:rsidR="00441E66" w:rsidRPr="00441E66" w:rsidRDefault="00441E66" w:rsidP="00441E66">
      <w:pPr>
        <w:spacing w:after="0" w:line="360" w:lineRule="auto"/>
        <w:ind w:left="720"/>
        <w:jc w:val="both"/>
        <w:rPr>
          <w:rFonts w:ascii="Times New Roman" w:hAnsi="Times New Roman" w:cs="Times New Roman"/>
          <w:b/>
          <w:i/>
          <w:sz w:val="20"/>
          <w:szCs w:val="20"/>
        </w:rPr>
      </w:pPr>
    </w:p>
    <w:p w:rsidR="00441E66" w:rsidRPr="00441E66" w:rsidRDefault="00441E66" w:rsidP="00441E66">
      <w:pPr>
        <w:spacing w:after="0" w:line="360" w:lineRule="auto"/>
        <w:ind w:left="720"/>
        <w:jc w:val="both"/>
        <w:rPr>
          <w:rFonts w:ascii="Times New Roman" w:hAnsi="Times New Roman" w:cs="Times New Roman"/>
          <w:b/>
          <w:i/>
          <w:sz w:val="20"/>
          <w:szCs w:val="20"/>
        </w:rPr>
      </w:pPr>
      <w:r w:rsidRPr="00441E66">
        <w:rPr>
          <w:rFonts w:ascii="Times New Roman" w:hAnsi="Times New Roman" w:cs="Times New Roman"/>
          <w:b/>
          <w:i/>
          <w:sz w:val="20"/>
          <w:szCs w:val="20"/>
        </w:rPr>
        <w:t xml:space="preserve">It is the employer who knows better where the services of an employee are required.  The Employer’s discretion in determining which employee should be transferred and to which point </w:t>
      </w:r>
      <w:r w:rsidR="00902BC2">
        <w:rPr>
          <w:rFonts w:ascii="Times New Roman" w:hAnsi="Times New Roman" w:cs="Times New Roman"/>
          <w:b/>
          <w:i/>
          <w:sz w:val="20"/>
          <w:szCs w:val="20"/>
        </w:rPr>
        <w:t xml:space="preserve">of </w:t>
      </w:r>
      <w:r w:rsidRPr="00441E66">
        <w:rPr>
          <w:rFonts w:ascii="Times New Roman" w:hAnsi="Times New Roman" w:cs="Times New Roman"/>
          <w:b/>
          <w:i/>
          <w:sz w:val="20"/>
          <w:szCs w:val="20"/>
        </w:rPr>
        <w:t>the employer’s operations</w:t>
      </w:r>
      <w:r w:rsidR="00EC7A5A">
        <w:rPr>
          <w:rFonts w:ascii="Times New Roman" w:hAnsi="Times New Roman" w:cs="Times New Roman"/>
          <w:b/>
          <w:i/>
          <w:sz w:val="20"/>
          <w:szCs w:val="20"/>
        </w:rPr>
        <w:t>,</w:t>
      </w:r>
      <w:r w:rsidRPr="00441E66">
        <w:rPr>
          <w:rFonts w:ascii="Times New Roman" w:hAnsi="Times New Roman" w:cs="Times New Roman"/>
          <w:b/>
          <w:i/>
          <w:sz w:val="20"/>
          <w:szCs w:val="20"/>
        </w:rPr>
        <w:t xml:space="preserve"> is not to be readily inter</w:t>
      </w:r>
      <w:r w:rsidR="00902BC2">
        <w:rPr>
          <w:rFonts w:ascii="Times New Roman" w:hAnsi="Times New Roman" w:cs="Times New Roman"/>
          <w:b/>
          <w:i/>
          <w:sz w:val="20"/>
          <w:szCs w:val="20"/>
        </w:rPr>
        <w:t>fe</w:t>
      </w:r>
      <w:r w:rsidRPr="00441E66">
        <w:rPr>
          <w:rFonts w:ascii="Times New Roman" w:hAnsi="Times New Roman" w:cs="Times New Roman"/>
          <w:b/>
          <w:i/>
          <w:sz w:val="20"/>
          <w:szCs w:val="20"/>
        </w:rPr>
        <w:t xml:space="preserve">red with except for good cause shown.” </w:t>
      </w:r>
    </w:p>
    <w:p w:rsidR="00441E66" w:rsidRPr="00441E66" w:rsidRDefault="00441E66" w:rsidP="00A42E04">
      <w:pPr>
        <w:spacing w:after="0" w:line="360" w:lineRule="auto"/>
        <w:jc w:val="both"/>
        <w:rPr>
          <w:rFonts w:ascii="Tahoma" w:hAnsi="Tahoma" w:cs="Tahoma"/>
          <w:b/>
          <w:i/>
          <w:sz w:val="25"/>
          <w:szCs w:val="25"/>
        </w:rPr>
      </w:pPr>
    </w:p>
    <w:p w:rsidR="00A42E04" w:rsidRDefault="00811EAB" w:rsidP="00A42E04">
      <w:pPr>
        <w:spacing w:after="0" w:line="360" w:lineRule="auto"/>
        <w:jc w:val="both"/>
        <w:rPr>
          <w:rFonts w:ascii="Tahoma" w:hAnsi="Tahoma" w:cs="Tahoma"/>
          <w:sz w:val="25"/>
          <w:szCs w:val="25"/>
        </w:rPr>
      </w:pPr>
      <w:r>
        <w:rPr>
          <w:rFonts w:ascii="Tahoma" w:hAnsi="Tahoma" w:cs="Tahoma"/>
          <w:sz w:val="25"/>
          <w:szCs w:val="25"/>
        </w:rPr>
        <w:tab/>
        <w:t xml:space="preserve">In determining whether there was constructive dismissal or not, the Arbitrator considered whether Appellant was not heard i.e. if the </w:t>
      </w:r>
      <w:r w:rsidRPr="00811EAB">
        <w:rPr>
          <w:rFonts w:ascii="Tahoma" w:hAnsi="Tahoma" w:cs="Tahoma"/>
          <w:i/>
          <w:sz w:val="25"/>
          <w:szCs w:val="25"/>
        </w:rPr>
        <w:t>audi alteram partem</w:t>
      </w:r>
      <w:r>
        <w:rPr>
          <w:rFonts w:ascii="Tahoma" w:hAnsi="Tahoma" w:cs="Tahoma"/>
          <w:sz w:val="25"/>
          <w:szCs w:val="25"/>
        </w:rPr>
        <w:t xml:space="preserve"> rule was not flouted, whether Appellant’s conditions of service were varied and whether Appellant was demoted. </w:t>
      </w:r>
    </w:p>
    <w:p w:rsidR="00811EAB" w:rsidRDefault="00811EAB" w:rsidP="00C57EAF">
      <w:pPr>
        <w:spacing w:after="0" w:line="240" w:lineRule="auto"/>
        <w:jc w:val="both"/>
        <w:rPr>
          <w:rFonts w:ascii="Tahoma" w:hAnsi="Tahoma" w:cs="Tahoma"/>
          <w:sz w:val="25"/>
          <w:szCs w:val="25"/>
        </w:rPr>
      </w:pPr>
    </w:p>
    <w:p w:rsidR="00811EAB" w:rsidRDefault="00811EAB" w:rsidP="00A42E04">
      <w:pPr>
        <w:spacing w:after="0" w:line="360" w:lineRule="auto"/>
        <w:jc w:val="both"/>
        <w:rPr>
          <w:rFonts w:ascii="Tahoma" w:hAnsi="Tahoma" w:cs="Tahoma"/>
          <w:sz w:val="25"/>
          <w:szCs w:val="25"/>
        </w:rPr>
      </w:pPr>
      <w:r>
        <w:rPr>
          <w:rFonts w:ascii="Tahoma" w:hAnsi="Tahoma" w:cs="Tahoma"/>
          <w:sz w:val="25"/>
          <w:szCs w:val="25"/>
        </w:rPr>
        <w:tab/>
        <w:t xml:space="preserve">The Arbitrator analysed the evidence placed before him and concluded that Appellant raised a grievance and was indeed heard.  The transfer itself did not have any effect or bearing on the terms of Appellant’s conditions of service.  Her salary was not reduced, she had an office to work from, had work to do, though it was different from the usual work of a Personal Assistant.  She was taken through some training for the new job. </w:t>
      </w:r>
    </w:p>
    <w:p w:rsidR="00811EAB" w:rsidRDefault="00811EAB" w:rsidP="00C57EAF">
      <w:pPr>
        <w:spacing w:after="0" w:line="240" w:lineRule="auto"/>
        <w:jc w:val="both"/>
        <w:rPr>
          <w:rFonts w:ascii="Tahoma" w:hAnsi="Tahoma" w:cs="Tahoma"/>
          <w:sz w:val="25"/>
          <w:szCs w:val="25"/>
        </w:rPr>
      </w:pPr>
    </w:p>
    <w:p w:rsidR="00811EAB" w:rsidRDefault="00811EAB" w:rsidP="00902BC2">
      <w:pPr>
        <w:spacing w:after="0" w:line="240" w:lineRule="auto"/>
        <w:ind w:firstLine="720"/>
        <w:jc w:val="both"/>
        <w:rPr>
          <w:rFonts w:ascii="Tahoma" w:hAnsi="Tahoma" w:cs="Tahoma"/>
          <w:sz w:val="25"/>
          <w:szCs w:val="25"/>
        </w:rPr>
      </w:pPr>
      <w:r>
        <w:rPr>
          <w:rFonts w:ascii="Tahoma" w:hAnsi="Tahoma" w:cs="Tahoma"/>
          <w:sz w:val="25"/>
          <w:szCs w:val="25"/>
        </w:rPr>
        <w:t>The transfer letter dated the 13</w:t>
      </w:r>
      <w:r w:rsidRPr="00811EAB">
        <w:rPr>
          <w:rFonts w:ascii="Tahoma" w:hAnsi="Tahoma" w:cs="Tahoma"/>
          <w:sz w:val="25"/>
          <w:szCs w:val="25"/>
          <w:vertAlign w:val="superscript"/>
        </w:rPr>
        <w:t>th</w:t>
      </w:r>
      <w:r>
        <w:rPr>
          <w:rFonts w:ascii="Tahoma" w:hAnsi="Tahoma" w:cs="Tahoma"/>
          <w:sz w:val="25"/>
          <w:szCs w:val="25"/>
        </w:rPr>
        <w:t xml:space="preserve"> December, 2012 reads as follows:-</w:t>
      </w:r>
    </w:p>
    <w:p w:rsidR="00811EAB" w:rsidRDefault="00811EAB" w:rsidP="00811EAB">
      <w:pPr>
        <w:spacing w:after="0" w:line="240" w:lineRule="auto"/>
        <w:ind w:firstLine="720"/>
        <w:jc w:val="both"/>
        <w:rPr>
          <w:rFonts w:ascii="Tahoma" w:hAnsi="Tahoma" w:cs="Tahoma"/>
          <w:sz w:val="25"/>
          <w:szCs w:val="25"/>
        </w:rPr>
      </w:pPr>
    </w:p>
    <w:p w:rsidR="00811EAB" w:rsidRPr="00902BC2" w:rsidRDefault="00811EAB" w:rsidP="00811EAB">
      <w:pPr>
        <w:spacing w:after="0" w:line="360" w:lineRule="auto"/>
        <w:ind w:left="720"/>
        <w:jc w:val="both"/>
        <w:rPr>
          <w:rFonts w:ascii="Times New Roman" w:hAnsi="Times New Roman" w:cs="Times New Roman"/>
          <w:b/>
          <w:i/>
          <w:sz w:val="20"/>
          <w:szCs w:val="20"/>
        </w:rPr>
      </w:pPr>
      <w:r w:rsidRPr="00902BC2">
        <w:rPr>
          <w:rFonts w:ascii="Times New Roman" w:hAnsi="Times New Roman" w:cs="Times New Roman"/>
          <w:b/>
          <w:i/>
          <w:sz w:val="20"/>
          <w:szCs w:val="20"/>
        </w:rPr>
        <w:t xml:space="preserve">“Following </w:t>
      </w:r>
      <w:r w:rsidRPr="00902BC2">
        <w:rPr>
          <w:rFonts w:ascii="Times New Roman" w:hAnsi="Times New Roman" w:cs="Times New Roman"/>
          <w:b/>
          <w:i/>
          <w:sz w:val="20"/>
          <w:szCs w:val="20"/>
          <w:u w:val="single"/>
        </w:rPr>
        <w:t>discussions</w:t>
      </w:r>
      <w:r w:rsidRPr="00902BC2">
        <w:rPr>
          <w:rFonts w:ascii="Times New Roman" w:hAnsi="Times New Roman" w:cs="Times New Roman"/>
          <w:b/>
          <w:i/>
          <w:sz w:val="20"/>
          <w:szCs w:val="20"/>
        </w:rPr>
        <w:t xml:space="preserve"> held with you, this letter serves to transfer you to </w:t>
      </w:r>
    </w:p>
    <w:p w:rsidR="00811EAB" w:rsidRPr="00902BC2" w:rsidRDefault="00811EAB" w:rsidP="00811EAB">
      <w:pPr>
        <w:spacing w:after="0" w:line="360" w:lineRule="auto"/>
        <w:ind w:left="720"/>
        <w:jc w:val="both"/>
        <w:rPr>
          <w:rFonts w:ascii="Times New Roman" w:hAnsi="Times New Roman" w:cs="Times New Roman"/>
          <w:b/>
          <w:i/>
          <w:sz w:val="20"/>
          <w:szCs w:val="20"/>
        </w:rPr>
      </w:pPr>
      <w:proofErr w:type="gramStart"/>
      <w:r w:rsidRPr="00902BC2">
        <w:rPr>
          <w:rFonts w:ascii="Times New Roman" w:hAnsi="Times New Roman" w:cs="Times New Roman"/>
          <w:b/>
          <w:i/>
          <w:sz w:val="20"/>
          <w:szCs w:val="20"/>
        </w:rPr>
        <w:t>the</w:t>
      </w:r>
      <w:proofErr w:type="gramEnd"/>
      <w:r w:rsidRPr="00902BC2">
        <w:rPr>
          <w:rFonts w:ascii="Times New Roman" w:hAnsi="Times New Roman" w:cs="Times New Roman"/>
          <w:b/>
          <w:i/>
          <w:sz w:val="20"/>
          <w:szCs w:val="20"/>
        </w:rPr>
        <w:t xml:space="preserve"> position of …………………..</w:t>
      </w:r>
    </w:p>
    <w:p w:rsidR="00811EAB" w:rsidRPr="00902BC2" w:rsidRDefault="00811EAB" w:rsidP="00C57EAF">
      <w:pPr>
        <w:spacing w:after="0" w:line="240" w:lineRule="auto"/>
        <w:ind w:left="720"/>
        <w:jc w:val="both"/>
        <w:rPr>
          <w:rFonts w:ascii="Times New Roman" w:hAnsi="Times New Roman" w:cs="Times New Roman"/>
          <w:b/>
          <w:i/>
          <w:sz w:val="20"/>
          <w:szCs w:val="20"/>
        </w:rPr>
      </w:pPr>
    </w:p>
    <w:p w:rsidR="00C57EAF" w:rsidRPr="00902BC2" w:rsidRDefault="00C57EAF" w:rsidP="00C57EAF">
      <w:pPr>
        <w:pStyle w:val="ListParagraph"/>
        <w:numPr>
          <w:ilvl w:val="0"/>
          <w:numId w:val="3"/>
        </w:numPr>
        <w:spacing w:after="0" w:line="360" w:lineRule="auto"/>
        <w:jc w:val="both"/>
        <w:rPr>
          <w:rFonts w:ascii="Times New Roman" w:hAnsi="Times New Roman" w:cs="Times New Roman"/>
          <w:b/>
          <w:i/>
          <w:sz w:val="20"/>
          <w:szCs w:val="20"/>
          <w:u w:val="single"/>
        </w:rPr>
      </w:pPr>
      <w:r w:rsidRPr="00902BC2">
        <w:rPr>
          <w:rFonts w:ascii="Times New Roman" w:hAnsi="Times New Roman" w:cs="Times New Roman"/>
          <w:b/>
          <w:i/>
          <w:sz w:val="20"/>
          <w:szCs w:val="20"/>
          <w:u w:val="single"/>
        </w:rPr>
        <w:t xml:space="preserve">Effective date </w:t>
      </w:r>
    </w:p>
    <w:p w:rsidR="00C57EAF" w:rsidRPr="00902BC2" w:rsidRDefault="00C57EAF" w:rsidP="00C57EAF">
      <w:pPr>
        <w:pStyle w:val="ListParagraph"/>
        <w:spacing w:after="0" w:line="360" w:lineRule="auto"/>
        <w:ind w:left="1440"/>
        <w:jc w:val="both"/>
        <w:rPr>
          <w:rFonts w:ascii="Times New Roman" w:hAnsi="Times New Roman" w:cs="Times New Roman"/>
          <w:b/>
          <w:i/>
          <w:sz w:val="20"/>
          <w:szCs w:val="20"/>
        </w:rPr>
      </w:pPr>
      <w:r w:rsidRPr="00902BC2">
        <w:rPr>
          <w:rFonts w:ascii="Times New Roman" w:hAnsi="Times New Roman" w:cs="Times New Roman"/>
          <w:b/>
          <w:i/>
          <w:sz w:val="20"/>
          <w:szCs w:val="20"/>
        </w:rPr>
        <w:t xml:space="preserve">Your appointment is with immediate effect. </w:t>
      </w:r>
    </w:p>
    <w:p w:rsidR="00C57EAF" w:rsidRPr="00902BC2" w:rsidRDefault="00C57EAF" w:rsidP="00C57EAF">
      <w:pPr>
        <w:spacing w:after="0" w:line="240" w:lineRule="auto"/>
        <w:jc w:val="both"/>
        <w:rPr>
          <w:rFonts w:ascii="Times New Roman" w:hAnsi="Times New Roman" w:cs="Times New Roman"/>
          <w:b/>
          <w:i/>
          <w:sz w:val="20"/>
          <w:szCs w:val="20"/>
        </w:rPr>
      </w:pPr>
      <w:r w:rsidRPr="00902BC2">
        <w:rPr>
          <w:rFonts w:ascii="Times New Roman" w:hAnsi="Times New Roman" w:cs="Times New Roman"/>
          <w:b/>
          <w:i/>
          <w:sz w:val="20"/>
          <w:szCs w:val="20"/>
        </w:rPr>
        <w:tab/>
      </w:r>
    </w:p>
    <w:p w:rsidR="00C57EAF" w:rsidRPr="00902BC2" w:rsidRDefault="00C57EAF" w:rsidP="00C57EAF">
      <w:pPr>
        <w:pStyle w:val="ListParagraph"/>
        <w:numPr>
          <w:ilvl w:val="0"/>
          <w:numId w:val="3"/>
        </w:numPr>
        <w:spacing w:after="0" w:line="360" w:lineRule="auto"/>
        <w:jc w:val="both"/>
        <w:rPr>
          <w:rFonts w:ascii="Times New Roman" w:hAnsi="Times New Roman" w:cs="Times New Roman"/>
          <w:b/>
          <w:i/>
          <w:sz w:val="20"/>
          <w:szCs w:val="20"/>
          <w:u w:val="single"/>
        </w:rPr>
      </w:pPr>
      <w:r w:rsidRPr="00902BC2">
        <w:rPr>
          <w:rFonts w:ascii="Times New Roman" w:hAnsi="Times New Roman" w:cs="Times New Roman"/>
          <w:b/>
          <w:i/>
          <w:sz w:val="20"/>
          <w:szCs w:val="20"/>
          <w:u w:val="single"/>
        </w:rPr>
        <w:t>Reporting Structure</w:t>
      </w:r>
    </w:p>
    <w:p w:rsidR="00C57EAF" w:rsidRPr="00902BC2" w:rsidRDefault="00C57EAF" w:rsidP="00902BC2">
      <w:pPr>
        <w:pStyle w:val="ListParagraph"/>
        <w:spacing w:after="0" w:line="360" w:lineRule="auto"/>
        <w:ind w:left="1440"/>
        <w:jc w:val="both"/>
        <w:rPr>
          <w:rFonts w:ascii="Times New Roman" w:hAnsi="Times New Roman" w:cs="Times New Roman"/>
          <w:b/>
          <w:i/>
          <w:sz w:val="20"/>
          <w:szCs w:val="20"/>
        </w:rPr>
      </w:pPr>
      <w:r w:rsidRPr="00902BC2">
        <w:rPr>
          <w:rFonts w:ascii="Times New Roman" w:hAnsi="Times New Roman" w:cs="Times New Roman"/>
          <w:b/>
          <w:i/>
          <w:sz w:val="20"/>
          <w:szCs w:val="20"/>
        </w:rPr>
        <w:t xml:space="preserve">During your tenure as Assistant Front Office Manager, you will report to the Rooms Division Manager for the hotel.  </w:t>
      </w:r>
      <w:r w:rsidRPr="00902BC2">
        <w:rPr>
          <w:rFonts w:ascii="Times New Roman" w:hAnsi="Times New Roman" w:cs="Times New Roman"/>
          <w:b/>
          <w:i/>
          <w:sz w:val="20"/>
          <w:szCs w:val="20"/>
          <w:u w:val="single"/>
        </w:rPr>
        <w:t>You will transfer in the same grade</w:t>
      </w:r>
      <w:r w:rsidRPr="00902BC2">
        <w:rPr>
          <w:rFonts w:ascii="Times New Roman" w:hAnsi="Times New Roman" w:cs="Times New Roman"/>
          <w:b/>
          <w:i/>
          <w:sz w:val="20"/>
          <w:szCs w:val="20"/>
        </w:rPr>
        <w:t xml:space="preserve"> currently Hay grade 10</w:t>
      </w:r>
    </w:p>
    <w:p w:rsidR="00C57EAF" w:rsidRPr="00902BC2" w:rsidRDefault="00C57EAF" w:rsidP="00C57EAF">
      <w:pPr>
        <w:spacing w:after="0" w:line="240" w:lineRule="auto"/>
        <w:jc w:val="both"/>
        <w:rPr>
          <w:rFonts w:ascii="Times New Roman" w:hAnsi="Times New Roman" w:cs="Times New Roman"/>
          <w:b/>
          <w:i/>
          <w:sz w:val="20"/>
          <w:szCs w:val="20"/>
        </w:rPr>
      </w:pPr>
    </w:p>
    <w:p w:rsidR="00C57EAF" w:rsidRPr="00902BC2" w:rsidRDefault="00C57EAF" w:rsidP="00C57EAF">
      <w:pPr>
        <w:pStyle w:val="ListParagraph"/>
        <w:numPr>
          <w:ilvl w:val="0"/>
          <w:numId w:val="3"/>
        </w:numPr>
        <w:spacing w:after="0" w:line="360" w:lineRule="auto"/>
        <w:jc w:val="both"/>
        <w:rPr>
          <w:rFonts w:ascii="Times New Roman" w:hAnsi="Times New Roman" w:cs="Times New Roman"/>
          <w:b/>
          <w:i/>
          <w:sz w:val="20"/>
          <w:szCs w:val="20"/>
        </w:rPr>
      </w:pPr>
      <w:r w:rsidRPr="00902BC2">
        <w:rPr>
          <w:rFonts w:ascii="Times New Roman" w:hAnsi="Times New Roman" w:cs="Times New Roman"/>
          <w:b/>
          <w:i/>
          <w:sz w:val="20"/>
          <w:szCs w:val="20"/>
          <w:u w:val="single"/>
        </w:rPr>
        <w:t>Conditions of service</w:t>
      </w:r>
    </w:p>
    <w:p w:rsidR="00C57EAF" w:rsidRPr="00902BC2" w:rsidRDefault="00C57EAF" w:rsidP="00C57EAF">
      <w:pPr>
        <w:pStyle w:val="ListParagraph"/>
        <w:spacing w:after="0" w:line="360" w:lineRule="auto"/>
        <w:ind w:left="1440"/>
        <w:jc w:val="both"/>
        <w:rPr>
          <w:rFonts w:ascii="Times New Roman" w:hAnsi="Times New Roman" w:cs="Times New Roman"/>
          <w:b/>
          <w:i/>
          <w:sz w:val="20"/>
          <w:szCs w:val="20"/>
          <w:u w:val="single"/>
        </w:rPr>
      </w:pPr>
      <w:r w:rsidRPr="00902BC2">
        <w:rPr>
          <w:rFonts w:ascii="Times New Roman" w:hAnsi="Times New Roman" w:cs="Times New Roman"/>
          <w:b/>
          <w:i/>
          <w:sz w:val="20"/>
          <w:szCs w:val="20"/>
          <w:u w:val="single"/>
        </w:rPr>
        <w:t>Your current remuneration will remain the same.</w:t>
      </w:r>
    </w:p>
    <w:p w:rsidR="00C57EAF" w:rsidRPr="00902BC2" w:rsidRDefault="00C57EAF" w:rsidP="00C57EAF">
      <w:pPr>
        <w:spacing w:after="0" w:line="240" w:lineRule="auto"/>
        <w:jc w:val="both"/>
        <w:rPr>
          <w:rFonts w:ascii="Times New Roman" w:hAnsi="Times New Roman" w:cs="Times New Roman"/>
          <w:b/>
          <w:i/>
          <w:sz w:val="20"/>
          <w:szCs w:val="20"/>
        </w:rPr>
      </w:pPr>
    </w:p>
    <w:p w:rsidR="00C57EAF" w:rsidRPr="00902BC2" w:rsidRDefault="00C57EAF" w:rsidP="00C57EAF">
      <w:pPr>
        <w:pStyle w:val="ListParagraph"/>
        <w:numPr>
          <w:ilvl w:val="0"/>
          <w:numId w:val="3"/>
        </w:numPr>
        <w:spacing w:after="0" w:line="360" w:lineRule="auto"/>
        <w:jc w:val="both"/>
        <w:rPr>
          <w:rFonts w:ascii="Times New Roman" w:hAnsi="Times New Roman" w:cs="Times New Roman"/>
          <w:b/>
          <w:i/>
          <w:sz w:val="20"/>
          <w:szCs w:val="20"/>
          <w:u w:val="single"/>
        </w:rPr>
      </w:pPr>
      <w:r w:rsidRPr="00902BC2">
        <w:rPr>
          <w:rFonts w:ascii="Times New Roman" w:hAnsi="Times New Roman" w:cs="Times New Roman"/>
          <w:b/>
          <w:i/>
          <w:sz w:val="20"/>
          <w:szCs w:val="20"/>
          <w:u w:val="single"/>
        </w:rPr>
        <w:t>Training and development program</w:t>
      </w:r>
    </w:p>
    <w:p w:rsidR="00025B6C" w:rsidRPr="00902BC2" w:rsidRDefault="00C57EAF" w:rsidP="00C57EAF">
      <w:pPr>
        <w:spacing w:after="0" w:line="360" w:lineRule="auto"/>
        <w:ind w:left="1440"/>
        <w:rPr>
          <w:rFonts w:ascii="Times New Roman" w:hAnsi="Times New Roman" w:cs="Times New Roman"/>
          <w:b/>
          <w:i/>
          <w:sz w:val="20"/>
          <w:szCs w:val="20"/>
        </w:rPr>
      </w:pPr>
      <w:r w:rsidRPr="00902BC2">
        <w:rPr>
          <w:rFonts w:ascii="Times New Roman" w:hAnsi="Times New Roman" w:cs="Times New Roman"/>
          <w:b/>
          <w:i/>
          <w:sz w:val="20"/>
          <w:szCs w:val="20"/>
        </w:rPr>
        <w:t>You will be on a hotel operations development program over the next six months structured as follows:</w:t>
      </w:r>
    </w:p>
    <w:p w:rsidR="00C57EAF" w:rsidRPr="00902BC2" w:rsidRDefault="00C57EAF" w:rsidP="00560117">
      <w:pPr>
        <w:pStyle w:val="ListParagraph"/>
        <w:numPr>
          <w:ilvl w:val="0"/>
          <w:numId w:val="4"/>
        </w:numPr>
        <w:spacing w:after="0" w:line="240" w:lineRule="auto"/>
        <w:rPr>
          <w:rFonts w:ascii="Times New Roman" w:hAnsi="Times New Roman" w:cs="Times New Roman"/>
          <w:b/>
          <w:i/>
          <w:sz w:val="20"/>
          <w:szCs w:val="20"/>
        </w:rPr>
      </w:pPr>
    </w:p>
    <w:p w:rsidR="00B8682C" w:rsidRPr="00902BC2" w:rsidRDefault="00B8682C" w:rsidP="00560117">
      <w:pPr>
        <w:pStyle w:val="ListParagraph"/>
        <w:numPr>
          <w:ilvl w:val="0"/>
          <w:numId w:val="4"/>
        </w:numPr>
        <w:spacing w:after="0" w:line="240" w:lineRule="auto"/>
        <w:rPr>
          <w:rFonts w:ascii="Times New Roman" w:hAnsi="Times New Roman" w:cs="Times New Roman"/>
          <w:b/>
          <w:i/>
          <w:sz w:val="20"/>
          <w:szCs w:val="20"/>
        </w:rPr>
      </w:pPr>
    </w:p>
    <w:p w:rsidR="00560117" w:rsidRPr="00902BC2" w:rsidRDefault="00560117" w:rsidP="00560117">
      <w:pPr>
        <w:pStyle w:val="ListParagraph"/>
        <w:numPr>
          <w:ilvl w:val="0"/>
          <w:numId w:val="4"/>
        </w:numPr>
        <w:spacing w:after="0" w:line="240" w:lineRule="auto"/>
        <w:rPr>
          <w:rFonts w:ascii="Tahoma" w:hAnsi="Tahoma" w:cs="Tahoma"/>
          <w:b/>
          <w:i/>
          <w:sz w:val="20"/>
          <w:szCs w:val="20"/>
        </w:rPr>
      </w:pPr>
    </w:p>
    <w:p w:rsidR="00560117" w:rsidRPr="00902BC2" w:rsidRDefault="00560117" w:rsidP="00560117">
      <w:pPr>
        <w:pStyle w:val="ListParagraph"/>
        <w:numPr>
          <w:ilvl w:val="0"/>
          <w:numId w:val="4"/>
        </w:numPr>
        <w:spacing w:after="0" w:line="240" w:lineRule="auto"/>
        <w:rPr>
          <w:rFonts w:ascii="Tahoma" w:hAnsi="Tahoma" w:cs="Tahoma"/>
          <w:b/>
          <w:i/>
          <w:sz w:val="20"/>
          <w:szCs w:val="20"/>
        </w:rPr>
      </w:pPr>
    </w:p>
    <w:p w:rsidR="00560117" w:rsidRPr="00902BC2" w:rsidRDefault="007310EB" w:rsidP="00902BC2">
      <w:pPr>
        <w:spacing w:after="0" w:line="240" w:lineRule="auto"/>
        <w:rPr>
          <w:rFonts w:ascii="Tahoma" w:hAnsi="Tahoma" w:cs="Tahoma"/>
          <w:b/>
          <w:i/>
          <w:sz w:val="25"/>
          <w:szCs w:val="25"/>
        </w:rPr>
      </w:pPr>
      <w:r w:rsidRPr="00902BC2">
        <w:rPr>
          <w:rFonts w:ascii="Tahoma" w:hAnsi="Tahoma" w:cs="Tahoma"/>
          <w:b/>
          <w:i/>
          <w:sz w:val="25"/>
          <w:szCs w:val="25"/>
        </w:rPr>
        <w:tab/>
      </w:r>
      <w:r w:rsidRPr="00902BC2">
        <w:rPr>
          <w:rFonts w:ascii="Tahoma" w:hAnsi="Tahoma" w:cs="Tahoma"/>
          <w:b/>
          <w:i/>
          <w:sz w:val="25"/>
          <w:szCs w:val="25"/>
        </w:rPr>
        <w:tab/>
      </w:r>
      <w:r w:rsidR="00902BC2">
        <w:rPr>
          <w:rFonts w:ascii="Tahoma" w:hAnsi="Tahoma" w:cs="Tahoma"/>
          <w:b/>
          <w:i/>
          <w:sz w:val="20"/>
          <w:szCs w:val="20"/>
        </w:rPr>
        <w:t>…………………………………………………………</w:t>
      </w:r>
      <w:r w:rsidRPr="00902BC2">
        <w:rPr>
          <w:rFonts w:ascii="Tahoma" w:hAnsi="Tahoma" w:cs="Tahoma"/>
          <w:b/>
          <w:i/>
          <w:sz w:val="20"/>
          <w:szCs w:val="20"/>
        </w:rPr>
        <w:t>”</w:t>
      </w:r>
      <w:r w:rsidR="00902BC2">
        <w:rPr>
          <w:rFonts w:ascii="Tahoma" w:hAnsi="Tahoma" w:cs="Tahoma"/>
          <w:b/>
          <w:i/>
          <w:sz w:val="20"/>
          <w:szCs w:val="20"/>
        </w:rPr>
        <w:t xml:space="preserve">  </w:t>
      </w:r>
      <w:r>
        <w:rPr>
          <w:rFonts w:ascii="Tahoma" w:hAnsi="Tahoma" w:cs="Tahoma"/>
          <w:sz w:val="25"/>
          <w:szCs w:val="25"/>
        </w:rPr>
        <w:t>(Underlining my own)</w:t>
      </w:r>
    </w:p>
    <w:p w:rsidR="00560117" w:rsidRDefault="00560117" w:rsidP="00902BC2">
      <w:pPr>
        <w:spacing w:after="0" w:line="240" w:lineRule="auto"/>
        <w:rPr>
          <w:rFonts w:ascii="Tahoma" w:hAnsi="Tahoma" w:cs="Tahoma"/>
          <w:sz w:val="25"/>
          <w:szCs w:val="25"/>
        </w:rPr>
      </w:pPr>
    </w:p>
    <w:p w:rsidR="007310EB" w:rsidRDefault="007310EB" w:rsidP="00037B33">
      <w:pPr>
        <w:spacing w:after="0" w:line="360" w:lineRule="auto"/>
        <w:jc w:val="both"/>
        <w:rPr>
          <w:rFonts w:ascii="Tahoma" w:hAnsi="Tahoma" w:cs="Tahoma"/>
          <w:sz w:val="25"/>
          <w:szCs w:val="25"/>
        </w:rPr>
      </w:pPr>
      <w:r>
        <w:rPr>
          <w:rFonts w:ascii="Tahoma" w:hAnsi="Tahoma" w:cs="Tahoma"/>
          <w:sz w:val="25"/>
          <w:szCs w:val="25"/>
        </w:rPr>
        <w:tab/>
        <w:t xml:space="preserve">It is clear from the </w:t>
      </w:r>
      <w:r w:rsidR="00337D65">
        <w:rPr>
          <w:rFonts w:ascii="Tahoma" w:hAnsi="Tahoma" w:cs="Tahoma"/>
          <w:sz w:val="25"/>
          <w:szCs w:val="25"/>
        </w:rPr>
        <w:t>under li</w:t>
      </w:r>
      <w:r w:rsidR="00902BC2">
        <w:rPr>
          <w:rFonts w:ascii="Tahoma" w:hAnsi="Tahoma" w:cs="Tahoma"/>
          <w:sz w:val="25"/>
          <w:szCs w:val="25"/>
        </w:rPr>
        <w:t>n</w:t>
      </w:r>
      <w:r w:rsidR="00337D65">
        <w:rPr>
          <w:rFonts w:ascii="Tahoma" w:hAnsi="Tahoma" w:cs="Tahoma"/>
          <w:sz w:val="25"/>
          <w:szCs w:val="25"/>
        </w:rPr>
        <w:t>ed</w:t>
      </w:r>
      <w:r>
        <w:rPr>
          <w:rFonts w:ascii="Tahoma" w:hAnsi="Tahoma" w:cs="Tahoma"/>
          <w:sz w:val="25"/>
          <w:szCs w:val="25"/>
        </w:rPr>
        <w:t xml:space="preserve"> portions of the letter that there was prior engagement with Appellant on the issue of transfer, that Appellant moved with her conditions of service intact. </w:t>
      </w:r>
    </w:p>
    <w:p w:rsidR="007310EB" w:rsidRDefault="007310EB" w:rsidP="000D6234">
      <w:pPr>
        <w:spacing w:after="0" w:line="360" w:lineRule="auto"/>
        <w:jc w:val="both"/>
        <w:rPr>
          <w:rFonts w:ascii="Tahoma" w:hAnsi="Tahoma" w:cs="Tahoma"/>
          <w:sz w:val="25"/>
          <w:szCs w:val="25"/>
        </w:rPr>
      </w:pPr>
      <w:r>
        <w:rPr>
          <w:rFonts w:ascii="Tahoma" w:hAnsi="Tahoma" w:cs="Tahoma"/>
          <w:sz w:val="25"/>
          <w:szCs w:val="25"/>
        </w:rPr>
        <w:tab/>
        <w:t xml:space="preserve">With such evidence before him, and considering the principle that a transfer is the prerogative of the employer which should not be interfered with unless good cause is shown, it cannot be said that the Arbitrator’s findings were grossly unreasonable. </w:t>
      </w:r>
    </w:p>
    <w:p w:rsidR="007310EB" w:rsidRDefault="007310EB" w:rsidP="00037B33">
      <w:pPr>
        <w:spacing w:after="0" w:line="360" w:lineRule="auto"/>
        <w:jc w:val="both"/>
        <w:rPr>
          <w:rFonts w:ascii="Tahoma" w:hAnsi="Tahoma" w:cs="Tahoma"/>
          <w:sz w:val="25"/>
          <w:szCs w:val="25"/>
        </w:rPr>
      </w:pPr>
    </w:p>
    <w:p w:rsidR="007310EB" w:rsidRDefault="007310EB" w:rsidP="000D6234">
      <w:pPr>
        <w:spacing w:after="0" w:line="360" w:lineRule="auto"/>
        <w:ind w:firstLine="720"/>
        <w:jc w:val="both"/>
        <w:rPr>
          <w:rFonts w:ascii="Tahoma" w:hAnsi="Tahoma" w:cs="Tahoma"/>
          <w:sz w:val="25"/>
          <w:szCs w:val="25"/>
        </w:rPr>
      </w:pPr>
      <w:r>
        <w:rPr>
          <w:rFonts w:ascii="Tahoma" w:hAnsi="Tahoma" w:cs="Tahoma"/>
          <w:sz w:val="25"/>
          <w:szCs w:val="25"/>
        </w:rPr>
        <w:t xml:space="preserve">The law on constructive dismissal, as stated earlier is found in Section </w:t>
      </w:r>
      <w:r w:rsidR="00337D65">
        <w:rPr>
          <w:rFonts w:ascii="Tahoma" w:hAnsi="Tahoma" w:cs="Tahoma"/>
          <w:sz w:val="25"/>
          <w:szCs w:val="25"/>
        </w:rPr>
        <w:t>12B (</w:t>
      </w:r>
      <w:r>
        <w:rPr>
          <w:rFonts w:ascii="Tahoma" w:hAnsi="Tahoma" w:cs="Tahoma"/>
          <w:sz w:val="25"/>
          <w:szCs w:val="25"/>
        </w:rPr>
        <w:t>3) of the Act.  The case of</w:t>
      </w:r>
    </w:p>
    <w:p w:rsidR="007310EB" w:rsidRDefault="007310EB" w:rsidP="00902BC2">
      <w:pPr>
        <w:spacing w:after="0" w:line="240" w:lineRule="auto"/>
        <w:ind w:firstLine="720"/>
        <w:jc w:val="both"/>
        <w:rPr>
          <w:rFonts w:ascii="Tahoma" w:hAnsi="Tahoma" w:cs="Tahoma"/>
          <w:sz w:val="25"/>
          <w:szCs w:val="25"/>
        </w:rPr>
      </w:pPr>
    </w:p>
    <w:p w:rsidR="007310EB" w:rsidRDefault="007310EB" w:rsidP="00902BC2">
      <w:pPr>
        <w:spacing w:after="0" w:line="240" w:lineRule="auto"/>
        <w:ind w:firstLine="720"/>
        <w:jc w:val="both"/>
        <w:rPr>
          <w:rFonts w:ascii="Tahoma" w:hAnsi="Tahoma" w:cs="Tahoma"/>
          <w:b/>
          <w:i/>
          <w:sz w:val="25"/>
          <w:szCs w:val="25"/>
        </w:rPr>
      </w:pPr>
      <w:r>
        <w:rPr>
          <w:rFonts w:ascii="Tahoma" w:hAnsi="Tahoma" w:cs="Tahoma"/>
          <w:b/>
          <w:i/>
          <w:sz w:val="25"/>
          <w:szCs w:val="25"/>
        </w:rPr>
        <w:t xml:space="preserve">ASTRA HOLDINGS (PRIVATE) LIMITED </w:t>
      </w:r>
    </w:p>
    <w:p w:rsidR="007310EB" w:rsidRDefault="007310EB" w:rsidP="00902BC2">
      <w:pPr>
        <w:spacing w:after="0" w:line="24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gramStart"/>
      <w:r>
        <w:rPr>
          <w:rFonts w:ascii="Tahoma" w:hAnsi="Tahoma" w:cs="Tahoma"/>
          <w:b/>
          <w:i/>
          <w:sz w:val="25"/>
          <w:szCs w:val="25"/>
        </w:rPr>
        <w:t>vs</w:t>
      </w:r>
      <w:proofErr w:type="gramEnd"/>
    </w:p>
    <w:p w:rsidR="007310EB" w:rsidRDefault="007310EB" w:rsidP="00902BC2">
      <w:pPr>
        <w:spacing w:after="0" w:line="240" w:lineRule="auto"/>
        <w:ind w:firstLine="720"/>
        <w:jc w:val="both"/>
        <w:rPr>
          <w:rFonts w:ascii="Tahoma" w:hAnsi="Tahoma" w:cs="Tahoma"/>
          <w:b/>
          <w:i/>
          <w:sz w:val="25"/>
          <w:szCs w:val="25"/>
        </w:rPr>
      </w:pPr>
      <w:r>
        <w:rPr>
          <w:rFonts w:ascii="Tahoma" w:hAnsi="Tahoma" w:cs="Tahoma"/>
          <w:b/>
          <w:i/>
          <w:sz w:val="25"/>
          <w:szCs w:val="25"/>
        </w:rPr>
        <w:t>PEGGY KAHWA SC 97/04</w:t>
      </w:r>
    </w:p>
    <w:p w:rsidR="00902BC2" w:rsidRPr="00902BC2" w:rsidRDefault="00902BC2" w:rsidP="00902BC2">
      <w:pPr>
        <w:spacing w:after="0" w:line="240" w:lineRule="auto"/>
        <w:ind w:firstLine="720"/>
        <w:jc w:val="both"/>
        <w:rPr>
          <w:rFonts w:ascii="Tahoma" w:hAnsi="Tahoma" w:cs="Tahoma"/>
          <w:b/>
          <w:i/>
          <w:sz w:val="25"/>
          <w:szCs w:val="25"/>
        </w:rPr>
      </w:pPr>
    </w:p>
    <w:p w:rsidR="007310EB" w:rsidRDefault="007310EB" w:rsidP="000D6234">
      <w:pPr>
        <w:spacing w:after="0" w:line="360" w:lineRule="auto"/>
        <w:jc w:val="both"/>
        <w:rPr>
          <w:rFonts w:ascii="Tahoma" w:hAnsi="Tahoma" w:cs="Tahoma"/>
          <w:sz w:val="25"/>
          <w:szCs w:val="25"/>
        </w:rPr>
      </w:pPr>
      <w:proofErr w:type="gramStart"/>
      <w:r>
        <w:rPr>
          <w:rFonts w:ascii="Tahoma" w:hAnsi="Tahoma" w:cs="Tahoma"/>
          <w:sz w:val="25"/>
          <w:szCs w:val="25"/>
        </w:rPr>
        <w:t>clarified</w:t>
      </w:r>
      <w:proofErr w:type="gramEnd"/>
      <w:r>
        <w:rPr>
          <w:rFonts w:ascii="Tahoma" w:hAnsi="Tahoma" w:cs="Tahoma"/>
          <w:sz w:val="25"/>
          <w:szCs w:val="25"/>
        </w:rPr>
        <w:t xml:space="preserve"> the </w:t>
      </w:r>
      <w:r w:rsidR="00902BC2">
        <w:rPr>
          <w:rFonts w:ascii="Tahoma" w:hAnsi="Tahoma" w:cs="Tahoma"/>
          <w:sz w:val="25"/>
          <w:szCs w:val="25"/>
        </w:rPr>
        <w:t>element</w:t>
      </w:r>
      <w:r>
        <w:rPr>
          <w:rFonts w:ascii="Tahoma" w:hAnsi="Tahoma" w:cs="Tahoma"/>
          <w:sz w:val="25"/>
          <w:szCs w:val="25"/>
        </w:rPr>
        <w:t xml:space="preserve">s of constructive dismissal. </w:t>
      </w:r>
    </w:p>
    <w:p w:rsidR="00EC7A5A" w:rsidRDefault="00EC7A5A" w:rsidP="000D6234">
      <w:pPr>
        <w:spacing w:after="0" w:line="360" w:lineRule="auto"/>
        <w:jc w:val="both"/>
        <w:rPr>
          <w:rFonts w:ascii="Tahoma" w:hAnsi="Tahoma" w:cs="Tahoma"/>
          <w:sz w:val="25"/>
          <w:szCs w:val="25"/>
        </w:rPr>
      </w:pPr>
    </w:p>
    <w:p w:rsidR="007310EB" w:rsidRDefault="007310EB" w:rsidP="000D6234">
      <w:pPr>
        <w:spacing w:after="0" w:line="360" w:lineRule="auto"/>
        <w:jc w:val="both"/>
        <w:rPr>
          <w:rFonts w:ascii="Tahoma" w:hAnsi="Tahoma" w:cs="Tahoma"/>
          <w:sz w:val="25"/>
          <w:szCs w:val="25"/>
        </w:rPr>
      </w:pPr>
      <w:r>
        <w:rPr>
          <w:rFonts w:ascii="Tahoma" w:hAnsi="Tahoma" w:cs="Tahoma"/>
          <w:sz w:val="25"/>
          <w:szCs w:val="25"/>
        </w:rPr>
        <w:tab/>
        <w:t>It stated that constructive dismissal is claimable where an employer</w:t>
      </w:r>
      <w:r w:rsidR="00902BC2">
        <w:rPr>
          <w:rFonts w:ascii="Tahoma" w:hAnsi="Tahoma" w:cs="Tahoma"/>
          <w:sz w:val="25"/>
          <w:szCs w:val="25"/>
        </w:rPr>
        <w:t xml:space="preserve"> has committed conduct which </w:t>
      </w:r>
      <w:r>
        <w:rPr>
          <w:rFonts w:ascii="Tahoma" w:hAnsi="Tahoma" w:cs="Tahoma"/>
          <w:sz w:val="25"/>
          <w:szCs w:val="25"/>
        </w:rPr>
        <w:t>as a breach goes to the root of the contract of employment</w:t>
      </w:r>
      <w:r w:rsidR="00812680">
        <w:rPr>
          <w:rFonts w:ascii="Tahoma" w:hAnsi="Tahoma" w:cs="Tahoma"/>
          <w:sz w:val="25"/>
          <w:szCs w:val="25"/>
        </w:rPr>
        <w:t xml:space="preserve"> so as to constitute repudiation and by reason of that conduct the employee leaves employment. </w:t>
      </w:r>
    </w:p>
    <w:p w:rsidR="00812680" w:rsidRDefault="00812680" w:rsidP="000D6234">
      <w:pPr>
        <w:spacing w:after="0" w:line="360" w:lineRule="auto"/>
        <w:jc w:val="both"/>
        <w:rPr>
          <w:rFonts w:ascii="Tahoma" w:hAnsi="Tahoma" w:cs="Tahoma"/>
          <w:sz w:val="25"/>
          <w:szCs w:val="25"/>
        </w:rPr>
      </w:pPr>
    </w:p>
    <w:p w:rsidR="00812680" w:rsidRDefault="00812680" w:rsidP="000D6234">
      <w:pPr>
        <w:spacing w:after="0" w:line="360" w:lineRule="auto"/>
        <w:jc w:val="both"/>
        <w:rPr>
          <w:rFonts w:ascii="Tahoma" w:hAnsi="Tahoma" w:cs="Tahoma"/>
          <w:sz w:val="25"/>
          <w:szCs w:val="25"/>
        </w:rPr>
      </w:pPr>
      <w:r>
        <w:rPr>
          <w:rFonts w:ascii="Tahoma" w:hAnsi="Tahoma" w:cs="Tahoma"/>
          <w:sz w:val="25"/>
          <w:szCs w:val="25"/>
        </w:rPr>
        <w:tab/>
        <w:t xml:space="preserve">In the Kahwa case (supra) MALABA JA (as he then was) quoted with approval Lord Denning MR in the case of </w:t>
      </w:r>
    </w:p>
    <w:p w:rsidR="00812680" w:rsidRDefault="00812680" w:rsidP="000D6234">
      <w:pPr>
        <w:spacing w:after="0" w:line="360" w:lineRule="auto"/>
        <w:jc w:val="both"/>
        <w:rPr>
          <w:rFonts w:ascii="Tahoma" w:hAnsi="Tahoma" w:cs="Tahoma"/>
          <w:sz w:val="25"/>
          <w:szCs w:val="25"/>
        </w:rPr>
      </w:pPr>
    </w:p>
    <w:p w:rsidR="00812680" w:rsidRPr="00812680" w:rsidRDefault="00812680" w:rsidP="000D6234">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 xml:space="preserve">WESTERN EXCAVATING   </w:t>
      </w:r>
      <w:r w:rsidR="00902BC2">
        <w:rPr>
          <w:rFonts w:ascii="Tahoma" w:hAnsi="Tahoma" w:cs="Tahoma"/>
          <w:b/>
          <w:i/>
          <w:sz w:val="25"/>
          <w:szCs w:val="25"/>
        </w:rPr>
        <w:t xml:space="preserve">vs   SHARP (1978) (1) </w:t>
      </w:r>
      <w:r>
        <w:rPr>
          <w:rFonts w:ascii="Tahoma" w:hAnsi="Tahoma" w:cs="Tahoma"/>
          <w:b/>
          <w:i/>
          <w:sz w:val="25"/>
          <w:szCs w:val="25"/>
        </w:rPr>
        <w:t>AER 713</w:t>
      </w:r>
    </w:p>
    <w:p w:rsidR="007310EB" w:rsidRPr="00812680" w:rsidRDefault="00812680" w:rsidP="000D6234">
      <w:pPr>
        <w:spacing w:after="0" w:line="360" w:lineRule="auto"/>
        <w:jc w:val="both"/>
        <w:rPr>
          <w:rFonts w:ascii="Tahoma" w:hAnsi="Tahoma" w:cs="Tahoma"/>
          <w:sz w:val="25"/>
          <w:szCs w:val="25"/>
        </w:rPr>
      </w:pPr>
      <w:r>
        <w:rPr>
          <w:rFonts w:ascii="Tahoma" w:hAnsi="Tahoma" w:cs="Tahoma"/>
          <w:sz w:val="25"/>
          <w:szCs w:val="25"/>
        </w:rPr>
        <w:tab/>
      </w:r>
      <w:proofErr w:type="gramStart"/>
      <w:r w:rsidRPr="00812680">
        <w:rPr>
          <w:rFonts w:ascii="Tahoma" w:hAnsi="Tahoma" w:cs="Tahoma"/>
          <w:sz w:val="25"/>
          <w:szCs w:val="25"/>
        </w:rPr>
        <w:t>at</w:t>
      </w:r>
      <w:proofErr w:type="gramEnd"/>
      <w:r w:rsidRPr="00812680">
        <w:rPr>
          <w:rFonts w:ascii="Tahoma" w:hAnsi="Tahoma" w:cs="Tahoma"/>
          <w:sz w:val="25"/>
          <w:szCs w:val="25"/>
        </w:rPr>
        <w:t xml:space="preserve"> page 717 d-f</w:t>
      </w:r>
    </w:p>
    <w:p w:rsidR="007310EB" w:rsidRDefault="007310EB" w:rsidP="000D6234">
      <w:pPr>
        <w:spacing w:after="0" w:line="240" w:lineRule="auto"/>
        <w:jc w:val="both"/>
        <w:rPr>
          <w:rFonts w:ascii="Tahoma" w:hAnsi="Tahoma" w:cs="Tahoma"/>
          <w:sz w:val="25"/>
          <w:szCs w:val="25"/>
        </w:rPr>
      </w:pPr>
      <w:r>
        <w:rPr>
          <w:rFonts w:ascii="Tahoma" w:hAnsi="Tahoma" w:cs="Tahoma"/>
          <w:sz w:val="25"/>
          <w:szCs w:val="25"/>
        </w:rPr>
        <w:tab/>
      </w:r>
    </w:p>
    <w:p w:rsidR="00812680" w:rsidRPr="000D6234" w:rsidRDefault="00812680" w:rsidP="000D6234">
      <w:pPr>
        <w:spacing w:after="0" w:line="360" w:lineRule="auto"/>
        <w:ind w:left="720"/>
        <w:jc w:val="both"/>
        <w:rPr>
          <w:rFonts w:ascii="Times New Roman" w:hAnsi="Times New Roman" w:cs="Times New Roman"/>
          <w:b/>
          <w:i/>
          <w:sz w:val="20"/>
          <w:szCs w:val="20"/>
        </w:rPr>
      </w:pPr>
      <w:r w:rsidRPr="000D6234">
        <w:rPr>
          <w:rFonts w:ascii="Times New Roman" w:hAnsi="Times New Roman" w:cs="Times New Roman"/>
          <w:b/>
          <w:i/>
          <w:sz w:val="20"/>
          <w:szCs w:val="20"/>
        </w:rPr>
        <w:t xml:space="preserve">“If the employer is guilty of conduct which is a significant breach going to the root of the contract of employment, or which shows that the employer no longer intends to be bound by one or more of the essential terms of the contract, then the employee is entitled to treat himself as discharged </w:t>
      </w:r>
      <w:r w:rsidR="00712ED9" w:rsidRPr="000D6234">
        <w:rPr>
          <w:rFonts w:ascii="Times New Roman" w:hAnsi="Times New Roman" w:cs="Times New Roman"/>
          <w:b/>
          <w:i/>
          <w:sz w:val="20"/>
          <w:szCs w:val="20"/>
        </w:rPr>
        <w:t xml:space="preserve">from any further performance.  If he does so, then he terminates the contract by reason of the employer’s conduct.  He is constructively dismissed. </w:t>
      </w:r>
    </w:p>
    <w:p w:rsidR="00712ED9" w:rsidRPr="000D6234" w:rsidRDefault="00712ED9" w:rsidP="000D6234">
      <w:pPr>
        <w:spacing w:after="0" w:line="360" w:lineRule="auto"/>
        <w:ind w:left="720"/>
        <w:jc w:val="both"/>
        <w:rPr>
          <w:rFonts w:ascii="Times New Roman" w:hAnsi="Times New Roman" w:cs="Times New Roman"/>
          <w:b/>
          <w:i/>
          <w:sz w:val="20"/>
          <w:szCs w:val="20"/>
        </w:rPr>
      </w:pPr>
    </w:p>
    <w:p w:rsidR="00712ED9" w:rsidRPr="000D6234" w:rsidRDefault="00712ED9" w:rsidP="000D6234">
      <w:pPr>
        <w:spacing w:after="0" w:line="360" w:lineRule="auto"/>
        <w:ind w:left="720"/>
        <w:jc w:val="both"/>
        <w:rPr>
          <w:rFonts w:ascii="Times New Roman" w:hAnsi="Times New Roman" w:cs="Times New Roman"/>
          <w:b/>
          <w:i/>
          <w:sz w:val="20"/>
          <w:szCs w:val="20"/>
        </w:rPr>
      </w:pPr>
      <w:r w:rsidRPr="000D6234">
        <w:rPr>
          <w:rFonts w:ascii="Times New Roman" w:hAnsi="Times New Roman" w:cs="Times New Roman"/>
          <w:b/>
          <w:i/>
          <w:sz w:val="20"/>
          <w:szCs w:val="20"/>
        </w:rPr>
        <w:t xml:space="preserve">The employee is entitled in those circumstances to leave at the instant without giving any notice at all or alternatively, he may give notice and say he is leaving at the end of the notice. </w:t>
      </w:r>
    </w:p>
    <w:p w:rsidR="00712ED9" w:rsidRPr="000D6234" w:rsidRDefault="00712ED9" w:rsidP="000D6234">
      <w:pPr>
        <w:spacing w:after="0" w:line="360" w:lineRule="auto"/>
        <w:ind w:left="720"/>
        <w:jc w:val="both"/>
        <w:rPr>
          <w:rFonts w:ascii="Times New Roman" w:hAnsi="Times New Roman" w:cs="Times New Roman"/>
          <w:b/>
          <w:i/>
          <w:sz w:val="20"/>
          <w:szCs w:val="20"/>
        </w:rPr>
      </w:pPr>
    </w:p>
    <w:p w:rsidR="00712ED9" w:rsidRPr="000D6234" w:rsidRDefault="00712ED9" w:rsidP="000D6234">
      <w:pPr>
        <w:spacing w:after="0" w:line="360" w:lineRule="auto"/>
        <w:ind w:left="720"/>
        <w:jc w:val="both"/>
        <w:rPr>
          <w:rFonts w:ascii="Times New Roman" w:hAnsi="Times New Roman" w:cs="Times New Roman"/>
          <w:b/>
          <w:i/>
          <w:sz w:val="20"/>
          <w:szCs w:val="20"/>
        </w:rPr>
      </w:pPr>
      <w:r w:rsidRPr="000D6234">
        <w:rPr>
          <w:rFonts w:ascii="Times New Roman" w:hAnsi="Times New Roman" w:cs="Times New Roman"/>
          <w:b/>
          <w:i/>
          <w:sz w:val="20"/>
          <w:szCs w:val="20"/>
        </w:rPr>
        <w:t xml:space="preserve">But the </w:t>
      </w:r>
      <w:r w:rsidR="00337D65" w:rsidRPr="000D6234">
        <w:rPr>
          <w:rFonts w:ascii="Times New Roman" w:hAnsi="Times New Roman" w:cs="Times New Roman"/>
          <w:b/>
          <w:i/>
          <w:sz w:val="20"/>
          <w:szCs w:val="20"/>
        </w:rPr>
        <w:t>conduct</w:t>
      </w:r>
      <w:r w:rsidRPr="000D6234">
        <w:rPr>
          <w:rFonts w:ascii="Times New Roman" w:hAnsi="Times New Roman" w:cs="Times New Roman"/>
          <w:b/>
          <w:i/>
          <w:sz w:val="20"/>
          <w:szCs w:val="20"/>
        </w:rPr>
        <w:t xml:space="preserve"> must in either case be sufficiently serious to entitle him to leave at once. </w:t>
      </w:r>
    </w:p>
    <w:p w:rsidR="00712ED9" w:rsidRPr="000D6234" w:rsidRDefault="00712ED9" w:rsidP="000D6234">
      <w:pPr>
        <w:spacing w:after="0" w:line="360" w:lineRule="auto"/>
        <w:ind w:left="720"/>
        <w:jc w:val="both"/>
        <w:rPr>
          <w:rFonts w:ascii="Times New Roman" w:hAnsi="Times New Roman" w:cs="Times New Roman"/>
          <w:b/>
          <w:i/>
          <w:sz w:val="20"/>
          <w:szCs w:val="20"/>
        </w:rPr>
      </w:pPr>
    </w:p>
    <w:p w:rsidR="00712ED9" w:rsidRPr="000D6234" w:rsidRDefault="00712ED9" w:rsidP="000D6234">
      <w:pPr>
        <w:spacing w:after="0" w:line="360" w:lineRule="auto"/>
        <w:ind w:left="720"/>
        <w:jc w:val="both"/>
        <w:rPr>
          <w:rFonts w:ascii="Times New Roman" w:hAnsi="Times New Roman" w:cs="Times New Roman"/>
          <w:b/>
          <w:i/>
          <w:sz w:val="20"/>
          <w:szCs w:val="20"/>
        </w:rPr>
      </w:pPr>
      <w:r w:rsidRPr="000D6234">
        <w:rPr>
          <w:rFonts w:ascii="Times New Roman" w:hAnsi="Times New Roman" w:cs="Times New Roman"/>
          <w:b/>
          <w:i/>
          <w:sz w:val="20"/>
          <w:szCs w:val="20"/>
        </w:rPr>
        <w:t xml:space="preserve">Moreover, he must make up his mind soon after the conduct of which he complains for, if he continues for </w:t>
      </w:r>
      <w:r w:rsidR="000D6234" w:rsidRPr="000D6234">
        <w:rPr>
          <w:rFonts w:ascii="Times New Roman" w:hAnsi="Times New Roman" w:cs="Times New Roman"/>
          <w:b/>
          <w:i/>
          <w:sz w:val="20"/>
          <w:szCs w:val="20"/>
        </w:rPr>
        <w:t>any length of time without leaving, he will lose his right to treat himself as discharged.  He will be regarded as having elected to affirm the contract.”</w:t>
      </w:r>
    </w:p>
    <w:p w:rsidR="000D6234" w:rsidRDefault="000D6234" w:rsidP="00EC7A5A">
      <w:pPr>
        <w:spacing w:after="0" w:line="360" w:lineRule="auto"/>
        <w:ind w:left="720"/>
        <w:jc w:val="both"/>
        <w:rPr>
          <w:rFonts w:ascii="Tahoma" w:hAnsi="Tahoma" w:cs="Tahoma"/>
          <w:sz w:val="25"/>
          <w:szCs w:val="25"/>
        </w:rPr>
      </w:pPr>
    </w:p>
    <w:p w:rsidR="000D6234" w:rsidRDefault="000D6234" w:rsidP="000D6234">
      <w:pPr>
        <w:spacing w:after="0" w:line="360" w:lineRule="auto"/>
        <w:ind w:firstLine="720"/>
        <w:jc w:val="both"/>
        <w:rPr>
          <w:rFonts w:ascii="Tahoma" w:hAnsi="Tahoma" w:cs="Tahoma"/>
          <w:sz w:val="25"/>
          <w:szCs w:val="25"/>
        </w:rPr>
      </w:pPr>
      <w:r>
        <w:rPr>
          <w:rFonts w:ascii="Tahoma" w:hAnsi="Tahoma" w:cs="Tahoma"/>
          <w:sz w:val="25"/>
          <w:szCs w:val="25"/>
        </w:rPr>
        <w:t xml:space="preserve">In casu, Appellant did not leave </w:t>
      </w:r>
      <w:proofErr w:type="gramStart"/>
      <w:r w:rsidR="00E37E7A">
        <w:rPr>
          <w:rFonts w:ascii="Tahoma" w:hAnsi="Tahoma" w:cs="Tahoma"/>
          <w:sz w:val="25"/>
          <w:szCs w:val="25"/>
        </w:rPr>
        <w:t>immediately,</w:t>
      </w:r>
      <w:proofErr w:type="gramEnd"/>
      <w:r>
        <w:rPr>
          <w:rFonts w:ascii="Tahoma" w:hAnsi="Tahoma" w:cs="Tahoma"/>
          <w:sz w:val="25"/>
          <w:szCs w:val="25"/>
        </w:rPr>
        <w:t xml:space="preserve"> neither did she give notice of her intention to leave as a result of the transfer.  She however raised a grievance which she took through up to the Chief Executive Officer who, by a letter dated 18</w:t>
      </w:r>
      <w:r w:rsidRPr="000D6234">
        <w:rPr>
          <w:rFonts w:ascii="Tahoma" w:hAnsi="Tahoma" w:cs="Tahoma"/>
          <w:sz w:val="25"/>
          <w:szCs w:val="25"/>
          <w:vertAlign w:val="superscript"/>
        </w:rPr>
        <w:t>th</w:t>
      </w:r>
      <w:r>
        <w:rPr>
          <w:rFonts w:ascii="Tahoma" w:hAnsi="Tahoma" w:cs="Tahoma"/>
          <w:sz w:val="25"/>
          <w:szCs w:val="25"/>
        </w:rPr>
        <w:t xml:space="preserve"> July, 2013 confirmed the prior decisions disallowing the grievance.</w:t>
      </w:r>
    </w:p>
    <w:p w:rsidR="000D6234" w:rsidRDefault="000D6234" w:rsidP="000D6234">
      <w:pPr>
        <w:spacing w:after="0" w:line="360" w:lineRule="auto"/>
        <w:ind w:firstLine="720"/>
        <w:jc w:val="both"/>
        <w:rPr>
          <w:rFonts w:ascii="Tahoma" w:hAnsi="Tahoma" w:cs="Tahoma"/>
          <w:sz w:val="25"/>
          <w:szCs w:val="25"/>
        </w:rPr>
      </w:pPr>
    </w:p>
    <w:p w:rsidR="000D6234" w:rsidRDefault="000D6234" w:rsidP="000D6234">
      <w:pPr>
        <w:spacing w:after="0" w:line="360" w:lineRule="auto"/>
        <w:ind w:firstLine="720"/>
        <w:jc w:val="both"/>
        <w:rPr>
          <w:rFonts w:ascii="Tahoma" w:hAnsi="Tahoma" w:cs="Tahoma"/>
          <w:sz w:val="25"/>
          <w:szCs w:val="25"/>
        </w:rPr>
      </w:pPr>
      <w:r>
        <w:rPr>
          <w:rFonts w:ascii="Tahoma" w:hAnsi="Tahoma" w:cs="Tahoma"/>
          <w:sz w:val="25"/>
          <w:szCs w:val="25"/>
        </w:rPr>
        <w:t>It is noted from Appellant’s letter of the 14</w:t>
      </w:r>
      <w:r w:rsidRPr="000D6234">
        <w:rPr>
          <w:rFonts w:ascii="Tahoma" w:hAnsi="Tahoma" w:cs="Tahoma"/>
          <w:sz w:val="25"/>
          <w:szCs w:val="25"/>
          <w:vertAlign w:val="superscript"/>
        </w:rPr>
        <w:t>th</w:t>
      </w:r>
      <w:r>
        <w:rPr>
          <w:rFonts w:ascii="Tahoma" w:hAnsi="Tahoma" w:cs="Tahoma"/>
          <w:sz w:val="25"/>
          <w:szCs w:val="25"/>
        </w:rPr>
        <w:t xml:space="preserve"> May, 2013 that she only raised her grievance in May 2013.  In December all she did was take days off </w:t>
      </w:r>
      <w:r w:rsidR="00E37E7A">
        <w:rPr>
          <w:rFonts w:ascii="Tahoma" w:hAnsi="Tahoma" w:cs="Tahoma"/>
          <w:sz w:val="25"/>
          <w:szCs w:val="25"/>
        </w:rPr>
        <w:t xml:space="preserve">so </w:t>
      </w:r>
      <w:r>
        <w:rPr>
          <w:rFonts w:ascii="Tahoma" w:hAnsi="Tahoma" w:cs="Tahoma"/>
          <w:sz w:val="25"/>
          <w:szCs w:val="25"/>
        </w:rPr>
        <w:t>as to adjust to the imposed arrangement (to use her words).</w:t>
      </w:r>
    </w:p>
    <w:p w:rsidR="000D6234" w:rsidRDefault="000D6234" w:rsidP="000D6234">
      <w:pPr>
        <w:spacing w:after="0" w:line="360" w:lineRule="auto"/>
        <w:ind w:firstLine="720"/>
        <w:jc w:val="both"/>
        <w:rPr>
          <w:rFonts w:ascii="Tahoma" w:hAnsi="Tahoma" w:cs="Tahoma"/>
          <w:sz w:val="25"/>
          <w:szCs w:val="25"/>
        </w:rPr>
      </w:pPr>
    </w:p>
    <w:p w:rsidR="000D6234" w:rsidRDefault="000D6234" w:rsidP="000D6234">
      <w:pPr>
        <w:spacing w:after="0" w:line="360" w:lineRule="auto"/>
        <w:ind w:firstLine="720"/>
        <w:jc w:val="both"/>
        <w:rPr>
          <w:rFonts w:ascii="Tahoma" w:hAnsi="Tahoma" w:cs="Tahoma"/>
          <w:sz w:val="25"/>
          <w:szCs w:val="25"/>
        </w:rPr>
      </w:pPr>
      <w:r>
        <w:rPr>
          <w:rFonts w:ascii="Tahoma" w:hAnsi="Tahoma" w:cs="Tahoma"/>
          <w:sz w:val="25"/>
          <w:szCs w:val="25"/>
        </w:rPr>
        <w:t xml:space="preserve">I am of the view that it was within her right to raise a grievance so as to have the issue resolved whilst she was still in employment.  The error she made </w:t>
      </w:r>
      <w:proofErr w:type="gramStart"/>
      <w:r>
        <w:rPr>
          <w:rFonts w:ascii="Tahoma" w:hAnsi="Tahoma" w:cs="Tahoma"/>
          <w:sz w:val="25"/>
          <w:szCs w:val="25"/>
        </w:rPr>
        <w:t>howeve</w:t>
      </w:r>
      <w:r w:rsidR="00E37E7A">
        <w:rPr>
          <w:rFonts w:ascii="Tahoma" w:hAnsi="Tahoma" w:cs="Tahoma"/>
          <w:sz w:val="25"/>
          <w:szCs w:val="25"/>
        </w:rPr>
        <w:t>r,</w:t>
      </w:r>
      <w:proofErr w:type="gramEnd"/>
      <w:r w:rsidR="00E37E7A">
        <w:rPr>
          <w:rFonts w:ascii="Tahoma" w:hAnsi="Tahoma" w:cs="Tahoma"/>
          <w:sz w:val="25"/>
          <w:szCs w:val="25"/>
        </w:rPr>
        <w:t xml:space="preserve"> was to raise the grievance f</w:t>
      </w:r>
      <w:r>
        <w:rPr>
          <w:rFonts w:ascii="Tahoma" w:hAnsi="Tahoma" w:cs="Tahoma"/>
          <w:sz w:val="25"/>
          <w:szCs w:val="25"/>
        </w:rPr>
        <w:t>o</w:t>
      </w:r>
      <w:r w:rsidR="00E37E7A">
        <w:rPr>
          <w:rFonts w:ascii="Tahoma" w:hAnsi="Tahoma" w:cs="Tahoma"/>
          <w:sz w:val="25"/>
          <w:szCs w:val="25"/>
        </w:rPr>
        <w:t>ur</w:t>
      </w:r>
      <w:r>
        <w:rPr>
          <w:rFonts w:ascii="Tahoma" w:hAnsi="Tahoma" w:cs="Tahoma"/>
          <w:sz w:val="25"/>
          <w:szCs w:val="25"/>
        </w:rPr>
        <w:t xml:space="preserve"> months later.  During these months she went through the training as required of her but only resigned in October after her grievance had been disallowed.  </w:t>
      </w:r>
    </w:p>
    <w:p w:rsidR="000D6234" w:rsidRDefault="000D6234" w:rsidP="00E37E7A">
      <w:pPr>
        <w:spacing w:after="0" w:line="360" w:lineRule="auto"/>
        <w:ind w:firstLine="720"/>
        <w:jc w:val="both"/>
        <w:rPr>
          <w:rFonts w:ascii="Tahoma" w:hAnsi="Tahoma" w:cs="Tahoma"/>
          <w:sz w:val="25"/>
          <w:szCs w:val="25"/>
        </w:rPr>
      </w:pPr>
    </w:p>
    <w:p w:rsidR="000D6234" w:rsidRDefault="000D6234" w:rsidP="00E37E7A">
      <w:pPr>
        <w:spacing w:after="0" w:line="360" w:lineRule="auto"/>
        <w:ind w:firstLine="720"/>
        <w:jc w:val="both"/>
        <w:rPr>
          <w:rFonts w:ascii="Tahoma" w:hAnsi="Tahoma" w:cs="Tahoma"/>
          <w:sz w:val="25"/>
          <w:szCs w:val="25"/>
        </w:rPr>
      </w:pPr>
      <w:r>
        <w:rPr>
          <w:rFonts w:ascii="Tahoma" w:hAnsi="Tahoma" w:cs="Tahoma"/>
          <w:sz w:val="25"/>
          <w:szCs w:val="25"/>
        </w:rPr>
        <w:t xml:space="preserve">These facts distinguish her case from that of – </w:t>
      </w:r>
    </w:p>
    <w:p w:rsidR="00E37E7A" w:rsidRDefault="00E37E7A" w:rsidP="00EC7A5A">
      <w:pPr>
        <w:spacing w:after="0" w:line="360" w:lineRule="auto"/>
        <w:ind w:firstLine="720"/>
        <w:jc w:val="both"/>
        <w:rPr>
          <w:rFonts w:ascii="Tahoma" w:hAnsi="Tahoma" w:cs="Tahoma"/>
          <w:b/>
          <w:i/>
          <w:sz w:val="25"/>
          <w:szCs w:val="25"/>
        </w:rPr>
      </w:pPr>
    </w:p>
    <w:p w:rsidR="000D6234" w:rsidRDefault="00EC7A5A" w:rsidP="000D6234">
      <w:pPr>
        <w:spacing w:after="0" w:line="360" w:lineRule="auto"/>
        <w:ind w:firstLine="720"/>
        <w:jc w:val="both"/>
        <w:rPr>
          <w:rFonts w:ascii="Tahoma" w:hAnsi="Tahoma" w:cs="Tahoma"/>
          <w:sz w:val="25"/>
          <w:szCs w:val="25"/>
        </w:rPr>
      </w:pPr>
      <w:r>
        <w:rPr>
          <w:rFonts w:ascii="Tahoma" w:hAnsi="Tahoma" w:cs="Tahoma"/>
          <w:b/>
          <w:i/>
          <w:sz w:val="25"/>
          <w:szCs w:val="25"/>
        </w:rPr>
        <w:t>RAINBOW TOURI</w:t>
      </w:r>
      <w:r w:rsidR="000D6234">
        <w:rPr>
          <w:rFonts w:ascii="Tahoma" w:hAnsi="Tahoma" w:cs="Tahoma"/>
          <w:b/>
          <w:i/>
          <w:sz w:val="25"/>
          <w:szCs w:val="25"/>
        </w:rPr>
        <w:t>S</w:t>
      </w:r>
      <w:r>
        <w:rPr>
          <w:rFonts w:ascii="Tahoma" w:hAnsi="Tahoma" w:cs="Tahoma"/>
          <w:b/>
          <w:i/>
          <w:sz w:val="25"/>
          <w:szCs w:val="25"/>
        </w:rPr>
        <w:t>M</w:t>
      </w:r>
      <w:r w:rsidR="000D6234">
        <w:rPr>
          <w:rFonts w:ascii="Tahoma" w:hAnsi="Tahoma" w:cs="Tahoma"/>
          <w:b/>
          <w:i/>
          <w:sz w:val="25"/>
          <w:szCs w:val="25"/>
        </w:rPr>
        <w:t xml:space="preserve"> GROUP </w:t>
      </w:r>
      <w:r w:rsidR="00E12538">
        <w:rPr>
          <w:rFonts w:ascii="Tahoma" w:hAnsi="Tahoma" w:cs="Tahoma"/>
          <w:b/>
          <w:i/>
          <w:sz w:val="25"/>
          <w:szCs w:val="25"/>
        </w:rPr>
        <w:t xml:space="preserve">  vs  </w:t>
      </w:r>
      <w:r w:rsidR="000D6234">
        <w:rPr>
          <w:rFonts w:ascii="Tahoma" w:hAnsi="Tahoma" w:cs="Tahoma"/>
          <w:b/>
          <w:i/>
          <w:sz w:val="25"/>
          <w:szCs w:val="25"/>
        </w:rPr>
        <w:t xml:space="preserve"> ESTER KNIFE </w:t>
      </w:r>
      <w:r w:rsidR="00E12538">
        <w:rPr>
          <w:rFonts w:ascii="Tahoma" w:hAnsi="Tahoma" w:cs="Tahoma"/>
          <w:b/>
          <w:i/>
          <w:sz w:val="25"/>
          <w:szCs w:val="25"/>
        </w:rPr>
        <w:t>LC/H/</w:t>
      </w:r>
      <w:r w:rsidR="000D6234">
        <w:rPr>
          <w:rFonts w:ascii="Tahoma" w:hAnsi="Tahoma" w:cs="Tahoma"/>
          <w:b/>
          <w:i/>
          <w:sz w:val="25"/>
          <w:szCs w:val="25"/>
        </w:rPr>
        <w:t>197/15</w:t>
      </w:r>
      <w:r w:rsidR="000D6234">
        <w:rPr>
          <w:rFonts w:ascii="Tahoma" w:hAnsi="Tahoma" w:cs="Tahoma"/>
          <w:sz w:val="25"/>
          <w:szCs w:val="25"/>
        </w:rPr>
        <w:t xml:space="preserve"> </w:t>
      </w:r>
    </w:p>
    <w:p w:rsidR="00E37E7A" w:rsidRPr="007310EB" w:rsidRDefault="00E37E7A" w:rsidP="00EC7A5A">
      <w:pPr>
        <w:spacing w:after="0" w:line="360" w:lineRule="auto"/>
        <w:ind w:firstLine="720"/>
        <w:jc w:val="both"/>
        <w:rPr>
          <w:rFonts w:ascii="Tahoma" w:hAnsi="Tahoma" w:cs="Tahoma"/>
          <w:sz w:val="25"/>
          <w:szCs w:val="25"/>
        </w:rPr>
      </w:pPr>
    </w:p>
    <w:p w:rsidR="00560117" w:rsidRDefault="00E12538" w:rsidP="000D6234">
      <w:pPr>
        <w:spacing w:after="0" w:line="360" w:lineRule="auto"/>
        <w:jc w:val="both"/>
        <w:rPr>
          <w:rFonts w:ascii="Tahoma" w:hAnsi="Tahoma" w:cs="Tahoma"/>
          <w:sz w:val="25"/>
          <w:szCs w:val="25"/>
        </w:rPr>
      </w:pPr>
      <w:proofErr w:type="gramStart"/>
      <w:r>
        <w:rPr>
          <w:rFonts w:ascii="Tahoma" w:hAnsi="Tahoma" w:cs="Tahoma"/>
          <w:sz w:val="25"/>
          <w:szCs w:val="25"/>
        </w:rPr>
        <w:t>relied</w:t>
      </w:r>
      <w:proofErr w:type="gramEnd"/>
      <w:r>
        <w:rPr>
          <w:rFonts w:ascii="Tahoma" w:hAnsi="Tahoma" w:cs="Tahoma"/>
          <w:sz w:val="25"/>
          <w:szCs w:val="25"/>
        </w:rPr>
        <w:t xml:space="preserve"> upon by Appellant.  Ester Knife was advised of her transfer on the 10</w:t>
      </w:r>
      <w:r w:rsidRPr="00E12538">
        <w:rPr>
          <w:rFonts w:ascii="Tahoma" w:hAnsi="Tahoma" w:cs="Tahoma"/>
          <w:sz w:val="25"/>
          <w:szCs w:val="25"/>
          <w:vertAlign w:val="superscript"/>
        </w:rPr>
        <w:t>th</w:t>
      </w:r>
      <w:r>
        <w:rPr>
          <w:rFonts w:ascii="Tahoma" w:hAnsi="Tahoma" w:cs="Tahoma"/>
          <w:sz w:val="25"/>
          <w:szCs w:val="25"/>
        </w:rPr>
        <w:t xml:space="preserve"> April, 2013 two days later i.e. on the 12</w:t>
      </w:r>
      <w:r w:rsidRPr="00E12538">
        <w:rPr>
          <w:rFonts w:ascii="Tahoma" w:hAnsi="Tahoma" w:cs="Tahoma"/>
          <w:sz w:val="25"/>
          <w:szCs w:val="25"/>
          <w:vertAlign w:val="superscript"/>
        </w:rPr>
        <w:t>th</w:t>
      </w:r>
      <w:r>
        <w:rPr>
          <w:rFonts w:ascii="Tahoma" w:hAnsi="Tahoma" w:cs="Tahoma"/>
          <w:sz w:val="25"/>
          <w:szCs w:val="25"/>
        </w:rPr>
        <w:t xml:space="preserve"> April, 2013 she respondent to the letter of transfer raising issues.  On the same day (12</w:t>
      </w:r>
      <w:r w:rsidRPr="00E12538">
        <w:rPr>
          <w:rFonts w:ascii="Tahoma" w:hAnsi="Tahoma" w:cs="Tahoma"/>
          <w:sz w:val="25"/>
          <w:szCs w:val="25"/>
          <w:vertAlign w:val="superscript"/>
        </w:rPr>
        <w:t>th</w:t>
      </w:r>
      <w:r>
        <w:rPr>
          <w:rFonts w:ascii="Tahoma" w:hAnsi="Tahoma" w:cs="Tahoma"/>
          <w:sz w:val="25"/>
          <w:szCs w:val="25"/>
        </w:rPr>
        <w:t xml:space="preserve"> April, 2013) the Human Resources Director wrote back advising Knife that the transfer remained in effect as from the 15</w:t>
      </w:r>
      <w:r w:rsidRPr="00E12538">
        <w:rPr>
          <w:rFonts w:ascii="Tahoma" w:hAnsi="Tahoma" w:cs="Tahoma"/>
          <w:sz w:val="25"/>
          <w:szCs w:val="25"/>
          <w:vertAlign w:val="superscript"/>
        </w:rPr>
        <w:t>th</w:t>
      </w:r>
      <w:r>
        <w:rPr>
          <w:rFonts w:ascii="Tahoma" w:hAnsi="Tahoma" w:cs="Tahoma"/>
          <w:sz w:val="25"/>
          <w:szCs w:val="25"/>
        </w:rPr>
        <w:t xml:space="preserve"> April, 2013.  As a result Knife tendered her resignation with effect from 30</w:t>
      </w:r>
      <w:r w:rsidRPr="00E12538">
        <w:rPr>
          <w:rFonts w:ascii="Tahoma" w:hAnsi="Tahoma" w:cs="Tahoma"/>
          <w:sz w:val="25"/>
          <w:szCs w:val="25"/>
          <w:vertAlign w:val="superscript"/>
        </w:rPr>
        <w:t>th</w:t>
      </w:r>
      <w:r>
        <w:rPr>
          <w:rFonts w:ascii="Tahoma" w:hAnsi="Tahoma" w:cs="Tahoma"/>
          <w:sz w:val="25"/>
          <w:szCs w:val="25"/>
        </w:rPr>
        <w:t xml:space="preserve"> April, 2013. </w:t>
      </w:r>
    </w:p>
    <w:p w:rsidR="00E12538" w:rsidRDefault="00E12538" w:rsidP="00037B33">
      <w:pPr>
        <w:spacing w:after="0" w:line="360" w:lineRule="auto"/>
        <w:jc w:val="both"/>
        <w:rPr>
          <w:rFonts w:ascii="Tahoma" w:hAnsi="Tahoma" w:cs="Tahoma"/>
          <w:sz w:val="25"/>
          <w:szCs w:val="25"/>
        </w:rPr>
      </w:pPr>
    </w:p>
    <w:p w:rsidR="00E12538" w:rsidRDefault="00E37E7A" w:rsidP="000D6234">
      <w:pPr>
        <w:spacing w:after="0" w:line="360" w:lineRule="auto"/>
        <w:jc w:val="both"/>
        <w:rPr>
          <w:rFonts w:ascii="Tahoma" w:hAnsi="Tahoma" w:cs="Tahoma"/>
          <w:sz w:val="25"/>
          <w:szCs w:val="25"/>
        </w:rPr>
      </w:pPr>
      <w:r>
        <w:rPr>
          <w:rFonts w:ascii="Tahoma" w:hAnsi="Tahoma" w:cs="Tahoma"/>
          <w:sz w:val="25"/>
          <w:szCs w:val="25"/>
        </w:rPr>
        <w:tab/>
        <w:t>The Arbitrator</w:t>
      </w:r>
      <w:r w:rsidR="00E12538">
        <w:rPr>
          <w:rFonts w:ascii="Tahoma" w:hAnsi="Tahoma" w:cs="Tahoma"/>
          <w:sz w:val="25"/>
          <w:szCs w:val="25"/>
        </w:rPr>
        <w:t xml:space="preserve"> assessed the evidence before him and came to the conclusion that Appellant was not demoted, her conditions and entitlements were not affected in any manner she had the new job and was taken for training which was meant to equip her.  He found that Appellant resigned as a result of the dismissal of her grievance. </w:t>
      </w:r>
    </w:p>
    <w:p w:rsidR="00E12538" w:rsidRDefault="00E12538" w:rsidP="00037B33">
      <w:pPr>
        <w:spacing w:after="0" w:line="360" w:lineRule="auto"/>
        <w:jc w:val="both"/>
        <w:rPr>
          <w:rFonts w:ascii="Tahoma" w:hAnsi="Tahoma" w:cs="Tahoma"/>
          <w:sz w:val="25"/>
          <w:szCs w:val="25"/>
        </w:rPr>
      </w:pPr>
    </w:p>
    <w:p w:rsidR="00E37E7A" w:rsidRDefault="00E12538" w:rsidP="000D6234">
      <w:pPr>
        <w:spacing w:after="0" w:line="360" w:lineRule="auto"/>
        <w:jc w:val="both"/>
        <w:rPr>
          <w:rFonts w:ascii="Tahoma" w:hAnsi="Tahoma" w:cs="Tahoma"/>
          <w:sz w:val="25"/>
          <w:szCs w:val="25"/>
        </w:rPr>
      </w:pPr>
      <w:r>
        <w:rPr>
          <w:rFonts w:ascii="Tahoma" w:hAnsi="Tahoma" w:cs="Tahoma"/>
          <w:sz w:val="25"/>
          <w:szCs w:val="25"/>
        </w:rPr>
        <w:tab/>
        <w:t>T</w:t>
      </w:r>
      <w:r w:rsidR="000B47E9">
        <w:rPr>
          <w:rFonts w:ascii="Tahoma" w:hAnsi="Tahoma" w:cs="Tahoma"/>
          <w:sz w:val="25"/>
          <w:szCs w:val="25"/>
        </w:rPr>
        <w:t xml:space="preserve">he Arbitrator correctly applied the law onto the facts and in my view his conclusions cannot be </w:t>
      </w:r>
      <w:r w:rsidR="00F24300">
        <w:rPr>
          <w:rFonts w:ascii="Tahoma" w:hAnsi="Tahoma" w:cs="Tahoma"/>
          <w:sz w:val="25"/>
          <w:szCs w:val="25"/>
        </w:rPr>
        <w:t>held</w:t>
      </w:r>
      <w:r w:rsidR="00E37E7A">
        <w:rPr>
          <w:rFonts w:ascii="Tahoma" w:hAnsi="Tahoma" w:cs="Tahoma"/>
          <w:sz w:val="25"/>
          <w:szCs w:val="25"/>
        </w:rPr>
        <w:t xml:space="preserve"> to be</w:t>
      </w:r>
      <w:r w:rsidR="000B47E9">
        <w:rPr>
          <w:rFonts w:ascii="Tahoma" w:hAnsi="Tahoma" w:cs="Tahoma"/>
          <w:sz w:val="25"/>
          <w:szCs w:val="25"/>
        </w:rPr>
        <w:t xml:space="preserve"> grossly unreasonable, nor can it be said that he grossly </w:t>
      </w:r>
      <w:r w:rsidR="00E37E7A">
        <w:rPr>
          <w:rFonts w:ascii="Tahoma" w:hAnsi="Tahoma" w:cs="Tahoma"/>
          <w:sz w:val="25"/>
          <w:szCs w:val="25"/>
        </w:rPr>
        <w:t>misdirected himself on the law.</w:t>
      </w:r>
    </w:p>
    <w:p w:rsidR="00E37E7A" w:rsidRDefault="00E37E7A" w:rsidP="00037B33">
      <w:pPr>
        <w:spacing w:after="0" w:line="360" w:lineRule="auto"/>
        <w:jc w:val="both"/>
        <w:rPr>
          <w:rFonts w:ascii="Tahoma" w:hAnsi="Tahoma" w:cs="Tahoma"/>
          <w:sz w:val="25"/>
          <w:szCs w:val="25"/>
        </w:rPr>
      </w:pPr>
    </w:p>
    <w:p w:rsidR="00E12538" w:rsidRDefault="00E37E7A" w:rsidP="00E37E7A">
      <w:pPr>
        <w:spacing w:after="0" w:line="360" w:lineRule="auto"/>
        <w:ind w:firstLine="720"/>
        <w:jc w:val="both"/>
        <w:rPr>
          <w:rFonts w:ascii="Tahoma" w:hAnsi="Tahoma" w:cs="Tahoma"/>
          <w:sz w:val="25"/>
          <w:szCs w:val="25"/>
        </w:rPr>
      </w:pPr>
      <w:r>
        <w:rPr>
          <w:rFonts w:ascii="Tahoma" w:hAnsi="Tahoma" w:cs="Tahoma"/>
          <w:sz w:val="25"/>
          <w:szCs w:val="25"/>
        </w:rPr>
        <w:t>As stated earlier</w:t>
      </w:r>
      <w:r w:rsidR="00F24300">
        <w:rPr>
          <w:rFonts w:ascii="Tahoma" w:hAnsi="Tahoma" w:cs="Tahoma"/>
          <w:sz w:val="25"/>
          <w:szCs w:val="25"/>
        </w:rPr>
        <w:t xml:space="preserve"> the employer had the prerogative to transfer Appellant to another department, Appellant’s conditions of service were not varied, there was no demotion, she did not immediately give notice neit</w:t>
      </w:r>
      <w:r>
        <w:rPr>
          <w:rFonts w:ascii="Tahoma" w:hAnsi="Tahoma" w:cs="Tahoma"/>
          <w:sz w:val="25"/>
          <w:szCs w:val="25"/>
        </w:rPr>
        <w:t>her did she raise her grievance</w:t>
      </w:r>
      <w:r w:rsidR="00F24300">
        <w:rPr>
          <w:rFonts w:ascii="Tahoma" w:hAnsi="Tahoma" w:cs="Tahoma"/>
          <w:sz w:val="25"/>
          <w:szCs w:val="25"/>
        </w:rPr>
        <w:t xml:space="preserve"> immediately, she resigned after the grievance had been disallowed. </w:t>
      </w:r>
    </w:p>
    <w:p w:rsidR="00F24300" w:rsidRDefault="00F24300" w:rsidP="00E37E7A">
      <w:pPr>
        <w:spacing w:after="0" w:line="240" w:lineRule="auto"/>
        <w:jc w:val="both"/>
        <w:rPr>
          <w:rFonts w:ascii="Tahoma" w:hAnsi="Tahoma" w:cs="Tahoma"/>
          <w:sz w:val="25"/>
          <w:szCs w:val="25"/>
        </w:rPr>
      </w:pPr>
    </w:p>
    <w:p w:rsidR="00F24300" w:rsidRDefault="00F24300" w:rsidP="000D6234">
      <w:pPr>
        <w:spacing w:after="0" w:line="360" w:lineRule="auto"/>
        <w:jc w:val="both"/>
        <w:rPr>
          <w:rFonts w:ascii="Tahoma" w:hAnsi="Tahoma" w:cs="Tahoma"/>
          <w:sz w:val="25"/>
          <w:szCs w:val="25"/>
        </w:rPr>
      </w:pPr>
      <w:r>
        <w:rPr>
          <w:rFonts w:ascii="Tahoma" w:hAnsi="Tahoma" w:cs="Tahoma"/>
          <w:sz w:val="25"/>
          <w:szCs w:val="25"/>
        </w:rPr>
        <w:tab/>
        <w:t xml:space="preserve">The holiday allowance which Appellant wants to rely on as proof that </w:t>
      </w:r>
      <w:r w:rsidR="00337D65">
        <w:rPr>
          <w:rFonts w:ascii="Tahoma" w:hAnsi="Tahoma" w:cs="Tahoma"/>
          <w:sz w:val="25"/>
          <w:szCs w:val="25"/>
        </w:rPr>
        <w:t xml:space="preserve">conditions </w:t>
      </w:r>
      <w:proofErr w:type="gramStart"/>
      <w:r w:rsidR="00337D65">
        <w:rPr>
          <w:rFonts w:ascii="Tahoma" w:hAnsi="Tahoma" w:cs="Tahoma"/>
          <w:sz w:val="25"/>
          <w:szCs w:val="25"/>
        </w:rPr>
        <w:t>were</w:t>
      </w:r>
      <w:r w:rsidR="00E37E7A">
        <w:rPr>
          <w:rFonts w:ascii="Tahoma" w:hAnsi="Tahoma" w:cs="Tahoma"/>
          <w:sz w:val="25"/>
          <w:szCs w:val="25"/>
        </w:rPr>
        <w:t xml:space="preserve"> </w:t>
      </w:r>
      <w:r>
        <w:rPr>
          <w:rFonts w:ascii="Tahoma" w:hAnsi="Tahoma" w:cs="Tahoma"/>
          <w:sz w:val="25"/>
          <w:szCs w:val="25"/>
        </w:rPr>
        <w:t xml:space="preserve"> varied</w:t>
      </w:r>
      <w:proofErr w:type="gramEnd"/>
      <w:r>
        <w:rPr>
          <w:rFonts w:ascii="Tahoma" w:hAnsi="Tahoma" w:cs="Tahoma"/>
          <w:sz w:val="25"/>
          <w:szCs w:val="25"/>
        </w:rPr>
        <w:t xml:space="preserve"> was effected long after the transfer</w:t>
      </w:r>
      <w:r w:rsidR="00337D65">
        <w:rPr>
          <w:rFonts w:ascii="Tahoma" w:hAnsi="Tahoma" w:cs="Tahoma"/>
          <w:sz w:val="25"/>
          <w:szCs w:val="25"/>
        </w:rPr>
        <w:t>, i.e</w:t>
      </w:r>
      <w:r>
        <w:rPr>
          <w:rFonts w:ascii="Tahoma" w:hAnsi="Tahoma" w:cs="Tahoma"/>
          <w:sz w:val="25"/>
          <w:szCs w:val="25"/>
        </w:rPr>
        <w:t xml:space="preserve">.  </w:t>
      </w:r>
      <w:proofErr w:type="gramStart"/>
      <w:r>
        <w:rPr>
          <w:rFonts w:ascii="Tahoma" w:hAnsi="Tahoma" w:cs="Tahoma"/>
          <w:sz w:val="25"/>
          <w:szCs w:val="25"/>
        </w:rPr>
        <w:t xml:space="preserve">in </w:t>
      </w:r>
      <w:r w:rsidR="00E37E7A">
        <w:rPr>
          <w:rFonts w:ascii="Tahoma" w:hAnsi="Tahoma" w:cs="Tahoma"/>
          <w:sz w:val="25"/>
          <w:szCs w:val="25"/>
        </w:rPr>
        <w:t xml:space="preserve"> </w:t>
      </w:r>
      <w:r>
        <w:rPr>
          <w:rFonts w:ascii="Tahoma" w:hAnsi="Tahoma" w:cs="Tahoma"/>
          <w:sz w:val="25"/>
          <w:szCs w:val="25"/>
        </w:rPr>
        <w:t>July</w:t>
      </w:r>
      <w:proofErr w:type="gramEnd"/>
      <w:r>
        <w:rPr>
          <w:rFonts w:ascii="Tahoma" w:hAnsi="Tahoma" w:cs="Tahoma"/>
          <w:sz w:val="25"/>
          <w:szCs w:val="25"/>
        </w:rPr>
        <w:t>, 2013, (7 months after the transfer).</w:t>
      </w:r>
    </w:p>
    <w:p w:rsidR="00E37E7A" w:rsidRDefault="00E37E7A" w:rsidP="000D6234">
      <w:pPr>
        <w:spacing w:after="0" w:line="360" w:lineRule="auto"/>
        <w:jc w:val="both"/>
        <w:rPr>
          <w:rFonts w:ascii="Tahoma" w:hAnsi="Tahoma" w:cs="Tahoma"/>
          <w:sz w:val="25"/>
          <w:szCs w:val="25"/>
        </w:rPr>
      </w:pPr>
    </w:p>
    <w:p w:rsidR="00F24300" w:rsidRPr="007310EB" w:rsidRDefault="00E37E7A" w:rsidP="00F24300">
      <w:pPr>
        <w:spacing w:after="0" w:line="360" w:lineRule="auto"/>
        <w:ind w:firstLine="720"/>
        <w:jc w:val="both"/>
        <w:rPr>
          <w:rFonts w:ascii="Tahoma" w:hAnsi="Tahoma" w:cs="Tahoma"/>
          <w:sz w:val="25"/>
          <w:szCs w:val="25"/>
        </w:rPr>
      </w:pPr>
      <w:r>
        <w:rPr>
          <w:rFonts w:ascii="Tahoma" w:hAnsi="Tahoma" w:cs="Tahoma"/>
          <w:sz w:val="25"/>
          <w:szCs w:val="25"/>
        </w:rPr>
        <w:t>There were</w:t>
      </w:r>
      <w:r w:rsidR="00F24300">
        <w:rPr>
          <w:rFonts w:ascii="Tahoma" w:hAnsi="Tahoma" w:cs="Tahoma"/>
          <w:sz w:val="25"/>
          <w:szCs w:val="25"/>
        </w:rPr>
        <w:t xml:space="preserve"> no intolerable conditions perpetrated by the Respondent at </w:t>
      </w:r>
      <w:r w:rsidR="00337D65">
        <w:rPr>
          <w:rFonts w:ascii="Tahoma" w:hAnsi="Tahoma" w:cs="Tahoma"/>
          <w:sz w:val="25"/>
          <w:szCs w:val="25"/>
        </w:rPr>
        <w:t>all</w:t>
      </w:r>
      <w:r w:rsidR="00F24300">
        <w:rPr>
          <w:rFonts w:ascii="Tahoma" w:hAnsi="Tahoma" w:cs="Tahoma"/>
          <w:sz w:val="25"/>
          <w:szCs w:val="25"/>
        </w:rPr>
        <w:t xml:space="preserve">, to that end therefore this appeal cannot be allowed. </w:t>
      </w:r>
    </w:p>
    <w:p w:rsidR="00560117" w:rsidRPr="007310EB" w:rsidRDefault="00560117" w:rsidP="000D6234">
      <w:pPr>
        <w:spacing w:after="0" w:line="360" w:lineRule="auto"/>
        <w:jc w:val="both"/>
        <w:rPr>
          <w:rFonts w:ascii="Tahoma" w:hAnsi="Tahoma" w:cs="Tahoma"/>
          <w:sz w:val="25"/>
          <w:szCs w:val="25"/>
        </w:rPr>
      </w:pPr>
    </w:p>
    <w:p w:rsidR="00560117" w:rsidRPr="007310EB" w:rsidRDefault="00F24300" w:rsidP="000D6234">
      <w:pPr>
        <w:spacing w:after="0" w:line="360" w:lineRule="auto"/>
        <w:jc w:val="both"/>
        <w:rPr>
          <w:rFonts w:ascii="Tahoma" w:hAnsi="Tahoma" w:cs="Tahoma"/>
          <w:sz w:val="25"/>
          <w:szCs w:val="25"/>
        </w:rPr>
      </w:pPr>
      <w:r>
        <w:rPr>
          <w:rFonts w:ascii="Tahoma" w:hAnsi="Tahoma" w:cs="Tahoma"/>
          <w:sz w:val="25"/>
          <w:szCs w:val="25"/>
        </w:rPr>
        <w:tab/>
        <w:t xml:space="preserve">In the circumstances, it is ordered that it be and is hereby dismissed with costs. </w:t>
      </w:r>
    </w:p>
    <w:p w:rsidR="00560117" w:rsidRDefault="00560117" w:rsidP="00B10417">
      <w:pPr>
        <w:spacing w:after="0" w:line="360" w:lineRule="auto"/>
        <w:rPr>
          <w:rFonts w:ascii="Tahoma" w:hAnsi="Tahoma" w:cs="Tahoma"/>
          <w:sz w:val="25"/>
          <w:szCs w:val="25"/>
        </w:rPr>
      </w:pPr>
    </w:p>
    <w:p w:rsidR="00EC7A5A" w:rsidRPr="007310EB" w:rsidRDefault="00EC7A5A" w:rsidP="00B10417">
      <w:pPr>
        <w:spacing w:after="0" w:line="360" w:lineRule="auto"/>
        <w:rPr>
          <w:rFonts w:ascii="Tahoma" w:hAnsi="Tahoma" w:cs="Tahoma"/>
          <w:sz w:val="25"/>
          <w:szCs w:val="25"/>
        </w:rPr>
      </w:pPr>
    </w:p>
    <w:p w:rsidR="00025B6C" w:rsidRPr="00D95B8F" w:rsidRDefault="004515C2" w:rsidP="00B10417">
      <w:pPr>
        <w:spacing w:after="0" w:line="360" w:lineRule="auto"/>
        <w:rPr>
          <w:rFonts w:ascii="Tahoma" w:hAnsi="Tahoma" w:cs="Tahoma"/>
          <w:b/>
          <w:i/>
          <w:sz w:val="25"/>
          <w:szCs w:val="25"/>
        </w:rPr>
      </w:pPr>
      <w:r>
        <w:rPr>
          <w:rFonts w:ascii="Tahoma" w:hAnsi="Tahoma" w:cs="Tahoma"/>
          <w:b/>
          <w:i/>
          <w:sz w:val="25"/>
          <w:szCs w:val="25"/>
        </w:rPr>
        <w:t>Mutamangira and Associates</w:t>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4515C2" w:rsidP="007D717D">
      <w:pPr>
        <w:spacing w:after="0" w:line="240" w:lineRule="auto"/>
        <w:rPr>
          <w:rFonts w:ascii="Tahoma" w:hAnsi="Tahoma" w:cs="Tahoma"/>
          <w:b/>
          <w:i/>
          <w:sz w:val="25"/>
          <w:szCs w:val="25"/>
        </w:rPr>
      </w:pPr>
      <w:r>
        <w:rPr>
          <w:rFonts w:ascii="Tahoma" w:hAnsi="Tahoma" w:cs="Tahoma"/>
          <w:b/>
          <w:i/>
          <w:sz w:val="25"/>
          <w:szCs w:val="25"/>
        </w:rPr>
        <w:t>Kantor and Immerman</w:t>
      </w:r>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6CC" w:rsidRDefault="00D566CC" w:rsidP="007C5CA3">
      <w:pPr>
        <w:spacing w:after="0" w:line="240" w:lineRule="auto"/>
      </w:pPr>
      <w:r>
        <w:separator/>
      </w:r>
    </w:p>
  </w:endnote>
  <w:endnote w:type="continuationSeparator" w:id="0">
    <w:p w:rsidR="00D566CC" w:rsidRDefault="00D566C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1D7721">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6CC" w:rsidRDefault="00D566CC" w:rsidP="007C5CA3">
      <w:pPr>
        <w:spacing w:after="0" w:line="240" w:lineRule="auto"/>
      </w:pPr>
      <w:r>
        <w:separator/>
      </w:r>
    </w:p>
  </w:footnote>
  <w:footnote w:type="continuationSeparator" w:id="0">
    <w:p w:rsidR="00D566CC" w:rsidRDefault="00D566C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337D65">
      <w:rPr>
        <w:rFonts w:ascii="Tahoma" w:hAnsi="Tahoma" w:cs="Tahoma"/>
        <w:b/>
        <w:sz w:val="24"/>
        <w:szCs w:val="24"/>
      </w:rPr>
      <w:t>217</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DFA0622"/>
    <w:multiLevelType w:val="hybridMultilevel"/>
    <w:tmpl w:val="F3965428"/>
    <w:lvl w:ilvl="0" w:tplc="172657F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3DF1DA6"/>
    <w:multiLevelType w:val="hybridMultilevel"/>
    <w:tmpl w:val="E71E2178"/>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
    <w:nsid w:val="39401A08"/>
    <w:multiLevelType w:val="hybridMultilevel"/>
    <w:tmpl w:val="13C859CC"/>
    <w:lvl w:ilvl="0" w:tplc="92C06F8E">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37B33"/>
    <w:rsid w:val="00040041"/>
    <w:rsid w:val="00043BB2"/>
    <w:rsid w:val="000449EA"/>
    <w:rsid w:val="000501E6"/>
    <w:rsid w:val="00062DEC"/>
    <w:rsid w:val="00073B99"/>
    <w:rsid w:val="00074C1D"/>
    <w:rsid w:val="000A07BC"/>
    <w:rsid w:val="000B47E9"/>
    <w:rsid w:val="000D6234"/>
    <w:rsid w:val="000D6E56"/>
    <w:rsid w:val="000E1A24"/>
    <w:rsid w:val="000E1D81"/>
    <w:rsid w:val="000E5A35"/>
    <w:rsid w:val="001059DC"/>
    <w:rsid w:val="0011530D"/>
    <w:rsid w:val="00192EC2"/>
    <w:rsid w:val="001A037B"/>
    <w:rsid w:val="001B520A"/>
    <w:rsid w:val="001B7DFE"/>
    <w:rsid w:val="001D7721"/>
    <w:rsid w:val="001E59E3"/>
    <w:rsid w:val="001F2A28"/>
    <w:rsid w:val="001F6C80"/>
    <w:rsid w:val="00257D13"/>
    <w:rsid w:val="00257EAA"/>
    <w:rsid w:val="002813AD"/>
    <w:rsid w:val="002A3347"/>
    <w:rsid w:val="002A4EA4"/>
    <w:rsid w:val="002B042E"/>
    <w:rsid w:val="002C7EF3"/>
    <w:rsid w:val="002D0332"/>
    <w:rsid w:val="002E1FE1"/>
    <w:rsid w:val="002F5836"/>
    <w:rsid w:val="003102CF"/>
    <w:rsid w:val="00320D70"/>
    <w:rsid w:val="00333A04"/>
    <w:rsid w:val="00337D65"/>
    <w:rsid w:val="00345C9C"/>
    <w:rsid w:val="00352819"/>
    <w:rsid w:val="003571DC"/>
    <w:rsid w:val="003732BA"/>
    <w:rsid w:val="003744B2"/>
    <w:rsid w:val="003B073C"/>
    <w:rsid w:val="003B2DAE"/>
    <w:rsid w:val="003C4704"/>
    <w:rsid w:val="003E58BF"/>
    <w:rsid w:val="003E7494"/>
    <w:rsid w:val="00421D94"/>
    <w:rsid w:val="00435CF9"/>
    <w:rsid w:val="004403C4"/>
    <w:rsid w:val="00441E66"/>
    <w:rsid w:val="00443D09"/>
    <w:rsid w:val="00450F2A"/>
    <w:rsid w:val="004515C2"/>
    <w:rsid w:val="00452BD6"/>
    <w:rsid w:val="00471F6B"/>
    <w:rsid w:val="004770D4"/>
    <w:rsid w:val="004905CF"/>
    <w:rsid w:val="004927A7"/>
    <w:rsid w:val="004C0E8D"/>
    <w:rsid w:val="004C3334"/>
    <w:rsid w:val="004D303B"/>
    <w:rsid w:val="004E2B68"/>
    <w:rsid w:val="004E6DBC"/>
    <w:rsid w:val="004F570A"/>
    <w:rsid w:val="00521048"/>
    <w:rsid w:val="0053052B"/>
    <w:rsid w:val="00535E77"/>
    <w:rsid w:val="00542814"/>
    <w:rsid w:val="00560117"/>
    <w:rsid w:val="005B403F"/>
    <w:rsid w:val="005B6B07"/>
    <w:rsid w:val="005E4CBF"/>
    <w:rsid w:val="005F3C09"/>
    <w:rsid w:val="00617D29"/>
    <w:rsid w:val="00637CA0"/>
    <w:rsid w:val="006462FD"/>
    <w:rsid w:val="00652B98"/>
    <w:rsid w:val="006766B6"/>
    <w:rsid w:val="00680357"/>
    <w:rsid w:val="00694322"/>
    <w:rsid w:val="006C0A17"/>
    <w:rsid w:val="006E73F7"/>
    <w:rsid w:val="00712ED9"/>
    <w:rsid w:val="007310EB"/>
    <w:rsid w:val="00736501"/>
    <w:rsid w:val="00740E8A"/>
    <w:rsid w:val="00743501"/>
    <w:rsid w:val="007548C0"/>
    <w:rsid w:val="00761EF7"/>
    <w:rsid w:val="007659C9"/>
    <w:rsid w:val="00777CDC"/>
    <w:rsid w:val="007866AA"/>
    <w:rsid w:val="00792B78"/>
    <w:rsid w:val="007A10E9"/>
    <w:rsid w:val="007A3E60"/>
    <w:rsid w:val="007B3902"/>
    <w:rsid w:val="007B655A"/>
    <w:rsid w:val="007C3A03"/>
    <w:rsid w:val="007C3B6F"/>
    <w:rsid w:val="007C5CA3"/>
    <w:rsid w:val="007D717D"/>
    <w:rsid w:val="007E544C"/>
    <w:rsid w:val="007F16D4"/>
    <w:rsid w:val="007F7ECE"/>
    <w:rsid w:val="00811EAB"/>
    <w:rsid w:val="00812680"/>
    <w:rsid w:val="0083632A"/>
    <w:rsid w:val="00853204"/>
    <w:rsid w:val="00857174"/>
    <w:rsid w:val="00867C88"/>
    <w:rsid w:val="00874EAC"/>
    <w:rsid w:val="008759B5"/>
    <w:rsid w:val="00876084"/>
    <w:rsid w:val="008C57F8"/>
    <w:rsid w:val="008F1680"/>
    <w:rsid w:val="00902BC2"/>
    <w:rsid w:val="00904DDA"/>
    <w:rsid w:val="009111D0"/>
    <w:rsid w:val="00912EF0"/>
    <w:rsid w:val="00914FC6"/>
    <w:rsid w:val="00940DD4"/>
    <w:rsid w:val="00940F54"/>
    <w:rsid w:val="0095112E"/>
    <w:rsid w:val="0095114C"/>
    <w:rsid w:val="00974217"/>
    <w:rsid w:val="0098286B"/>
    <w:rsid w:val="0098406A"/>
    <w:rsid w:val="009951A3"/>
    <w:rsid w:val="009A1F2F"/>
    <w:rsid w:val="009D6239"/>
    <w:rsid w:val="00A05445"/>
    <w:rsid w:val="00A15B90"/>
    <w:rsid w:val="00A42E04"/>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5626"/>
    <w:rsid w:val="00BA7081"/>
    <w:rsid w:val="00BD43C4"/>
    <w:rsid w:val="00BE7503"/>
    <w:rsid w:val="00C279F3"/>
    <w:rsid w:val="00C41ABD"/>
    <w:rsid w:val="00C57EAF"/>
    <w:rsid w:val="00C63A75"/>
    <w:rsid w:val="00CB2223"/>
    <w:rsid w:val="00CD0585"/>
    <w:rsid w:val="00CE61E0"/>
    <w:rsid w:val="00CF7FB6"/>
    <w:rsid w:val="00D13C45"/>
    <w:rsid w:val="00D34EA0"/>
    <w:rsid w:val="00D35D61"/>
    <w:rsid w:val="00D566CC"/>
    <w:rsid w:val="00D66B99"/>
    <w:rsid w:val="00D6717B"/>
    <w:rsid w:val="00D95B8F"/>
    <w:rsid w:val="00DA5F18"/>
    <w:rsid w:val="00DD7258"/>
    <w:rsid w:val="00E04088"/>
    <w:rsid w:val="00E12538"/>
    <w:rsid w:val="00E37E7A"/>
    <w:rsid w:val="00E40848"/>
    <w:rsid w:val="00E5115D"/>
    <w:rsid w:val="00E861F1"/>
    <w:rsid w:val="00E86E3D"/>
    <w:rsid w:val="00EA5594"/>
    <w:rsid w:val="00EA5CF8"/>
    <w:rsid w:val="00EC3B90"/>
    <w:rsid w:val="00EC678A"/>
    <w:rsid w:val="00EC7A5A"/>
    <w:rsid w:val="00ED3B87"/>
    <w:rsid w:val="00EE2051"/>
    <w:rsid w:val="00EE43D8"/>
    <w:rsid w:val="00F00961"/>
    <w:rsid w:val="00F034A3"/>
    <w:rsid w:val="00F06F4E"/>
    <w:rsid w:val="00F07637"/>
    <w:rsid w:val="00F10308"/>
    <w:rsid w:val="00F11DA5"/>
    <w:rsid w:val="00F24300"/>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12</cp:revision>
  <cp:lastPrinted>2016-04-06T13:11:00Z</cp:lastPrinted>
  <dcterms:created xsi:type="dcterms:W3CDTF">2016-04-05T13:43:00Z</dcterms:created>
  <dcterms:modified xsi:type="dcterms:W3CDTF">2016-04-06T13:43:00Z</dcterms:modified>
</cp:coreProperties>
</file>