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B11A6" w14:textId="77777777" w:rsidR="00D32A75" w:rsidRDefault="00D32A75" w:rsidP="00D32A75">
      <w:pPr>
        <w:jc w:val="both"/>
        <w:rPr>
          <w:rFonts w:ascii="Times New Roman" w:hAnsi="Times New Roman" w:cs="Times New Roman"/>
          <w:sz w:val="24"/>
          <w:szCs w:val="24"/>
        </w:rPr>
      </w:pPr>
      <w:bookmarkStart w:id="0" w:name="_GoBack"/>
      <w:bookmarkEnd w:id="0"/>
    </w:p>
    <w:p w14:paraId="52F0F022" w14:textId="77777777" w:rsidR="00D32A75" w:rsidRDefault="00D32A75" w:rsidP="00D32A75">
      <w:pPr>
        <w:jc w:val="both"/>
        <w:rPr>
          <w:rFonts w:ascii="Times New Roman" w:hAnsi="Times New Roman" w:cs="Times New Roman"/>
          <w:sz w:val="24"/>
          <w:szCs w:val="24"/>
        </w:rPr>
      </w:pPr>
    </w:p>
    <w:p w14:paraId="00393899" w14:textId="77777777" w:rsidR="00780BB5" w:rsidRDefault="00D32A75" w:rsidP="00972E94">
      <w:pPr>
        <w:spacing w:after="0"/>
        <w:jc w:val="both"/>
        <w:rPr>
          <w:rFonts w:ascii="Times New Roman" w:hAnsi="Times New Roman" w:cs="Times New Roman"/>
          <w:sz w:val="24"/>
          <w:szCs w:val="24"/>
        </w:rPr>
      </w:pPr>
      <w:r>
        <w:rPr>
          <w:rFonts w:ascii="Times New Roman" w:hAnsi="Times New Roman" w:cs="Times New Roman"/>
          <w:sz w:val="24"/>
          <w:szCs w:val="24"/>
        </w:rPr>
        <w:t>NIGEL TENDAI SITHOLE</w:t>
      </w:r>
    </w:p>
    <w:p w14:paraId="2E3CFCCE" w14:textId="77777777" w:rsidR="00D32A75" w:rsidRDefault="00972E94" w:rsidP="00972E94">
      <w:pPr>
        <w:spacing w:after="0"/>
        <w:jc w:val="both"/>
        <w:rPr>
          <w:rFonts w:ascii="Times New Roman" w:hAnsi="Times New Roman" w:cs="Times New Roman"/>
          <w:sz w:val="24"/>
          <w:szCs w:val="24"/>
        </w:rPr>
      </w:pPr>
      <w:r>
        <w:rPr>
          <w:rFonts w:ascii="Times New Roman" w:hAnsi="Times New Roman" w:cs="Times New Roman"/>
          <w:sz w:val="24"/>
          <w:szCs w:val="24"/>
        </w:rPr>
        <w:t>v</w:t>
      </w:r>
      <w:r w:rsidR="00D32A75">
        <w:rPr>
          <w:rFonts w:ascii="Times New Roman" w:hAnsi="Times New Roman" w:cs="Times New Roman"/>
          <w:sz w:val="24"/>
          <w:szCs w:val="24"/>
        </w:rPr>
        <w:t>ersus</w:t>
      </w:r>
    </w:p>
    <w:p w14:paraId="74BB3FA7" w14:textId="6D5CCC40" w:rsidR="00D32A75" w:rsidRDefault="00D32A75" w:rsidP="00972E94">
      <w:pPr>
        <w:spacing w:after="0"/>
        <w:jc w:val="both"/>
        <w:rPr>
          <w:rFonts w:ascii="Times New Roman" w:hAnsi="Times New Roman" w:cs="Times New Roman"/>
          <w:sz w:val="24"/>
          <w:szCs w:val="24"/>
        </w:rPr>
      </w:pPr>
      <w:r>
        <w:rPr>
          <w:rFonts w:ascii="Times New Roman" w:hAnsi="Times New Roman" w:cs="Times New Roman"/>
          <w:sz w:val="24"/>
          <w:szCs w:val="24"/>
        </w:rPr>
        <w:t>FBC BAN</w:t>
      </w:r>
      <w:r w:rsidR="00173808">
        <w:rPr>
          <w:rFonts w:ascii="Times New Roman" w:hAnsi="Times New Roman" w:cs="Times New Roman"/>
          <w:sz w:val="24"/>
          <w:szCs w:val="24"/>
        </w:rPr>
        <w:t>K</w:t>
      </w:r>
      <w:r>
        <w:rPr>
          <w:rFonts w:ascii="Times New Roman" w:hAnsi="Times New Roman" w:cs="Times New Roman"/>
          <w:sz w:val="24"/>
          <w:szCs w:val="24"/>
        </w:rPr>
        <w:t xml:space="preserve"> LTD</w:t>
      </w:r>
    </w:p>
    <w:p w14:paraId="4E85E992" w14:textId="77777777" w:rsidR="00D32A75" w:rsidRDefault="00972E94" w:rsidP="00972E94">
      <w:pPr>
        <w:spacing w:after="0"/>
        <w:jc w:val="both"/>
        <w:rPr>
          <w:rFonts w:ascii="Times New Roman" w:hAnsi="Times New Roman" w:cs="Times New Roman"/>
          <w:sz w:val="24"/>
          <w:szCs w:val="24"/>
        </w:rPr>
      </w:pPr>
      <w:r>
        <w:rPr>
          <w:rFonts w:ascii="Times New Roman" w:hAnsi="Times New Roman" w:cs="Times New Roman"/>
          <w:sz w:val="24"/>
          <w:szCs w:val="24"/>
        </w:rPr>
        <w:t>a</w:t>
      </w:r>
      <w:r w:rsidR="00D32A75">
        <w:rPr>
          <w:rFonts w:ascii="Times New Roman" w:hAnsi="Times New Roman" w:cs="Times New Roman"/>
          <w:sz w:val="24"/>
          <w:szCs w:val="24"/>
        </w:rPr>
        <w:t>nd</w:t>
      </w:r>
    </w:p>
    <w:p w14:paraId="025E6248" w14:textId="66C78FAD" w:rsidR="00D32A75" w:rsidRDefault="00D32A75" w:rsidP="00972E94">
      <w:pPr>
        <w:spacing w:after="0"/>
        <w:jc w:val="both"/>
        <w:rPr>
          <w:rFonts w:ascii="Times New Roman" w:hAnsi="Times New Roman" w:cs="Times New Roman"/>
          <w:sz w:val="24"/>
          <w:szCs w:val="24"/>
        </w:rPr>
      </w:pPr>
      <w:r>
        <w:rPr>
          <w:rFonts w:ascii="Times New Roman" w:hAnsi="Times New Roman" w:cs="Times New Roman"/>
          <w:sz w:val="24"/>
          <w:szCs w:val="24"/>
        </w:rPr>
        <w:t>RESERVE BANK OF ZIMBABWE</w:t>
      </w:r>
      <w:r w:rsidR="00173808">
        <w:rPr>
          <w:rFonts w:ascii="Times New Roman" w:hAnsi="Times New Roman" w:cs="Times New Roman"/>
          <w:sz w:val="24"/>
          <w:szCs w:val="24"/>
        </w:rPr>
        <w:t xml:space="preserve"> N.O</w:t>
      </w:r>
    </w:p>
    <w:p w14:paraId="79ED0845" w14:textId="77777777" w:rsidR="00D32A75" w:rsidRDefault="00D32A75" w:rsidP="00972E94">
      <w:pPr>
        <w:spacing w:after="0"/>
        <w:jc w:val="both"/>
        <w:rPr>
          <w:rFonts w:ascii="Times New Roman" w:hAnsi="Times New Roman" w:cs="Times New Roman"/>
          <w:sz w:val="24"/>
          <w:szCs w:val="24"/>
        </w:rPr>
      </w:pPr>
    </w:p>
    <w:p w14:paraId="15632E0A" w14:textId="77777777" w:rsidR="00972E94" w:rsidRDefault="00972E94" w:rsidP="00972E94">
      <w:pPr>
        <w:spacing w:after="0"/>
        <w:jc w:val="both"/>
        <w:rPr>
          <w:rFonts w:ascii="Times New Roman" w:hAnsi="Times New Roman" w:cs="Times New Roman"/>
          <w:sz w:val="24"/>
          <w:szCs w:val="24"/>
        </w:rPr>
      </w:pPr>
    </w:p>
    <w:p w14:paraId="18EA007D" w14:textId="77777777" w:rsidR="00D32A75" w:rsidRDefault="00D32A75" w:rsidP="00972E94">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6421807E" w14:textId="77777777" w:rsidR="00D32A75" w:rsidRDefault="00D32A75" w:rsidP="00972E94">
      <w:pPr>
        <w:spacing w:after="0"/>
        <w:jc w:val="both"/>
        <w:rPr>
          <w:rFonts w:ascii="Times New Roman" w:hAnsi="Times New Roman" w:cs="Times New Roman"/>
          <w:sz w:val="24"/>
          <w:szCs w:val="24"/>
        </w:rPr>
      </w:pPr>
      <w:r>
        <w:rPr>
          <w:rFonts w:ascii="Times New Roman" w:hAnsi="Times New Roman" w:cs="Times New Roman"/>
          <w:sz w:val="24"/>
          <w:szCs w:val="24"/>
        </w:rPr>
        <w:t>MUREMBA J</w:t>
      </w:r>
    </w:p>
    <w:p w14:paraId="744B4DBE" w14:textId="27E745F9" w:rsidR="00D32A75" w:rsidRDefault="00D32A75" w:rsidP="00972E94">
      <w:pPr>
        <w:spacing w:after="0"/>
        <w:jc w:val="both"/>
        <w:rPr>
          <w:rFonts w:ascii="Times New Roman" w:hAnsi="Times New Roman" w:cs="Times New Roman"/>
          <w:sz w:val="24"/>
          <w:szCs w:val="24"/>
        </w:rPr>
      </w:pPr>
      <w:r>
        <w:rPr>
          <w:rFonts w:ascii="Times New Roman" w:hAnsi="Times New Roman" w:cs="Times New Roman"/>
          <w:sz w:val="24"/>
          <w:szCs w:val="24"/>
        </w:rPr>
        <w:t>HARARE,</w:t>
      </w:r>
      <w:r w:rsidR="00972E94">
        <w:rPr>
          <w:rFonts w:ascii="Times New Roman" w:hAnsi="Times New Roman" w:cs="Times New Roman"/>
          <w:sz w:val="24"/>
          <w:szCs w:val="24"/>
        </w:rPr>
        <w:t xml:space="preserve"> </w:t>
      </w:r>
      <w:r w:rsidR="00D22721">
        <w:rPr>
          <w:rFonts w:ascii="Times New Roman" w:hAnsi="Times New Roman" w:cs="Times New Roman"/>
          <w:sz w:val="24"/>
          <w:szCs w:val="24"/>
        </w:rPr>
        <w:t>31</w:t>
      </w:r>
      <w:r w:rsidR="00972E94">
        <w:rPr>
          <w:rFonts w:ascii="Times New Roman" w:hAnsi="Times New Roman" w:cs="Times New Roman"/>
          <w:sz w:val="24"/>
          <w:szCs w:val="24"/>
        </w:rPr>
        <w:t xml:space="preserve"> March 2021</w:t>
      </w:r>
    </w:p>
    <w:p w14:paraId="07F2686A" w14:textId="77777777" w:rsidR="00972E94" w:rsidRDefault="00972E94" w:rsidP="00972E94">
      <w:pPr>
        <w:spacing w:after="0"/>
        <w:jc w:val="both"/>
        <w:rPr>
          <w:rFonts w:ascii="Times New Roman" w:hAnsi="Times New Roman" w:cs="Times New Roman"/>
          <w:sz w:val="24"/>
          <w:szCs w:val="24"/>
        </w:rPr>
      </w:pPr>
    </w:p>
    <w:p w14:paraId="799C5DAE" w14:textId="77777777" w:rsidR="00972E94" w:rsidRDefault="00972E94" w:rsidP="00972E94">
      <w:pPr>
        <w:spacing w:after="0"/>
        <w:jc w:val="both"/>
        <w:rPr>
          <w:rFonts w:ascii="Times New Roman" w:hAnsi="Times New Roman" w:cs="Times New Roman"/>
          <w:b/>
          <w:sz w:val="24"/>
          <w:szCs w:val="24"/>
        </w:rPr>
      </w:pPr>
    </w:p>
    <w:p w14:paraId="7EC2DEBC" w14:textId="6F0D1488" w:rsidR="00972E94" w:rsidRDefault="00972E94" w:rsidP="00972E94">
      <w:pPr>
        <w:spacing w:after="0"/>
        <w:jc w:val="both"/>
        <w:rPr>
          <w:rFonts w:ascii="Times New Roman" w:hAnsi="Times New Roman" w:cs="Times New Roman"/>
          <w:b/>
          <w:sz w:val="24"/>
          <w:szCs w:val="24"/>
        </w:rPr>
      </w:pPr>
      <w:r>
        <w:rPr>
          <w:rFonts w:ascii="Times New Roman" w:hAnsi="Times New Roman" w:cs="Times New Roman"/>
          <w:b/>
          <w:sz w:val="24"/>
          <w:szCs w:val="24"/>
        </w:rPr>
        <w:t>Urgen</w:t>
      </w:r>
      <w:r w:rsidR="009E75C7">
        <w:rPr>
          <w:rFonts w:ascii="Times New Roman" w:hAnsi="Times New Roman" w:cs="Times New Roman"/>
          <w:b/>
          <w:sz w:val="24"/>
          <w:szCs w:val="24"/>
        </w:rPr>
        <w:t>t C</w:t>
      </w:r>
      <w:r>
        <w:rPr>
          <w:rFonts w:ascii="Times New Roman" w:hAnsi="Times New Roman" w:cs="Times New Roman"/>
          <w:b/>
          <w:sz w:val="24"/>
          <w:szCs w:val="24"/>
        </w:rPr>
        <w:t>hamber Application</w:t>
      </w:r>
    </w:p>
    <w:p w14:paraId="14E7BC53" w14:textId="77777777" w:rsidR="00972E94" w:rsidRDefault="00972E94" w:rsidP="00972E94">
      <w:pPr>
        <w:spacing w:after="0"/>
        <w:jc w:val="both"/>
        <w:rPr>
          <w:rFonts w:ascii="Times New Roman" w:hAnsi="Times New Roman" w:cs="Times New Roman"/>
          <w:b/>
          <w:sz w:val="24"/>
          <w:szCs w:val="24"/>
        </w:rPr>
      </w:pPr>
    </w:p>
    <w:p w14:paraId="19307088" w14:textId="77777777" w:rsidR="00972E94" w:rsidRDefault="00972E94" w:rsidP="00972E94">
      <w:pPr>
        <w:spacing w:after="0"/>
        <w:jc w:val="both"/>
        <w:rPr>
          <w:rFonts w:ascii="Times New Roman" w:hAnsi="Times New Roman" w:cs="Times New Roman"/>
          <w:b/>
          <w:sz w:val="24"/>
          <w:szCs w:val="24"/>
        </w:rPr>
      </w:pPr>
    </w:p>
    <w:p w14:paraId="7259C39B" w14:textId="24251015" w:rsidR="00972E94" w:rsidRDefault="001C54B9" w:rsidP="00972E94">
      <w:pPr>
        <w:spacing w:after="0"/>
        <w:jc w:val="both"/>
        <w:rPr>
          <w:rFonts w:ascii="Times New Roman" w:hAnsi="Times New Roman" w:cs="Times New Roman"/>
          <w:sz w:val="24"/>
          <w:szCs w:val="24"/>
        </w:rPr>
      </w:pPr>
      <w:r>
        <w:rPr>
          <w:rFonts w:ascii="Times New Roman" w:hAnsi="Times New Roman" w:cs="Times New Roman"/>
          <w:sz w:val="24"/>
          <w:szCs w:val="24"/>
        </w:rPr>
        <w:t>Applicant in person</w:t>
      </w:r>
    </w:p>
    <w:p w14:paraId="78B205F8" w14:textId="31B9957C" w:rsidR="00972E94" w:rsidRDefault="001C54B9" w:rsidP="00972E94">
      <w:pPr>
        <w:spacing w:after="0"/>
        <w:jc w:val="both"/>
        <w:rPr>
          <w:rFonts w:ascii="Times New Roman" w:hAnsi="Times New Roman" w:cs="Times New Roman"/>
          <w:sz w:val="24"/>
          <w:szCs w:val="24"/>
        </w:rPr>
      </w:pPr>
      <w:r w:rsidRPr="001C54B9">
        <w:rPr>
          <w:rFonts w:ascii="Times New Roman" w:hAnsi="Times New Roman" w:cs="Times New Roman"/>
          <w:i/>
          <w:sz w:val="24"/>
          <w:szCs w:val="24"/>
        </w:rPr>
        <w:t>D Muchada</w:t>
      </w:r>
      <w:r w:rsidR="00972E94">
        <w:rPr>
          <w:rFonts w:ascii="Times New Roman" w:hAnsi="Times New Roman" w:cs="Times New Roman"/>
          <w:sz w:val="24"/>
          <w:szCs w:val="24"/>
        </w:rPr>
        <w:t>, for the 1</w:t>
      </w:r>
      <w:r w:rsidR="00972E94" w:rsidRPr="00972E94">
        <w:rPr>
          <w:rFonts w:ascii="Times New Roman" w:hAnsi="Times New Roman" w:cs="Times New Roman"/>
          <w:sz w:val="24"/>
          <w:szCs w:val="24"/>
          <w:vertAlign w:val="superscript"/>
        </w:rPr>
        <w:t>st</w:t>
      </w:r>
      <w:r w:rsidR="00972E94">
        <w:rPr>
          <w:rFonts w:ascii="Times New Roman" w:hAnsi="Times New Roman" w:cs="Times New Roman"/>
          <w:sz w:val="24"/>
          <w:szCs w:val="24"/>
        </w:rPr>
        <w:t xml:space="preserve"> respondent</w:t>
      </w:r>
    </w:p>
    <w:p w14:paraId="609BF440" w14:textId="77777777" w:rsidR="00972E94" w:rsidRDefault="00972E94" w:rsidP="00972E94">
      <w:pPr>
        <w:spacing w:after="0"/>
        <w:jc w:val="both"/>
        <w:rPr>
          <w:rFonts w:ascii="Times New Roman" w:hAnsi="Times New Roman" w:cs="Times New Roman"/>
          <w:sz w:val="24"/>
          <w:szCs w:val="24"/>
        </w:rPr>
      </w:pPr>
      <w:r>
        <w:rPr>
          <w:rFonts w:ascii="Times New Roman" w:hAnsi="Times New Roman" w:cs="Times New Roman"/>
          <w:sz w:val="24"/>
          <w:szCs w:val="24"/>
        </w:rPr>
        <w:t>No appearance for the 2</w:t>
      </w:r>
      <w:r w:rsidRPr="00972E9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59F63083" w14:textId="77777777" w:rsidR="00972E94" w:rsidRDefault="00972E94" w:rsidP="00972E94">
      <w:pPr>
        <w:spacing w:after="0"/>
        <w:jc w:val="both"/>
        <w:rPr>
          <w:rFonts w:ascii="Times New Roman" w:hAnsi="Times New Roman" w:cs="Times New Roman"/>
          <w:sz w:val="24"/>
          <w:szCs w:val="24"/>
        </w:rPr>
      </w:pPr>
    </w:p>
    <w:p w14:paraId="54AFF5B1" w14:textId="77777777" w:rsidR="00972E94" w:rsidRDefault="00972E94" w:rsidP="00972E94">
      <w:pPr>
        <w:spacing w:after="0"/>
        <w:jc w:val="both"/>
        <w:rPr>
          <w:rFonts w:ascii="Times New Roman" w:hAnsi="Times New Roman" w:cs="Times New Roman"/>
          <w:sz w:val="24"/>
          <w:szCs w:val="24"/>
        </w:rPr>
      </w:pPr>
    </w:p>
    <w:p w14:paraId="3A22E955" w14:textId="78D64D87" w:rsidR="00511560" w:rsidRDefault="00972E94" w:rsidP="001F52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w:t>
      </w:r>
      <w:r w:rsidR="003261EC">
        <w:rPr>
          <w:rFonts w:ascii="Times New Roman" w:hAnsi="Times New Roman" w:cs="Times New Roman"/>
          <w:sz w:val="24"/>
          <w:szCs w:val="24"/>
        </w:rPr>
        <w:t>Due to the COVID-19 pandemic this is a matter which I indicated to the parties that I would determine on the papers without hearing oral submissions.</w:t>
      </w:r>
      <w:r w:rsidR="00511560">
        <w:rPr>
          <w:rFonts w:ascii="Times New Roman" w:hAnsi="Times New Roman" w:cs="Times New Roman"/>
          <w:sz w:val="24"/>
          <w:szCs w:val="24"/>
        </w:rPr>
        <w:t xml:space="preserve"> The directions that I gave for the filing of papers including heads of argument were duly complied with. I am indebted to the applicant and the </w:t>
      </w:r>
      <w:r w:rsidR="00D22721">
        <w:rPr>
          <w:rFonts w:ascii="Times New Roman" w:hAnsi="Times New Roman" w:cs="Times New Roman"/>
          <w:sz w:val="24"/>
          <w:szCs w:val="24"/>
        </w:rPr>
        <w:t>first respondent’s counsel</w:t>
      </w:r>
      <w:r w:rsidR="00162986">
        <w:rPr>
          <w:rFonts w:ascii="Times New Roman" w:hAnsi="Times New Roman" w:cs="Times New Roman"/>
          <w:sz w:val="24"/>
          <w:szCs w:val="24"/>
        </w:rPr>
        <w:t xml:space="preserve"> for that. </w:t>
      </w:r>
      <w:r w:rsidR="00511560">
        <w:rPr>
          <w:rFonts w:ascii="Times New Roman" w:hAnsi="Times New Roman" w:cs="Times New Roman"/>
          <w:sz w:val="24"/>
          <w:szCs w:val="24"/>
        </w:rPr>
        <w:t xml:space="preserve"> </w:t>
      </w:r>
      <w:r w:rsidR="00AC1C93">
        <w:rPr>
          <w:rFonts w:ascii="Times New Roman" w:hAnsi="Times New Roman" w:cs="Times New Roman"/>
          <w:sz w:val="24"/>
          <w:szCs w:val="24"/>
        </w:rPr>
        <w:t xml:space="preserve">The second respondent which is the Reserve Bank of Zimbabwe N.O (RBZ) did not respond to </w:t>
      </w:r>
      <w:r w:rsidR="0034637D">
        <w:rPr>
          <w:rFonts w:ascii="Times New Roman" w:hAnsi="Times New Roman" w:cs="Times New Roman"/>
          <w:sz w:val="24"/>
          <w:szCs w:val="24"/>
        </w:rPr>
        <w:t>the application</w:t>
      </w:r>
      <w:r w:rsidR="00AC1C93">
        <w:rPr>
          <w:rFonts w:ascii="Times New Roman" w:hAnsi="Times New Roman" w:cs="Times New Roman"/>
          <w:sz w:val="24"/>
          <w:szCs w:val="24"/>
        </w:rPr>
        <w:t>.</w:t>
      </w:r>
      <w:r w:rsidR="003261EC">
        <w:rPr>
          <w:rFonts w:ascii="Times New Roman" w:hAnsi="Times New Roman" w:cs="Times New Roman"/>
          <w:sz w:val="24"/>
          <w:szCs w:val="24"/>
        </w:rPr>
        <w:t xml:space="preserve"> </w:t>
      </w:r>
    </w:p>
    <w:p w14:paraId="7D717AE9" w14:textId="326A7BFA" w:rsidR="00972E94" w:rsidRDefault="00972E94" w:rsidP="0051156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first respondent has three digital banking platforms namely:</w:t>
      </w:r>
    </w:p>
    <w:p w14:paraId="05854744" w14:textId="08B5A25C" w:rsidR="00972E94" w:rsidRDefault="00972E94" w:rsidP="001F52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Mobile banking platform under USS</w:t>
      </w:r>
      <w:r w:rsidR="00CD3897">
        <w:rPr>
          <w:rFonts w:ascii="Times New Roman" w:hAnsi="Times New Roman" w:cs="Times New Roman"/>
          <w:sz w:val="24"/>
          <w:szCs w:val="24"/>
        </w:rPr>
        <w:t>D</w:t>
      </w:r>
      <w:r>
        <w:rPr>
          <w:rFonts w:ascii="Times New Roman" w:hAnsi="Times New Roman" w:cs="Times New Roman"/>
          <w:sz w:val="24"/>
          <w:szCs w:val="24"/>
        </w:rPr>
        <w:t xml:space="preserve"> quick code *220</w:t>
      </w:r>
      <w:r w:rsidR="001F525E">
        <w:rPr>
          <w:rFonts w:ascii="Times New Roman" w:hAnsi="Times New Roman" w:cs="Times New Roman"/>
          <w:sz w:val="24"/>
          <w:szCs w:val="24"/>
        </w:rPr>
        <w:t>#;</w:t>
      </w:r>
    </w:p>
    <w:p w14:paraId="650BB0AD" w14:textId="64DFEBCF" w:rsidR="001F525E" w:rsidRDefault="00CD3897" w:rsidP="001F52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WhatsApp</w:t>
      </w:r>
      <w:r w:rsidR="001F525E">
        <w:rPr>
          <w:rFonts w:ascii="Times New Roman" w:hAnsi="Times New Roman" w:cs="Times New Roman"/>
          <w:sz w:val="24"/>
          <w:szCs w:val="24"/>
        </w:rPr>
        <w:t xml:space="preserve"> digital banking platform mark</w:t>
      </w:r>
      <w:r>
        <w:rPr>
          <w:rFonts w:ascii="Times New Roman" w:hAnsi="Times New Roman" w:cs="Times New Roman"/>
          <w:sz w:val="24"/>
          <w:szCs w:val="24"/>
        </w:rPr>
        <w:t>et</w:t>
      </w:r>
      <w:r w:rsidR="001F525E">
        <w:rPr>
          <w:rFonts w:ascii="Times New Roman" w:hAnsi="Times New Roman" w:cs="Times New Roman"/>
          <w:sz w:val="24"/>
          <w:szCs w:val="24"/>
        </w:rPr>
        <w:t xml:space="preserve">ed as “Noku” under </w:t>
      </w:r>
      <w:r>
        <w:rPr>
          <w:rFonts w:ascii="Times New Roman" w:hAnsi="Times New Roman" w:cs="Times New Roman"/>
          <w:sz w:val="24"/>
          <w:szCs w:val="24"/>
        </w:rPr>
        <w:t>W</w:t>
      </w:r>
      <w:r w:rsidR="001F525E">
        <w:rPr>
          <w:rFonts w:ascii="Times New Roman" w:hAnsi="Times New Roman" w:cs="Times New Roman"/>
          <w:sz w:val="24"/>
          <w:szCs w:val="24"/>
        </w:rPr>
        <w:t>hatsapp Number +263776670211; and</w:t>
      </w:r>
    </w:p>
    <w:p w14:paraId="0C85C6CD" w14:textId="5763CBEC" w:rsidR="001F525E" w:rsidRDefault="001F525E" w:rsidP="001F52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mobile software application called “Mobile Moola App (</w:t>
      </w:r>
      <w:r w:rsidR="00CD3897">
        <w:rPr>
          <w:rFonts w:ascii="Times New Roman" w:hAnsi="Times New Roman" w:cs="Times New Roman"/>
          <w:sz w:val="24"/>
          <w:szCs w:val="24"/>
        </w:rPr>
        <w:t>c</w:t>
      </w:r>
      <w:r>
        <w:rPr>
          <w:rFonts w:ascii="Times New Roman" w:hAnsi="Times New Roman" w:cs="Times New Roman"/>
          <w:sz w:val="24"/>
          <w:szCs w:val="24"/>
        </w:rPr>
        <w:t>ollectively referred to as “digital banking platforms”)</w:t>
      </w:r>
    </w:p>
    <w:p w14:paraId="032853CF" w14:textId="02987EE9" w:rsidR="004C4084" w:rsidRDefault="004C4084" w:rsidP="004C4084">
      <w:pPr>
        <w:spacing w:after="0" w:line="360" w:lineRule="auto"/>
        <w:ind w:left="360" w:firstLine="360"/>
        <w:jc w:val="both"/>
        <w:rPr>
          <w:rFonts w:ascii="Times New Roman" w:hAnsi="Times New Roman" w:cs="Times New Roman"/>
          <w:sz w:val="24"/>
          <w:szCs w:val="24"/>
        </w:rPr>
      </w:pPr>
      <w:r w:rsidRPr="004C4084">
        <w:rPr>
          <w:rFonts w:ascii="Times New Roman" w:hAnsi="Times New Roman" w:cs="Times New Roman"/>
          <w:sz w:val="24"/>
          <w:szCs w:val="24"/>
        </w:rPr>
        <w:t>This is an urgent chamber application</w:t>
      </w:r>
      <w:r w:rsidR="003F6D50">
        <w:rPr>
          <w:rFonts w:ascii="Times New Roman" w:hAnsi="Times New Roman" w:cs="Times New Roman"/>
          <w:sz w:val="24"/>
          <w:szCs w:val="24"/>
        </w:rPr>
        <w:t xml:space="preserve"> by the applicant</w:t>
      </w:r>
      <w:r w:rsidRPr="004C4084">
        <w:rPr>
          <w:rFonts w:ascii="Times New Roman" w:hAnsi="Times New Roman" w:cs="Times New Roman"/>
          <w:sz w:val="24"/>
          <w:szCs w:val="24"/>
        </w:rPr>
        <w:t xml:space="preserve"> </w:t>
      </w:r>
      <w:r w:rsidR="006D0EFB">
        <w:rPr>
          <w:rFonts w:ascii="Times New Roman" w:hAnsi="Times New Roman" w:cs="Times New Roman"/>
          <w:sz w:val="24"/>
          <w:szCs w:val="24"/>
        </w:rPr>
        <w:t xml:space="preserve">who is a practising legal practitioner </w:t>
      </w:r>
      <w:r w:rsidRPr="004C4084">
        <w:rPr>
          <w:rFonts w:ascii="Times New Roman" w:hAnsi="Times New Roman" w:cs="Times New Roman"/>
          <w:sz w:val="24"/>
          <w:szCs w:val="24"/>
        </w:rPr>
        <w:t>for an interim order suspen</w:t>
      </w:r>
      <w:r w:rsidR="003F6D50">
        <w:rPr>
          <w:rFonts w:ascii="Times New Roman" w:hAnsi="Times New Roman" w:cs="Times New Roman"/>
          <w:sz w:val="24"/>
          <w:szCs w:val="24"/>
        </w:rPr>
        <w:t xml:space="preserve">ding </w:t>
      </w:r>
      <w:r w:rsidRPr="004C4084">
        <w:rPr>
          <w:rFonts w:ascii="Times New Roman" w:hAnsi="Times New Roman" w:cs="Times New Roman"/>
          <w:sz w:val="24"/>
          <w:szCs w:val="24"/>
        </w:rPr>
        <w:t xml:space="preserve">the operation of the three </w:t>
      </w:r>
      <w:bookmarkStart w:id="1" w:name="_Hlk67593518"/>
      <w:r w:rsidRPr="004C4084">
        <w:rPr>
          <w:rFonts w:ascii="Times New Roman" w:hAnsi="Times New Roman" w:cs="Times New Roman"/>
          <w:sz w:val="24"/>
          <w:szCs w:val="24"/>
        </w:rPr>
        <w:t xml:space="preserve">digital banking </w:t>
      </w:r>
      <w:bookmarkEnd w:id="1"/>
      <w:r w:rsidRPr="004C4084">
        <w:rPr>
          <w:rFonts w:ascii="Times New Roman" w:hAnsi="Times New Roman" w:cs="Times New Roman"/>
          <w:sz w:val="24"/>
          <w:szCs w:val="24"/>
        </w:rPr>
        <w:t>platform</w:t>
      </w:r>
      <w:r w:rsidR="00D8291E">
        <w:rPr>
          <w:rFonts w:ascii="Times New Roman" w:hAnsi="Times New Roman" w:cs="Times New Roman"/>
          <w:sz w:val="24"/>
          <w:szCs w:val="24"/>
        </w:rPr>
        <w:t>s</w:t>
      </w:r>
      <w:r w:rsidR="0088187D">
        <w:rPr>
          <w:rFonts w:ascii="Times New Roman" w:hAnsi="Times New Roman" w:cs="Times New Roman"/>
          <w:sz w:val="24"/>
          <w:szCs w:val="24"/>
        </w:rPr>
        <w:t xml:space="preserve">. On the return day the applicant will be seeking among other reliefs, a </w:t>
      </w:r>
      <w:r w:rsidR="0088187D" w:rsidRPr="0088187D">
        <w:rPr>
          <w:rFonts w:ascii="Times New Roman" w:hAnsi="Times New Roman" w:cs="Times New Roman"/>
          <w:i/>
          <w:iCs/>
          <w:sz w:val="24"/>
          <w:szCs w:val="24"/>
        </w:rPr>
        <w:t>declaratur</w:t>
      </w:r>
      <w:r w:rsidR="0088187D">
        <w:rPr>
          <w:rFonts w:ascii="Times New Roman" w:hAnsi="Times New Roman" w:cs="Times New Roman"/>
          <w:sz w:val="24"/>
          <w:szCs w:val="24"/>
        </w:rPr>
        <w:t xml:space="preserve"> </w:t>
      </w:r>
      <w:r>
        <w:rPr>
          <w:rFonts w:ascii="Times New Roman" w:hAnsi="Times New Roman" w:cs="Times New Roman"/>
          <w:sz w:val="24"/>
          <w:szCs w:val="24"/>
        </w:rPr>
        <w:t xml:space="preserve">that these three </w:t>
      </w:r>
      <w:r w:rsidR="0088187D" w:rsidRPr="004C4084">
        <w:rPr>
          <w:rFonts w:ascii="Times New Roman" w:hAnsi="Times New Roman" w:cs="Times New Roman"/>
          <w:sz w:val="24"/>
          <w:szCs w:val="24"/>
        </w:rPr>
        <w:t xml:space="preserve">digital banking </w:t>
      </w:r>
      <w:r>
        <w:rPr>
          <w:rFonts w:ascii="Times New Roman" w:hAnsi="Times New Roman" w:cs="Times New Roman"/>
          <w:sz w:val="24"/>
          <w:szCs w:val="24"/>
        </w:rPr>
        <w:t>platform</w:t>
      </w:r>
      <w:r w:rsidR="00D8291E">
        <w:rPr>
          <w:rFonts w:ascii="Times New Roman" w:hAnsi="Times New Roman" w:cs="Times New Roman"/>
          <w:sz w:val="24"/>
          <w:szCs w:val="24"/>
        </w:rPr>
        <w:t>s are</w:t>
      </w:r>
      <w:r>
        <w:rPr>
          <w:rFonts w:ascii="Times New Roman" w:hAnsi="Times New Roman" w:cs="Times New Roman"/>
          <w:sz w:val="24"/>
          <w:szCs w:val="24"/>
        </w:rPr>
        <w:t xml:space="preserve"> unlawful.</w:t>
      </w:r>
    </w:p>
    <w:p w14:paraId="33AA45F6" w14:textId="731F5DF0" w:rsidR="00EC7AD1" w:rsidRDefault="004C4084" w:rsidP="004C4084">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the applicant’s </w:t>
      </w:r>
      <w:r w:rsidR="008B6FAA">
        <w:rPr>
          <w:rFonts w:ascii="Times New Roman" w:hAnsi="Times New Roman" w:cs="Times New Roman"/>
          <w:sz w:val="24"/>
          <w:szCs w:val="24"/>
        </w:rPr>
        <w:t>averment</w:t>
      </w:r>
      <w:r>
        <w:rPr>
          <w:rFonts w:ascii="Times New Roman" w:hAnsi="Times New Roman" w:cs="Times New Roman"/>
          <w:sz w:val="24"/>
          <w:szCs w:val="24"/>
        </w:rPr>
        <w:t xml:space="preserve"> that the digital banking platforms are operating in contravention of ss 15, 16 and 17 of </w:t>
      </w:r>
      <w:bookmarkStart w:id="2" w:name="_Hlk67594210"/>
      <w:r>
        <w:rPr>
          <w:rFonts w:ascii="Times New Roman" w:hAnsi="Times New Roman" w:cs="Times New Roman"/>
          <w:sz w:val="24"/>
          <w:szCs w:val="24"/>
        </w:rPr>
        <w:t xml:space="preserve">the Money Laundering and Proceeds of Crime Act </w:t>
      </w:r>
      <w:bookmarkEnd w:id="2"/>
      <w:r>
        <w:rPr>
          <w:rFonts w:ascii="Times New Roman" w:hAnsi="Times New Roman" w:cs="Times New Roman"/>
          <w:sz w:val="24"/>
          <w:szCs w:val="24"/>
        </w:rPr>
        <w:t>[</w:t>
      </w:r>
      <w:r w:rsidRPr="004C4084">
        <w:rPr>
          <w:rFonts w:ascii="Times New Roman" w:hAnsi="Times New Roman" w:cs="Times New Roman"/>
          <w:i/>
          <w:sz w:val="24"/>
          <w:szCs w:val="24"/>
        </w:rPr>
        <w:t>Chapter 9:24</w:t>
      </w:r>
      <w:r>
        <w:rPr>
          <w:rFonts w:ascii="Times New Roman" w:hAnsi="Times New Roman" w:cs="Times New Roman"/>
          <w:sz w:val="24"/>
          <w:szCs w:val="24"/>
        </w:rPr>
        <w:t>]</w:t>
      </w:r>
      <w:r w:rsidR="003971F3">
        <w:rPr>
          <w:rFonts w:ascii="Times New Roman" w:hAnsi="Times New Roman" w:cs="Times New Roman"/>
          <w:sz w:val="24"/>
          <w:szCs w:val="24"/>
        </w:rPr>
        <w:t>.</w:t>
      </w:r>
      <w:r>
        <w:rPr>
          <w:rFonts w:ascii="Times New Roman" w:hAnsi="Times New Roman" w:cs="Times New Roman"/>
          <w:sz w:val="24"/>
          <w:szCs w:val="24"/>
        </w:rPr>
        <w:t xml:space="preserve"> It is the applicant’s contention that these digital platforms are operating with little regard to </w:t>
      </w:r>
      <w:r w:rsidR="00D8291E">
        <w:rPr>
          <w:rFonts w:ascii="Times New Roman" w:hAnsi="Times New Roman" w:cs="Times New Roman"/>
          <w:sz w:val="24"/>
          <w:szCs w:val="24"/>
        </w:rPr>
        <w:t>K</w:t>
      </w:r>
      <w:r>
        <w:rPr>
          <w:rFonts w:ascii="Times New Roman" w:hAnsi="Times New Roman" w:cs="Times New Roman"/>
          <w:sz w:val="24"/>
          <w:szCs w:val="24"/>
        </w:rPr>
        <w:t xml:space="preserve">now </w:t>
      </w:r>
      <w:r w:rsidR="004B26DB">
        <w:rPr>
          <w:rFonts w:ascii="Times New Roman" w:hAnsi="Times New Roman" w:cs="Times New Roman"/>
          <w:sz w:val="24"/>
          <w:szCs w:val="24"/>
        </w:rPr>
        <w:t>-</w:t>
      </w:r>
      <w:r w:rsidR="00D8291E">
        <w:rPr>
          <w:rFonts w:ascii="Times New Roman" w:hAnsi="Times New Roman" w:cs="Times New Roman"/>
          <w:sz w:val="24"/>
          <w:szCs w:val="24"/>
        </w:rPr>
        <w:t>Y</w:t>
      </w:r>
      <w:r>
        <w:rPr>
          <w:rFonts w:ascii="Times New Roman" w:hAnsi="Times New Roman" w:cs="Times New Roman"/>
          <w:sz w:val="24"/>
          <w:szCs w:val="24"/>
        </w:rPr>
        <w:t>our</w:t>
      </w:r>
      <w:r w:rsidR="004B26DB">
        <w:rPr>
          <w:rFonts w:ascii="Times New Roman" w:hAnsi="Times New Roman" w:cs="Times New Roman"/>
          <w:sz w:val="24"/>
          <w:szCs w:val="24"/>
        </w:rPr>
        <w:t>-</w:t>
      </w:r>
      <w:r>
        <w:rPr>
          <w:rFonts w:ascii="Times New Roman" w:hAnsi="Times New Roman" w:cs="Times New Roman"/>
          <w:sz w:val="24"/>
          <w:szCs w:val="24"/>
        </w:rPr>
        <w:t xml:space="preserve"> </w:t>
      </w:r>
      <w:r w:rsidR="00D8291E">
        <w:rPr>
          <w:rFonts w:ascii="Times New Roman" w:hAnsi="Times New Roman" w:cs="Times New Roman"/>
          <w:sz w:val="24"/>
          <w:szCs w:val="24"/>
        </w:rPr>
        <w:t>Client</w:t>
      </w:r>
      <w:r>
        <w:rPr>
          <w:rFonts w:ascii="Times New Roman" w:hAnsi="Times New Roman" w:cs="Times New Roman"/>
          <w:sz w:val="24"/>
          <w:szCs w:val="24"/>
        </w:rPr>
        <w:t xml:space="preserve"> (KYC) </w:t>
      </w:r>
      <w:bookmarkStart w:id="3" w:name="_Hlk67593797"/>
      <w:r>
        <w:rPr>
          <w:rFonts w:ascii="Times New Roman" w:hAnsi="Times New Roman" w:cs="Times New Roman"/>
          <w:sz w:val="24"/>
          <w:szCs w:val="24"/>
        </w:rPr>
        <w:t>verification process</w:t>
      </w:r>
      <w:bookmarkEnd w:id="3"/>
      <w:r>
        <w:rPr>
          <w:rFonts w:ascii="Times New Roman" w:hAnsi="Times New Roman" w:cs="Times New Roman"/>
          <w:sz w:val="24"/>
          <w:szCs w:val="24"/>
        </w:rPr>
        <w:t xml:space="preserve"> </w:t>
      </w:r>
      <w:r w:rsidR="008B6FAA">
        <w:rPr>
          <w:rFonts w:ascii="Times New Roman" w:hAnsi="Times New Roman" w:cs="Times New Roman"/>
          <w:sz w:val="24"/>
          <w:szCs w:val="24"/>
        </w:rPr>
        <w:t xml:space="preserve">provided for in the Money Laundering and Proceeds of Crime Act </w:t>
      </w:r>
      <w:r w:rsidR="003971F3">
        <w:rPr>
          <w:rFonts w:ascii="Times New Roman" w:hAnsi="Times New Roman" w:cs="Times New Roman"/>
          <w:sz w:val="24"/>
          <w:szCs w:val="24"/>
        </w:rPr>
        <w:t>in so far as they relate to the opening of bank accounts. Their verification process</w:t>
      </w:r>
      <w:r w:rsidR="003971F3" w:rsidRPr="004C4084">
        <w:rPr>
          <w:rFonts w:ascii="Times New Roman" w:hAnsi="Times New Roman" w:cs="Times New Roman"/>
          <w:i/>
          <w:sz w:val="24"/>
          <w:szCs w:val="24"/>
        </w:rPr>
        <w:t xml:space="preserve"> </w:t>
      </w:r>
      <w:r w:rsidR="003971F3" w:rsidRPr="003971F3">
        <w:rPr>
          <w:rFonts w:ascii="Times New Roman" w:hAnsi="Times New Roman" w:cs="Times New Roman"/>
          <w:iCs/>
          <w:sz w:val="24"/>
          <w:szCs w:val="24"/>
        </w:rPr>
        <w:t>does not comply</w:t>
      </w:r>
      <w:r w:rsidR="003971F3">
        <w:rPr>
          <w:rFonts w:ascii="Times New Roman" w:hAnsi="Times New Roman" w:cs="Times New Roman"/>
          <w:sz w:val="24"/>
          <w:szCs w:val="24"/>
        </w:rPr>
        <w:t xml:space="preserve"> with the established Know-Your-Client (KYC) protocols. As a result, this is </w:t>
      </w:r>
      <w:r>
        <w:rPr>
          <w:rFonts w:ascii="Times New Roman" w:hAnsi="Times New Roman" w:cs="Times New Roman"/>
          <w:sz w:val="24"/>
          <w:szCs w:val="24"/>
        </w:rPr>
        <w:t xml:space="preserve">perpetuating criminal conduct.  </w:t>
      </w:r>
    </w:p>
    <w:p w14:paraId="07DC5EB5" w14:textId="77777777" w:rsidR="005F6552" w:rsidRDefault="004B26DB" w:rsidP="005F6552">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Apparently,</w:t>
      </w:r>
      <w:r w:rsidR="004C4084">
        <w:rPr>
          <w:rFonts w:ascii="Times New Roman" w:hAnsi="Times New Roman" w:cs="Times New Roman"/>
          <w:sz w:val="24"/>
          <w:szCs w:val="24"/>
        </w:rPr>
        <w:t xml:space="preserve"> these </w:t>
      </w:r>
      <w:r w:rsidR="008B6FAA">
        <w:rPr>
          <w:rFonts w:ascii="Times New Roman" w:hAnsi="Times New Roman" w:cs="Times New Roman"/>
          <w:sz w:val="24"/>
          <w:szCs w:val="24"/>
        </w:rPr>
        <w:t xml:space="preserve">three </w:t>
      </w:r>
      <w:r w:rsidR="004C4084">
        <w:rPr>
          <w:rFonts w:ascii="Times New Roman" w:hAnsi="Times New Roman" w:cs="Times New Roman"/>
          <w:sz w:val="24"/>
          <w:szCs w:val="24"/>
        </w:rPr>
        <w:t xml:space="preserve">digital banking platforms </w:t>
      </w:r>
      <w:r w:rsidR="006D1963">
        <w:rPr>
          <w:rFonts w:ascii="Times New Roman" w:hAnsi="Times New Roman" w:cs="Times New Roman"/>
          <w:sz w:val="24"/>
          <w:szCs w:val="24"/>
        </w:rPr>
        <w:t>allow</w:t>
      </w:r>
      <w:r w:rsidR="004C4084">
        <w:rPr>
          <w:rFonts w:ascii="Times New Roman" w:hAnsi="Times New Roman" w:cs="Times New Roman"/>
          <w:sz w:val="24"/>
          <w:szCs w:val="24"/>
        </w:rPr>
        <w:t xml:space="preserve"> </w:t>
      </w:r>
      <w:r w:rsidR="008B6FAA">
        <w:rPr>
          <w:rFonts w:ascii="Times New Roman" w:hAnsi="Times New Roman" w:cs="Times New Roman"/>
          <w:sz w:val="24"/>
          <w:szCs w:val="24"/>
        </w:rPr>
        <w:t xml:space="preserve">the first respondent’s </w:t>
      </w:r>
      <w:r w:rsidR="004C4084">
        <w:rPr>
          <w:rFonts w:ascii="Times New Roman" w:hAnsi="Times New Roman" w:cs="Times New Roman"/>
          <w:sz w:val="24"/>
          <w:szCs w:val="24"/>
        </w:rPr>
        <w:t>clients to easil</w:t>
      </w:r>
      <w:r w:rsidR="006D1963">
        <w:rPr>
          <w:rFonts w:ascii="Times New Roman" w:hAnsi="Times New Roman" w:cs="Times New Roman"/>
          <w:sz w:val="24"/>
          <w:szCs w:val="24"/>
        </w:rPr>
        <w:t>y access their bank accounts, buy airtime, check bank balance</w:t>
      </w:r>
      <w:r w:rsidR="004D0CF8">
        <w:rPr>
          <w:rFonts w:ascii="Times New Roman" w:hAnsi="Times New Roman" w:cs="Times New Roman"/>
          <w:sz w:val="24"/>
          <w:szCs w:val="24"/>
        </w:rPr>
        <w:t>s</w:t>
      </w:r>
      <w:r w:rsidR="006D1963">
        <w:rPr>
          <w:rFonts w:ascii="Times New Roman" w:hAnsi="Times New Roman" w:cs="Times New Roman"/>
          <w:sz w:val="24"/>
          <w:szCs w:val="24"/>
        </w:rPr>
        <w:t xml:space="preserve">, buy electricity tokens, pay various bills, transfer money to other people from the comfort of their homes, </w:t>
      </w:r>
      <w:r w:rsidR="008B6FAA">
        <w:rPr>
          <w:rFonts w:ascii="Times New Roman" w:hAnsi="Times New Roman" w:cs="Times New Roman"/>
          <w:sz w:val="24"/>
          <w:szCs w:val="24"/>
        </w:rPr>
        <w:t xml:space="preserve">wherever this could be, even from </w:t>
      </w:r>
      <w:r w:rsidR="006D1963">
        <w:rPr>
          <w:rFonts w:ascii="Times New Roman" w:hAnsi="Times New Roman" w:cs="Times New Roman"/>
          <w:sz w:val="24"/>
          <w:szCs w:val="24"/>
        </w:rPr>
        <w:t xml:space="preserve">the remotest parts of </w:t>
      </w:r>
      <w:r w:rsidR="00B248E6">
        <w:rPr>
          <w:rFonts w:ascii="Times New Roman" w:hAnsi="Times New Roman" w:cs="Times New Roman"/>
          <w:sz w:val="24"/>
          <w:szCs w:val="24"/>
        </w:rPr>
        <w:t>the country,</w:t>
      </w:r>
      <w:r w:rsidR="006D1963">
        <w:rPr>
          <w:rFonts w:ascii="Times New Roman" w:hAnsi="Times New Roman" w:cs="Times New Roman"/>
          <w:sz w:val="24"/>
          <w:szCs w:val="24"/>
        </w:rPr>
        <w:t xml:space="preserve"> without </w:t>
      </w:r>
      <w:r w:rsidR="00B248E6">
        <w:rPr>
          <w:rFonts w:ascii="Times New Roman" w:hAnsi="Times New Roman" w:cs="Times New Roman"/>
          <w:sz w:val="24"/>
          <w:szCs w:val="24"/>
        </w:rPr>
        <w:t xml:space="preserve">physically </w:t>
      </w:r>
      <w:r w:rsidR="006D1963">
        <w:rPr>
          <w:rFonts w:ascii="Times New Roman" w:hAnsi="Times New Roman" w:cs="Times New Roman"/>
          <w:sz w:val="24"/>
          <w:szCs w:val="24"/>
        </w:rPr>
        <w:t>visiting the bank.</w:t>
      </w:r>
      <w:r w:rsidR="008B6FAA" w:rsidRPr="008B6FAA">
        <w:rPr>
          <w:rFonts w:ascii="Times New Roman" w:hAnsi="Times New Roman" w:cs="Times New Roman"/>
          <w:sz w:val="24"/>
          <w:szCs w:val="24"/>
        </w:rPr>
        <w:t xml:space="preserve"> </w:t>
      </w:r>
      <w:r w:rsidR="00B248E6">
        <w:rPr>
          <w:rFonts w:ascii="Times New Roman" w:hAnsi="Times New Roman" w:cs="Times New Roman"/>
          <w:sz w:val="24"/>
          <w:szCs w:val="24"/>
        </w:rPr>
        <w:t xml:space="preserve">The digital banking platforms also </w:t>
      </w:r>
      <w:r w:rsidR="008B6FAA">
        <w:rPr>
          <w:rFonts w:ascii="Times New Roman" w:hAnsi="Times New Roman" w:cs="Times New Roman"/>
          <w:sz w:val="24"/>
          <w:szCs w:val="24"/>
        </w:rPr>
        <w:t xml:space="preserve">allow customers to open bank accounts without the need of physically attending to a branch of the first respondent. </w:t>
      </w:r>
    </w:p>
    <w:p w14:paraId="3D3BF48A" w14:textId="402133C4" w:rsidR="000928D7" w:rsidRDefault="006D1963" w:rsidP="005F6552">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It is not dispute</w:t>
      </w:r>
      <w:r w:rsidR="00A061DE">
        <w:rPr>
          <w:rFonts w:ascii="Times New Roman" w:hAnsi="Times New Roman" w:cs="Times New Roman"/>
          <w:sz w:val="24"/>
          <w:szCs w:val="24"/>
        </w:rPr>
        <w:t>d</w:t>
      </w:r>
      <w:r>
        <w:rPr>
          <w:rFonts w:ascii="Times New Roman" w:hAnsi="Times New Roman" w:cs="Times New Roman"/>
          <w:sz w:val="24"/>
          <w:szCs w:val="24"/>
        </w:rPr>
        <w:t xml:space="preserve"> that on 6 January 2021</w:t>
      </w:r>
      <w:r w:rsidR="00A061DE">
        <w:rPr>
          <w:rFonts w:ascii="Times New Roman" w:hAnsi="Times New Roman" w:cs="Times New Roman"/>
          <w:sz w:val="24"/>
          <w:szCs w:val="24"/>
        </w:rPr>
        <w:t>,</w:t>
      </w:r>
      <w:r>
        <w:rPr>
          <w:rFonts w:ascii="Times New Roman" w:hAnsi="Times New Roman" w:cs="Times New Roman"/>
          <w:sz w:val="24"/>
          <w:szCs w:val="24"/>
        </w:rPr>
        <w:t xml:space="preserve"> a person who is to the applicant </w:t>
      </w:r>
      <w:r w:rsidR="00A061DE">
        <w:rPr>
          <w:rFonts w:ascii="Times New Roman" w:hAnsi="Times New Roman" w:cs="Times New Roman"/>
          <w:sz w:val="24"/>
          <w:szCs w:val="24"/>
        </w:rPr>
        <w:t>unknown, using one of the first respondent’s digital banking platforms</w:t>
      </w:r>
      <w:r w:rsidR="00FC6991">
        <w:rPr>
          <w:rFonts w:ascii="Times New Roman" w:hAnsi="Times New Roman" w:cs="Times New Roman"/>
          <w:sz w:val="24"/>
          <w:szCs w:val="24"/>
        </w:rPr>
        <w:t>,</w:t>
      </w:r>
      <w:r w:rsidR="00A061DE">
        <w:rPr>
          <w:rFonts w:ascii="Times New Roman" w:hAnsi="Times New Roman" w:cs="Times New Roman"/>
          <w:sz w:val="24"/>
          <w:szCs w:val="24"/>
        </w:rPr>
        <w:t xml:space="preserve"> </w:t>
      </w:r>
      <w:r>
        <w:rPr>
          <w:rFonts w:ascii="Times New Roman" w:hAnsi="Times New Roman" w:cs="Times New Roman"/>
          <w:sz w:val="24"/>
          <w:szCs w:val="24"/>
        </w:rPr>
        <w:t>successfully opened a bank account</w:t>
      </w:r>
      <w:r w:rsidR="00250FA3" w:rsidRPr="00250FA3">
        <w:rPr>
          <w:rFonts w:ascii="Times New Roman" w:hAnsi="Times New Roman" w:cs="Times New Roman"/>
          <w:sz w:val="24"/>
          <w:szCs w:val="24"/>
        </w:rPr>
        <w:t xml:space="preserve"> </w:t>
      </w:r>
      <w:r w:rsidR="00250FA3">
        <w:rPr>
          <w:rFonts w:ascii="Times New Roman" w:hAnsi="Times New Roman" w:cs="Times New Roman"/>
          <w:sz w:val="24"/>
          <w:szCs w:val="24"/>
        </w:rPr>
        <w:t xml:space="preserve">number 6017042200218469 </w:t>
      </w:r>
      <w:r>
        <w:rPr>
          <w:rFonts w:ascii="Times New Roman" w:hAnsi="Times New Roman" w:cs="Times New Roman"/>
          <w:sz w:val="24"/>
          <w:szCs w:val="24"/>
        </w:rPr>
        <w:t>with the first respondent in the name of the applicant</w:t>
      </w:r>
      <w:r w:rsidR="004565ED">
        <w:rPr>
          <w:rFonts w:ascii="Times New Roman" w:hAnsi="Times New Roman" w:cs="Times New Roman"/>
          <w:sz w:val="24"/>
          <w:szCs w:val="24"/>
        </w:rPr>
        <w:t>.</w:t>
      </w:r>
      <w:r w:rsidR="00E010DF">
        <w:rPr>
          <w:rFonts w:ascii="Times New Roman" w:hAnsi="Times New Roman" w:cs="Times New Roman"/>
          <w:sz w:val="24"/>
          <w:szCs w:val="24"/>
        </w:rPr>
        <w:t xml:space="preserve"> The opening of the account was done fraudulently without the knowledge and consent of the applicant.</w:t>
      </w:r>
      <w:r w:rsidR="004565ED">
        <w:rPr>
          <w:rFonts w:ascii="Times New Roman" w:hAnsi="Times New Roman" w:cs="Times New Roman"/>
          <w:sz w:val="24"/>
          <w:szCs w:val="24"/>
        </w:rPr>
        <w:t xml:space="preserve"> Th</w:t>
      </w:r>
      <w:r w:rsidR="00E010DF">
        <w:rPr>
          <w:rFonts w:ascii="Times New Roman" w:hAnsi="Times New Roman" w:cs="Times New Roman"/>
          <w:sz w:val="24"/>
          <w:szCs w:val="24"/>
        </w:rPr>
        <w:t xml:space="preserve">e imposter </w:t>
      </w:r>
      <w:r w:rsidR="004565ED">
        <w:rPr>
          <w:rFonts w:ascii="Times New Roman" w:hAnsi="Times New Roman" w:cs="Times New Roman"/>
          <w:sz w:val="24"/>
          <w:szCs w:val="24"/>
        </w:rPr>
        <w:t>started duping unsuspecting members of the public of their money through some rent to buy car scheme as he or she masqueraded as the applicant.</w:t>
      </w:r>
      <w:r w:rsidR="004D0CF8">
        <w:rPr>
          <w:rFonts w:ascii="Times New Roman" w:hAnsi="Times New Roman" w:cs="Times New Roman"/>
          <w:sz w:val="24"/>
          <w:szCs w:val="24"/>
        </w:rPr>
        <w:t xml:space="preserve"> People were made to deposit money into this account. </w:t>
      </w:r>
      <w:r w:rsidR="004565ED">
        <w:rPr>
          <w:rFonts w:ascii="Times New Roman" w:hAnsi="Times New Roman" w:cs="Times New Roman"/>
          <w:sz w:val="24"/>
          <w:szCs w:val="24"/>
        </w:rPr>
        <w:t xml:space="preserve"> This came to the attention of the applicant on 31 January 2021 when a Facebook use</w:t>
      </w:r>
      <w:r w:rsidR="004D0CF8">
        <w:rPr>
          <w:rFonts w:ascii="Times New Roman" w:hAnsi="Times New Roman" w:cs="Times New Roman"/>
          <w:sz w:val="24"/>
          <w:szCs w:val="24"/>
        </w:rPr>
        <w:t>r</w:t>
      </w:r>
      <w:r w:rsidR="004565ED">
        <w:rPr>
          <w:rFonts w:ascii="Times New Roman" w:hAnsi="Times New Roman" w:cs="Times New Roman"/>
          <w:sz w:val="24"/>
          <w:szCs w:val="24"/>
        </w:rPr>
        <w:t xml:space="preserve"> by the name </w:t>
      </w:r>
      <w:r w:rsidR="004D0CF8">
        <w:rPr>
          <w:rFonts w:ascii="Times New Roman" w:hAnsi="Times New Roman" w:cs="Times New Roman"/>
          <w:sz w:val="24"/>
          <w:szCs w:val="24"/>
        </w:rPr>
        <w:t xml:space="preserve">of </w:t>
      </w:r>
      <w:r w:rsidR="004565ED">
        <w:rPr>
          <w:rFonts w:ascii="Times New Roman" w:hAnsi="Times New Roman" w:cs="Times New Roman"/>
          <w:sz w:val="24"/>
          <w:szCs w:val="24"/>
        </w:rPr>
        <w:t>Sama</w:t>
      </w:r>
      <w:r w:rsidR="004D0CF8">
        <w:rPr>
          <w:rFonts w:ascii="Times New Roman" w:hAnsi="Times New Roman" w:cs="Times New Roman"/>
          <w:sz w:val="24"/>
          <w:szCs w:val="24"/>
        </w:rPr>
        <w:t>n</w:t>
      </w:r>
      <w:r w:rsidR="004565ED">
        <w:rPr>
          <w:rFonts w:ascii="Times New Roman" w:hAnsi="Times New Roman" w:cs="Times New Roman"/>
          <w:sz w:val="24"/>
          <w:szCs w:val="24"/>
        </w:rPr>
        <w:t xml:space="preserve">tha Ndaba posted on the applicant’s Facebook page </w:t>
      </w:r>
      <w:r w:rsidR="006F5E46">
        <w:rPr>
          <w:rFonts w:ascii="Times New Roman" w:hAnsi="Times New Roman" w:cs="Times New Roman"/>
          <w:sz w:val="24"/>
          <w:szCs w:val="24"/>
        </w:rPr>
        <w:t>demanding</w:t>
      </w:r>
      <w:r w:rsidR="004565ED">
        <w:rPr>
          <w:rFonts w:ascii="Times New Roman" w:hAnsi="Times New Roman" w:cs="Times New Roman"/>
          <w:sz w:val="24"/>
          <w:szCs w:val="24"/>
        </w:rPr>
        <w:t xml:space="preserve"> that the applicant </w:t>
      </w:r>
      <w:r w:rsidR="009C6535">
        <w:rPr>
          <w:rFonts w:ascii="Times New Roman" w:hAnsi="Times New Roman" w:cs="Times New Roman"/>
          <w:sz w:val="24"/>
          <w:szCs w:val="24"/>
        </w:rPr>
        <w:t>pay</w:t>
      </w:r>
      <w:r w:rsidR="006F5E46">
        <w:rPr>
          <w:rFonts w:ascii="Times New Roman" w:hAnsi="Times New Roman" w:cs="Times New Roman"/>
          <w:sz w:val="24"/>
          <w:szCs w:val="24"/>
        </w:rPr>
        <w:t>s</w:t>
      </w:r>
      <w:r w:rsidR="009C6535">
        <w:rPr>
          <w:rFonts w:ascii="Times New Roman" w:hAnsi="Times New Roman" w:cs="Times New Roman"/>
          <w:sz w:val="24"/>
          <w:szCs w:val="24"/>
        </w:rPr>
        <w:t xml:space="preserve"> her back the money that he </w:t>
      </w:r>
      <w:r w:rsidR="004565ED">
        <w:rPr>
          <w:rFonts w:ascii="Times New Roman" w:hAnsi="Times New Roman" w:cs="Times New Roman"/>
          <w:sz w:val="24"/>
          <w:szCs w:val="24"/>
        </w:rPr>
        <w:t>had swindled</w:t>
      </w:r>
      <w:r w:rsidR="00882E7E">
        <w:rPr>
          <w:rFonts w:ascii="Times New Roman" w:hAnsi="Times New Roman" w:cs="Times New Roman"/>
          <w:sz w:val="24"/>
          <w:szCs w:val="24"/>
        </w:rPr>
        <w:t xml:space="preserve"> from her. Upon engaging her privately</w:t>
      </w:r>
      <w:r w:rsidR="006F5E46">
        <w:rPr>
          <w:rFonts w:ascii="Times New Roman" w:hAnsi="Times New Roman" w:cs="Times New Roman"/>
          <w:sz w:val="24"/>
          <w:szCs w:val="24"/>
        </w:rPr>
        <w:t>,</w:t>
      </w:r>
      <w:r w:rsidR="00882E7E">
        <w:rPr>
          <w:rFonts w:ascii="Times New Roman" w:hAnsi="Times New Roman" w:cs="Times New Roman"/>
          <w:sz w:val="24"/>
          <w:szCs w:val="24"/>
        </w:rPr>
        <w:t xml:space="preserve"> that is when the applicant discovered that some person </w:t>
      </w:r>
      <w:r w:rsidR="009C6535">
        <w:rPr>
          <w:rFonts w:ascii="Times New Roman" w:hAnsi="Times New Roman" w:cs="Times New Roman"/>
          <w:sz w:val="24"/>
          <w:szCs w:val="24"/>
        </w:rPr>
        <w:t xml:space="preserve">unknown to him </w:t>
      </w:r>
      <w:r w:rsidR="00882E7E">
        <w:rPr>
          <w:rFonts w:ascii="Times New Roman" w:hAnsi="Times New Roman" w:cs="Times New Roman"/>
          <w:sz w:val="24"/>
          <w:szCs w:val="24"/>
        </w:rPr>
        <w:t xml:space="preserve">had opened a bank account with the first respondent in </w:t>
      </w:r>
      <w:r w:rsidR="009C6535">
        <w:rPr>
          <w:rFonts w:ascii="Times New Roman" w:hAnsi="Times New Roman" w:cs="Times New Roman"/>
          <w:sz w:val="24"/>
          <w:szCs w:val="24"/>
        </w:rPr>
        <w:t>his name</w:t>
      </w:r>
      <w:r w:rsidR="00882E7E">
        <w:rPr>
          <w:rFonts w:ascii="Times New Roman" w:hAnsi="Times New Roman" w:cs="Times New Roman"/>
          <w:sz w:val="24"/>
          <w:szCs w:val="24"/>
        </w:rPr>
        <w:t>. That person was pretending to be the applicant. He was advertising the sale of cars on a rent to buy arrangement and was l</w:t>
      </w:r>
      <w:r w:rsidR="003C6B33">
        <w:rPr>
          <w:rFonts w:ascii="Times New Roman" w:hAnsi="Times New Roman" w:cs="Times New Roman"/>
          <w:sz w:val="24"/>
          <w:szCs w:val="24"/>
        </w:rPr>
        <w:t>ur</w:t>
      </w:r>
      <w:r w:rsidR="00882E7E">
        <w:rPr>
          <w:rFonts w:ascii="Times New Roman" w:hAnsi="Times New Roman" w:cs="Times New Roman"/>
          <w:sz w:val="24"/>
          <w:szCs w:val="24"/>
        </w:rPr>
        <w:t xml:space="preserve">ing victims to part with their money </w:t>
      </w:r>
      <w:r w:rsidR="003C6B33">
        <w:rPr>
          <w:rFonts w:ascii="Times New Roman" w:hAnsi="Times New Roman" w:cs="Times New Roman"/>
          <w:sz w:val="24"/>
          <w:szCs w:val="24"/>
        </w:rPr>
        <w:t>under</w:t>
      </w:r>
      <w:r w:rsidR="00882E7E">
        <w:rPr>
          <w:rFonts w:ascii="Times New Roman" w:hAnsi="Times New Roman" w:cs="Times New Roman"/>
          <w:sz w:val="24"/>
          <w:szCs w:val="24"/>
        </w:rPr>
        <w:t xml:space="preserve"> the belief that they were dealing with a legal practitioner. </w:t>
      </w:r>
      <w:r w:rsidR="004B5F8A">
        <w:rPr>
          <w:rFonts w:ascii="Times New Roman" w:hAnsi="Times New Roman" w:cs="Times New Roman"/>
          <w:sz w:val="24"/>
          <w:szCs w:val="24"/>
        </w:rPr>
        <w:t>The applicant averred that he</w:t>
      </w:r>
      <w:r w:rsidR="00882E7E">
        <w:rPr>
          <w:rFonts w:ascii="Times New Roman" w:hAnsi="Times New Roman" w:cs="Times New Roman"/>
          <w:sz w:val="24"/>
          <w:szCs w:val="24"/>
        </w:rPr>
        <w:t xml:space="preserve"> </w:t>
      </w:r>
      <w:r w:rsidR="006F5E46">
        <w:rPr>
          <w:rFonts w:ascii="Times New Roman" w:hAnsi="Times New Roman" w:cs="Times New Roman"/>
          <w:sz w:val="24"/>
          <w:szCs w:val="24"/>
        </w:rPr>
        <w:t xml:space="preserve">then </w:t>
      </w:r>
      <w:r w:rsidR="00882E7E">
        <w:rPr>
          <w:rFonts w:ascii="Times New Roman" w:hAnsi="Times New Roman" w:cs="Times New Roman"/>
          <w:sz w:val="24"/>
          <w:szCs w:val="24"/>
        </w:rPr>
        <w:t>posted a</w:t>
      </w:r>
      <w:r w:rsidR="004B5F8A">
        <w:rPr>
          <w:rFonts w:ascii="Times New Roman" w:hAnsi="Times New Roman" w:cs="Times New Roman"/>
          <w:sz w:val="24"/>
          <w:szCs w:val="24"/>
        </w:rPr>
        <w:t xml:space="preserve">n </w:t>
      </w:r>
      <w:r w:rsidR="00882E7E">
        <w:rPr>
          <w:rFonts w:ascii="Times New Roman" w:hAnsi="Times New Roman" w:cs="Times New Roman"/>
          <w:sz w:val="24"/>
          <w:szCs w:val="24"/>
        </w:rPr>
        <w:t>announcement on his Facebook page to alert the public about the scam</w:t>
      </w:r>
      <w:r w:rsidR="00C51C74">
        <w:rPr>
          <w:rFonts w:ascii="Times New Roman" w:hAnsi="Times New Roman" w:cs="Times New Roman"/>
          <w:sz w:val="24"/>
          <w:szCs w:val="24"/>
        </w:rPr>
        <w:t>. Upon doing so</w:t>
      </w:r>
      <w:r w:rsidR="000928D7">
        <w:rPr>
          <w:rFonts w:ascii="Times New Roman" w:hAnsi="Times New Roman" w:cs="Times New Roman"/>
          <w:sz w:val="24"/>
          <w:szCs w:val="24"/>
        </w:rPr>
        <w:t>,</w:t>
      </w:r>
      <w:r w:rsidR="00882E7E">
        <w:rPr>
          <w:rFonts w:ascii="Times New Roman" w:hAnsi="Times New Roman" w:cs="Times New Roman"/>
          <w:sz w:val="24"/>
          <w:szCs w:val="24"/>
        </w:rPr>
        <w:t xml:space="preserve"> he learnt that there were scores of victims of this scam and that the </w:t>
      </w:r>
      <w:r w:rsidR="00C8474E">
        <w:rPr>
          <w:rFonts w:ascii="Times New Roman" w:hAnsi="Times New Roman" w:cs="Times New Roman"/>
          <w:sz w:val="24"/>
          <w:szCs w:val="24"/>
        </w:rPr>
        <w:t xml:space="preserve">imposter </w:t>
      </w:r>
      <w:r w:rsidR="00882E7E">
        <w:rPr>
          <w:rFonts w:ascii="Times New Roman" w:hAnsi="Times New Roman" w:cs="Times New Roman"/>
          <w:sz w:val="24"/>
          <w:szCs w:val="24"/>
        </w:rPr>
        <w:t>had</w:t>
      </w:r>
      <w:r w:rsidR="004B5F8A">
        <w:rPr>
          <w:rFonts w:ascii="Times New Roman" w:hAnsi="Times New Roman" w:cs="Times New Roman"/>
          <w:sz w:val="24"/>
          <w:szCs w:val="24"/>
        </w:rPr>
        <w:t xml:space="preserve"> even</w:t>
      </w:r>
      <w:r w:rsidR="00882E7E">
        <w:rPr>
          <w:rFonts w:ascii="Times New Roman" w:hAnsi="Times New Roman" w:cs="Times New Roman"/>
          <w:sz w:val="24"/>
          <w:szCs w:val="24"/>
        </w:rPr>
        <w:t xml:space="preserve"> managed to open a</w:t>
      </w:r>
      <w:r w:rsidR="004B5F8A">
        <w:rPr>
          <w:rFonts w:ascii="Times New Roman" w:hAnsi="Times New Roman" w:cs="Times New Roman"/>
          <w:sz w:val="24"/>
          <w:szCs w:val="24"/>
        </w:rPr>
        <w:t>n</w:t>
      </w:r>
      <w:r w:rsidR="00882E7E">
        <w:rPr>
          <w:rFonts w:ascii="Times New Roman" w:hAnsi="Times New Roman" w:cs="Times New Roman"/>
          <w:sz w:val="24"/>
          <w:szCs w:val="24"/>
        </w:rPr>
        <w:t xml:space="preserve"> Ecocash account in his name</w:t>
      </w:r>
      <w:r w:rsidR="00C8474E">
        <w:rPr>
          <w:rFonts w:ascii="Times New Roman" w:hAnsi="Times New Roman" w:cs="Times New Roman"/>
          <w:sz w:val="24"/>
          <w:szCs w:val="24"/>
        </w:rPr>
        <w:t xml:space="preserve"> as well</w:t>
      </w:r>
      <w:r w:rsidR="000A33C0">
        <w:rPr>
          <w:rFonts w:ascii="Times New Roman" w:hAnsi="Times New Roman" w:cs="Times New Roman"/>
          <w:sz w:val="24"/>
          <w:szCs w:val="24"/>
        </w:rPr>
        <w:t>.</w:t>
      </w:r>
      <w:r w:rsidR="00882E7E">
        <w:rPr>
          <w:rFonts w:ascii="Times New Roman" w:hAnsi="Times New Roman" w:cs="Times New Roman"/>
          <w:sz w:val="24"/>
          <w:szCs w:val="24"/>
        </w:rPr>
        <w:t xml:space="preserve"> </w:t>
      </w:r>
    </w:p>
    <w:p w14:paraId="23AAA8A3" w14:textId="071ABCF2" w:rsidR="006D1963" w:rsidRDefault="00882E7E" w:rsidP="005F6552">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applicant reported the matter to the police and to the Law Society of Zimbabwe. He also attended at the first respondent’s h</w:t>
      </w:r>
      <w:r w:rsidR="00250FA3">
        <w:rPr>
          <w:rFonts w:ascii="Times New Roman" w:hAnsi="Times New Roman" w:cs="Times New Roman"/>
          <w:sz w:val="24"/>
          <w:szCs w:val="24"/>
        </w:rPr>
        <w:t>e</w:t>
      </w:r>
      <w:r>
        <w:rPr>
          <w:rFonts w:ascii="Times New Roman" w:hAnsi="Times New Roman" w:cs="Times New Roman"/>
          <w:sz w:val="24"/>
          <w:szCs w:val="24"/>
        </w:rPr>
        <w:t xml:space="preserve">ad office on 1 February 2021 </w:t>
      </w:r>
      <w:r w:rsidR="00250FA3">
        <w:rPr>
          <w:rFonts w:ascii="Times New Roman" w:hAnsi="Times New Roman" w:cs="Times New Roman"/>
          <w:sz w:val="24"/>
          <w:szCs w:val="24"/>
        </w:rPr>
        <w:t>and made an official complaint</w:t>
      </w:r>
      <w:r w:rsidR="0056320C" w:rsidRPr="0056320C">
        <w:rPr>
          <w:rFonts w:ascii="Times New Roman" w:hAnsi="Times New Roman" w:cs="Times New Roman"/>
          <w:sz w:val="24"/>
          <w:szCs w:val="24"/>
        </w:rPr>
        <w:t xml:space="preserve"> </w:t>
      </w:r>
      <w:r w:rsidR="0056320C">
        <w:rPr>
          <w:rFonts w:ascii="Times New Roman" w:hAnsi="Times New Roman" w:cs="Times New Roman"/>
          <w:sz w:val="24"/>
          <w:szCs w:val="24"/>
        </w:rPr>
        <w:t xml:space="preserve">to the first respondent’s </w:t>
      </w:r>
      <w:r w:rsidR="00417711">
        <w:rPr>
          <w:rFonts w:ascii="Times New Roman" w:hAnsi="Times New Roman" w:cs="Times New Roman"/>
          <w:sz w:val="24"/>
          <w:szCs w:val="24"/>
        </w:rPr>
        <w:t xml:space="preserve">Security and Loss Control </w:t>
      </w:r>
      <w:r w:rsidR="0056320C">
        <w:rPr>
          <w:rFonts w:ascii="Times New Roman" w:hAnsi="Times New Roman" w:cs="Times New Roman"/>
          <w:sz w:val="24"/>
          <w:szCs w:val="24"/>
        </w:rPr>
        <w:t>personnel</w:t>
      </w:r>
      <w:r w:rsidR="00250FA3">
        <w:rPr>
          <w:rFonts w:ascii="Times New Roman" w:hAnsi="Times New Roman" w:cs="Times New Roman"/>
          <w:sz w:val="24"/>
          <w:szCs w:val="24"/>
        </w:rPr>
        <w:t xml:space="preserve">. He </w:t>
      </w:r>
      <w:r>
        <w:rPr>
          <w:rFonts w:ascii="Times New Roman" w:hAnsi="Times New Roman" w:cs="Times New Roman"/>
          <w:sz w:val="24"/>
          <w:szCs w:val="24"/>
        </w:rPr>
        <w:lastRenderedPageBreak/>
        <w:t>requested that the account</w:t>
      </w:r>
      <w:r w:rsidR="008F73E1">
        <w:rPr>
          <w:rFonts w:ascii="Times New Roman" w:hAnsi="Times New Roman" w:cs="Times New Roman"/>
          <w:sz w:val="24"/>
          <w:szCs w:val="24"/>
        </w:rPr>
        <w:t xml:space="preserve"> </w:t>
      </w:r>
      <w:r>
        <w:rPr>
          <w:rFonts w:ascii="Times New Roman" w:hAnsi="Times New Roman" w:cs="Times New Roman"/>
          <w:sz w:val="24"/>
          <w:szCs w:val="24"/>
        </w:rPr>
        <w:t xml:space="preserve">that had been fraudulently opened in his name be closed. He </w:t>
      </w:r>
      <w:r w:rsidR="000928D7">
        <w:rPr>
          <w:rFonts w:ascii="Times New Roman" w:hAnsi="Times New Roman" w:cs="Times New Roman"/>
          <w:sz w:val="24"/>
          <w:szCs w:val="24"/>
        </w:rPr>
        <w:t>enquired</w:t>
      </w:r>
      <w:r>
        <w:rPr>
          <w:rFonts w:ascii="Times New Roman" w:hAnsi="Times New Roman" w:cs="Times New Roman"/>
          <w:sz w:val="24"/>
          <w:szCs w:val="24"/>
        </w:rPr>
        <w:t xml:space="preserve"> how the account could have been opened in his name</w:t>
      </w:r>
      <w:r w:rsidR="000928D7">
        <w:rPr>
          <w:rFonts w:ascii="Times New Roman" w:hAnsi="Times New Roman" w:cs="Times New Roman"/>
          <w:sz w:val="24"/>
          <w:szCs w:val="24"/>
        </w:rPr>
        <w:t xml:space="preserve"> without his knowledge</w:t>
      </w:r>
      <w:r>
        <w:rPr>
          <w:rFonts w:ascii="Times New Roman" w:hAnsi="Times New Roman" w:cs="Times New Roman"/>
          <w:sz w:val="24"/>
          <w:szCs w:val="24"/>
        </w:rPr>
        <w:t xml:space="preserve">. </w:t>
      </w:r>
      <w:r w:rsidR="0086667B">
        <w:rPr>
          <w:rFonts w:ascii="Times New Roman" w:hAnsi="Times New Roman" w:cs="Times New Roman"/>
          <w:sz w:val="24"/>
          <w:szCs w:val="24"/>
        </w:rPr>
        <w:t>H</w:t>
      </w:r>
      <w:r>
        <w:rPr>
          <w:rFonts w:ascii="Times New Roman" w:hAnsi="Times New Roman" w:cs="Times New Roman"/>
          <w:sz w:val="24"/>
          <w:szCs w:val="24"/>
        </w:rPr>
        <w:t xml:space="preserve">e learnt that customers are allowed to open bank accounts just by supplying their surname and national identity number without </w:t>
      </w:r>
      <w:r w:rsidR="0086667B">
        <w:rPr>
          <w:rFonts w:ascii="Times New Roman" w:hAnsi="Times New Roman" w:cs="Times New Roman"/>
          <w:sz w:val="24"/>
          <w:szCs w:val="24"/>
        </w:rPr>
        <w:t>the</w:t>
      </w:r>
      <w:r>
        <w:rPr>
          <w:rFonts w:ascii="Times New Roman" w:hAnsi="Times New Roman" w:cs="Times New Roman"/>
          <w:sz w:val="24"/>
          <w:szCs w:val="24"/>
        </w:rPr>
        <w:t xml:space="preserve"> requirement that they furnish an identity document</w:t>
      </w:r>
      <w:r w:rsidR="0086667B">
        <w:rPr>
          <w:rFonts w:ascii="Times New Roman" w:hAnsi="Times New Roman" w:cs="Times New Roman"/>
          <w:sz w:val="24"/>
          <w:szCs w:val="24"/>
        </w:rPr>
        <w:t xml:space="preserve"> for verification</w:t>
      </w:r>
      <w:r>
        <w:rPr>
          <w:rFonts w:ascii="Times New Roman" w:hAnsi="Times New Roman" w:cs="Times New Roman"/>
          <w:sz w:val="24"/>
          <w:szCs w:val="24"/>
        </w:rPr>
        <w:t xml:space="preserve">. The </w:t>
      </w:r>
      <w:r w:rsidR="0086667B">
        <w:rPr>
          <w:rFonts w:ascii="Times New Roman" w:hAnsi="Times New Roman" w:cs="Times New Roman"/>
          <w:sz w:val="24"/>
          <w:szCs w:val="24"/>
        </w:rPr>
        <w:t xml:space="preserve">applicant discovered that the imposter who had opened an account in his name </w:t>
      </w:r>
      <w:r>
        <w:rPr>
          <w:rFonts w:ascii="Times New Roman" w:hAnsi="Times New Roman" w:cs="Times New Roman"/>
          <w:sz w:val="24"/>
          <w:szCs w:val="24"/>
        </w:rPr>
        <w:t>had even used a fic</w:t>
      </w:r>
      <w:r w:rsidR="00523837">
        <w:rPr>
          <w:rFonts w:ascii="Times New Roman" w:hAnsi="Times New Roman" w:cs="Times New Roman"/>
          <w:sz w:val="24"/>
          <w:szCs w:val="24"/>
        </w:rPr>
        <w:t>titious address No. 1034</w:t>
      </w:r>
      <w:r w:rsidR="001C54B9">
        <w:rPr>
          <w:rFonts w:ascii="Times New Roman" w:hAnsi="Times New Roman" w:cs="Times New Roman"/>
          <w:sz w:val="24"/>
          <w:szCs w:val="24"/>
        </w:rPr>
        <w:t xml:space="preserve"> </w:t>
      </w:r>
      <w:r w:rsidR="00D22721">
        <w:rPr>
          <w:rFonts w:ascii="Times New Roman" w:hAnsi="Times New Roman" w:cs="Times New Roman"/>
          <w:sz w:val="24"/>
          <w:szCs w:val="24"/>
        </w:rPr>
        <w:t>Mabvuku Mabvuku</w:t>
      </w:r>
      <w:r w:rsidR="00A2209E">
        <w:rPr>
          <w:rFonts w:ascii="Times New Roman" w:hAnsi="Times New Roman" w:cs="Times New Roman"/>
          <w:sz w:val="24"/>
          <w:szCs w:val="24"/>
        </w:rPr>
        <w:t>.</w:t>
      </w:r>
      <w:r>
        <w:rPr>
          <w:rFonts w:ascii="Times New Roman" w:hAnsi="Times New Roman" w:cs="Times New Roman"/>
          <w:sz w:val="24"/>
          <w:szCs w:val="24"/>
        </w:rPr>
        <w:t xml:space="preserve"> Trying to trace the </w:t>
      </w:r>
      <w:r w:rsidR="006B4BE4">
        <w:rPr>
          <w:rFonts w:ascii="Times New Roman" w:hAnsi="Times New Roman" w:cs="Times New Roman"/>
          <w:sz w:val="24"/>
          <w:szCs w:val="24"/>
        </w:rPr>
        <w:t>imposter</w:t>
      </w:r>
      <w:r>
        <w:rPr>
          <w:rFonts w:ascii="Times New Roman" w:hAnsi="Times New Roman" w:cs="Times New Roman"/>
          <w:sz w:val="24"/>
          <w:szCs w:val="24"/>
        </w:rPr>
        <w:t xml:space="preserve"> reached a dead end. Be that as it may, the first respondent went on to close the fraudulently </w:t>
      </w:r>
      <w:r w:rsidR="00874C07">
        <w:rPr>
          <w:rFonts w:ascii="Times New Roman" w:hAnsi="Times New Roman" w:cs="Times New Roman"/>
          <w:sz w:val="24"/>
          <w:szCs w:val="24"/>
        </w:rPr>
        <w:t xml:space="preserve">opened account. </w:t>
      </w:r>
    </w:p>
    <w:p w14:paraId="65143BB8" w14:textId="58355682" w:rsidR="00882E7E" w:rsidRDefault="00882E7E" w:rsidP="00882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208D">
        <w:rPr>
          <w:rFonts w:ascii="Times New Roman" w:hAnsi="Times New Roman" w:cs="Times New Roman"/>
          <w:sz w:val="24"/>
          <w:szCs w:val="24"/>
        </w:rPr>
        <w:t>However, o</w:t>
      </w:r>
      <w:r>
        <w:rPr>
          <w:rFonts w:ascii="Times New Roman" w:hAnsi="Times New Roman" w:cs="Times New Roman"/>
          <w:sz w:val="24"/>
          <w:szCs w:val="24"/>
        </w:rPr>
        <w:t xml:space="preserve">n 9 February 2021 it came to the applicant’s attention </w:t>
      </w:r>
      <w:r w:rsidR="0084208D">
        <w:rPr>
          <w:rFonts w:ascii="Times New Roman" w:hAnsi="Times New Roman" w:cs="Times New Roman"/>
          <w:sz w:val="24"/>
          <w:szCs w:val="24"/>
        </w:rPr>
        <w:t xml:space="preserve">once again </w:t>
      </w:r>
      <w:r>
        <w:rPr>
          <w:rFonts w:ascii="Times New Roman" w:hAnsi="Times New Roman" w:cs="Times New Roman"/>
          <w:sz w:val="24"/>
          <w:szCs w:val="24"/>
        </w:rPr>
        <w:t xml:space="preserve">that another account </w:t>
      </w:r>
      <w:r w:rsidR="007B3C80">
        <w:rPr>
          <w:rFonts w:ascii="Times New Roman" w:hAnsi="Times New Roman" w:cs="Times New Roman"/>
          <w:sz w:val="24"/>
          <w:szCs w:val="24"/>
        </w:rPr>
        <w:t xml:space="preserve">number 6017042200062966 </w:t>
      </w:r>
      <w:r>
        <w:rPr>
          <w:rFonts w:ascii="Times New Roman" w:hAnsi="Times New Roman" w:cs="Times New Roman"/>
          <w:sz w:val="24"/>
          <w:szCs w:val="24"/>
        </w:rPr>
        <w:t xml:space="preserve">had been fraudulently opened with the first respondent </w:t>
      </w:r>
      <w:r w:rsidR="0084208D">
        <w:rPr>
          <w:rFonts w:ascii="Times New Roman" w:hAnsi="Times New Roman" w:cs="Times New Roman"/>
          <w:sz w:val="24"/>
          <w:szCs w:val="24"/>
        </w:rPr>
        <w:t xml:space="preserve">in his name </w:t>
      </w:r>
      <w:bookmarkStart w:id="4" w:name="_Hlk67596747"/>
      <w:r w:rsidR="0084208D">
        <w:rPr>
          <w:rFonts w:ascii="Times New Roman" w:hAnsi="Times New Roman" w:cs="Times New Roman"/>
          <w:sz w:val="24"/>
          <w:szCs w:val="24"/>
        </w:rPr>
        <w:t>again</w:t>
      </w:r>
      <w:bookmarkEnd w:id="4"/>
      <w:r>
        <w:rPr>
          <w:rFonts w:ascii="Times New Roman" w:hAnsi="Times New Roman" w:cs="Times New Roman"/>
          <w:sz w:val="24"/>
          <w:szCs w:val="24"/>
        </w:rPr>
        <w:t>. A potential</w:t>
      </w:r>
      <w:r w:rsidR="004112F2">
        <w:rPr>
          <w:rFonts w:ascii="Times New Roman" w:hAnsi="Times New Roman" w:cs="Times New Roman"/>
          <w:sz w:val="24"/>
          <w:szCs w:val="24"/>
        </w:rPr>
        <w:t xml:space="preserve"> victim </w:t>
      </w:r>
      <w:r w:rsidR="00E92314">
        <w:rPr>
          <w:rFonts w:ascii="Times New Roman" w:hAnsi="Times New Roman" w:cs="Times New Roman"/>
          <w:sz w:val="24"/>
          <w:szCs w:val="24"/>
        </w:rPr>
        <w:t xml:space="preserve">of the rent to buy car scheme </w:t>
      </w:r>
      <w:r>
        <w:rPr>
          <w:rFonts w:ascii="Times New Roman" w:hAnsi="Times New Roman" w:cs="Times New Roman"/>
          <w:sz w:val="24"/>
          <w:szCs w:val="24"/>
        </w:rPr>
        <w:t xml:space="preserve">had </w:t>
      </w:r>
      <w:r w:rsidR="00E92314">
        <w:rPr>
          <w:rFonts w:ascii="Times New Roman" w:hAnsi="Times New Roman" w:cs="Times New Roman"/>
          <w:sz w:val="24"/>
          <w:szCs w:val="24"/>
        </w:rPr>
        <w:t xml:space="preserve">had </w:t>
      </w:r>
      <w:r>
        <w:rPr>
          <w:rFonts w:ascii="Times New Roman" w:hAnsi="Times New Roman" w:cs="Times New Roman"/>
          <w:sz w:val="24"/>
          <w:szCs w:val="24"/>
        </w:rPr>
        <w:t>the good sense to tra</w:t>
      </w:r>
      <w:r w:rsidR="004112F2">
        <w:rPr>
          <w:rFonts w:ascii="Times New Roman" w:hAnsi="Times New Roman" w:cs="Times New Roman"/>
          <w:sz w:val="24"/>
          <w:szCs w:val="24"/>
        </w:rPr>
        <w:t>ce the app</w:t>
      </w:r>
      <w:r w:rsidR="001C54B9">
        <w:rPr>
          <w:rFonts w:ascii="Times New Roman" w:hAnsi="Times New Roman" w:cs="Times New Roman"/>
          <w:sz w:val="24"/>
          <w:szCs w:val="24"/>
        </w:rPr>
        <w:t>licant via Facebook before part</w:t>
      </w:r>
      <w:r w:rsidR="004112F2">
        <w:rPr>
          <w:rFonts w:ascii="Times New Roman" w:hAnsi="Times New Roman" w:cs="Times New Roman"/>
          <w:sz w:val="24"/>
          <w:szCs w:val="24"/>
        </w:rPr>
        <w:t xml:space="preserve">ing with his money. </w:t>
      </w:r>
      <w:r w:rsidR="007B3C80">
        <w:rPr>
          <w:rFonts w:ascii="Times New Roman" w:hAnsi="Times New Roman" w:cs="Times New Roman"/>
          <w:sz w:val="24"/>
          <w:szCs w:val="24"/>
        </w:rPr>
        <w:t>Upon being alerted</w:t>
      </w:r>
      <w:r w:rsidR="00417711">
        <w:rPr>
          <w:rFonts w:ascii="Times New Roman" w:hAnsi="Times New Roman" w:cs="Times New Roman"/>
          <w:sz w:val="24"/>
          <w:szCs w:val="24"/>
        </w:rPr>
        <w:t xml:space="preserve">, </w:t>
      </w:r>
      <w:r w:rsidR="007B3C80">
        <w:rPr>
          <w:rFonts w:ascii="Times New Roman" w:hAnsi="Times New Roman" w:cs="Times New Roman"/>
          <w:sz w:val="24"/>
          <w:szCs w:val="24"/>
        </w:rPr>
        <w:t>t</w:t>
      </w:r>
      <w:r w:rsidR="004112F2">
        <w:rPr>
          <w:rFonts w:ascii="Times New Roman" w:hAnsi="Times New Roman" w:cs="Times New Roman"/>
          <w:sz w:val="24"/>
          <w:szCs w:val="24"/>
        </w:rPr>
        <w:t xml:space="preserve">he applicant immediately sought audience with the first respondent’s </w:t>
      </w:r>
      <w:bookmarkStart w:id="5" w:name="_Hlk67597056"/>
      <w:r w:rsidR="004112F2">
        <w:rPr>
          <w:rFonts w:ascii="Times New Roman" w:hAnsi="Times New Roman" w:cs="Times New Roman"/>
          <w:sz w:val="24"/>
          <w:szCs w:val="24"/>
        </w:rPr>
        <w:t xml:space="preserve">Security and Loss Control </w:t>
      </w:r>
      <w:bookmarkEnd w:id="5"/>
      <w:r w:rsidR="00500C34">
        <w:rPr>
          <w:rFonts w:ascii="Times New Roman" w:hAnsi="Times New Roman" w:cs="Times New Roman"/>
          <w:sz w:val="24"/>
          <w:szCs w:val="24"/>
        </w:rPr>
        <w:t>personnel</w:t>
      </w:r>
      <w:r w:rsidR="004112F2">
        <w:rPr>
          <w:rFonts w:ascii="Times New Roman" w:hAnsi="Times New Roman" w:cs="Times New Roman"/>
          <w:sz w:val="24"/>
          <w:szCs w:val="24"/>
        </w:rPr>
        <w:t xml:space="preserve">. </w:t>
      </w:r>
      <w:r w:rsidR="007B3C80">
        <w:rPr>
          <w:rFonts w:ascii="Times New Roman" w:hAnsi="Times New Roman" w:cs="Times New Roman"/>
          <w:sz w:val="24"/>
          <w:szCs w:val="24"/>
        </w:rPr>
        <w:t>One</w:t>
      </w:r>
      <w:r w:rsidR="004112F2">
        <w:rPr>
          <w:rFonts w:ascii="Times New Roman" w:hAnsi="Times New Roman" w:cs="Times New Roman"/>
          <w:sz w:val="24"/>
          <w:szCs w:val="24"/>
        </w:rPr>
        <w:t xml:space="preserve"> </w:t>
      </w:r>
      <w:r w:rsidR="007B3C80">
        <w:rPr>
          <w:rFonts w:ascii="Times New Roman" w:hAnsi="Times New Roman" w:cs="Times New Roman"/>
          <w:sz w:val="24"/>
          <w:szCs w:val="24"/>
        </w:rPr>
        <w:t xml:space="preserve">Mr Ngobson Bandirai </w:t>
      </w:r>
      <w:r w:rsidR="004112F2">
        <w:rPr>
          <w:rFonts w:ascii="Times New Roman" w:hAnsi="Times New Roman" w:cs="Times New Roman"/>
          <w:sz w:val="24"/>
          <w:szCs w:val="24"/>
        </w:rPr>
        <w:t xml:space="preserve">took </w:t>
      </w:r>
      <w:r w:rsidR="00500C34">
        <w:rPr>
          <w:rFonts w:ascii="Times New Roman" w:hAnsi="Times New Roman" w:cs="Times New Roman"/>
          <w:sz w:val="24"/>
          <w:szCs w:val="24"/>
        </w:rPr>
        <w:t>the applicant’s</w:t>
      </w:r>
      <w:r w:rsidR="004112F2">
        <w:rPr>
          <w:rFonts w:ascii="Times New Roman" w:hAnsi="Times New Roman" w:cs="Times New Roman"/>
          <w:sz w:val="24"/>
          <w:szCs w:val="24"/>
        </w:rPr>
        <w:t xml:space="preserve"> complaint verbally and promised to investigate internally and get back to him as soon as possible </w:t>
      </w:r>
      <w:r w:rsidR="007B3C80">
        <w:rPr>
          <w:rFonts w:ascii="Times New Roman" w:hAnsi="Times New Roman" w:cs="Times New Roman"/>
          <w:sz w:val="24"/>
          <w:szCs w:val="24"/>
        </w:rPr>
        <w:t xml:space="preserve">which he </w:t>
      </w:r>
      <w:r w:rsidR="004112F2">
        <w:rPr>
          <w:rFonts w:ascii="Times New Roman" w:hAnsi="Times New Roman" w:cs="Times New Roman"/>
          <w:sz w:val="24"/>
          <w:szCs w:val="24"/>
        </w:rPr>
        <w:t xml:space="preserve">never did until </w:t>
      </w:r>
      <w:r w:rsidR="007B3C80">
        <w:rPr>
          <w:rFonts w:ascii="Times New Roman" w:hAnsi="Times New Roman" w:cs="Times New Roman"/>
          <w:sz w:val="24"/>
          <w:szCs w:val="24"/>
        </w:rPr>
        <w:t>t</w:t>
      </w:r>
      <w:r w:rsidR="004112F2">
        <w:rPr>
          <w:rFonts w:ascii="Times New Roman" w:hAnsi="Times New Roman" w:cs="Times New Roman"/>
          <w:sz w:val="24"/>
          <w:szCs w:val="24"/>
        </w:rPr>
        <w:t>he</w:t>
      </w:r>
      <w:r w:rsidR="007B3C80">
        <w:rPr>
          <w:rFonts w:ascii="Times New Roman" w:hAnsi="Times New Roman" w:cs="Times New Roman"/>
          <w:sz w:val="24"/>
          <w:szCs w:val="24"/>
        </w:rPr>
        <w:t xml:space="preserve"> applicant</w:t>
      </w:r>
      <w:r w:rsidR="004112F2">
        <w:rPr>
          <w:rFonts w:ascii="Times New Roman" w:hAnsi="Times New Roman" w:cs="Times New Roman"/>
          <w:sz w:val="24"/>
          <w:szCs w:val="24"/>
        </w:rPr>
        <w:t xml:space="preserve"> filed the present application on 13 February 2021. The applicant averred that as a result</w:t>
      </w:r>
      <w:r w:rsidR="00500C34">
        <w:rPr>
          <w:rFonts w:ascii="Times New Roman" w:hAnsi="Times New Roman" w:cs="Times New Roman"/>
          <w:sz w:val="24"/>
          <w:szCs w:val="24"/>
        </w:rPr>
        <w:t>,</w:t>
      </w:r>
      <w:r w:rsidR="004112F2">
        <w:rPr>
          <w:rFonts w:ascii="Times New Roman" w:hAnsi="Times New Roman" w:cs="Times New Roman"/>
          <w:sz w:val="24"/>
          <w:szCs w:val="24"/>
        </w:rPr>
        <w:t xml:space="preserve"> he does not know the status of this </w:t>
      </w:r>
      <w:r w:rsidR="007B3C80">
        <w:rPr>
          <w:rFonts w:ascii="Times New Roman" w:hAnsi="Times New Roman" w:cs="Times New Roman"/>
          <w:sz w:val="24"/>
          <w:szCs w:val="24"/>
        </w:rPr>
        <w:t xml:space="preserve">new </w:t>
      </w:r>
      <w:r w:rsidR="004112F2">
        <w:rPr>
          <w:rFonts w:ascii="Times New Roman" w:hAnsi="Times New Roman" w:cs="Times New Roman"/>
          <w:sz w:val="24"/>
          <w:szCs w:val="24"/>
        </w:rPr>
        <w:t xml:space="preserve">account as he received no feedback from the first respondent’s Security and Loss Control </w:t>
      </w:r>
      <w:r w:rsidR="00500C34">
        <w:rPr>
          <w:rFonts w:ascii="Times New Roman" w:hAnsi="Times New Roman" w:cs="Times New Roman"/>
          <w:sz w:val="24"/>
          <w:szCs w:val="24"/>
        </w:rPr>
        <w:t>personnel</w:t>
      </w:r>
      <w:r w:rsidR="004112F2">
        <w:rPr>
          <w:rFonts w:ascii="Times New Roman" w:hAnsi="Times New Roman" w:cs="Times New Roman"/>
          <w:sz w:val="24"/>
          <w:szCs w:val="24"/>
        </w:rPr>
        <w:t>.</w:t>
      </w:r>
    </w:p>
    <w:p w14:paraId="5443FF1F" w14:textId="3301ED0E" w:rsidR="004112F2" w:rsidRDefault="004112F2" w:rsidP="00882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applicant’s contention that whatever the status of this account, it seems to him that as a long as the </w:t>
      </w:r>
      <w:r w:rsidR="009E7DB7">
        <w:rPr>
          <w:rFonts w:ascii="Times New Roman" w:hAnsi="Times New Roman" w:cs="Times New Roman"/>
          <w:sz w:val="24"/>
          <w:szCs w:val="24"/>
        </w:rPr>
        <w:t>imposter</w:t>
      </w:r>
      <w:r w:rsidR="004F2DEA">
        <w:rPr>
          <w:rFonts w:ascii="Times New Roman" w:hAnsi="Times New Roman" w:cs="Times New Roman"/>
          <w:sz w:val="24"/>
          <w:szCs w:val="24"/>
        </w:rPr>
        <w:t xml:space="preserve"> involved</w:t>
      </w:r>
      <w:r>
        <w:rPr>
          <w:rFonts w:ascii="Times New Roman" w:hAnsi="Times New Roman" w:cs="Times New Roman"/>
          <w:sz w:val="24"/>
          <w:szCs w:val="24"/>
        </w:rPr>
        <w:t xml:space="preserve"> remain</w:t>
      </w:r>
      <w:r w:rsidR="004F2DEA">
        <w:rPr>
          <w:rFonts w:ascii="Times New Roman" w:hAnsi="Times New Roman" w:cs="Times New Roman"/>
          <w:sz w:val="24"/>
          <w:szCs w:val="24"/>
        </w:rPr>
        <w:t>s</w:t>
      </w:r>
      <w:r>
        <w:rPr>
          <w:rFonts w:ascii="Times New Roman" w:hAnsi="Times New Roman" w:cs="Times New Roman"/>
          <w:sz w:val="24"/>
          <w:szCs w:val="24"/>
        </w:rPr>
        <w:t xml:space="preserve"> at large, this vicious cycle will continue, not only against him but </w:t>
      </w:r>
      <w:r w:rsidR="004F2DEA">
        <w:rPr>
          <w:rFonts w:ascii="Times New Roman" w:hAnsi="Times New Roman" w:cs="Times New Roman"/>
          <w:sz w:val="24"/>
          <w:szCs w:val="24"/>
        </w:rPr>
        <w:t>against members of the public as well since</w:t>
      </w:r>
      <w:r>
        <w:rPr>
          <w:rFonts w:ascii="Times New Roman" w:hAnsi="Times New Roman" w:cs="Times New Roman"/>
          <w:sz w:val="24"/>
          <w:szCs w:val="24"/>
        </w:rPr>
        <w:t xml:space="preserve"> the first respondent’s </w:t>
      </w:r>
      <w:r w:rsidR="002C4728">
        <w:rPr>
          <w:rFonts w:ascii="Times New Roman" w:hAnsi="Times New Roman" w:cs="Times New Roman"/>
          <w:sz w:val="24"/>
          <w:szCs w:val="24"/>
        </w:rPr>
        <w:t xml:space="preserve">digital banking </w:t>
      </w:r>
      <w:r>
        <w:rPr>
          <w:rFonts w:ascii="Times New Roman" w:hAnsi="Times New Roman" w:cs="Times New Roman"/>
          <w:sz w:val="24"/>
          <w:szCs w:val="24"/>
        </w:rPr>
        <w:t>system is fundamentally fl</w:t>
      </w:r>
      <w:r w:rsidR="004F2DEA">
        <w:rPr>
          <w:rFonts w:ascii="Times New Roman" w:hAnsi="Times New Roman" w:cs="Times New Roman"/>
          <w:sz w:val="24"/>
          <w:szCs w:val="24"/>
        </w:rPr>
        <w:t>a</w:t>
      </w:r>
      <w:r>
        <w:rPr>
          <w:rFonts w:ascii="Times New Roman" w:hAnsi="Times New Roman" w:cs="Times New Roman"/>
          <w:sz w:val="24"/>
          <w:szCs w:val="24"/>
        </w:rPr>
        <w:t xml:space="preserve">wed. </w:t>
      </w:r>
      <w:r w:rsidR="004F2DEA">
        <w:rPr>
          <w:rFonts w:ascii="Times New Roman" w:hAnsi="Times New Roman" w:cs="Times New Roman"/>
          <w:sz w:val="24"/>
          <w:szCs w:val="24"/>
        </w:rPr>
        <w:t>The system</w:t>
      </w:r>
      <w:r>
        <w:rPr>
          <w:rFonts w:ascii="Times New Roman" w:hAnsi="Times New Roman" w:cs="Times New Roman"/>
          <w:sz w:val="24"/>
          <w:szCs w:val="24"/>
        </w:rPr>
        <w:t xml:space="preserve"> has no </w:t>
      </w:r>
      <w:r w:rsidR="00DE548C">
        <w:rPr>
          <w:rFonts w:ascii="Times New Roman" w:hAnsi="Times New Roman" w:cs="Times New Roman"/>
          <w:sz w:val="24"/>
          <w:szCs w:val="24"/>
        </w:rPr>
        <w:t xml:space="preserve">requirements for </w:t>
      </w:r>
      <w:r>
        <w:rPr>
          <w:rFonts w:ascii="Times New Roman" w:hAnsi="Times New Roman" w:cs="Times New Roman"/>
          <w:sz w:val="24"/>
          <w:szCs w:val="24"/>
        </w:rPr>
        <w:t>customer identification and verification when an account</w:t>
      </w:r>
      <w:r w:rsidR="004F2DEA">
        <w:rPr>
          <w:rFonts w:ascii="Times New Roman" w:hAnsi="Times New Roman" w:cs="Times New Roman"/>
          <w:sz w:val="24"/>
          <w:szCs w:val="24"/>
        </w:rPr>
        <w:t xml:space="preserve"> is being opened</w:t>
      </w:r>
      <w:r>
        <w:rPr>
          <w:rFonts w:ascii="Times New Roman" w:hAnsi="Times New Roman" w:cs="Times New Roman"/>
          <w:sz w:val="24"/>
          <w:szCs w:val="24"/>
        </w:rPr>
        <w:t xml:space="preserve">. The applicant went on </w:t>
      </w:r>
      <w:r w:rsidR="00D11920">
        <w:rPr>
          <w:rFonts w:ascii="Times New Roman" w:hAnsi="Times New Roman" w:cs="Times New Roman"/>
          <w:sz w:val="24"/>
          <w:szCs w:val="24"/>
        </w:rPr>
        <w:t xml:space="preserve">to quote in full </w:t>
      </w:r>
      <w:r w:rsidR="00BB1FDC">
        <w:rPr>
          <w:rFonts w:ascii="Times New Roman" w:hAnsi="Times New Roman" w:cs="Times New Roman"/>
          <w:sz w:val="24"/>
          <w:szCs w:val="24"/>
        </w:rPr>
        <w:t xml:space="preserve">ss 13, 15, 16 and 17 </w:t>
      </w:r>
      <w:r>
        <w:rPr>
          <w:rFonts w:ascii="Times New Roman" w:hAnsi="Times New Roman" w:cs="Times New Roman"/>
          <w:sz w:val="24"/>
          <w:szCs w:val="24"/>
        </w:rPr>
        <w:t>of the Money Laundering and Proceeds of Crime Act [</w:t>
      </w:r>
      <w:r w:rsidRPr="004112F2">
        <w:rPr>
          <w:rFonts w:ascii="Times New Roman" w:hAnsi="Times New Roman" w:cs="Times New Roman"/>
          <w:i/>
          <w:sz w:val="24"/>
          <w:szCs w:val="24"/>
        </w:rPr>
        <w:t>Chapter 9:24</w:t>
      </w:r>
      <w:r>
        <w:rPr>
          <w:rFonts w:ascii="Times New Roman" w:hAnsi="Times New Roman" w:cs="Times New Roman"/>
          <w:sz w:val="24"/>
          <w:szCs w:val="24"/>
        </w:rPr>
        <w:t>]</w:t>
      </w:r>
      <w:r w:rsidR="00D11920">
        <w:rPr>
          <w:rFonts w:ascii="Times New Roman" w:hAnsi="Times New Roman" w:cs="Times New Roman"/>
          <w:sz w:val="24"/>
          <w:szCs w:val="24"/>
        </w:rPr>
        <w:t xml:space="preserve">. These </w:t>
      </w:r>
      <w:r>
        <w:rPr>
          <w:rFonts w:ascii="Times New Roman" w:hAnsi="Times New Roman" w:cs="Times New Roman"/>
          <w:sz w:val="24"/>
          <w:szCs w:val="24"/>
        </w:rPr>
        <w:t>provisions deal with customer identification</w:t>
      </w:r>
      <w:r w:rsidR="00BB1FDC" w:rsidRPr="00BB1FDC">
        <w:rPr>
          <w:rFonts w:ascii="Times New Roman" w:hAnsi="Times New Roman" w:cs="Times New Roman"/>
          <w:sz w:val="24"/>
          <w:szCs w:val="24"/>
        </w:rPr>
        <w:t xml:space="preserve"> </w:t>
      </w:r>
      <w:r w:rsidR="00BB1FDC">
        <w:rPr>
          <w:rFonts w:ascii="Times New Roman" w:hAnsi="Times New Roman" w:cs="Times New Roman"/>
          <w:sz w:val="24"/>
          <w:szCs w:val="24"/>
        </w:rPr>
        <w:t>and verification</w:t>
      </w:r>
      <w:r>
        <w:rPr>
          <w:rFonts w:ascii="Times New Roman" w:hAnsi="Times New Roman" w:cs="Times New Roman"/>
          <w:sz w:val="24"/>
          <w:szCs w:val="24"/>
        </w:rPr>
        <w:t xml:space="preserve"> requirements. In light of these provisions</w:t>
      </w:r>
      <w:r w:rsidR="00D11920">
        <w:rPr>
          <w:rFonts w:ascii="Times New Roman" w:hAnsi="Times New Roman" w:cs="Times New Roman"/>
          <w:sz w:val="24"/>
          <w:szCs w:val="24"/>
        </w:rPr>
        <w:t>,</w:t>
      </w:r>
      <w:r>
        <w:rPr>
          <w:rFonts w:ascii="Times New Roman" w:hAnsi="Times New Roman" w:cs="Times New Roman"/>
          <w:sz w:val="24"/>
          <w:szCs w:val="24"/>
        </w:rPr>
        <w:t xml:space="preserve"> the applicant averred that it is clear </w:t>
      </w:r>
      <w:r w:rsidR="00C46C4C">
        <w:rPr>
          <w:rFonts w:ascii="Times New Roman" w:hAnsi="Times New Roman" w:cs="Times New Roman"/>
          <w:sz w:val="24"/>
          <w:szCs w:val="24"/>
        </w:rPr>
        <w:t xml:space="preserve">that </w:t>
      </w:r>
      <w:r>
        <w:rPr>
          <w:rFonts w:ascii="Times New Roman" w:hAnsi="Times New Roman" w:cs="Times New Roman"/>
          <w:sz w:val="24"/>
          <w:szCs w:val="24"/>
        </w:rPr>
        <w:t xml:space="preserve">the first respondent’s digital </w:t>
      </w:r>
      <w:r w:rsidR="00D11920">
        <w:rPr>
          <w:rFonts w:ascii="Times New Roman" w:hAnsi="Times New Roman" w:cs="Times New Roman"/>
          <w:sz w:val="24"/>
          <w:szCs w:val="24"/>
        </w:rPr>
        <w:t xml:space="preserve">banking </w:t>
      </w:r>
      <w:r>
        <w:rPr>
          <w:rFonts w:ascii="Times New Roman" w:hAnsi="Times New Roman" w:cs="Times New Roman"/>
          <w:sz w:val="24"/>
          <w:szCs w:val="24"/>
        </w:rPr>
        <w:t>platform</w:t>
      </w:r>
      <w:r w:rsidR="00C46C4C">
        <w:rPr>
          <w:rFonts w:ascii="Times New Roman" w:hAnsi="Times New Roman" w:cs="Times New Roman"/>
          <w:sz w:val="24"/>
          <w:szCs w:val="24"/>
        </w:rPr>
        <w:t>s</w:t>
      </w:r>
      <w:r>
        <w:rPr>
          <w:rFonts w:ascii="Times New Roman" w:hAnsi="Times New Roman" w:cs="Times New Roman"/>
          <w:sz w:val="24"/>
          <w:szCs w:val="24"/>
        </w:rPr>
        <w:t xml:space="preserve"> are KYC non-compliant and unlawful. The applicant also averred that the</w:t>
      </w:r>
      <w:r w:rsidR="00C46C4C">
        <w:rPr>
          <w:rFonts w:ascii="Times New Roman" w:hAnsi="Times New Roman" w:cs="Times New Roman"/>
          <w:sz w:val="24"/>
          <w:szCs w:val="24"/>
        </w:rPr>
        <w:t>se</w:t>
      </w:r>
      <w:r>
        <w:rPr>
          <w:rFonts w:ascii="Times New Roman" w:hAnsi="Times New Roman" w:cs="Times New Roman"/>
          <w:sz w:val="24"/>
          <w:szCs w:val="24"/>
        </w:rPr>
        <w:t xml:space="preserve"> digital </w:t>
      </w:r>
      <w:r w:rsidR="00D11920">
        <w:rPr>
          <w:rFonts w:ascii="Times New Roman" w:hAnsi="Times New Roman" w:cs="Times New Roman"/>
          <w:sz w:val="24"/>
          <w:szCs w:val="24"/>
        </w:rPr>
        <w:t xml:space="preserve">banking </w:t>
      </w:r>
      <w:r>
        <w:rPr>
          <w:rFonts w:ascii="Times New Roman" w:hAnsi="Times New Roman" w:cs="Times New Roman"/>
          <w:sz w:val="24"/>
          <w:szCs w:val="24"/>
        </w:rPr>
        <w:t>platforms are also non</w:t>
      </w:r>
      <w:r w:rsidR="00C46C4C">
        <w:rPr>
          <w:rFonts w:ascii="Times New Roman" w:hAnsi="Times New Roman" w:cs="Times New Roman"/>
          <w:sz w:val="24"/>
          <w:szCs w:val="24"/>
        </w:rPr>
        <w:t>-</w:t>
      </w:r>
      <w:r w:rsidR="00D22721">
        <w:rPr>
          <w:rFonts w:ascii="Times New Roman" w:hAnsi="Times New Roman" w:cs="Times New Roman"/>
          <w:sz w:val="24"/>
          <w:szCs w:val="24"/>
        </w:rPr>
        <w:t>compl</w:t>
      </w:r>
      <w:r>
        <w:rPr>
          <w:rFonts w:ascii="Times New Roman" w:hAnsi="Times New Roman" w:cs="Times New Roman"/>
          <w:sz w:val="24"/>
          <w:szCs w:val="24"/>
        </w:rPr>
        <w:t>i</w:t>
      </w:r>
      <w:r w:rsidR="00D22721">
        <w:rPr>
          <w:rFonts w:ascii="Times New Roman" w:hAnsi="Times New Roman" w:cs="Times New Roman"/>
          <w:sz w:val="24"/>
          <w:szCs w:val="24"/>
        </w:rPr>
        <w:t>a</w:t>
      </w:r>
      <w:r>
        <w:rPr>
          <w:rFonts w:ascii="Times New Roman" w:hAnsi="Times New Roman" w:cs="Times New Roman"/>
          <w:sz w:val="24"/>
          <w:szCs w:val="24"/>
        </w:rPr>
        <w:t xml:space="preserve">nt </w:t>
      </w:r>
      <w:r w:rsidR="00C46C4C">
        <w:rPr>
          <w:rFonts w:ascii="Times New Roman" w:hAnsi="Times New Roman" w:cs="Times New Roman"/>
          <w:sz w:val="24"/>
          <w:szCs w:val="24"/>
        </w:rPr>
        <w:t xml:space="preserve">with </w:t>
      </w:r>
      <w:r>
        <w:rPr>
          <w:rFonts w:ascii="Times New Roman" w:hAnsi="Times New Roman" w:cs="Times New Roman"/>
          <w:sz w:val="24"/>
          <w:szCs w:val="24"/>
        </w:rPr>
        <w:t>the R</w:t>
      </w:r>
      <w:r w:rsidR="00C46C4C">
        <w:rPr>
          <w:rFonts w:ascii="Times New Roman" w:hAnsi="Times New Roman" w:cs="Times New Roman"/>
          <w:sz w:val="24"/>
          <w:szCs w:val="24"/>
        </w:rPr>
        <w:t xml:space="preserve">eserve </w:t>
      </w:r>
      <w:r>
        <w:rPr>
          <w:rFonts w:ascii="Times New Roman" w:hAnsi="Times New Roman" w:cs="Times New Roman"/>
          <w:sz w:val="24"/>
          <w:szCs w:val="24"/>
        </w:rPr>
        <w:t>B</w:t>
      </w:r>
      <w:r w:rsidR="00C46C4C">
        <w:rPr>
          <w:rFonts w:ascii="Times New Roman" w:hAnsi="Times New Roman" w:cs="Times New Roman"/>
          <w:sz w:val="24"/>
          <w:szCs w:val="24"/>
        </w:rPr>
        <w:t xml:space="preserve">ank of </w:t>
      </w:r>
      <w:r>
        <w:rPr>
          <w:rFonts w:ascii="Times New Roman" w:hAnsi="Times New Roman" w:cs="Times New Roman"/>
          <w:sz w:val="24"/>
          <w:szCs w:val="24"/>
        </w:rPr>
        <w:t>Z</w:t>
      </w:r>
      <w:r w:rsidR="00C46C4C">
        <w:rPr>
          <w:rFonts w:ascii="Times New Roman" w:hAnsi="Times New Roman" w:cs="Times New Roman"/>
          <w:sz w:val="24"/>
          <w:szCs w:val="24"/>
        </w:rPr>
        <w:t>imbabwe</w:t>
      </w:r>
      <w:r>
        <w:rPr>
          <w:rFonts w:ascii="Times New Roman" w:hAnsi="Times New Roman" w:cs="Times New Roman"/>
          <w:sz w:val="24"/>
          <w:szCs w:val="24"/>
        </w:rPr>
        <w:t xml:space="preserve"> Guidelines</w:t>
      </w:r>
      <w:r w:rsidR="00C46C4C" w:rsidRPr="00C46C4C">
        <w:rPr>
          <w:rFonts w:ascii="Times New Roman" w:hAnsi="Times New Roman" w:cs="Times New Roman"/>
          <w:sz w:val="24"/>
          <w:szCs w:val="24"/>
        </w:rPr>
        <w:t xml:space="preserve"> </w:t>
      </w:r>
      <w:r w:rsidR="00C46C4C">
        <w:rPr>
          <w:rFonts w:ascii="Times New Roman" w:hAnsi="Times New Roman" w:cs="Times New Roman"/>
          <w:sz w:val="24"/>
          <w:szCs w:val="24"/>
        </w:rPr>
        <w:t>No</w:t>
      </w:r>
      <w:r w:rsidR="00482CC7">
        <w:rPr>
          <w:rFonts w:ascii="Times New Roman" w:hAnsi="Times New Roman" w:cs="Times New Roman"/>
          <w:sz w:val="24"/>
          <w:szCs w:val="24"/>
        </w:rPr>
        <w:t>.</w:t>
      </w:r>
      <w:r w:rsidR="00C46C4C">
        <w:rPr>
          <w:rFonts w:ascii="Times New Roman" w:hAnsi="Times New Roman" w:cs="Times New Roman"/>
          <w:sz w:val="24"/>
          <w:szCs w:val="24"/>
        </w:rPr>
        <w:t xml:space="preserve"> 01-2006 BUP/SML</w:t>
      </w:r>
      <w:r w:rsidR="00D11920">
        <w:rPr>
          <w:rFonts w:ascii="Times New Roman" w:hAnsi="Times New Roman" w:cs="Times New Roman"/>
          <w:sz w:val="24"/>
          <w:szCs w:val="24"/>
        </w:rPr>
        <w:t xml:space="preserve">, </w:t>
      </w:r>
      <w:r>
        <w:rPr>
          <w:rFonts w:ascii="Times New Roman" w:hAnsi="Times New Roman" w:cs="Times New Roman"/>
          <w:sz w:val="24"/>
          <w:szCs w:val="24"/>
        </w:rPr>
        <w:t>particularly Article 11</w:t>
      </w:r>
      <w:r w:rsidR="001331A9">
        <w:rPr>
          <w:rFonts w:ascii="Times New Roman" w:hAnsi="Times New Roman" w:cs="Times New Roman"/>
          <w:sz w:val="24"/>
          <w:szCs w:val="24"/>
        </w:rPr>
        <w:t>.7</w:t>
      </w:r>
      <w:r>
        <w:rPr>
          <w:rFonts w:ascii="Times New Roman" w:hAnsi="Times New Roman" w:cs="Times New Roman"/>
          <w:sz w:val="24"/>
          <w:szCs w:val="24"/>
        </w:rPr>
        <w:t xml:space="preserve"> which deals with general identification requirements. </w:t>
      </w:r>
      <w:r w:rsidR="001331A9">
        <w:rPr>
          <w:rFonts w:ascii="Times New Roman" w:hAnsi="Times New Roman" w:cs="Times New Roman"/>
          <w:sz w:val="24"/>
          <w:szCs w:val="24"/>
        </w:rPr>
        <w:t xml:space="preserve">It is on this basis that the applicant is applying for an </w:t>
      </w:r>
      <w:r w:rsidR="003909D7">
        <w:rPr>
          <w:rFonts w:ascii="Times New Roman" w:hAnsi="Times New Roman" w:cs="Times New Roman"/>
          <w:sz w:val="24"/>
          <w:szCs w:val="24"/>
        </w:rPr>
        <w:t>interim</w:t>
      </w:r>
      <w:r w:rsidR="001331A9">
        <w:rPr>
          <w:rFonts w:ascii="Times New Roman" w:hAnsi="Times New Roman" w:cs="Times New Roman"/>
          <w:sz w:val="24"/>
          <w:szCs w:val="24"/>
        </w:rPr>
        <w:t xml:space="preserve"> </w:t>
      </w:r>
      <w:r w:rsidR="003909D7">
        <w:rPr>
          <w:rFonts w:ascii="Times New Roman" w:hAnsi="Times New Roman" w:cs="Times New Roman"/>
          <w:sz w:val="24"/>
          <w:szCs w:val="24"/>
        </w:rPr>
        <w:t>suspension</w:t>
      </w:r>
      <w:r w:rsidR="001331A9">
        <w:rPr>
          <w:rFonts w:ascii="Times New Roman" w:hAnsi="Times New Roman" w:cs="Times New Roman"/>
          <w:sz w:val="24"/>
          <w:szCs w:val="24"/>
        </w:rPr>
        <w:t xml:space="preserve"> of the operation of the first respondent’s three digital banking platforms pending the return da</w:t>
      </w:r>
      <w:r w:rsidR="007F33CF">
        <w:rPr>
          <w:rFonts w:ascii="Times New Roman" w:hAnsi="Times New Roman" w:cs="Times New Roman"/>
          <w:sz w:val="24"/>
          <w:szCs w:val="24"/>
        </w:rPr>
        <w:t>y</w:t>
      </w:r>
      <w:r w:rsidR="001331A9">
        <w:rPr>
          <w:rFonts w:ascii="Times New Roman" w:hAnsi="Times New Roman" w:cs="Times New Roman"/>
          <w:sz w:val="24"/>
          <w:szCs w:val="24"/>
        </w:rPr>
        <w:t xml:space="preserve"> </w:t>
      </w:r>
      <w:r w:rsidR="00482CC7">
        <w:rPr>
          <w:rFonts w:ascii="Times New Roman" w:hAnsi="Times New Roman" w:cs="Times New Roman"/>
          <w:sz w:val="24"/>
          <w:szCs w:val="24"/>
        </w:rPr>
        <w:t>when he will be seeking</w:t>
      </w:r>
      <w:r w:rsidR="001331A9">
        <w:rPr>
          <w:rFonts w:ascii="Times New Roman" w:hAnsi="Times New Roman" w:cs="Times New Roman"/>
          <w:sz w:val="24"/>
          <w:szCs w:val="24"/>
        </w:rPr>
        <w:t xml:space="preserve"> a </w:t>
      </w:r>
      <w:r w:rsidR="003909D7" w:rsidRPr="00482CC7">
        <w:rPr>
          <w:rFonts w:ascii="Times New Roman" w:hAnsi="Times New Roman" w:cs="Times New Roman"/>
          <w:i/>
          <w:iCs/>
          <w:sz w:val="24"/>
          <w:szCs w:val="24"/>
        </w:rPr>
        <w:t>declaratur</w:t>
      </w:r>
      <w:r w:rsidR="001331A9">
        <w:rPr>
          <w:rFonts w:ascii="Times New Roman" w:hAnsi="Times New Roman" w:cs="Times New Roman"/>
          <w:sz w:val="24"/>
          <w:szCs w:val="24"/>
        </w:rPr>
        <w:t xml:space="preserve"> </w:t>
      </w:r>
      <w:r w:rsidR="00482CC7">
        <w:rPr>
          <w:rFonts w:ascii="Times New Roman" w:hAnsi="Times New Roman" w:cs="Times New Roman"/>
          <w:sz w:val="24"/>
          <w:szCs w:val="24"/>
        </w:rPr>
        <w:t>among other reliefs</w:t>
      </w:r>
      <w:r w:rsidR="001331A9">
        <w:rPr>
          <w:rFonts w:ascii="Times New Roman" w:hAnsi="Times New Roman" w:cs="Times New Roman"/>
          <w:sz w:val="24"/>
          <w:szCs w:val="24"/>
        </w:rPr>
        <w:t xml:space="preserve">. The reliefs </w:t>
      </w:r>
      <w:r w:rsidR="00497084">
        <w:rPr>
          <w:rFonts w:ascii="Times New Roman" w:hAnsi="Times New Roman" w:cs="Times New Roman"/>
          <w:sz w:val="24"/>
          <w:szCs w:val="24"/>
        </w:rPr>
        <w:t xml:space="preserve">that </w:t>
      </w:r>
      <w:r w:rsidR="001331A9">
        <w:rPr>
          <w:rFonts w:ascii="Times New Roman" w:hAnsi="Times New Roman" w:cs="Times New Roman"/>
          <w:sz w:val="24"/>
          <w:szCs w:val="24"/>
        </w:rPr>
        <w:t>he is seeking are couched as follows</w:t>
      </w:r>
      <w:r w:rsidR="00497084">
        <w:rPr>
          <w:rFonts w:ascii="Times New Roman" w:hAnsi="Times New Roman" w:cs="Times New Roman"/>
          <w:sz w:val="24"/>
          <w:szCs w:val="24"/>
        </w:rPr>
        <w:t>.</w:t>
      </w:r>
    </w:p>
    <w:p w14:paraId="40C8E7D0" w14:textId="77777777" w:rsidR="00F4243A" w:rsidRDefault="00F4243A" w:rsidP="00882E7E">
      <w:pPr>
        <w:spacing w:after="0" w:line="360" w:lineRule="auto"/>
        <w:jc w:val="both"/>
        <w:rPr>
          <w:rFonts w:ascii="Times New Roman" w:hAnsi="Times New Roman" w:cs="Times New Roman"/>
          <w:sz w:val="24"/>
          <w:szCs w:val="24"/>
        </w:rPr>
      </w:pPr>
    </w:p>
    <w:p w14:paraId="4F9F3D13" w14:textId="7B354444" w:rsidR="00B22077" w:rsidRPr="00F4243A" w:rsidRDefault="00B22077" w:rsidP="00882E7E">
      <w:pPr>
        <w:spacing w:after="0" w:line="360" w:lineRule="auto"/>
        <w:jc w:val="both"/>
        <w:rPr>
          <w:rFonts w:ascii="Times New Roman" w:hAnsi="Times New Roman" w:cs="Times New Roman"/>
          <w:sz w:val="20"/>
          <w:szCs w:val="20"/>
        </w:rPr>
      </w:pPr>
      <w:r>
        <w:rPr>
          <w:rFonts w:ascii="Times New Roman" w:hAnsi="Times New Roman" w:cs="Times New Roman"/>
          <w:sz w:val="24"/>
          <w:szCs w:val="24"/>
        </w:rPr>
        <w:tab/>
      </w:r>
      <w:r w:rsidRPr="00F4243A">
        <w:rPr>
          <w:rFonts w:ascii="Times New Roman" w:hAnsi="Times New Roman" w:cs="Times New Roman"/>
          <w:sz w:val="20"/>
          <w:szCs w:val="20"/>
        </w:rPr>
        <w:t>“</w:t>
      </w:r>
      <w:r w:rsidRPr="00F4243A">
        <w:rPr>
          <w:rFonts w:ascii="Times New Roman" w:hAnsi="Times New Roman" w:cs="Times New Roman"/>
          <w:b/>
          <w:sz w:val="20"/>
          <w:szCs w:val="20"/>
        </w:rPr>
        <w:t xml:space="preserve">INTERIM RELIF/PROVISONAL ORDER </w:t>
      </w:r>
      <w:r w:rsidR="00F4243A" w:rsidRPr="00F4243A">
        <w:rPr>
          <w:rFonts w:ascii="Times New Roman" w:hAnsi="Times New Roman" w:cs="Times New Roman"/>
          <w:b/>
          <w:sz w:val="20"/>
          <w:szCs w:val="20"/>
        </w:rPr>
        <w:t>G</w:t>
      </w:r>
      <w:r w:rsidRPr="00F4243A">
        <w:rPr>
          <w:rFonts w:ascii="Times New Roman" w:hAnsi="Times New Roman" w:cs="Times New Roman"/>
          <w:b/>
          <w:sz w:val="20"/>
          <w:szCs w:val="20"/>
        </w:rPr>
        <w:t>RANTED</w:t>
      </w:r>
    </w:p>
    <w:p w14:paraId="2AF6E290" w14:textId="77777777" w:rsidR="00B22077" w:rsidRPr="00AE2A78" w:rsidRDefault="00B22077" w:rsidP="00AE2A78">
      <w:pPr>
        <w:spacing w:after="0" w:line="240" w:lineRule="auto"/>
        <w:jc w:val="both"/>
        <w:rPr>
          <w:rFonts w:ascii="Times New Roman" w:hAnsi="Times New Roman" w:cs="Times New Roman"/>
        </w:rPr>
      </w:pPr>
      <w:r>
        <w:rPr>
          <w:rFonts w:ascii="Times New Roman" w:hAnsi="Times New Roman" w:cs="Times New Roman"/>
          <w:sz w:val="24"/>
          <w:szCs w:val="24"/>
        </w:rPr>
        <w:tab/>
      </w:r>
      <w:r w:rsidRPr="00AE2A78">
        <w:rPr>
          <w:rFonts w:ascii="Times New Roman" w:hAnsi="Times New Roman" w:cs="Times New Roman"/>
        </w:rPr>
        <w:t>Pending the return day:</w:t>
      </w:r>
    </w:p>
    <w:p w14:paraId="5C5E6DED" w14:textId="77777777" w:rsidR="00B22077" w:rsidRPr="00AE2A78" w:rsidRDefault="00B22077" w:rsidP="00AE2A78">
      <w:pPr>
        <w:spacing w:after="0" w:line="240" w:lineRule="auto"/>
        <w:jc w:val="both"/>
        <w:rPr>
          <w:rFonts w:ascii="Times New Roman" w:hAnsi="Times New Roman" w:cs="Times New Roman"/>
        </w:rPr>
      </w:pPr>
      <w:r w:rsidRPr="00AE2A78">
        <w:rPr>
          <w:rFonts w:ascii="Times New Roman" w:hAnsi="Times New Roman" w:cs="Times New Roman"/>
        </w:rPr>
        <w:tab/>
        <w:t>IT IS HEREBY ORDERED THAT:</w:t>
      </w:r>
    </w:p>
    <w:p w14:paraId="2DABFF1B" w14:textId="755C051F" w:rsidR="00B22077" w:rsidRPr="00AE2A78" w:rsidRDefault="00B22077" w:rsidP="00AE2A78">
      <w:pPr>
        <w:pStyle w:val="ListParagraph"/>
        <w:numPr>
          <w:ilvl w:val="0"/>
          <w:numId w:val="5"/>
        </w:numPr>
        <w:spacing w:after="0" w:line="240" w:lineRule="auto"/>
        <w:jc w:val="both"/>
        <w:rPr>
          <w:rFonts w:ascii="Times New Roman" w:hAnsi="Times New Roman" w:cs="Times New Roman"/>
        </w:rPr>
      </w:pPr>
      <w:r w:rsidRPr="00AE2A78">
        <w:rPr>
          <w:rFonts w:ascii="Times New Roman" w:hAnsi="Times New Roman" w:cs="Times New Roman"/>
        </w:rPr>
        <w:t>Applicant’s application for an order suspending the operation of 1</w:t>
      </w:r>
      <w:r w:rsidRPr="00AE2A78">
        <w:rPr>
          <w:rFonts w:ascii="Times New Roman" w:hAnsi="Times New Roman" w:cs="Times New Roman"/>
          <w:vertAlign w:val="superscript"/>
        </w:rPr>
        <w:t>st</w:t>
      </w:r>
      <w:r w:rsidRPr="00AE2A78">
        <w:rPr>
          <w:rFonts w:ascii="Times New Roman" w:hAnsi="Times New Roman" w:cs="Times New Roman"/>
        </w:rPr>
        <w:t xml:space="preserve"> respondent’s digital banking platforms namely</w:t>
      </w:r>
      <w:r w:rsidR="00F4243A">
        <w:rPr>
          <w:rFonts w:ascii="Times New Roman" w:hAnsi="Times New Roman" w:cs="Times New Roman"/>
        </w:rPr>
        <w:t>:</w:t>
      </w:r>
    </w:p>
    <w:p w14:paraId="3A6678C3" w14:textId="77777777" w:rsidR="00B22077" w:rsidRPr="00AE2A78" w:rsidRDefault="00B22077" w:rsidP="00AE2A78">
      <w:pPr>
        <w:pStyle w:val="ListParagraph"/>
        <w:numPr>
          <w:ilvl w:val="0"/>
          <w:numId w:val="6"/>
        </w:numPr>
        <w:spacing w:after="0" w:line="240" w:lineRule="auto"/>
        <w:jc w:val="both"/>
        <w:rPr>
          <w:rFonts w:ascii="Times New Roman" w:hAnsi="Times New Roman" w:cs="Times New Roman"/>
        </w:rPr>
      </w:pPr>
      <w:r w:rsidRPr="00AE2A78">
        <w:rPr>
          <w:rFonts w:ascii="Times New Roman" w:hAnsi="Times New Roman" w:cs="Times New Roman"/>
        </w:rPr>
        <w:t xml:space="preserve">a mobile banking </w:t>
      </w:r>
      <w:r w:rsidR="003A11AE" w:rsidRPr="00AE2A78">
        <w:rPr>
          <w:rFonts w:ascii="Times New Roman" w:hAnsi="Times New Roman" w:cs="Times New Roman"/>
        </w:rPr>
        <w:t>platform</w:t>
      </w:r>
      <w:r w:rsidRPr="00AE2A78">
        <w:rPr>
          <w:rFonts w:ascii="Times New Roman" w:hAnsi="Times New Roman" w:cs="Times New Roman"/>
        </w:rPr>
        <w:t xml:space="preserve"> under USSD quick code *220#;</w:t>
      </w:r>
    </w:p>
    <w:p w14:paraId="0833B566" w14:textId="4C2CC5D7" w:rsidR="00B22077" w:rsidRPr="00AE2A78" w:rsidRDefault="00B22077" w:rsidP="00AE2A78">
      <w:pPr>
        <w:pStyle w:val="ListParagraph"/>
        <w:numPr>
          <w:ilvl w:val="0"/>
          <w:numId w:val="6"/>
        </w:numPr>
        <w:spacing w:after="0" w:line="240" w:lineRule="auto"/>
        <w:jc w:val="both"/>
        <w:rPr>
          <w:rFonts w:ascii="Times New Roman" w:hAnsi="Times New Roman" w:cs="Times New Roman"/>
        </w:rPr>
      </w:pPr>
      <w:r w:rsidRPr="00AE2A78">
        <w:rPr>
          <w:rFonts w:ascii="Times New Roman" w:hAnsi="Times New Roman" w:cs="Times New Roman"/>
        </w:rPr>
        <w:t>a Whatsapp digital banking platform mark</w:t>
      </w:r>
      <w:r w:rsidR="00F4243A">
        <w:rPr>
          <w:rFonts w:ascii="Times New Roman" w:hAnsi="Times New Roman" w:cs="Times New Roman"/>
        </w:rPr>
        <w:t>et</w:t>
      </w:r>
      <w:r w:rsidRPr="00AE2A78">
        <w:rPr>
          <w:rFonts w:ascii="Times New Roman" w:hAnsi="Times New Roman" w:cs="Times New Roman"/>
        </w:rPr>
        <w:t>ed as “Noku” under whatsapp Number +2637766702</w:t>
      </w:r>
      <w:r w:rsidR="003A11AE" w:rsidRPr="00AE2A78">
        <w:rPr>
          <w:rFonts w:ascii="Times New Roman" w:hAnsi="Times New Roman" w:cs="Times New Roman"/>
        </w:rPr>
        <w:t xml:space="preserve">11; </w:t>
      </w:r>
    </w:p>
    <w:p w14:paraId="42C2B464" w14:textId="77777777" w:rsidR="00AE2A78" w:rsidRPr="00AE2A78" w:rsidRDefault="00B22077" w:rsidP="00AE2A78">
      <w:pPr>
        <w:pStyle w:val="ListParagraph"/>
        <w:numPr>
          <w:ilvl w:val="0"/>
          <w:numId w:val="6"/>
        </w:numPr>
        <w:spacing w:after="0" w:line="240" w:lineRule="auto"/>
        <w:jc w:val="both"/>
        <w:rPr>
          <w:rFonts w:ascii="Times New Roman" w:hAnsi="Times New Roman" w:cs="Times New Roman"/>
        </w:rPr>
      </w:pPr>
      <w:r w:rsidRPr="00AE2A78">
        <w:rPr>
          <w:rFonts w:ascii="Times New Roman" w:hAnsi="Times New Roman" w:cs="Times New Roman"/>
        </w:rPr>
        <w:t>a mob</w:t>
      </w:r>
      <w:r w:rsidR="003A11AE" w:rsidRPr="00AE2A78">
        <w:rPr>
          <w:rFonts w:ascii="Times New Roman" w:hAnsi="Times New Roman" w:cs="Times New Roman"/>
        </w:rPr>
        <w:t>ile software application called ‘</w:t>
      </w:r>
      <w:r w:rsidRPr="00AE2A78">
        <w:rPr>
          <w:rFonts w:ascii="Times New Roman" w:hAnsi="Times New Roman" w:cs="Times New Roman"/>
        </w:rPr>
        <w:t>Mobile Moola App</w:t>
      </w:r>
      <w:r w:rsidR="003A11AE" w:rsidRPr="00AE2A78">
        <w:rPr>
          <w:rFonts w:ascii="Times New Roman" w:hAnsi="Times New Roman" w:cs="Times New Roman"/>
        </w:rPr>
        <w:t>’</w:t>
      </w:r>
      <w:r w:rsidRPr="00AE2A78">
        <w:rPr>
          <w:rFonts w:ascii="Times New Roman" w:hAnsi="Times New Roman" w:cs="Times New Roman"/>
        </w:rPr>
        <w:t xml:space="preserve"> (</w:t>
      </w:r>
      <w:r w:rsidR="003A11AE" w:rsidRPr="00AE2A78">
        <w:rPr>
          <w:rFonts w:ascii="Times New Roman" w:hAnsi="Times New Roman" w:cs="Times New Roman"/>
        </w:rPr>
        <w:t>‘the 1</w:t>
      </w:r>
      <w:r w:rsidR="003A11AE" w:rsidRPr="00AE2A78">
        <w:rPr>
          <w:rFonts w:ascii="Times New Roman" w:hAnsi="Times New Roman" w:cs="Times New Roman"/>
          <w:vertAlign w:val="superscript"/>
        </w:rPr>
        <w:t>st</w:t>
      </w:r>
      <w:r w:rsidR="003A11AE" w:rsidRPr="00AE2A78">
        <w:rPr>
          <w:rFonts w:ascii="Times New Roman" w:hAnsi="Times New Roman" w:cs="Times New Roman"/>
        </w:rPr>
        <w:t xml:space="preserve"> respondent’s digital platforms’) </w:t>
      </w:r>
    </w:p>
    <w:p w14:paraId="428F2BDB" w14:textId="6CAEAFFB" w:rsidR="00B22077" w:rsidRDefault="003A11AE" w:rsidP="00AE2A78">
      <w:pPr>
        <w:pStyle w:val="ListParagraph"/>
        <w:spacing w:after="0" w:line="240" w:lineRule="auto"/>
        <w:ind w:left="1440"/>
        <w:jc w:val="both"/>
        <w:rPr>
          <w:rFonts w:ascii="Times New Roman" w:hAnsi="Times New Roman" w:cs="Times New Roman"/>
        </w:rPr>
      </w:pPr>
      <w:r w:rsidRPr="00AE2A78">
        <w:rPr>
          <w:rFonts w:ascii="Times New Roman" w:hAnsi="Times New Roman" w:cs="Times New Roman"/>
        </w:rPr>
        <w:t>be and is hereby granted.</w:t>
      </w:r>
    </w:p>
    <w:p w14:paraId="04A21916" w14:textId="77777777" w:rsidR="00F4243A" w:rsidRPr="00AE2A78" w:rsidRDefault="00F4243A" w:rsidP="00AE2A78">
      <w:pPr>
        <w:pStyle w:val="ListParagraph"/>
        <w:spacing w:after="0" w:line="240" w:lineRule="auto"/>
        <w:ind w:left="1440"/>
        <w:jc w:val="both"/>
        <w:rPr>
          <w:rFonts w:ascii="Times New Roman" w:hAnsi="Times New Roman" w:cs="Times New Roman"/>
        </w:rPr>
      </w:pPr>
    </w:p>
    <w:p w14:paraId="09924DFF" w14:textId="05AD803A" w:rsidR="003A11AE" w:rsidRDefault="003A11AE" w:rsidP="00AE2A78">
      <w:pPr>
        <w:spacing w:after="0" w:line="240" w:lineRule="auto"/>
        <w:ind w:left="720"/>
        <w:jc w:val="both"/>
        <w:rPr>
          <w:rFonts w:ascii="Times New Roman" w:hAnsi="Times New Roman" w:cs="Times New Roman"/>
          <w:b/>
          <w:bCs/>
          <w:sz w:val="20"/>
          <w:szCs w:val="20"/>
        </w:rPr>
      </w:pPr>
      <w:r w:rsidRPr="00F4243A">
        <w:rPr>
          <w:rFonts w:ascii="Times New Roman" w:hAnsi="Times New Roman" w:cs="Times New Roman"/>
          <w:b/>
          <w:bCs/>
          <w:sz w:val="20"/>
          <w:szCs w:val="20"/>
        </w:rPr>
        <w:t>TERMS OF FINAL ORDER SOUGHT</w:t>
      </w:r>
    </w:p>
    <w:p w14:paraId="6C1CF63A" w14:textId="77777777" w:rsidR="00F72109" w:rsidRPr="00F4243A" w:rsidRDefault="00F72109" w:rsidP="00AE2A78">
      <w:pPr>
        <w:spacing w:after="0" w:line="240" w:lineRule="auto"/>
        <w:ind w:left="720"/>
        <w:jc w:val="both"/>
        <w:rPr>
          <w:rFonts w:ascii="Times New Roman" w:hAnsi="Times New Roman" w:cs="Times New Roman"/>
          <w:b/>
          <w:bCs/>
          <w:sz w:val="20"/>
          <w:szCs w:val="20"/>
        </w:rPr>
      </w:pPr>
    </w:p>
    <w:p w14:paraId="4CC6F685" w14:textId="77777777" w:rsidR="003A11AE" w:rsidRPr="00AE2A78" w:rsidRDefault="003A11AE" w:rsidP="00AE2A78">
      <w:pPr>
        <w:spacing w:after="0" w:line="240" w:lineRule="auto"/>
        <w:ind w:left="720"/>
        <w:jc w:val="both"/>
        <w:rPr>
          <w:rFonts w:ascii="Times New Roman" w:hAnsi="Times New Roman" w:cs="Times New Roman"/>
        </w:rPr>
      </w:pPr>
      <w:r w:rsidRPr="00AE2A78">
        <w:rPr>
          <w:rFonts w:ascii="Times New Roman" w:hAnsi="Times New Roman" w:cs="Times New Roman"/>
        </w:rPr>
        <w:t>That you show cause to this Honourable Court, why a final order should not be made in the following terms:</w:t>
      </w:r>
    </w:p>
    <w:p w14:paraId="07EC1FB7" w14:textId="77777777" w:rsidR="00B22077" w:rsidRPr="00AE2A78" w:rsidRDefault="003A11AE" w:rsidP="00AE2A78">
      <w:pPr>
        <w:pStyle w:val="ListParagraph"/>
        <w:numPr>
          <w:ilvl w:val="0"/>
          <w:numId w:val="9"/>
        </w:numPr>
        <w:spacing w:after="0" w:line="240" w:lineRule="auto"/>
        <w:jc w:val="both"/>
        <w:rPr>
          <w:rFonts w:ascii="Times New Roman" w:hAnsi="Times New Roman" w:cs="Times New Roman"/>
        </w:rPr>
      </w:pPr>
      <w:r w:rsidRPr="00AE2A78">
        <w:rPr>
          <w:rFonts w:ascii="Times New Roman" w:hAnsi="Times New Roman" w:cs="Times New Roman"/>
        </w:rPr>
        <w:t>The digital banking platforms of the 1</w:t>
      </w:r>
      <w:r w:rsidRPr="00AE2A78">
        <w:rPr>
          <w:rFonts w:ascii="Times New Roman" w:hAnsi="Times New Roman" w:cs="Times New Roman"/>
          <w:vertAlign w:val="superscript"/>
        </w:rPr>
        <w:t>st</w:t>
      </w:r>
      <w:r w:rsidRPr="00AE2A78">
        <w:rPr>
          <w:rFonts w:ascii="Times New Roman" w:hAnsi="Times New Roman" w:cs="Times New Roman"/>
        </w:rPr>
        <w:t xml:space="preserve"> respondent namely:</w:t>
      </w:r>
    </w:p>
    <w:p w14:paraId="08896954" w14:textId="77777777" w:rsidR="00AE2A78" w:rsidRPr="00AE2A78" w:rsidRDefault="00AE2A78" w:rsidP="00AE2A78">
      <w:pPr>
        <w:pStyle w:val="ListParagraph"/>
        <w:spacing w:after="0" w:line="240" w:lineRule="auto"/>
        <w:ind w:left="1440"/>
        <w:jc w:val="both"/>
        <w:rPr>
          <w:rFonts w:ascii="Times New Roman" w:hAnsi="Times New Roman" w:cs="Times New Roman"/>
        </w:rPr>
      </w:pPr>
    </w:p>
    <w:p w14:paraId="1A9A77B0" w14:textId="77777777" w:rsidR="00AE2A78" w:rsidRPr="00AE2A78" w:rsidRDefault="00AE2A78" w:rsidP="00AE2A78">
      <w:pPr>
        <w:pStyle w:val="ListParagraph"/>
        <w:numPr>
          <w:ilvl w:val="0"/>
          <w:numId w:val="8"/>
        </w:numPr>
        <w:spacing w:after="0" w:line="360" w:lineRule="auto"/>
        <w:jc w:val="both"/>
        <w:rPr>
          <w:rFonts w:ascii="Times New Roman" w:hAnsi="Times New Roman" w:cs="Times New Roman"/>
        </w:rPr>
      </w:pPr>
      <w:r w:rsidRPr="00AE2A78">
        <w:rPr>
          <w:rFonts w:ascii="Times New Roman" w:hAnsi="Times New Roman" w:cs="Times New Roman"/>
        </w:rPr>
        <w:t>a mobile banking platform under USSD quick code *220#;</w:t>
      </w:r>
    </w:p>
    <w:p w14:paraId="32EE48F2" w14:textId="7F0EC1ED" w:rsidR="00AE2A78" w:rsidRPr="00AE2A78" w:rsidRDefault="00AE2A78" w:rsidP="00AE2A78">
      <w:pPr>
        <w:pStyle w:val="ListParagraph"/>
        <w:numPr>
          <w:ilvl w:val="0"/>
          <w:numId w:val="8"/>
        </w:numPr>
        <w:spacing w:after="0" w:line="360" w:lineRule="auto"/>
        <w:jc w:val="both"/>
        <w:rPr>
          <w:rFonts w:ascii="Times New Roman" w:hAnsi="Times New Roman" w:cs="Times New Roman"/>
        </w:rPr>
      </w:pPr>
      <w:r w:rsidRPr="00AE2A78">
        <w:rPr>
          <w:rFonts w:ascii="Times New Roman" w:hAnsi="Times New Roman" w:cs="Times New Roman"/>
        </w:rPr>
        <w:t>a Whatsapp digital banking platform mark</w:t>
      </w:r>
      <w:r w:rsidR="00F72109">
        <w:rPr>
          <w:rFonts w:ascii="Times New Roman" w:hAnsi="Times New Roman" w:cs="Times New Roman"/>
        </w:rPr>
        <w:t>et</w:t>
      </w:r>
      <w:r w:rsidRPr="00AE2A78">
        <w:rPr>
          <w:rFonts w:ascii="Times New Roman" w:hAnsi="Times New Roman" w:cs="Times New Roman"/>
        </w:rPr>
        <w:t xml:space="preserve">ed as “Noku” under whatsapp Number +263776670211; </w:t>
      </w:r>
    </w:p>
    <w:p w14:paraId="7A71339E" w14:textId="77777777" w:rsidR="00AE2A78" w:rsidRPr="00AE2A78" w:rsidRDefault="00AE2A78" w:rsidP="00AE2A78">
      <w:pPr>
        <w:pStyle w:val="ListParagraph"/>
        <w:numPr>
          <w:ilvl w:val="0"/>
          <w:numId w:val="8"/>
        </w:numPr>
        <w:spacing w:after="0" w:line="240" w:lineRule="auto"/>
        <w:jc w:val="both"/>
        <w:rPr>
          <w:rFonts w:ascii="Times New Roman" w:hAnsi="Times New Roman" w:cs="Times New Roman"/>
        </w:rPr>
      </w:pPr>
      <w:r w:rsidRPr="00AE2A78">
        <w:rPr>
          <w:rFonts w:ascii="Times New Roman" w:hAnsi="Times New Roman" w:cs="Times New Roman"/>
        </w:rPr>
        <w:t>a mobile software application called ‘Mobile Moola App’ (‘the 1</w:t>
      </w:r>
      <w:r w:rsidRPr="00AE2A78">
        <w:rPr>
          <w:rFonts w:ascii="Times New Roman" w:hAnsi="Times New Roman" w:cs="Times New Roman"/>
          <w:vertAlign w:val="superscript"/>
        </w:rPr>
        <w:t>st</w:t>
      </w:r>
      <w:r w:rsidRPr="00AE2A78">
        <w:rPr>
          <w:rFonts w:ascii="Times New Roman" w:hAnsi="Times New Roman" w:cs="Times New Roman"/>
        </w:rPr>
        <w:t xml:space="preserve"> respondent’s digital platforms’) </w:t>
      </w:r>
    </w:p>
    <w:p w14:paraId="63D62E15" w14:textId="74329802" w:rsidR="00AE2A78" w:rsidRDefault="00AE2A78" w:rsidP="00AE2A78">
      <w:pPr>
        <w:pStyle w:val="ListParagraph"/>
        <w:spacing w:after="0" w:line="240" w:lineRule="auto"/>
        <w:ind w:left="1440"/>
        <w:jc w:val="both"/>
        <w:rPr>
          <w:rFonts w:ascii="Times New Roman" w:hAnsi="Times New Roman" w:cs="Times New Roman"/>
        </w:rPr>
      </w:pPr>
      <w:r w:rsidRPr="00AE2A78">
        <w:rPr>
          <w:rFonts w:ascii="Times New Roman" w:hAnsi="Times New Roman" w:cs="Times New Roman"/>
        </w:rPr>
        <w:t>be and is hereby declared unlawful.</w:t>
      </w:r>
    </w:p>
    <w:p w14:paraId="53FE68C1" w14:textId="77777777" w:rsidR="00F72109" w:rsidRPr="00AE2A78" w:rsidRDefault="00F72109" w:rsidP="00AE2A78">
      <w:pPr>
        <w:pStyle w:val="ListParagraph"/>
        <w:spacing w:after="0" w:line="240" w:lineRule="auto"/>
        <w:ind w:left="1440"/>
        <w:jc w:val="both"/>
        <w:rPr>
          <w:rFonts w:ascii="Times New Roman" w:hAnsi="Times New Roman" w:cs="Times New Roman"/>
        </w:rPr>
      </w:pPr>
    </w:p>
    <w:p w14:paraId="2AB2B4DF" w14:textId="6205A0D5" w:rsidR="00AE2A78" w:rsidRDefault="00AE2A78" w:rsidP="00AE2A78">
      <w:pPr>
        <w:pStyle w:val="ListParagraph"/>
        <w:numPr>
          <w:ilvl w:val="0"/>
          <w:numId w:val="5"/>
        </w:numPr>
        <w:spacing w:after="0" w:line="240" w:lineRule="auto"/>
        <w:jc w:val="both"/>
        <w:rPr>
          <w:rFonts w:ascii="Times New Roman" w:hAnsi="Times New Roman" w:cs="Times New Roman"/>
        </w:rPr>
      </w:pPr>
      <w:r w:rsidRPr="00AE2A78">
        <w:rPr>
          <w:rFonts w:ascii="Times New Roman" w:hAnsi="Times New Roman" w:cs="Times New Roman"/>
        </w:rPr>
        <w:t>That the 1</w:t>
      </w:r>
      <w:r w:rsidRPr="00AE2A78">
        <w:rPr>
          <w:rFonts w:ascii="Times New Roman" w:hAnsi="Times New Roman" w:cs="Times New Roman"/>
          <w:vertAlign w:val="superscript"/>
        </w:rPr>
        <w:t>st</w:t>
      </w:r>
      <w:r w:rsidRPr="00AE2A78">
        <w:rPr>
          <w:rFonts w:ascii="Times New Roman" w:hAnsi="Times New Roman" w:cs="Times New Roman"/>
        </w:rPr>
        <w:t xml:space="preserve"> respondent be and is hereby barred from launching any alternative mobile banking platforms that are non-compliant with ss 15, 16 and 17 of the Money Laundering and Proceeds of Crime Act [</w:t>
      </w:r>
      <w:r w:rsidRPr="00AE2A78">
        <w:rPr>
          <w:rFonts w:ascii="Times New Roman" w:hAnsi="Times New Roman" w:cs="Times New Roman"/>
          <w:i/>
        </w:rPr>
        <w:t>Chapter 9:24</w:t>
      </w:r>
      <w:r w:rsidRPr="00AE2A78">
        <w:rPr>
          <w:rFonts w:ascii="Times New Roman" w:hAnsi="Times New Roman" w:cs="Times New Roman"/>
        </w:rPr>
        <w:t>].</w:t>
      </w:r>
    </w:p>
    <w:p w14:paraId="24D18F4D" w14:textId="77777777" w:rsidR="00AE2A78" w:rsidRPr="00AE2A78" w:rsidRDefault="00AE2A78" w:rsidP="00AE2A78">
      <w:pPr>
        <w:pStyle w:val="ListParagraph"/>
        <w:spacing w:after="0" w:line="240" w:lineRule="auto"/>
        <w:ind w:left="1080"/>
        <w:jc w:val="both"/>
        <w:rPr>
          <w:rFonts w:ascii="Times New Roman" w:hAnsi="Times New Roman" w:cs="Times New Roman"/>
        </w:rPr>
      </w:pPr>
    </w:p>
    <w:p w14:paraId="039785DB" w14:textId="77777777" w:rsidR="00F72109" w:rsidRDefault="00AE2A78" w:rsidP="00F72109">
      <w:pPr>
        <w:pStyle w:val="ListParagraph"/>
        <w:numPr>
          <w:ilvl w:val="0"/>
          <w:numId w:val="5"/>
        </w:numPr>
        <w:spacing w:after="0" w:line="240" w:lineRule="auto"/>
        <w:jc w:val="both"/>
        <w:rPr>
          <w:rFonts w:ascii="Times New Roman" w:hAnsi="Times New Roman" w:cs="Times New Roman"/>
        </w:rPr>
      </w:pPr>
      <w:r w:rsidRPr="00AE2A78">
        <w:rPr>
          <w:rFonts w:ascii="Times New Roman" w:hAnsi="Times New Roman" w:cs="Times New Roman"/>
        </w:rPr>
        <w:t>That the 1</w:t>
      </w:r>
      <w:r w:rsidRPr="00AE2A78">
        <w:rPr>
          <w:rFonts w:ascii="Times New Roman" w:hAnsi="Times New Roman" w:cs="Times New Roman"/>
          <w:vertAlign w:val="superscript"/>
        </w:rPr>
        <w:t>st</w:t>
      </w:r>
      <w:r w:rsidRPr="00AE2A78">
        <w:rPr>
          <w:rFonts w:ascii="Times New Roman" w:hAnsi="Times New Roman" w:cs="Times New Roman"/>
        </w:rPr>
        <w:t xml:space="preserve"> respondent be and is hereby ordered to regularise any and all customer bank accounts it holds that are non-complaint with ss 15, 16 and 17 of the Money Laundering and Proceeds of Crimes Act [</w:t>
      </w:r>
      <w:r w:rsidRPr="00AE2A78">
        <w:rPr>
          <w:rFonts w:ascii="Times New Roman" w:hAnsi="Times New Roman" w:cs="Times New Roman"/>
          <w:i/>
        </w:rPr>
        <w:t>Chapter 9:24</w:t>
      </w:r>
      <w:r w:rsidRPr="00AE2A78">
        <w:rPr>
          <w:rFonts w:ascii="Times New Roman" w:hAnsi="Times New Roman" w:cs="Times New Roman"/>
        </w:rPr>
        <w:t>] within 120 days of this order.</w:t>
      </w:r>
    </w:p>
    <w:p w14:paraId="66F6C2C7" w14:textId="77777777" w:rsidR="00F72109" w:rsidRPr="00F72109" w:rsidRDefault="00F72109" w:rsidP="00F72109">
      <w:pPr>
        <w:pStyle w:val="ListParagraph"/>
        <w:rPr>
          <w:rFonts w:ascii="Times New Roman" w:hAnsi="Times New Roman" w:cs="Times New Roman"/>
          <w:sz w:val="24"/>
          <w:szCs w:val="24"/>
        </w:rPr>
      </w:pPr>
    </w:p>
    <w:p w14:paraId="1302C9C8" w14:textId="4AD3BB76" w:rsidR="00F72109" w:rsidRPr="00523837" w:rsidRDefault="00AE2A78" w:rsidP="00523837">
      <w:pPr>
        <w:pStyle w:val="ListParagraph"/>
        <w:numPr>
          <w:ilvl w:val="0"/>
          <w:numId w:val="5"/>
        </w:numPr>
        <w:spacing w:after="0" w:line="240" w:lineRule="auto"/>
        <w:jc w:val="both"/>
        <w:rPr>
          <w:rFonts w:ascii="Times New Roman" w:hAnsi="Times New Roman" w:cs="Times New Roman"/>
        </w:rPr>
      </w:pPr>
      <w:r w:rsidRPr="00F72109">
        <w:rPr>
          <w:rFonts w:ascii="Times New Roman" w:hAnsi="Times New Roman" w:cs="Times New Roman"/>
          <w:sz w:val="24"/>
          <w:szCs w:val="24"/>
        </w:rPr>
        <w:t>That the 1</w:t>
      </w:r>
      <w:r w:rsidRPr="00F72109">
        <w:rPr>
          <w:rFonts w:ascii="Times New Roman" w:hAnsi="Times New Roman" w:cs="Times New Roman"/>
          <w:sz w:val="24"/>
          <w:szCs w:val="24"/>
          <w:vertAlign w:val="superscript"/>
        </w:rPr>
        <w:t>st</w:t>
      </w:r>
      <w:r w:rsidRPr="00F72109">
        <w:rPr>
          <w:rFonts w:ascii="Times New Roman" w:hAnsi="Times New Roman" w:cs="Times New Roman"/>
          <w:sz w:val="24"/>
          <w:szCs w:val="24"/>
        </w:rPr>
        <w:t xml:space="preserve"> respondent is hereby ordered to pay applicant’s costs of suit on a legal pr</w:t>
      </w:r>
      <w:r w:rsidR="00AE3E29" w:rsidRPr="00F72109">
        <w:rPr>
          <w:rFonts w:ascii="Times New Roman" w:hAnsi="Times New Roman" w:cs="Times New Roman"/>
          <w:sz w:val="24"/>
          <w:szCs w:val="24"/>
        </w:rPr>
        <w:t>actitioner and own client scale.</w:t>
      </w:r>
      <w:r w:rsidR="00F72109" w:rsidRPr="00F72109">
        <w:rPr>
          <w:rFonts w:ascii="Times New Roman" w:hAnsi="Times New Roman" w:cs="Times New Roman"/>
          <w:sz w:val="24"/>
          <w:szCs w:val="24"/>
        </w:rPr>
        <w:t>”</w:t>
      </w:r>
    </w:p>
    <w:p w14:paraId="37CB8ABD" w14:textId="31FD0CD8" w:rsidR="00523837" w:rsidRPr="00523837" w:rsidRDefault="00523837" w:rsidP="00523837">
      <w:pPr>
        <w:spacing w:after="0" w:line="240" w:lineRule="auto"/>
        <w:jc w:val="both"/>
        <w:rPr>
          <w:rFonts w:ascii="Times New Roman" w:hAnsi="Times New Roman" w:cs="Times New Roman"/>
        </w:rPr>
      </w:pPr>
    </w:p>
    <w:p w14:paraId="2E6FFDD9" w14:textId="0A650C77" w:rsidR="00865BBA" w:rsidRDefault="00865BBA" w:rsidP="00AE3E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application the first respondent raised some preliminary points which I shall deal with later. The applicant filed an answering affidavit to the first respondent’s opposing affidavit and </w:t>
      </w:r>
      <w:r w:rsidR="003F0909">
        <w:rPr>
          <w:rFonts w:ascii="Times New Roman" w:hAnsi="Times New Roman" w:cs="Times New Roman"/>
          <w:sz w:val="24"/>
          <w:szCs w:val="24"/>
        </w:rPr>
        <w:t>in doing so</w:t>
      </w:r>
      <w:r w:rsidR="00414694">
        <w:rPr>
          <w:rFonts w:ascii="Times New Roman" w:hAnsi="Times New Roman" w:cs="Times New Roman"/>
          <w:sz w:val="24"/>
          <w:szCs w:val="24"/>
        </w:rPr>
        <w:t>,</w:t>
      </w:r>
      <w:r w:rsidR="003F0909">
        <w:rPr>
          <w:rFonts w:ascii="Times New Roman" w:hAnsi="Times New Roman" w:cs="Times New Roman"/>
          <w:sz w:val="24"/>
          <w:szCs w:val="24"/>
        </w:rPr>
        <w:t xml:space="preserve"> he </w:t>
      </w:r>
      <w:r>
        <w:rPr>
          <w:rFonts w:ascii="Times New Roman" w:hAnsi="Times New Roman" w:cs="Times New Roman"/>
          <w:sz w:val="24"/>
          <w:szCs w:val="24"/>
        </w:rPr>
        <w:t xml:space="preserve">raised a </w:t>
      </w:r>
      <w:r w:rsidRPr="00865BBA">
        <w:rPr>
          <w:rFonts w:ascii="Times New Roman" w:hAnsi="Times New Roman" w:cs="Times New Roman"/>
          <w:sz w:val="24"/>
          <w:szCs w:val="24"/>
        </w:rPr>
        <w:t>point</w:t>
      </w:r>
      <w:r w:rsidRPr="00865BBA">
        <w:rPr>
          <w:rFonts w:ascii="Times New Roman" w:hAnsi="Times New Roman" w:cs="Times New Roman"/>
          <w:i/>
          <w:sz w:val="24"/>
          <w:szCs w:val="24"/>
        </w:rPr>
        <w:t xml:space="preserve"> in limine</w:t>
      </w:r>
      <w:r>
        <w:rPr>
          <w:rFonts w:ascii="Times New Roman" w:hAnsi="Times New Roman" w:cs="Times New Roman"/>
          <w:i/>
          <w:sz w:val="24"/>
          <w:szCs w:val="24"/>
        </w:rPr>
        <w:t xml:space="preserve"> </w:t>
      </w:r>
      <w:r>
        <w:rPr>
          <w:rFonts w:ascii="Times New Roman" w:hAnsi="Times New Roman" w:cs="Times New Roman"/>
          <w:sz w:val="24"/>
          <w:szCs w:val="24"/>
        </w:rPr>
        <w:t>that it is wrong for Sharon M</w:t>
      </w:r>
      <w:r w:rsidR="003F0909">
        <w:rPr>
          <w:rFonts w:ascii="Times New Roman" w:hAnsi="Times New Roman" w:cs="Times New Roman"/>
          <w:sz w:val="24"/>
          <w:szCs w:val="24"/>
        </w:rPr>
        <w:t>a</w:t>
      </w:r>
      <w:r>
        <w:rPr>
          <w:rFonts w:ascii="Times New Roman" w:hAnsi="Times New Roman" w:cs="Times New Roman"/>
          <w:sz w:val="24"/>
          <w:szCs w:val="24"/>
        </w:rPr>
        <w:t>nangara to depose to an affidavit purporting to act on behalf of the second respondent without the necessary authority in the form of a board resolution appoint</w:t>
      </w:r>
      <w:r w:rsidR="003F0909">
        <w:rPr>
          <w:rFonts w:ascii="Times New Roman" w:hAnsi="Times New Roman" w:cs="Times New Roman"/>
          <w:sz w:val="24"/>
          <w:szCs w:val="24"/>
        </w:rPr>
        <w:t>ing</w:t>
      </w:r>
      <w:r>
        <w:rPr>
          <w:rFonts w:ascii="Times New Roman" w:hAnsi="Times New Roman" w:cs="Times New Roman"/>
          <w:sz w:val="24"/>
          <w:szCs w:val="24"/>
        </w:rPr>
        <w:t xml:space="preserve"> her to do so. The applicant aver</w:t>
      </w:r>
      <w:r w:rsidR="003F0909">
        <w:rPr>
          <w:rFonts w:ascii="Times New Roman" w:hAnsi="Times New Roman" w:cs="Times New Roman"/>
          <w:sz w:val="24"/>
          <w:szCs w:val="24"/>
        </w:rPr>
        <w:t>re</w:t>
      </w:r>
      <w:r>
        <w:rPr>
          <w:rFonts w:ascii="Times New Roman" w:hAnsi="Times New Roman" w:cs="Times New Roman"/>
          <w:sz w:val="24"/>
          <w:szCs w:val="24"/>
        </w:rPr>
        <w:t xml:space="preserve">d that under such circumstances no opposition was filed. I will dismiss this point </w:t>
      </w:r>
      <w:r w:rsidRPr="00865BBA">
        <w:rPr>
          <w:rFonts w:ascii="Times New Roman" w:hAnsi="Times New Roman" w:cs="Times New Roman"/>
          <w:i/>
          <w:sz w:val="24"/>
          <w:szCs w:val="24"/>
        </w:rPr>
        <w:t>in limine</w:t>
      </w:r>
      <w:r>
        <w:rPr>
          <w:rFonts w:ascii="Times New Roman" w:hAnsi="Times New Roman" w:cs="Times New Roman"/>
          <w:i/>
          <w:sz w:val="24"/>
          <w:szCs w:val="24"/>
        </w:rPr>
        <w:t xml:space="preserve"> </w:t>
      </w:r>
      <w:r>
        <w:rPr>
          <w:rFonts w:ascii="Times New Roman" w:hAnsi="Times New Roman" w:cs="Times New Roman"/>
          <w:sz w:val="24"/>
          <w:szCs w:val="24"/>
        </w:rPr>
        <w:t xml:space="preserve">for the simple reason that </w:t>
      </w:r>
      <w:r w:rsidR="00D80366">
        <w:rPr>
          <w:rFonts w:ascii="Times New Roman" w:hAnsi="Times New Roman" w:cs="Times New Roman"/>
          <w:sz w:val="24"/>
          <w:szCs w:val="24"/>
        </w:rPr>
        <w:t>it clearly states that it is attacking the opposing affidavit of the</w:t>
      </w:r>
      <w:r>
        <w:rPr>
          <w:rFonts w:ascii="Times New Roman" w:hAnsi="Times New Roman" w:cs="Times New Roman"/>
          <w:sz w:val="24"/>
          <w:szCs w:val="24"/>
        </w:rPr>
        <w:t xml:space="preserve"> second respondent </w:t>
      </w:r>
      <w:r w:rsidR="00F009B7">
        <w:rPr>
          <w:rFonts w:ascii="Times New Roman" w:hAnsi="Times New Roman" w:cs="Times New Roman"/>
          <w:sz w:val="24"/>
          <w:szCs w:val="24"/>
        </w:rPr>
        <w:t>and not</w:t>
      </w:r>
      <w:r w:rsidR="00D80366">
        <w:rPr>
          <w:rFonts w:ascii="Times New Roman" w:hAnsi="Times New Roman" w:cs="Times New Roman"/>
          <w:sz w:val="24"/>
          <w:szCs w:val="24"/>
        </w:rPr>
        <w:t xml:space="preserve"> the </w:t>
      </w:r>
      <w:r w:rsidR="00F009B7">
        <w:rPr>
          <w:rFonts w:ascii="Times New Roman" w:hAnsi="Times New Roman" w:cs="Times New Roman"/>
          <w:sz w:val="24"/>
          <w:szCs w:val="24"/>
        </w:rPr>
        <w:t>first</w:t>
      </w:r>
      <w:r w:rsidR="00D80366">
        <w:rPr>
          <w:rFonts w:ascii="Times New Roman" w:hAnsi="Times New Roman" w:cs="Times New Roman"/>
          <w:sz w:val="24"/>
          <w:szCs w:val="24"/>
        </w:rPr>
        <w:t xml:space="preserve"> respondent</w:t>
      </w:r>
      <w:r w:rsidR="00F009B7">
        <w:rPr>
          <w:rFonts w:ascii="Times New Roman" w:hAnsi="Times New Roman" w:cs="Times New Roman"/>
          <w:sz w:val="24"/>
          <w:szCs w:val="24"/>
        </w:rPr>
        <w:t>.</w:t>
      </w:r>
      <w:r w:rsidR="00D80366">
        <w:rPr>
          <w:rFonts w:ascii="Times New Roman" w:hAnsi="Times New Roman" w:cs="Times New Roman"/>
          <w:sz w:val="24"/>
          <w:szCs w:val="24"/>
        </w:rPr>
        <w:t xml:space="preserve"> </w:t>
      </w:r>
      <w:r w:rsidR="00F009B7">
        <w:rPr>
          <w:rFonts w:ascii="Times New Roman" w:hAnsi="Times New Roman" w:cs="Times New Roman"/>
          <w:sz w:val="24"/>
          <w:szCs w:val="24"/>
        </w:rPr>
        <w:t xml:space="preserve">Besides, </w:t>
      </w:r>
      <w:r>
        <w:rPr>
          <w:rFonts w:ascii="Times New Roman" w:hAnsi="Times New Roman" w:cs="Times New Roman"/>
          <w:sz w:val="24"/>
          <w:szCs w:val="24"/>
        </w:rPr>
        <w:t>the depo</w:t>
      </w:r>
      <w:r w:rsidR="00F009B7">
        <w:rPr>
          <w:rFonts w:ascii="Times New Roman" w:hAnsi="Times New Roman" w:cs="Times New Roman"/>
          <w:sz w:val="24"/>
          <w:szCs w:val="24"/>
        </w:rPr>
        <w:t xml:space="preserve">nent to the </w:t>
      </w:r>
      <w:r w:rsidR="00F009B7">
        <w:rPr>
          <w:rFonts w:ascii="Times New Roman" w:hAnsi="Times New Roman" w:cs="Times New Roman"/>
          <w:sz w:val="24"/>
          <w:szCs w:val="24"/>
        </w:rPr>
        <w:lastRenderedPageBreak/>
        <w:t xml:space="preserve">first respondent’s </w:t>
      </w:r>
      <w:r w:rsidR="003F0909">
        <w:rPr>
          <w:rFonts w:ascii="Times New Roman" w:hAnsi="Times New Roman" w:cs="Times New Roman"/>
          <w:sz w:val="24"/>
          <w:szCs w:val="24"/>
        </w:rPr>
        <w:t xml:space="preserve">opposing </w:t>
      </w:r>
      <w:r>
        <w:rPr>
          <w:rFonts w:ascii="Times New Roman" w:hAnsi="Times New Roman" w:cs="Times New Roman"/>
          <w:sz w:val="24"/>
          <w:szCs w:val="24"/>
        </w:rPr>
        <w:t xml:space="preserve">affidavit is </w:t>
      </w:r>
      <w:bookmarkStart w:id="6" w:name="_Hlk66690710"/>
      <w:r>
        <w:rPr>
          <w:rFonts w:ascii="Times New Roman" w:hAnsi="Times New Roman" w:cs="Times New Roman"/>
          <w:sz w:val="24"/>
          <w:szCs w:val="24"/>
        </w:rPr>
        <w:t>Sharon Manangazira</w:t>
      </w:r>
      <w:bookmarkEnd w:id="6"/>
      <w:r w:rsidR="00F009B7">
        <w:rPr>
          <w:rFonts w:ascii="Times New Roman" w:hAnsi="Times New Roman" w:cs="Times New Roman"/>
          <w:sz w:val="24"/>
          <w:szCs w:val="24"/>
        </w:rPr>
        <w:t xml:space="preserve"> and not</w:t>
      </w:r>
      <w:r w:rsidR="00F009B7" w:rsidRPr="00F009B7">
        <w:rPr>
          <w:rFonts w:ascii="Times New Roman" w:hAnsi="Times New Roman" w:cs="Times New Roman"/>
          <w:sz w:val="24"/>
          <w:szCs w:val="24"/>
        </w:rPr>
        <w:t xml:space="preserve"> </w:t>
      </w:r>
      <w:r w:rsidR="00F009B7">
        <w:rPr>
          <w:rFonts w:ascii="Times New Roman" w:hAnsi="Times New Roman" w:cs="Times New Roman"/>
          <w:sz w:val="24"/>
          <w:szCs w:val="24"/>
        </w:rPr>
        <w:t>Sharon Manangara</w:t>
      </w:r>
      <w:r>
        <w:rPr>
          <w:rFonts w:ascii="Times New Roman" w:hAnsi="Times New Roman" w:cs="Times New Roman"/>
          <w:sz w:val="24"/>
          <w:szCs w:val="24"/>
        </w:rPr>
        <w:t xml:space="preserve">. </w:t>
      </w:r>
      <w:r w:rsidR="00AD05DF">
        <w:rPr>
          <w:rFonts w:ascii="Times New Roman" w:hAnsi="Times New Roman" w:cs="Times New Roman"/>
          <w:sz w:val="24"/>
          <w:szCs w:val="24"/>
        </w:rPr>
        <w:t xml:space="preserve">So, the point </w:t>
      </w:r>
      <w:r w:rsidR="00AD05DF" w:rsidRPr="00AD05DF">
        <w:rPr>
          <w:rFonts w:ascii="Times New Roman" w:hAnsi="Times New Roman" w:cs="Times New Roman"/>
          <w:i/>
          <w:iCs/>
          <w:sz w:val="24"/>
          <w:szCs w:val="24"/>
        </w:rPr>
        <w:t>in limine</w:t>
      </w:r>
      <w:r w:rsidR="00AD05DF">
        <w:rPr>
          <w:rFonts w:ascii="Times New Roman" w:hAnsi="Times New Roman" w:cs="Times New Roman"/>
          <w:sz w:val="24"/>
          <w:szCs w:val="24"/>
        </w:rPr>
        <w:t xml:space="preserve"> bears no relationship with the first respondent. </w:t>
      </w:r>
      <w:r w:rsidR="00052014">
        <w:rPr>
          <w:rFonts w:ascii="Times New Roman" w:hAnsi="Times New Roman" w:cs="Times New Roman"/>
          <w:sz w:val="24"/>
          <w:szCs w:val="24"/>
        </w:rPr>
        <w:t>This probably explains why</w:t>
      </w:r>
      <w:r w:rsidR="00AD05DF">
        <w:rPr>
          <w:rFonts w:ascii="Times New Roman" w:hAnsi="Times New Roman" w:cs="Times New Roman"/>
          <w:sz w:val="24"/>
          <w:szCs w:val="24"/>
        </w:rPr>
        <w:t xml:space="preserve"> in the heads of argument, counsel </w:t>
      </w:r>
      <w:r w:rsidR="006379BD">
        <w:rPr>
          <w:rFonts w:ascii="Times New Roman" w:hAnsi="Times New Roman" w:cs="Times New Roman"/>
          <w:sz w:val="24"/>
          <w:szCs w:val="24"/>
        </w:rPr>
        <w:t>for the</w:t>
      </w:r>
      <w:r w:rsidR="00052014">
        <w:rPr>
          <w:rFonts w:ascii="Times New Roman" w:hAnsi="Times New Roman" w:cs="Times New Roman"/>
          <w:sz w:val="24"/>
          <w:szCs w:val="24"/>
        </w:rPr>
        <w:t xml:space="preserve"> first respondent</w:t>
      </w:r>
      <w:r w:rsidR="00AD05DF">
        <w:rPr>
          <w:rFonts w:ascii="Times New Roman" w:hAnsi="Times New Roman" w:cs="Times New Roman"/>
          <w:sz w:val="24"/>
          <w:szCs w:val="24"/>
        </w:rPr>
        <w:t xml:space="preserve"> did not</w:t>
      </w:r>
      <w:r w:rsidR="00052014">
        <w:rPr>
          <w:rFonts w:ascii="Times New Roman" w:hAnsi="Times New Roman" w:cs="Times New Roman"/>
          <w:sz w:val="24"/>
          <w:szCs w:val="24"/>
        </w:rPr>
        <w:t xml:space="preserve"> </w:t>
      </w:r>
      <w:r w:rsidR="00AD05DF">
        <w:rPr>
          <w:rFonts w:ascii="Times New Roman" w:hAnsi="Times New Roman" w:cs="Times New Roman"/>
          <w:sz w:val="24"/>
          <w:szCs w:val="24"/>
        </w:rPr>
        <w:t>address</w:t>
      </w:r>
      <w:r w:rsidR="00052014">
        <w:rPr>
          <w:rFonts w:ascii="Times New Roman" w:hAnsi="Times New Roman" w:cs="Times New Roman"/>
          <w:sz w:val="24"/>
          <w:szCs w:val="24"/>
        </w:rPr>
        <w:t xml:space="preserve"> this point </w:t>
      </w:r>
      <w:r w:rsidR="00052014">
        <w:rPr>
          <w:rFonts w:ascii="Times New Roman" w:hAnsi="Times New Roman" w:cs="Times New Roman"/>
          <w:i/>
          <w:sz w:val="24"/>
          <w:szCs w:val="24"/>
        </w:rPr>
        <w:t>in limine</w:t>
      </w:r>
      <w:r w:rsidR="00A247EC">
        <w:rPr>
          <w:rFonts w:ascii="Times New Roman" w:hAnsi="Times New Roman" w:cs="Times New Roman"/>
          <w:sz w:val="24"/>
          <w:szCs w:val="24"/>
        </w:rPr>
        <w:t xml:space="preserve"> at all.</w:t>
      </w:r>
      <w:r w:rsidR="00052014">
        <w:rPr>
          <w:rFonts w:ascii="Times New Roman" w:hAnsi="Times New Roman" w:cs="Times New Roman"/>
          <w:sz w:val="24"/>
          <w:szCs w:val="24"/>
        </w:rPr>
        <w:t xml:space="preserve"> The point </w:t>
      </w:r>
      <w:r w:rsidR="00052014" w:rsidRPr="00052014">
        <w:rPr>
          <w:rFonts w:ascii="Times New Roman" w:hAnsi="Times New Roman" w:cs="Times New Roman"/>
          <w:i/>
          <w:sz w:val="24"/>
          <w:szCs w:val="24"/>
        </w:rPr>
        <w:t>in limine</w:t>
      </w:r>
      <w:r w:rsidR="00052014">
        <w:rPr>
          <w:rFonts w:ascii="Times New Roman" w:hAnsi="Times New Roman" w:cs="Times New Roman"/>
          <w:sz w:val="24"/>
          <w:szCs w:val="24"/>
        </w:rPr>
        <w:t xml:space="preserve"> raised by the applicant is thus dismissed. </w:t>
      </w:r>
    </w:p>
    <w:p w14:paraId="76EC0BDE" w14:textId="1A66128C" w:rsidR="00A21144" w:rsidRPr="001C54B9" w:rsidRDefault="00052014" w:rsidP="0005201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A21144">
        <w:rPr>
          <w:rFonts w:ascii="Times New Roman" w:hAnsi="Times New Roman" w:cs="Times New Roman"/>
          <w:sz w:val="24"/>
          <w:szCs w:val="24"/>
        </w:rPr>
        <w:t xml:space="preserve">I now turn to deal with the points </w:t>
      </w:r>
      <w:r w:rsidR="00A21144" w:rsidRPr="00A21144">
        <w:rPr>
          <w:rFonts w:ascii="Times New Roman" w:hAnsi="Times New Roman" w:cs="Times New Roman"/>
          <w:i/>
          <w:iCs/>
          <w:sz w:val="24"/>
          <w:szCs w:val="24"/>
        </w:rPr>
        <w:t>in limine</w:t>
      </w:r>
      <w:r w:rsidR="00A21144">
        <w:rPr>
          <w:rFonts w:ascii="Times New Roman" w:hAnsi="Times New Roman" w:cs="Times New Roman"/>
          <w:sz w:val="24"/>
          <w:szCs w:val="24"/>
        </w:rPr>
        <w:t xml:space="preserve"> that were raised by t</w:t>
      </w:r>
      <w:r>
        <w:rPr>
          <w:rFonts w:ascii="Times New Roman" w:hAnsi="Times New Roman" w:cs="Times New Roman"/>
          <w:sz w:val="24"/>
          <w:szCs w:val="24"/>
        </w:rPr>
        <w:t>he first respondent</w:t>
      </w:r>
      <w:r w:rsidR="00A21144">
        <w:rPr>
          <w:rFonts w:ascii="Times New Roman" w:hAnsi="Times New Roman" w:cs="Times New Roman"/>
          <w:sz w:val="24"/>
          <w:szCs w:val="24"/>
        </w:rPr>
        <w:t>.</w:t>
      </w:r>
    </w:p>
    <w:p w14:paraId="1C1BB0DE" w14:textId="43999B6A" w:rsidR="00052014" w:rsidRPr="00A21144" w:rsidRDefault="00052014" w:rsidP="00052014">
      <w:pPr>
        <w:spacing w:after="0" w:line="360" w:lineRule="auto"/>
        <w:jc w:val="both"/>
        <w:rPr>
          <w:rFonts w:ascii="Times New Roman" w:hAnsi="Times New Roman" w:cs="Times New Roman"/>
          <w:i/>
          <w:iCs/>
          <w:sz w:val="24"/>
          <w:szCs w:val="24"/>
        </w:rPr>
      </w:pPr>
      <w:r w:rsidRPr="00A21144">
        <w:rPr>
          <w:rFonts w:ascii="Times New Roman" w:hAnsi="Times New Roman" w:cs="Times New Roman"/>
          <w:i/>
          <w:iCs/>
          <w:sz w:val="24"/>
          <w:szCs w:val="24"/>
        </w:rPr>
        <w:t>Procedural irregularities</w:t>
      </w:r>
    </w:p>
    <w:p w14:paraId="6D5CF682" w14:textId="2EDDFA40" w:rsidR="00052014" w:rsidRDefault="00052014" w:rsidP="00052014">
      <w:pPr>
        <w:spacing w:after="0" w:line="360" w:lineRule="auto"/>
        <w:ind w:firstLine="720"/>
        <w:jc w:val="both"/>
        <w:rPr>
          <w:rFonts w:ascii="Times New Roman" w:hAnsi="Times New Roman" w:cs="Times New Roman"/>
          <w:sz w:val="24"/>
          <w:szCs w:val="24"/>
        </w:rPr>
      </w:pPr>
      <w:r w:rsidRPr="00052014">
        <w:rPr>
          <w:rFonts w:ascii="Times New Roman" w:hAnsi="Times New Roman" w:cs="Times New Roman"/>
          <w:sz w:val="24"/>
          <w:szCs w:val="24"/>
        </w:rPr>
        <w:t xml:space="preserve">The </w:t>
      </w:r>
      <w:r w:rsidR="00B75C07">
        <w:rPr>
          <w:rFonts w:ascii="Times New Roman" w:hAnsi="Times New Roman" w:cs="Times New Roman"/>
          <w:sz w:val="24"/>
          <w:szCs w:val="24"/>
        </w:rPr>
        <w:t xml:space="preserve">first respondent averred the following. The </w:t>
      </w:r>
      <w:r w:rsidRPr="00052014">
        <w:rPr>
          <w:rFonts w:ascii="Times New Roman" w:hAnsi="Times New Roman" w:cs="Times New Roman"/>
          <w:sz w:val="24"/>
          <w:szCs w:val="24"/>
        </w:rPr>
        <w:t xml:space="preserve">application is defective because it was not made in Form 29 with appropriate modifications. </w:t>
      </w:r>
      <w:r w:rsidR="00D46022">
        <w:rPr>
          <w:rFonts w:ascii="Times New Roman" w:hAnsi="Times New Roman" w:cs="Times New Roman"/>
          <w:sz w:val="24"/>
          <w:szCs w:val="24"/>
        </w:rPr>
        <w:t>In Form 29, t</w:t>
      </w:r>
      <w:r w:rsidRPr="00052014">
        <w:rPr>
          <w:rFonts w:ascii="Times New Roman" w:hAnsi="Times New Roman" w:cs="Times New Roman"/>
          <w:sz w:val="24"/>
          <w:szCs w:val="24"/>
        </w:rPr>
        <w:t>he notice of motion m</w:t>
      </w:r>
      <w:r w:rsidR="00B75C07">
        <w:rPr>
          <w:rFonts w:ascii="Times New Roman" w:hAnsi="Times New Roman" w:cs="Times New Roman"/>
          <w:sz w:val="24"/>
          <w:szCs w:val="24"/>
        </w:rPr>
        <w:t>u</w:t>
      </w:r>
      <w:r w:rsidRPr="00052014">
        <w:rPr>
          <w:rFonts w:ascii="Times New Roman" w:hAnsi="Times New Roman" w:cs="Times New Roman"/>
          <w:sz w:val="24"/>
          <w:szCs w:val="24"/>
        </w:rPr>
        <w:t>st invite the respondent to oppose the application and advise the respondent of its procedural rights if it intend</w:t>
      </w:r>
      <w:r w:rsidR="00B75C07">
        <w:rPr>
          <w:rFonts w:ascii="Times New Roman" w:hAnsi="Times New Roman" w:cs="Times New Roman"/>
          <w:sz w:val="24"/>
          <w:szCs w:val="24"/>
        </w:rPr>
        <w:t>s</w:t>
      </w:r>
      <w:r w:rsidRPr="00052014">
        <w:rPr>
          <w:rFonts w:ascii="Times New Roman" w:hAnsi="Times New Roman" w:cs="Times New Roman"/>
          <w:sz w:val="24"/>
          <w:szCs w:val="24"/>
        </w:rPr>
        <w:t xml:space="preserve"> to oppose the application. In </w:t>
      </w:r>
      <w:r w:rsidRPr="00052014">
        <w:rPr>
          <w:rFonts w:ascii="Times New Roman" w:hAnsi="Times New Roman" w:cs="Times New Roman"/>
          <w:i/>
          <w:sz w:val="24"/>
          <w:szCs w:val="24"/>
        </w:rPr>
        <w:t xml:space="preserve">casu </w:t>
      </w:r>
      <w:r w:rsidRPr="00052014">
        <w:rPr>
          <w:rFonts w:ascii="Times New Roman" w:hAnsi="Times New Roman" w:cs="Times New Roman"/>
          <w:sz w:val="24"/>
          <w:szCs w:val="24"/>
        </w:rPr>
        <w:t>the application did not invite the respondent</w:t>
      </w:r>
      <w:r w:rsidR="00D46022">
        <w:rPr>
          <w:rFonts w:ascii="Times New Roman" w:hAnsi="Times New Roman" w:cs="Times New Roman"/>
          <w:sz w:val="24"/>
          <w:szCs w:val="24"/>
        </w:rPr>
        <w:t>s</w:t>
      </w:r>
      <w:r w:rsidRPr="00052014">
        <w:rPr>
          <w:rFonts w:ascii="Times New Roman" w:hAnsi="Times New Roman" w:cs="Times New Roman"/>
          <w:sz w:val="24"/>
          <w:szCs w:val="24"/>
        </w:rPr>
        <w:t xml:space="preserve"> to oppose the application nor d</w:t>
      </w:r>
      <w:r w:rsidR="00B75C07">
        <w:rPr>
          <w:rFonts w:ascii="Times New Roman" w:hAnsi="Times New Roman" w:cs="Times New Roman"/>
          <w:sz w:val="24"/>
          <w:szCs w:val="24"/>
        </w:rPr>
        <w:t>id</w:t>
      </w:r>
      <w:r w:rsidRPr="00052014">
        <w:rPr>
          <w:rFonts w:ascii="Times New Roman" w:hAnsi="Times New Roman" w:cs="Times New Roman"/>
          <w:sz w:val="24"/>
          <w:szCs w:val="24"/>
        </w:rPr>
        <w:t xml:space="preserve"> it</w:t>
      </w:r>
      <w:r w:rsidR="00B22077">
        <w:rPr>
          <w:rFonts w:ascii="Times New Roman" w:hAnsi="Times New Roman" w:cs="Times New Roman"/>
          <w:sz w:val="24"/>
          <w:szCs w:val="24"/>
        </w:rPr>
        <w:t xml:space="preserve"> set out the respondents</w:t>
      </w:r>
      <w:r w:rsidR="00D46022">
        <w:rPr>
          <w:rFonts w:ascii="Times New Roman" w:hAnsi="Times New Roman" w:cs="Times New Roman"/>
          <w:sz w:val="24"/>
          <w:szCs w:val="24"/>
        </w:rPr>
        <w:t>’</w:t>
      </w:r>
      <w:r w:rsidR="00B22077">
        <w:rPr>
          <w:rFonts w:ascii="Times New Roman" w:hAnsi="Times New Roman" w:cs="Times New Roman"/>
          <w:sz w:val="24"/>
          <w:szCs w:val="24"/>
        </w:rPr>
        <w:t xml:space="preserve"> procedural rights in so far as mounting a notice of opposition is concerned. The first respondent </w:t>
      </w:r>
      <w:r w:rsidR="00B75C07">
        <w:rPr>
          <w:rFonts w:ascii="Times New Roman" w:hAnsi="Times New Roman" w:cs="Times New Roman"/>
          <w:sz w:val="24"/>
          <w:szCs w:val="24"/>
        </w:rPr>
        <w:t xml:space="preserve">therefore </w:t>
      </w:r>
      <w:r w:rsidR="00B22077">
        <w:rPr>
          <w:rFonts w:ascii="Times New Roman" w:hAnsi="Times New Roman" w:cs="Times New Roman"/>
          <w:sz w:val="24"/>
          <w:szCs w:val="24"/>
        </w:rPr>
        <w:t>applied that the application be struck off the roll with costs for non-compliance with the rules of th</w:t>
      </w:r>
      <w:r w:rsidR="00D46022">
        <w:rPr>
          <w:rFonts w:ascii="Times New Roman" w:hAnsi="Times New Roman" w:cs="Times New Roman"/>
          <w:sz w:val="24"/>
          <w:szCs w:val="24"/>
        </w:rPr>
        <w:t>e</w:t>
      </w:r>
      <w:r w:rsidR="00B22077">
        <w:rPr>
          <w:rFonts w:ascii="Times New Roman" w:hAnsi="Times New Roman" w:cs="Times New Roman"/>
          <w:sz w:val="24"/>
          <w:szCs w:val="24"/>
        </w:rPr>
        <w:t xml:space="preserve"> court; more so considering that the applicant is a legal practitioner who is well versed with the rules.</w:t>
      </w:r>
    </w:p>
    <w:p w14:paraId="4DD83E72" w14:textId="77EC7DA2" w:rsidR="00A56A21" w:rsidRPr="00780BB5" w:rsidRDefault="00B22077" w:rsidP="001C5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applicant conceded that he used the wrong form. He however sought condonation by the court in the exercise of its discretion on the basis that the error that he made did not cause any prejudice to the first respondent in view of the fact that the court directed that the application be served on the respondents </w:t>
      </w:r>
      <w:r w:rsidR="00091344">
        <w:rPr>
          <w:rFonts w:ascii="Times New Roman" w:hAnsi="Times New Roman" w:cs="Times New Roman"/>
          <w:sz w:val="24"/>
          <w:szCs w:val="24"/>
        </w:rPr>
        <w:t>before the matter was decided</w:t>
      </w:r>
      <w:r>
        <w:rPr>
          <w:rFonts w:ascii="Times New Roman" w:hAnsi="Times New Roman" w:cs="Times New Roman"/>
          <w:sz w:val="24"/>
          <w:szCs w:val="24"/>
        </w:rPr>
        <w:t xml:space="preserve">. </w:t>
      </w:r>
      <w:r w:rsidR="00091344">
        <w:rPr>
          <w:rFonts w:ascii="Times New Roman" w:hAnsi="Times New Roman" w:cs="Times New Roman"/>
          <w:sz w:val="24"/>
          <w:szCs w:val="24"/>
        </w:rPr>
        <w:t xml:space="preserve">And service was effected. </w:t>
      </w:r>
      <w:r>
        <w:rPr>
          <w:rFonts w:ascii="Times New Roman" w:hAnsi="Times New Roman" w:cs="Times New Roman"/>
          <w:sz w:val="24"/>
          <w:szCs w:val="24"/>
        </w:rPr>
        <w:t xml:space="preserve">In view of the concession made by the </w:t>
      </w:r>
      <w:r w:rsidR="00B75C07">
        <w:rPr>
          <w:rFonts w:ascii="Times New Roman" w:hAnsi="Times New Roman" w:cs="Times New Roman"/>
          <w:sz w:val="24"/>
          <w:szCs w:val="24"/>
        </w:rPr>
        <w:t xml:space="preserve">applicant that he used the </w:t>
      </w:r>
      <w:r>
        <w:rPr>
          <w:rFonts w:ascii="Times New Roman" w:hAnsi="Times New Roman" w:cs="Times New Roman"/>
          <w:sz w:val="24"/>
          <w:szCs w:val="24"/>
        </w:rPr>
        <w:t xml:space="preserve">wrong form and the fact </w:t>
      </w:r>
      <w:r w:rsidR="00AF597C">
        <w:rPr>
          <w:rFonts w:ascii="Times New Roman" w:hAnsi="Times New Roman" w:cs="Times New Roman"/>
          <w:sz w:val="24"/>
          <w:szCs w:val="24"/>
        </w:rPr>
        <w:t>t</w:t>
      </w:r>
      <w:r>
        <w:rPr>
          <w:rFonts w:ascii="Times New Roman" w:hAnsi="Times New Roman" w:cs="Times New Roman"/>
          <w:sz w:val="24"/>
          <w:szCs w:val="24"/>
        </w:rPr>
        <w:t xml:space="preserve">hat he sought condonation for his non-compliance with the rules, I will </w:t>
      </w:r>
      <w:r w:rsidR="00AF597C">
        <w:rPr>
          <w:rFonts w:ascii="Times New Roman" w:hAnsi="Times New Roman" w:cs="Times New Roman"/>
          <w:sz w:val="24"/>
          <w:szCs w:val="24"/>
        </w:rPr>
        <w:t>i</w:t>
      </w:r>
      <w:r w:rsidR="00AF597C" w:rsidRPr="00AF597C">
        <w:rPr>
          <w:rFonts w:ascii="Times New Roman" w:hAnsi="Times New Roman" w:cs="Times New Roman"/>
          <w:sz w:val="24"/>
          <w:szCs w:val="24"/>
        </w:rPr>
        <w:t xml:space="preserve">n the interests of justice </w:t>
      </w:r>
      <w:r w:rsidR="00AF597C">
        <w:rPr>
          <w:rFonts w:ascii="Times New Roman" w:hAnsi="Times New Roman" w:cs="Times New Roman"/>
          <w:sz w:val="24"/>
          <w:szCs w:val="24"/>
        </w:rPr>
        <w:t xml:space="preserve">and </w:t>
      </w:r>
      <w:r>
        <w:rPr>
          <w:rFonts w:ascii="Times New Roman" w:hAnsi="Times New Roman" w:cs="Times New Roman"/>
          <w:sz w:val="24"/>
          <w:szCs w:val="24"/>
        </w:rPr>
        <w:t>in the exercise of</w:t>
      </w:r>
      <w:r w:rsidR="00AE3E29">
        <w:rPr>
          <w:rFonts w:ascii="Times New Roman" w:hAnsi="Times New Roman" w:cs="Times New Roman"/>
          <w:sz w:val="24"/>
          <w:szCs w:val="24"/>
        </w:rPr>
        <w:t xml:space="preserve"> my discretion</w:t>
      </w:r>
      <w:r w:rsidR="00AF597C">
        <w:rPr>
          <w:rFonts w:ascii="Times New Roman" w:hAnsi="Times New Roman" w:cs="Times New Roman"/>
          <w:sz w:val="24"/>
          <w:szCs w:val="24"/>
        </w:rPr>
        <w:t>, grant him condonation</w:t>
      </w:r>
      <w:r w:rsidR="00AE3E29">
        <w:rPr>
          <w:rFonts w:ascii="Times New Roman" w:hAnsi="Times New Roman" w:cs="Times New Roman"/>
          <w:sz w:val="24"/>
          <w:szCs w:val="24"/>
        </w:rPr>
        <w:t xml:space="preserve"> in terms of</w:t>
      </w:r>
      <w:r w:rsidR="00AE3E29" w:rsidRPr="00AE3E29">
        <w:rPr>
          <w:rFonts w:ascii="Times New Roman" w:hAnsi="Times New Roman" w:cs="Times New Roman"/>
          <w:sz w:val="24"/>
          <w:szCs w:val="24"/>
        </w:rPr>
        <w:t xml:space="preserve"> </w:t>
      </w:r>
      <w:r w:rsidR="00AE3E29" w:rsidRPr="00780BB5">
        <w:rPr>
          <w:rFonts w:ascii="Times New Roman" w:hAnsi="Times New Roman" w:cs="Times New Roman"/>
          <w:sz w:val="24"/>
          <w:szCs w:val="24"/>
        </w:rPr>
        <w:t>r 4C of the High Court Rules, 1971</w:t>
      </w:r>
      <w:r w:rsidR="00C70FDA">
        <w:rPr>
          <w:rStyle w:val="FootnoteReference"/>
          <w:rFonts w:ascii="Times New Roman" w:hAnsi="Times New Roman" w:cs="Times New Roman"/>
          <w:sz w:val="24"/>
          <w:szCs w:val="24"/>
        </w:rPr>
        <w:footnoteReference w:id="1"/>
      </w:r>
      <w:r w:rsidR="00AE3E29" w:rsidRPr="00780BB5">
        <w:rPr>
          <w:rFonts w:ascii="Times New Roman" w:hAnsi="Times New Roman" w:cs="Times New Roman"/>
          <w:sz w:val="24"/>
          <w:szCs w:val="24"/>
        </w:rPr>
        <w:t>. No prejudice was suffered by the first respondent as a result of the non</w:t>
      </w:r>
      <w:r w:rsidR="00D16903">
        <w:rPr>
          <w:rFonts w:ascii="Times New Roman" w:hAnsi="Times New Roman" w:cs="Times New Roman"/>
          <w:sz w:val="24"/>
          <w:szCs w:val="24"/>
        </w:rPr>
        <w:t>-</w:t>
      </w:r>
      <w:r w:rsidR="00AE3E29" w:rsidRPr="00780BB5">
        <w:rPr>
          <w:rFonts w:ascii="Times New Roman" w:hAnsi="Times New Roman" w:cs="Times New Roman"/>
          <w:sz w:val="24"/>
          <w:szCs w:val="24"/>
        </w:rPr>
        <w:t>compliance with the requirements of the rules</w:t>
      </w:r>
      <w:r w:rsidR="00D16903">
        <w:rPr>
          <w:rFonts w:ascii="Times New Roman" w:hAnsi="Times New Roman" w:cs="Times New Roman"/>
          <w:sz w:val="24"/>
          <w:szCs w:val="24"/>
        </w:rPr>
        <w:t xml:space="preserve"> that was made by the applicant</w:t>
      </w:r>
      <w:r w:rsidR="00AE3E29" w:rsidRPr="00780BB5">
        <w:rPr>
          <w:rFonts w:ascii="Times New Roman" w:hAnsi="Times New Roman" w:cs="Times New Roman"/>
          <w:sz w:val="24"/>
          <w:szCs w:val="24"/>
        </w:rPr>
        <w:t xml:space="preserve">. </w:t>
      </w:r>
      <w:r w:rsidR="00D16903">
        <w:rPr>
          <w:rFonts w:ascii="Times New Roman" w:hAnsi="Times New Roman" w:cs="Times New Roman"/>
          <w:sz w:val="24"/>
          <w:szCs w:val="24"/>
        </w:rPr>
        <w:t>There was no prejudice because</w:t>
      </w:r>
      <w:r w:rsidR="00AE3E29" w:rsidRPr="00780BB5">
        <w:rPr>
          <w:rFonts w:ascii="Times New Roman" w:hAnsi="Times New Roman" w:cs="Times New Roman"/>
          <w:sz w:val="24"/>
          <w:szCs w:val="24"/>
        </w:rPr>
        <w:t xml:space="preserve"> I ordered that the application be served on </w:t>
      </w:r>
      <w:r w:rsidR="00D16903">
        <w:rPr>
          <w:rFonts w:ascii="Times New Roman" w:hAnsi="Times New Roman" w:cs="Times New Roman"/>
          <w:sz w:val="24"/>
          <w:szCs w:val="24"/>
        </w:rPr>
        <w:t xml:space="preserve">the respondents </w:t>
      </w:r>
      <w:r w:rsidR="00AE3E29" w:rsidRPr="00780BB5">
        <w:rPr>
          <w:rFonts w:ascii="Times New Roman" w:hAnsi="Times New Roman" w:cs="Times New Roman"/>
          <w:sz w:val="24"/>
          <w:szCs w:val="24"/>
        </w:rPr>
        <w:t xml:space="preserve">and </w:t>
      </w:r>
      <w:r w:rsidR="00D16903">
        <w:rPr>
          <w:rFonts w:ascii="Times New Roman" w:hAnsi="Times New Roman" w:cs="Times New Roman"/>
          <w:sz w:val="24"/>
          <w:szCs w:val="24"/>
        </w:rPr>
        <w:t>when this was done</w:t>
      </w:r>
      <w:r w:rsidR="00AF597C">
        <w:rPr>
          <w:rFonts w:ascii="Times New Roman" w:hAnsi="Times New Roman" w:cs="Times New Roman"/>
          <w:sz w:val="24"/>
          <w:szCs w:val="24"/>
        </w:rPr>
        <w:t>,</w:t>
      </w:r>
      <w:r w:rsidR="00D16903">
        <w:rPr>
          <w:rFonts w:ascii="Times New Roman" w:hAnsi="Times New Roman" w:cs="Times New Roman"/>
          <w:sz w:val="24"/>
          <w:szCs w:val="24"/>
        </w:rPr>
        <w:t xml:space="preserve"> the first respondent did</w:t>
      </w:r>
      <w:r w:rsidR="00AE3E29" w:rsidRPr="00780BB5">
        <w:rPr>
          <w:rFonts w:ascii="Times New Roman" w:hAnsi="Times New Roman" w:cs="Times New Roman"/>
          <w:sz w:val="24"/>
          <w:szCs w:val="24"/>
        </w:rPr>
        <w:t xml:space="preserve"> file its notice of opposition and </w:t>
      </w:r>
      <w:r w:rsidR="00AF597C">
        <w:rPr>
          <w:rFonts w:ascii="Times New Roman" w:hAnsi="Times New Roman" w:cs="Times New Roman"/>
          <w:sz w:val="24"/>
          <w:szCs w:val="24"/>
        </w:rPr>
        <w:t>opposing affidavit</w:t>
      </w:r>
      <w:r w:rsidR="00AE3E29" w:rsidRPr="00780BB5">
        <w:rPr>
          <w:rFonts w:ascii="Times New Roman" w:hAnsi="Times New Roman" w:cs="Times New Roman"/>
          <w:sz w:val="24"/>
          <w:szCs w:val="24"/>
        </w:rPr>
        <w:t>.</w:t>
      </w:r>
      <w:r w:rsidR="00AF597C">
        <w:rPr>
          <w:rFonts w:ascii="Times New Roman" w:hAnsi="Times New Roman" w:cs="Times New Roman"/>
          <w:sz w:val="24"/>
          <w:szCs w:val="24"/>
        </w:rPr>
        <w:t xml:space="preserve"> </w:t>
      </w:r>
      <w:r w:rsidR="00A56A21">
        <w:rPr>
          <w:rFonts w:ascii="Times New Roman" w:hAnsi="Times New Roman" w:cs="Times New Roman"/>
          <w:sz w:val="24"/>
          <w:szCs w:val="24"/>
        </w:rPr>
        <w:t xml:space="preserve">I will </w:t>
      </w:r>
      <w:r w:rsidR="000D5133">
        <w:rPr>
          <w:rFonts w:ascii="Times New Roman" w:hAnsi="Times New Roman" w:cs="Times New Roman"/>
          <w:sz w:val="24"/>
          <w:szCs w:val="24"/>
        </w:rPr>
        <w:t xml:space="preserve">thus </w:t>
      </w:r>
      <w:r w:rsidR="00A56A21">
        <w:rPr>
          <w:rFonts w:ascii="Times New Roman" w:hAnsi="Times New Roman" w:cs="Times New Roman"/>
          <w:sz w:val="24"/>
          <w:szCs w:val="24"/>
        </w:rPr>
        <w:t>dismiss t</w:t>
      </w:r>
      <w:r w:rsidR="00AE3E29" w:rsidRPr="00780BB5">
        <w:rPr>
          <w:rFonts w:ascii="Times New Roman" w:hAnsi="Times New Roman" w:cs="Times New Roman"/>
          <w:sz w:val="24"/>
          <w:szCs w:val="24"/>
        </w:rPr>
        <w:t xml:space="preserve">he point </w:t>
      </w:r>
      <w:r w:rsidR="00AE3E29" w:rsidRPr="00780BB5">
        <w:rPr>
          <w:rFonts w:ascii="Times New Roman" w:hAnsi="Times New Roman" w:cs="Times New Roman"/>
          <w:i/>
          <w:sz w:val="24"/>
          <w:szCs w:val="24"/>
        </w:rPr>
        <w:t>in limine</w:t>
      </w:r>
      <w:r w:rsidR="00AE3E29" w:rsidRPr="00780BB5">
        <w:rPr>
          <w:rFonts w:ascii="Times New Roman" w:hAnsi="Times New Roman" w:cs="Times New Roman"/>
          <w:sz w:val="24"/>
          <w:szCs w:val="24"/>
        </w:rPr>
        <w:t>.</w:t>
      </w:r>
    </w:p>
    <w:p w14:paraId="4FD5D928" w14:textId="2B9D03BA" w:rsidR="00AE3E29" w:rsidRPr="00A56A21" w:rsidRDefault="00AE3E29" w:rsidP="00AE3E29">
      <w:pPr>
        <w:spacing w:after="0" w:line="360" w:lineRule="auto"/>
        <w:jc w:val="both"/>
        <w:rPr>
          <w:rFonts w:ascii="Times New Roman" w:hAnsi="Times New Roman" w:cs="Times New Roman"/>
          <w:i/>
          <w:iCs/>
          <w:sz w:val="24"/>
          <w:szCs w:val="24"/>
        </w:rPr>
      </w:pPr>
      <w:r w:rsidRPr="00A56A21">
        <w:rPr>
          <w:rFonts w:ascii="Times New Roman" w:hAnsi="Times New Roman" w:cs="Times New Roman"/>
          <w:i/>
          <w:iCs/>
          <w:sz w:val="24"/>
          <w:szCs w:val="24"/>
        </w:rPr>
        <w:t>The interim relief sought by the applicant is final in nature</w:t>
      </w:r>
    </w:p>
    <w:p w14:paraId="59F8AAE5" w14:textId="46D0C2CA" w:rsidR="00AE3E29" w:rsidRDefault="00AE3E29" w:rsidP="00AE3E29">
      <w:pPr>
        <w:spacing w:after="0" w:line="360" w:lineRule="auto"/>
        <w:jc w:val="both"/>
        <w:rPr>
          <w:rFonts w:ascii="Times New Roman" w:hAnsi="Times New Roman" w:cs="Times New Roman"/>
          <w:sz w:val="24"/>
          <w:szCs w:val="24"/>
        </w:rPr>
      </w:pPr>
      <w:r w:rsidRPr="00780BB5">
        <w:rPr>
          <w:rFonts w:ascii="Times New Roman" w:hAnsi="Times New Roman" w:cs="Times New Roman"/>
          <w:sz w:val="24"/>
          <w:szCs w:val="24"/>
        </w:rPr>
        <w:tab/>
        <w:t xml:space="preserve">The first respondent averred that the interim relief </w:t>
      </w:r>
      <w:r w:rsidR="00565230">
        <w:rPr>
          <w:rFonts w:ascii="Times New Roman" w:hAnsi="Times New Roman" w:cs="Times New Roman"/>
          <w:sz w:val="24"/>
          <w:szCs w:val="24"/>
        </w:rPr>
        <w:t xml:space="preserve">that is being </w:t>
      </w:r>
      <w:r w:rsidRPr="00780BB5">
        <w:rPr>
          <w:rFonts w:ascii="Times New Roman" w:hAnsi="Times New Roman" w:cs="Times New Roman"/>
          <w:sz w:val="24"/>
          <w:szCs w:val="24"/>
        </w:rPr>
        <w:t xml:space="preserve">sought has the same substantive effect </w:t>
      </w:r>
      <w:r w:rsidR="00565230">
        <w:rPr>
          <w:rFonts w:ascii="Times New Roman" w:hAnsi="Times New Roman" w:cs="Times New Roman"/>
          <w:sz w:val="24"/>
          <w:szCs w:val="24"/>
        </w:rPr>
        <w:t>as</w:t>
      </w:r>
      <w:r w:rsidRPr="00780BB5">
        <w:rPr>
          <w:rFonts w:ascii="Times New Roman" w:hAnsi="Times New Roman" w:cs="Times New Roman"/>
          <w:sz w:val="24"/>
          <w:szCs w:val="24"/>
        </w:rPr>
        <w:t xml:space="preserve"> the final relief and that the applicant is seeking to smuggle a final order </w:t>
      </w:r>
      <w:r w:rsidRPr="00780BB5">
        <w:rPr>
          <w:rFonts w:ascii="Times New Roman" w:hAnsi="Times New Roman" w:cs="Times New Roman"/>
          <w:sz w:val="24"/>
          <w:szCs w:val="24"/>
        </w:rPr>
        <w:lastRenderedPageBreak/>
        <w:t>under the guise of an interim relief which if granted will</w:t>
      </w:r>
      <w:r>
        <w:rPr>
          <w:rFonts w:ascii="Times New Roman" w:hAnsi="Times New Roman" w:cs="Times New Roman"/>
          <w:sz w:val="24"/>
          <w:szCs w:val="24"/>
        </w:rPr>
        <w:t xml:space="preserve"> have the same effect with what he </w:t>
      </w:r>
      <w:r w:rsidR="00565230">
        <w:rPr>
          <w:rFonts w:ascii="Times New Roman" w:hAnsi="Times New Roman" w:cs="Times New Roman"/>
          <w:sz w:val="24"/>
          <w:szCs w:val="24"/>
        </w:rPr>
        <w:t xml:space="preserve">is </w:t>
      </w:r>
      <w:r>
        <w:rPr>
          <w:rFonts w:ascii="Times New Roman" w:hAnsi="Times New Roman" w:cs="Times New Roman"/>
          <w:sz w:val="24"/>
          <w:szCs w:val="24"/>
        </w:rPr>
        <w:t>seek</w:t>
      </w:r>
      <w:r w:rsidR="00565230">
        <w:rPr>
          <w:rFonts w:ascii="Times New Roman" w:hAnsi="Times New Roman" w:cs="Times New Roman"/>
          <w:sz w:val="24"/>
          <w:szCs w:val="24"/>
        </w:rPr>
        <w:t>ing</w:t>
      </w:r>
      <w:r>
        <w:rPr>
          <w:rFonts w:ascii="Times New Roman" w:hAnsi="Times New Roman" w:cs="Times New Roman"/>
          <w:sz w:val="24"/>
          <w:szCs w:val="24"/>
        </w:rPr>
        <w:t xml:space="preserve"> in the final order. If the applicant gets that relief, he will have no need to come back to court </w:t>
      </w:r>
      <w:r w:rsidR="00565230">
        <w:rPr>
          <w:rFonts w:ascii="Times New Roman" w:hAnsi="Times New Roman" w:cs="Times New Roman"/>
          <w:sz w:val="24"/>
          <w:szCs w:val="24"/>
        </w:rPr>
        <w:t xml:space="preserve">for confirmation of the order </w:t>
      </w:r>
      <w:r w:rsidR="00215F74">
        <w:rPr>
          <w:rFonts w:ascii="Times New Roman" w:hAnsi="Times New Roman" w:cs="Times New Roman"/>
          <w:sz w:val="24"/>
          <w:szCs w:val="24"/>
        </w:rPr>
        <w:t xml:space="preserve">on the return day </w:t>
      </w:r>
      <w:r>
        <w:rPr>
          <w:rFonts w:ascii="Times New Roman" w:hAnsi="Times New Roman" w:cs="Times New Roman"/>
          <w:sz w:val="24"/>
          <w:szCs w:val="24"/>
        </w:rPr>
        <w:t xml:space="preserve">because he would have </w:t>
      </w:r>
      <w:r w:rsidR="00215F74">
        <w:rPr>
          <w:rFonts w:ascii="Times New Roman" w:hAnsi="Times New Roman" w:cs="Times New Roman"/>
          <w:sz w:val="24"/>
          <w:szCs w:val="24"/>
        </w:rPr>
        <w:t>already</w:t>
      </w:r>
      <w:r>
        <w:rPr>
          <w:rFonts w:ascii="Times New Roman" w:hAnsi="Times New Roman" w:cs="Times New Roman"/>
          <w:sz w:val="24"/>
          <w:szCs w:val="24"/>
        </w:rPr>
        <w:t xml:space="preserve"> obtain</w:t>
      </w:r>
      <w:r w:rsidR="00215F74">
        <w:rPr>
          <w:rFonts w:ascii="Times New Roman" w:hAnsi="Times New Roman" w:cs="Times New Roman"/>
          <w:sz w:val="24"/>
          <w:szCs w:val="24"/>
        </w:rPr>
        <w:t xml:space="preserve">ed </w:t>
      </w:r>
      <w:r>
        <w:rPr>
          <w:rFonts w:ascii="Times New Roman" w:hAnsi="Times New Roman" w:cs="Times New Roman"/>
          <w:sz w:val="24"/>
          <w:szCs w:val="24"/>
        </w:rPr>
        <w:t xml:space="preserve">relief which </w:t>
      </w:r>
      <w:r w:rsidR="00565230">
        <w:rPr>
          <w:rFonts w:ascii="Times New Roman" w:hAnsi="Times New Roman" w:cs="Times New Roman"/>
          <w:sz w:val="24"/>
          <w:szCs w:val="24"/>
        </w:rPr>
        <w:t>is</w:t>
      </w:r>
      <w:r w:rsidR="00215F74">
        <w:rPr>
          <w:rFonts w:ascii="Times New Roman" w:hAnsi="Times New Roman" w:cs="Times New Roman"/>
          <w:sz w:val="24"/>
          <w:szCs w:val="24"/>
        </w:rPr>
        <w:t xml:space="preserve"> final in nature</w:t>
      </w:r>
      <w:r>
        <w:rPr>
          <w:rFonts w:ascii="Times New Roman" w:hAnsi="Times New Roman" w:cs="Times New Roman"/>
          <w:sz w:val="24"/>
          <w:szCs w:val="24"/>
        </w:rPr>
        <w:t xml:space="preserve">. Citing the cases of </w:t>
      </w:r>
      <w:r w:rsidRPr="005F45EB">
        <w:rPr>
          <w:rFonts w:ascii="Times New Roman" w:hAnsi="Times New Roman" w:cs="Times New Roman"/>
          <w:i/>
          <w:sz w:val="24"/>
          <w:szCs w:val="24"/>
        </w:rPr>
        <w:t xml:space="preserve">Cawood </w:t>
      </w:r>
      <w:r>
        <w:rPr>
          <w:rFonts w:ascii="Times New Roman" w:hAnsi="Times New Roman" w:cs="Times New Roman"/>
          <w:sz w:val="24"/>
          <w:szCs w:val="24"/>
        </w:rPr>
        <w:t xml:space="preserve">v </w:t>
      </w:r>
      <w:r w:rsidRPr="005F45EB">
        <w:rPr>
          <w:rFonts w:ascii="Times New Roman" w:hAnsi="Times New Roman" w:cs="Times New Roman"/>
          <w:i/>
          <w:sz w:val="24"/>
          <w:szCs w:val="24"/>
        </w:rPr>
        <w:t>Madzingira and Another</w:t>
      </w:r>
      <w:r>
        <w:rPr>
          <w:rFonts w:ascii="Times New Roman" w:hAnsi="Times New Roman" w:cs="Times New Roman"/>
          <w:sz w:val="24"/>
          <w:szCs w:val="24"/>
        </w:rPr>
        <w:t xml:space="preserve"> HMA 12/17 and </w:t>
      </w:r>
      <w:r w:rsidRPr="005F45EB">
        <w:rPr>
          <w:rFonts w:ascii="Times New Roman" w:hAnsi="Times New Roman" w:cs="Times New Roman"/>
          <w:i/>
          <w:sz w:val="24"/>
          <w:szCs w:val="24"/>
        </w:rPr>
        <w:t>Kuvarega</w:t>
      </w:r>
      <w:r>
        <w:rPr>
          <w:rFonts w:ascii="Times New Roman" w:hAnsi="Times New Roman" w:cs="Times New Roman"/>
          <w:sz w:val="24"/>
          <w:szCs w:val="24"/>
        </w:rPr>
        <w:t xml:space="preserve"> v </w:t>
      </w:r>
      <w:r w:rsidRPr="005F45EB">
        <w:rPr>
          <w:rFonts w:ascii="Times New Roman" w:hAnsi="Times New Roman" w:cs="Times New Roman"/>
          <w:i/>
          <w:sz w:val="24"/>
          <w:szCs w:val="24"/>
        </w:rPr>
        <w:t>Registrar-General and Anor</w:t>
      </w:r>
      <w:r>
        <w:rPr>
          <w:rFonts w:ascii="Times New Roman" w:hAnsi="Times New Roman" w:cs="Times New Roman"/>
          <w:sz w:val="24"/>
          <w:szCs w:val="24"/>
        </w:rPr>
        <w:t xml:space="preserve"> 1998 (1) ZLR 188 (H) the first respondent’s counsel submitted that a litigant cannot seek a final relief through an urgent chamber application.</w:t>
      </w:r>
    </w:p>
    <w:p w14:paraId="33C10B74" w14:textId="51A31B24" w:rsidR="00AE3E29" w:rsidRDefault="00AE3E29" w:rsidP="00AE3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opposition the applicant disputed that the interim relief that he is seeking is final in nature. He averred that he is only seeking suspension of the operation of the digital banking platforms pending determination of the matter on the return day, of which on the return day</w:t>
      </w:r>
      <w:r w:rsidR="009A621D">
        <w:rPr>
          <w:rFonts w:ascii="Times New Roman" w:hAnsi="Times New Roman" w:cs="Times New Roman"/>
          <w:sz w:val="24"/>
          <w:szCs w:val="24"/>
        </w:rPr>
        <w:t>,</w:t>
      </w:r>
      <w:r>
        <w:rPr>
          <w:rFonts w:ascii="Times New Roman" w:hAnsi="Times New Roman" w:cs="Times New Roman"/>
          <w:sz w:val="24"/>
          <w:szCs w:val="24"/>
        </w:rPr>
        <w:t xml:space="preserve"> he will be seeking a </w:t>
      </w:r>
      <w:r w:rsidRPr="00A83293">
        <w:rPr>
          <w:rFonts w:ascii="Times New Roman" w:hAnsi="Times New Roman" w:cs="Times New Roman"/>
          <w:i/>
          <w:iCs/>
          <w:sz w:val="24"/>
          <w:szCs w:val="24"/>
        </w:rPr>
        <w:t>declaratur</w:t>
      </w:r>
      <w:r>
        <w:rPr>
          <w:rFonts w:ascii="Times New Roman" w:hAnsi="Times New Roman" w:cs="Times New Roman"/>
          <w:sz w:val="24"/>
          <w:szCs w:val="24"/>
        </w:rPr>
        <w:t xml:space="preserve"> that the digital platforms are unlawful. It is the applicant’s contention that </w:t>
      </w:r>
      <w:r w:rsidR="009A621D">
        <w:rPr>
          <w:rFonts w:ascii="Times New Roman" w:hAnsi="Times New Roman" w:cs="Times New Roman"/>
          <w:sz w:val="24"/>
          <w:szCs w:val="24"/>
        </w:rPr>
        <w:t xml:space="preserve">the word </w:t>
      </w:r>
      <w:r w:rsidR="00A83293">
        <w:rPr>
          <w:rFonts w:ascii="Times New Roman" w:hAnsi="Times New Roman" w:cs="Times New Roman"/>
          <w:sz w:val="24"/>
          <w:szCs w:val="24"/>
        </w:rPr>
        <w:t>‘</w:t>
      </w:r>
      <w:r>
        <w:rPr>
          <w:rFonts w:ascii="Times New Roman" w:hAnsi="Times New Roman" w:cs="Times New Roman"/>
          <w:sz w:val="24"/>
          <w:szCs w:val="24"/>
        </w:rPr>
        <w:t>suspen</w:t>
      </w:r>
      <w:r w:rsidR="00A83293">
        <w:rPr>
          <w:rFonts w:ascii="Times New Roman" w:hAnsi="Times New Roman" w:cs="Times New Roman"/>
          <w:sz w:val="24"/>
          <w:szCs w:val="24"/>
        </w:rPr>
        <w:t>sion’</w:t>
      </w:r>
      <w:r>
        <w:rPr>
          <w:rFonts w:ascii="Times New Roman" w:hAnsi="Times New Roman" w:cs="Times New Roman"/>
          <w:sz w:val="24"/>
          <w:szCs w:val="24"/>
        </w:rPr>
        <w:t xml:space="preserve"> connotes temporary prevention of use </w:t>
      </w:r>
      <w:r w:rsidR="00A83293">
        <w:rPr>
          <w:rFonts w:ascii="Times New Roman" w:hAnsi="Times New Roman" w:cs="Times New Roman"/>
          <w:sz w:val="24"/>
          <w:szCs w:val="24"/>
        </w:rPr>
        <w:t xml:space="preserve">of the digital banking platforms </w:t>
      </w:r>
      <w:r>
        <w:rPr>
          <w:rFonts w:ascii="Times New Roman" w:hAnsi="Times New Roman" w:cs="Times New Roman"/>
          <w:sz w:val="24"/>
          <w:szCs w:val="24"/>
        </w:rPr>
        <w:t xml:space="preserve">which is different from </w:t>
      </w:r>
      <w:r w:rsidR="00A83293">
        <w:rPr>
          <w:rFonts w:ascii="Times New Roman" w:hAnsi="Times New Roman" w:cs="Times New Roman"/>
          <w:sz w:val="24"/>
          <w:szCs w:val="24"/>
        </w:rPr>
        <w:t xml:space="preserve">their </w:t>
      </w:r>
      <w:r>
        <w:rPr>
          <w:rFonts w:ascii="Times New Roman" w:hAnsi="Times New Roman" w:cs="Times New Roman"/>
          <w:sz w:val="24"/>
          <w:szCs w:val="24"/>
        </w:rPr>
        <w:t>effective closure.</w:t>
      </w:r>
    </w:p>
    <w:p w14:paraId="159BCB53" w14:textId="071D1767" w:rsidR="00757B99" w:rsidRDefault="00AE3E29" w:rsidP="00AE3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672E">
        <w:rPr>
          <w:rFonts w:ascii="Times New Roman" w:hAnsi="Times New Roman" w:cs="Times New Roman"/>
          <w:sz w:val="24"/>
          <w:szCs w:val="24"/>
        </w:rPr>
        <w:t xml:space="preserve">The cases </w:t>
      </w:r>
      <w:r w:rsidR="00702493">
        <w:rPr>
          <w:rFonts w:ascii="Times New Roman" w:hAnsi="Times New Roman" w:cs="Times New Roman"/>
          <w:sz w:val="24"/>
          <w:szCs w:val="24"/>
        </w:rPr>
        <w:t xml:space="preserve">of </w:t>
      </w:r>
      <w:r w:rsidR="00702493" w:rsidRPr="005F45EB">
        <w:rPr>
          <w:rFonts w:ascii="Times New Roman" w:hAnsi="Times New Roman" w:cs="Times New Roman"/>
          <w:i/>
          <w:sz w:val="24"/>
          <w:szCs w:val="24"/>
        </w:rPr>
        <w:t xml:space="preserve">Cawood </w:t>
      </w:r>
      <w:r w:rsidR="00702493">
        <w:rPr>
          <w:rFonts w:ascii="Times New Roman" w:hAnsi="Times New Roman" w:cs="Times New Roman"/>
          <w:sz w:val="24"/>
          <w:szCs w:val="24"/>
        </w:rPr>
        <w:t xml:space="preserve">v </w:t>
      </w:r>
      <w:r w:rsidR="00702493" w:rsidRPr="005F45EB">
        <w:rPr>
          <w:rFonts w:ascii="Times New Roman" w:hAnsi="Times New Roman" w:cs="Times New Roman"/>
          <w:i/>
          <w:sz w:val="24"/>
          <w:szCs w:val="24"/>
        </w:rPr>
        <w:t>Madzingira and Another</w:t>
      </w:r>
      <w:r w:rsidR="00702493">
        <w:rPr>
          <w:rFonts w:ascii="Times New Roman" w:hAnsi="Times New Roman" w:cs="Times New Roman"/>
          <w:sz w:val="24"/>
          <w:szCs w:val="24"/>
        </w:rPr>
        <w:t xml:space="preserve"> and </w:t>
      </w:r>
      <w:r w:rsidR="00702493" w:rsidRPr="005F45EB">
        <w:rPr>
          <w:rFonts w:ascii="Times New Roman" w:hAnsi="Times New Roman" w:cs="Times New Roman"/>
          <w:i/>
          <w:sz w:val="24"/>
          <w:szCs w:val="24"/>
        </w:rPr>
        <w:t>Kuvarega</w:t>
      </w:r>
      <w:r w:rsidR="00702493">
        <w:rPr>
          <w:rFonts w:ascii="Times New Roman" w:hAnsi="Times New Roman" w:cs="Times New Roman"/>
          <w:sz w:val="24"/>
          <w:szCs w:val="24"/>
        </w:rPr>
        <w:t xml:space="preserve"> v </w:t>
      </w:r>
      <w:r w:rsidR="00702493" w:rsidRPr="005F45EB">
        <w:rPr>
          <w:rFonts w:ascii="Times New Roman" w:hAnsi="Times New Roman" w:cs="Times New Roman"/>
          <w:i/>
          <w:sz w:val="24"/>
          <w:szCs w:val="24"/>
        </w:rPr>
        <w:t>Registrar-General and Anor</w:t>
      </w:r>
      <w:r w:rsidR="00702493">
        <w:rPr>
          <w:rFonts w:ascii="Times New Roman" w:hAnsi="Times New Roman" w:cs="Times New Roman"/>
          <w:sz w:val="24"/>
          <w:szCs w:val="24"/>
        </w:rPr>
        <w:t xml:space="preserve"> </w:t>
      </w:r>
      <w:r w:rsidR="0030672E">
        <w:rPr>
          <w:rFonts w:ascii="Times New Roman" w:hAnsi="Times New Roman" w:cs="Times New Roman"/>
          <w:sz w:val="24"/>
          <w:szCs w:val="24"/>
        </w:rPr>
        <w:t>that the first respondent referred to</w:t>
      </w:r>
      <w:r w:rsidR="00702493">
        <w:rPr>
          <w:rFonts w:ascii="Times New Roman" w:hAnsi="Times New Roman" w:cs="Times New Roman"/>
          <w:sz w:val="24"/>
          <w:szCs w:val="24"/>
        </w:rPr>
        <w:t>,</w:t>
      </w:r>
      <w:r w:rsidR="0030672E">
        <w:rPr>
          <w:rFonts w:ascii="Times New Roman" w:hAnsi="Times New Roman" w:cs="Times New Roman"/>
          <w:sz w:val="24"/>
          <w:szCs w:val="24"/>
        </w:rPr>
        <w:t xml:space="preserve"> state correctly the position of the law</w:t>
      </w:r>
      <w:r w:rsidR="00702493">
        <w:rPr>
          <w:rFonts w:ascii="Times New Roman" w:hAnsi="Times New Roman" w:cs="Times New Roman"/>
          <w:sz w:val="24"/>
          <w:szCs w:val="24"/>
        </w:rPr>
        <w:t xml:space="preserve"> </w:t>
      </w:r>
      <w:r w:rsidR="0030672E">
        <w:rPr>
          <w:rFonts w:ascii="Times New Roman" w:hAnsi="Times New Roman" w:cs="Times New Roman"/>
          <w:sz w:val="24"/>
          <w:szCs w:val="24"/>
        </w:rPr>
        <w:t xml:space="preserve">that a final order cannot be </w:t>
      </w:r>
      <w:r w:rsidR="00702493">
        <w:rPr>
          <w:rFonts w:ascii="Times New Roman" w:hAnsi="Times New Roman" w:cs="Times New Roman"/>
          <w:sz w:val="24"/>
          <w:szCs w:val="24"/>
        </w:rPr>
        <w:t>sought in</w:t>
      </w:r>
      <w:r w:rsidR="0030672E">
        <w:rPr>
          <w:rFonts w:ascii="Times New Roman" w:hAnsi="Times New Roman" w:cs="Times New Roman"/>
          <w:sz w:val="24"/>
          <w:szCs w:val="24"/>
        </w:rPr>
        <w:t xml:space="preserve"> a provisional order. However, </w:t>
      </w:r>
      <w:r w:rsidR="00702493">
        <w:rPr>
          <w:rFonts w:ascii="Times New Roman" w:hAnsi="Times New Roman" w:cs="Times New Roman"/>
          <w:sz w:val="24"/>
          <w:szCs w:val="24"/>
        </w:rPr>
        <w:t xml:space="preserve">it is my considered view that </w:t>
      </w:r>
      <w:r w:rsidR="0030672E">
        <w:rPr>
          <w:rFonts w:ascii="Times New Roman" w:hAnsi="Times New Roman" w:cs="Times New Roman"/>
          <w:sz w:val="24"/>
          <w:szCs w:val="24"/>
        </w:rPr>
        <w:t xml:space="preserve">the </w:t>
      </w:r>
      <w:r w:rsidR="00757B99">
        <w:rPr>
          <w:rFonts w:ascii="Times New Roman" w:hAnsi="Times New Roman" w:cs="Times New Roman"/>
          <w:sz w:val="24"/>
          <w:szCs w:val="24"/>
        </w:rPr>
        <w:t xml:space="preserve">interim </w:t>
      </w:r>
      <w:r w:rsidR="0030672E">
        <w:rPr>
          <w:rFonts w:ascii="Times New Roman" w:hAnsi="Times New Roman" w:cs="Times New Roman"/>
          <w:sz w:val="24"/>
          <w:szCs w:val="24"/>
        </w:rPr>
        <w:t>relief</w:t>
      </w:r>
      <w:r w:rsidR="00757B99">
        <w:rPr>
          <w:rFonts w:ascii="Times New Roman" w:hAnsi="Times New Roman" w:cs="Times New Roman"/>
          <w:sz w:val="24"/>
          <w:szCs w:val="24"/>
        </w:rPr>
        <w:t xml:space="preserve"> that is</w:t>
      </w:r>
      <w:r w:rsidR="0030672E">
        <w:rPr>
          <w:rFonts w:ascii="Times New Roman" w:hAnsi="Times New Roman" w:cs="Times New Roman"/>
          <w:sz w:val="24"/>
          <w:szCs w:val="24"/>
        </w:rPr>
        <w:t xml:space="preserve"> being sought </w:t>
      </w:r>
      <w:r w:rsidR="0030672E" w:rsidRPr="00780BB5">
        <w:rPr>
          <w:rFonts w:ascii="Times New Roman" w:hAnsi="Times New Roman" w:cs="Times New Roman"/>
          <w:i/>
          <w:sz w:val="24"/>
          <w:szCs w:val="24"/>
        </w:rPr>
        <w:t>in casu</w:t>
      </w:r>
      <w:r w:rsidR="0030672E">
        <w:rPr>
          <w:rFonts w:ascii="Times New Roman" w:hAnsi="Times New Roman" w:cs="Times New Roman"/>
          <w:sz w:val="24"/>
          <w:szCs w:val="24"/>
        </w:rPr>
        <w:t xml:space="preserve"> </w:t>
      </w:r>
      <w:r w:rsidR="00702493">
        <w:rPr>
          <w:rFonts w:ascii="Times New Roman" w:hAnsi="Times New Roman" w:cs="Times New Roman"/>
          <w:sz w:val="24"/>
          <w:szCs w:val="24"/>
        </w:rPr>
        <w:t>does not have the effect of a final order</w:t>
      </w:r>
      <w:r w:rsidR="0030672E">
        <w:rPr>
          <w:rFonts w:ascii="Times New Roman" w:hAnsi="Times New Roman" w:cs="Times New Roman"/>
          <w:sz w:val="24"/>
          <w:szCs w:val="24"/>
        </w:rPr>
        <w:t xml:space="preserve">. </w:t>
      </w:r>
      <w:r>
        <w:rPr>
          <w:rFonts w:ascii="Times New Roman" w:hAnsi="Times New Roman" w:cs="Times New Roman"/>
          <w:sz w:val="24"/>
          <w:szCs w:val="24"/>
        </w:rPr>
        <w:t>I am in agreement with the applicant that the suspension o</w:t>
      </w:r>
      <w:r w:rsidR="0030672E">
        <w:rPr>
          <w:rFonts w:ascii="Times New Roman" w:hAnsi="Times New Roman" w:cs="Times New Roman"/>
          <w:sz w:val="24"/>
          <w:szCs w:val="24"/>
        </w:rPr>
        <w:t>f</w:t>
      </w:r>
      <w:r>
        <w:rPr>
          <w:rFonts w:ascii="Times New Roman" w:hAnsi="Times New Roman" w:cs="Times New Roman"/>
          <w:sz w:val="24"/>
          <w:szCs w:val="24"/>
        </w:rPr>
        <w:t xml:space="preserve"> the </w:t>
      </w:r>
      <w:r w:rsidR="0030672E">
        <w:rPr>
          <w:rFonts w:ascii="Times New Roman" w:hAnsi="Times New Roman" w:cs="Times New Roman"/>
          <w:sz w:val="24"/>
          <w:szCs w:val="24"/>
        </w:rPr>
        <w:t xml:space="preserve">digital banking </w:t>
      </w:r>
      <w:r>
        <w:rPr>
          <w:rFonts w:ascii="Times New Roman" w:hAnsi="Times New Roman" w:cs="Times New Roman"/>
          <w:sz w:val="24"/>
          <w:szCs w:val="24"/>
        </w:rPr>
        <w:t xml:space="preserve">platforms </w:t>
      </w:r>
      <w:r w:rsidR="0030672E">
        <w:rPr>
          <w:rFonts w:ascii="Times New Roman" w:hAnsi="Times New Roman" w:cs="Times New Roman"/>
          <w:sz w:val="24"/>
          <w:szCs w:val="24"/>
        </w:rPr>
        <w:t xml:space="preserve">that </w:t>
      </w:r>
      <w:r>
        <w:rPr>
          <w:rFonts w:ascii="Times New Roman" w:hAnsi="Times New Roman" w:cs="Times New Roman"/>
          <w:sz w:val="24"/>
          <w:szCs w:val="24"/>
        </w:rPr>
        <w:t xml:space="preserve">he is seeking is only temporary </w:t>
      </w:r>
      <w:r w:rsidR="00702493">
        <w:rPr>
          <w:rFonts w:ascii="Times New Roman" w:hAnsi="Times New Roman" w:cs="Times New Roman"/>
          <w:sz w:val="24"/>
          <w:szCs w:val="24"/>
        </w:rPr>
        <w:t xml:space="preserve">and is supposed to be effective </w:t>
      </w:r>
      <w:r>
        <w:rPr>
          <w:rFonts w:ascii="Times New Roman" w:hAnsi="Times New Roman" w:cs="Times New Roman"/>
          <w:sz w:val="24"/>
          <w:szCs w:val="24"/>
        </w:rPr>
        <w:t>between now and the return da</w:t>
      </w:r>
      <w:r w:rsidR="0030672E">
        <w:rPr>
          <w:rFonts w:ascii="Times New Roman" w:hAnsi="Times New Roman" w:cs="Times New Roman"/>
          <w:sz w:val="24"/>
          <w:szCs w:val="24"/>
        </w:rPr>
        <w:t>y</w:t>
      </w:r>
      <w:r>
        <w:rPr>
          <w:rFonts w:ascii="Times New Roman" w:hAnsi="Times New Roman" w:cs="Times New Roman"/>
          <w:sz w:val="24"/>
          <w:szCs w:val="24"/>
        </w:rPr>
        <w:t>. To suspend is to halt temporarily, defer</w:t>
      </w:r>
      <w:r w:rsidR="0030672E">
        <w:rPr>
          <w:rFonts w:ascii="Times New Roman" w:hAnsi="Times New Roman" w:cs="Times New Roman"/>
          <w:sz w:val="24"/>
          <w:szCs w:val="24"/>
        </w:rPr>
        <w:t>,</w:t>
      </w:r>
      <w:r>
        <w:rPr>
          <w:rFonts w:ascii="Times New Roman" w:hAnsi="Times New Roman" w:cs="Times New Roman"/>
          <w:sz w:val="24"/>
          <w:szCs w:val="24"/>
        </w:rPr>
        <w:t xml:space="preserve"> delay or postpone. With this, there is nothing final about the interim relief that the applicant is seeking. I thus dismiss this point </w:t>
      </w:r>
      <w:r w:rsidRPr="00A723BA">
        <w:rPr>
          <w:rFonts w:ascii="Times New Roman" w:hAnsi="Times New Roman" w:cs="Times New Roman"/>
          <w:i/>
          <w:sz w:val="24"/>
          <w:szCs w:val="24"/>
        </w:rPr>
        <w:t>in limine</w:t>
      </w:r>
      <w:r>
        <w:rPr>
          <w:rFonts w:ascii="Times New Roman" w:hAnsi="Times New Roman" w:cs="Times New Roman"/>
          <w:sz w:val="24"/>
          <w:szCs w:val="24"/>
        </w:rPr>
        <w:t>.</w:t>
      </w:r>
    </w:p>
    <w:p w14:paraId="4BF17FC4" w14:textId="11D0FDB8" w:rsidR="00AE3E29" w:rsidRPr="00757B99" w:rsidRDefault="00AE3E29" w:rsidP="00AE3E29">
      <w:pPr>
        <w:spacing w:after="0" w:line="360" w:lineRule="auto"/>
        <w:jc w:val="both"/>
        <w:rPr>
          <w:rFonts w:ascii="Times New Roman" w:hAnsi="Times New Roman" w:cs="Times New Roman"/>
          <w:i/>
          <w:iCs/>
          <w:sz w:val="24"/>
          <w:szCs w:val="24"/>
        </w:rPr>
      </w:pPr>
      <w:r w:rsidRPr="00757B99">
        <w:rPr>
          <w:rFonts w:ascii="Times New Roman" w:hAnsi="Times New Roman" w:cs="Times New Roman"/>
          <w:i/>
          <w:iCs/>
          <w:sz w:val="24"/>
          <w:szCs w:val="24"/>
        </w:rPr>
        <w:t>No cause of action</w:t>
      </w:r>
    </w:p>
    <w:p w14:paraId="0ABF4F15" w14:textId="0703401E" w:rsidR="00AE3E29" w:rsidRDefault="00AE3E29" w:rsidP="00AE3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5738">
        <w:rPr>
          <w:rFonts w:ascii="Times New Roman" w:hAnsi="Times New Roman" w:cs="Times New Roman"/>
          <w:sz w:val="24"/>
          <w:szCs w:val="24"/>
        </w:rPr>
        <w:t>T</w:t>
      </w:r>
      <w:r>
        <w:rPr>
          <w:rFonts w:ascii="Times New Roman" w:hAnsi="Times New Roman" w:cs="Times New Roman"/>
          <w:sz w:val="24"/>
          <w:szCs w:val="24"/>
        </w:rPr>
        <w:t>he first respondent</w:t>
      </w:r>
      <w:r w:rsidR="00CB5738">
        <w:rPr>
          <w:rFonts w:ascii="Times New Roman" w:hAnsi="Times New Roman" w:cs="Times New Roman"/>
          <w:sz w:val="24"/>
          <w:szCs w:val="24"/>
        </w:rPr>
        <w:t xml:space="preserve"> made the following averments.</w:t>
      </w:r>
      <w:r>
        <w:rPr>
          <w:rFonts w:ascii="Times New Roman" w:hAnsi="Times New Roman" w:cs="Times New Roman"/>
          <w:sz w:val="24"/>
          <w:szCs w:val="24"/>
        </w:rPr>
        <w:t xml:space="preserve"> </w:t>
      </w:r>
      <w:r w:rsidR="00CB5738">
        <w:rPr>
          <w:rFonts w:ascii="Times New Roman" w:hAnsi="Times New Roman" w:cs="Times New Roman"/>
          <w:sz w:val="24"/>
          <w:szCs w:val="24"/>
        </w:rPr>
        <w:t>T</w:t>
      </w:r>
      <w:r>
        <w:rPr>
          <w:rFonts w:ascii="Times New Roman" w:hAnsi="Times New Roman" w:cs="Times New Roman"/>
          <w:sz w:val="24"/>
          <w:szCs w:val="24"/>
        </w:rPr>
        <w:t>he applicant did not in his application specify the nature of his cause of action but merely narrated facts and his disgruntlement without pointing out the basis in law which entitle</w:t>
      </w:r>
      <w:r w:rsidR="0099317B">
        <w:rPr>
          <w:rFonts w:ascii="Times New Roman" w:hAnsi="Times New Roman" w:cs="Times New Roman"/>
          <w:sz w:val="24"/>
          <w:szCs w:val="24"/>
        </w:rPr>
        <w:t>s</w:t>
      </w:r>
      <w:r>
        <w:rPr>
          <w:rFonts w:ascii="Times New Roman" w:hAnsi="Times New Roman" w:cs="Times New Roman"/>
          <w:sz w:val="24"/>
          <w:szCs w:val="24"/>
        </w:rPr>
        <w:t xml:space="preserve"> him </w:t>
      </w:r>
      <w:r w:rsidR="0099317B">
        <w:rPr>
          <w:rFonts w:ascii="Times New Roman" w:hAnsi="Times New Roman" w:cs="Times New Roman"/>
          <w:sz w:val="24"/>
          <w:szCs w:val="24"/>
        </w:rPr>
        <w:t xml:space="preserve">to </w:t>
      </w:r>
      <w:r>
        <w:rPr>
          <w:rFonts w:ascii="Times New Roman" w:hAnsi="Times New Roman" w:cs="Times New Roman"/>
          <w:sz w:val="24"/>
          <w:szCs w:val="24"/>
        </w:rPr>
        <w:t xml:space="preserve">seek the relief that he is seeking. </w:t>
      </w:r>
      <w:r w:rsidR="00CB5738">
        <w:rPr>
          <w:rFonts w:ascii="Times New Roman" w:hAnsi="Times New Roman" w:cs="Times New Roman"/>
          <w:sz w:val="24"/>
          <w:szCs w:val="24"/>
        </w:rPr>
        <w:t>T</w:t>
      </w:r>
      <w:r>
        <w:rPr>
          <w:rFonts w:ascii="Times New Roman" w:hAnsi="Times New Roman" w:cs="Times New Roman"/>
          <w:sz w:val="24"/>
          <w:szCs w:val="24"/>
        </w:rPr>
        <w:t>he applicant did not state whether his cause of action arises from contract, delict or statute. The provisions of the Money Laundering and Proceeds of Crime Act that the applicant says were not complied with do not empower him to approach the court</w:t>
      </w:r>
      <w:r w:rsidR="00CB5738">
        <w:rPr>
          <w:rFonts w:ascii="Times New Roman" w:hAnsi="Times New Roman" w:cs="Times New Roman"/>
          <w:sz w:val="24"/>
          <w:szCs w:val="24"/>
        </w:rPr>
        <w:t xml:space="preserve"> as they</w:t>
      </w:r>
      <w:r>
        <w:rPr>
          <w:rFonts w:ascii="Times New Roman" w:hAnsi="Times New Roman" w:cs="Times New Roman"/>
          <w:sz w:val="24"/>
          <w:szCs w:val="24"/>
        </w:rPr>
        <w:t xml:space="preserve"> do not create a cause of action for him as an individual. The enforcement of the </w:t>
      </w:r>
      <w:r w:rsidR="00FE3C86">
        <w:rPr>
          <w:rFonts w:ascii="Times New Roman" w:hAnsi="Times New Roman" w:cs="Times New Roman"/>
          <w:sz w:val="24"/>
          <w:szCs w:val="24"/>
        </w:rPr>
        <w:t xml:space="preserve">particular </w:t>
      </w:r>
      <w:r>
        <w:rPr>
          <w:rFonts w:ascii="Times New Roman" w:hAnsi="Times New Roman" w:cs="Times New Roman"/>
          <w:sz w:val="24"/>
          <w:szCs w:val="24"/>
        </w:rPr>
        <w:t xml:space="preserve">Act is overseen by the Financial Intelligence Unit of the second respondent, the Reserve Bank of Zimbabwe. For any grievance arising from the Act, the applicant ought to have </w:t>
      </w:r>
      <w:r w:rsidR="00CB5738">
        <w:rPr>
          <w:rFonts w:ascii="Times New Roman" w:hAnsi="Times New Roman" w:cs="Times New Roman"/>
          <w:sz w:val="24"/>
          <w:szCs w:val="24"/>
        </w:rPr>
        <w:t>br</w:t>
      </w:r>
      <w:r>
        <w:rPr>
          <w:rFonts w:ascii="Times New Roman" w:hAnsi="Times New Roman" w:cs="Times New Roman"/>
          <w:sz w:val="24"/>
          <w:szCs w:val="24"/>
        </w:rPr>
        <w:t xml:space="preserve">ought it to the attention of the Financial Intelligence Unit. By approaching this court, the applicant is seeking to have this court usurp the administrative and statutory powers of </w:t>
      </w:r>
      <w:r w:rsidR="00CB5738">
        <w:rPr>
          <w:rFonts w:ascii="Times New Roman" w:hAnsi="Times New Roman" w:cs="Times New Roman"/>
          <w:sz w:val="24"/>
          <w:szCs w:val="24"/>
        </w:rPr>
        <w:t xml:space="preserve">the </w:t>
      </w:r>
      <w:r>
        <w:rPr>
          <w:rFonts w:ascii="Times New Roman" w:hAnsi="Times New Roman" w:cs="Times New Roman"/>
          <w:sz w:val="24"/>
          <w:szCs w:val="24"/>
        </w:rPr>
        <w:t xml:space="preserve">Financial </w:t>
      </w:r>
      <w:r>
        <w:rPr>
          <w:rFonts w:ascii="Times New Roman" w:hAnsi="Times New Roman" w:cs="Times New Roman"/>
          <w:sz w:val="24"/>
          <w:szCs w:val="24"/>
        </w:rPr>
        <w:lastRenderedPageBreak/>
        <w:t>Intelligence Unit. The dictates of administrative law prescribe that courts must allow an administrative body to first carry out its statutory mandate before interfering with its processes. In this instance</w:t>
      </w:r>
      <w:r w:rsidR="00FE3C86">
        <w:rPr>
          <w:rFonts w:ascii="Times New Roman" w:hAnsi="Times New Roman" w:cs="Times New Roman"/>
          <w:sz w:val="24"/>
          <w:szCs w:val="24"/>
        </w:rPr>
        <w:t>,</w:t>
      </w:r>
      <w:r>
        <w:rPr>
          <w:rFonts w:ascii="Times New Roman" w:hAnsi="Times New Roman" w:cs="Times New Roman"/>
          <w:sz w:val="24"/>
          <w:szCs w:val="24"/>
        </w:rPr>
        <w:t xml:space="preserve"> the Financial Intelligence Unit has not been afforded</w:t>
      </w:r>
      <w:r w:rsidR="00D45828">
        <w:rPr>
          <w:rFonts w:ascii="Times New Roman" w:hAnsi="Times New Roman" w:cs="Times New Roman"/>
          <w:sz w:val="24"/>
          <w:szCs w:val="24"/>
        </w:rPr>
        <w:t xml:space="preserve"> an opportunity</w:t>
      </w:r>
      <w:r>
        <w:rPr>
          <w:rFonts w:ascii="Times New Roman" w:hAnsi="Times New Roman" w:cs="Times New Roman"/>
          <w:sz w:val="24"/>
          <w:szCs w:val="24"/>
        </w:rPr>
        <w:t xml:space="preserve"> to consider the alleged complaints against the first respondent, yet the applicant is already requesting th</w:t>
      </w:r>
      <w:r w:rsidR="00FE3C86">
        <w:rPr>
          <w:rFonts w:ascii="Times New Roman" w:hAnsi="Times New Roman" w:cs="Times New Roman"/>
          <w:sz w:val="24"/>
          <w:szCs w:val="24"/>
        </w:rPr>
        <w:t>e</w:t>
      </w:r>
      <w:r>
        <w:rPr>
          <w:rFonts w:ascii="Times New Roman" w:hAnsi="Times New Roman" w:cs="Times New Roman"/>
          <w:sz w:val="24"/>
          <w:szCs w:val="24"/>
        </w:rPr>
        <w:t xml:space="preserve"> court to take over the powers of the Financial Intelligence Unit and completely suspend the </w:t>
      </w:r>
      <w:r w:rsidR="00FE3C86">
        <w:rPr>
          <w:rFonts w:ascii="Times New Roman" w:hAnsi="Times New Roman" w:cs="Times New Roman"/>
          <w:sz w:val="24"/>
          <w:szCs w:val="24"/>
        </w:rPr>
        <w:t>first respondent</w:t>
      </w:r>
      <w:r>
        <w:rPr>
          <w:rFonts w:ascii="Times New Roman" w:hAnsi="Times New Roman" w:cs="Times New Roman"/>
          <w:sz w:val="24"/>
          <w:szCs w:val="24"/>
        </w:rPr>
        <w:t>’s digital banking platforms.</w:t>
      </w:r>
    </w:p>
    <w:p w14:paraId="68499A0A" w14:textId="367BD88A" w:rsidR="00AE3E29" w:rsidRDefault="00AE3E29" w:rsidP="00AE3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the applicant averred the following</w:t>
      </w:r>
      <w:r w:rsidR="000B3F4E">
        <w:rPr>
          <w:rFonts w:ascii="Times New Roman" w:hAnsi="Times New Roman" w:cs="Times New Roman"/>
          <w:sz w:val="24"/>
          <w:szCs w:val="24"/>
        </w:rPr>
        <w:t xml:space="preserve"> in his answering affidavit</w:t>
      </w:r>
      <w:r w:rsidR="00D45828">
        <w:rPr>
          <w:rFonts w:ascii="Times New Roman" w:hAnsi="Times New Roman" w:cs="Times New Roman"/>
          <w:sz w:val="24"/>
          <w:szCs w:val="24"/>
        </w:rPr>
        <w:t>.</w:t>
      </w:r>
      <w:r>
        <w:rPr>
          <w:rFonts w:ascii="Times New Roman" w:hAnsi="Times New Roman" w:cs="Times New Roman"/>
          <w:sz w:val="24"/>
          <w:szCs w:val="24"/>
        </w:rPr>
        <w:t xml:space="preserve"> </w:t>
      </w:r>
      <w:r w:rsidR="00D45828">
        <w:rPr>
          <w:rFonts w:ascii="Times New Roman" w:hAnsi="Times New Roman" w:cs="Times New Roman"/>
          <w:sz w:val="24"/>
          <w:szCs w:val="24"/>
        </w:rPr>
        <w:t>W</w:t>
      </w:r>
      <w:r>
        <w:rPr>
          <w:rFonts w:ascii="Times New Roman" w:hAnsi="Times New Roman" w:cs="Times New Roman"/>
          <w:sz w:val="24"/>
          <w:szCs w:val="24"/>
        </w:rPr>
        <w:t>hen he went to see the first respondent’s personnel</w:t>
      </w:r>
      <w:r w:rsidR="00D45828">
        <w:rPr>
          <w:rFonts w:ascii="Times New Roman" w:hAnsi="Times New Roman" w:cs="Times New Roman"/>
          <w:sz w:val="24"/>
          <w:szCs w:val="24"/>
        </w:rPr>
        <w:t xml:space="preserve"> the first time</w:t>
      </w:r>
      <w:r>
        <w:rPr>
          <w:rFonts w:ascii="Times New Roman" w:hAnsi="Times New Roman" w:cs="Times New Roman"/>
          <w:sz w:val="24"/>
          <w:szCs w:val="24"/>
        </w:rPr>
        <w:t xml:space="preserve">, he discovered that an account had been opened in his name. </w:t>
      </w:r>
      <w:r w:rsidR="00EB6B48">
        <w:rPr>
          <w:rFonts w:ascii="Times New Roman" w:hAnsi="Times New Roman" w:cs="Times New Roman"/>
          <w:sz w:val="24"/>
          <w:szCs w:val="24"/>
        </w:rPr>
        <w:t>Therefore, a</w:t>
      </w:r>
      <w:r>
        <w:rPr>
          <w:rFonts w:ascii="Times New Roman" w:hAnsi="Times New Roman" w:cs="Times New Roman"/>
          <w:sz w:val="24"/>
          <w:szCs w:val="24"/>
        </w:rPr>
        <w:t xml:space="preserve"> banker-client relationship was established</w:t>
      </w:r>
      <w:r w:rsidR="00EB6B48">
        <w:rPr>
          <w:rFonts w:ascii="Times New Roman" w:hAnsi="Times New Roman" w:cs="Times New Roman"/>
          <w:sz w:val="24"/>
          <w:szCs w:val="24"/>
        </w:rPr>
        <w:t xml:space="preserve"> between him and the first respondent</w:t>
      </w:r>
      <w:r>
        <w:rPr>
          <w:rFonts w:ascii="Times New Roman" w:hAnsi="Times New Roman" w:cs="Times New Roman"/>
          <w:sz w:val="24"/>
          <w:szCs w:val="24"/>
        </w:rPr>
        <w:t xml:space="preserve">, although </w:t>
      </w:r>
      <w:r w:rsidR="00EB6B48">
        <w:rPr>
          <w:rFonts w:ascii="Times New Roman" w:hAnsi="Times New Roman" w:cs="Times New Roman"/>
          <w:sz w:val="24"/>
          <w:szCs w:val="24"/>
        </w:rPr>
        <w:t>the account was opened</w:t>
      </w:r>
      <w:r>
        <w:rPr>
          <w:rFonts w:ascii="Times New Roman" w:hAnsi="Times New Roman" w:cs="Times New Roman"/>
          <w:sz w:val="24"/>
          <w:szCs w:val="24"/>
        </w:rPr>
        <w:t xml:space="preserve"> with</w:t>
      </w:r>
      <w:r w:rsidR="00EB6B48">
        <w:rPr>
          <w:rFonts w:ascii="Times New Roman" w:hAnsi="Times New Roman" w:cs="Times New Roman"/>
          <w:sz w:val="24"/>
          <w:szCs w:val="24"/>
        </w:rPr>
        <w:t>out</w:t>
      </w:r>
      <w:r>
        <w:rPr>
          <w:rFonts w:ascii="Times New Roman" w:hAnsi="Times New Roman" w:cs="Times New Roman"/>
          <w:sz w:val="24"/>
          <w:szCs w:val="24"/>
        </w:rPr>
        <w:t xml:space="preserve"> his knowledge and consent. </w:t>
      </w:r>
      <w:r w:rsidR="00EB6B48">
        <w:rPr>
          <w:rFonts w:ascii="Times New Roman" w:hAnsi="Times New Roman" w:cs="Times New Roman"/>
          <w:sz w:val="24"/>
          <w:szCs w:val="24"/>
        </w:rPr>
        <w:t>N</w:t>
      </w:r>
      <w:r w:rsidR="00D45828">
        <w:rPr>
          <w:rFonts w:ascii="Times New Roman" w:hAnsi="Times New Roman" w:cs="Times New Roman"/>
          <w:sz w:val="24"/>
          <w:szCs w:val="24"/>
        </w:rPr>
        <w:t>ow that the account was later closed,</w:t>
      </w:r>
      <w:r w:rsidR="00EB6B48" w:rsidRPr="00EB6B48">
        <w:rPr>
          <w:rFonts w:ascii="Times New Roman" w:hAnsi="Times New Roman" w:cs="Times New Roman"/>
          <w:sz w:val="24"/>
          <w:szCs w:val="24"/>
        </w:rPr>
        <w:t xml:space="preserve"> </w:t>
      </w:r>
      <w:r w:rsidR="00EB6B48">
        <w:rPr>
          <w:rFonts w:ascii="Times New Roman" w:hAnsi="Times New Roman" w:cs="Times New Roman"/>
          <w:sz w:val="24"/>
          <w:szCs w:val="24"/>
        </w:rPr>
        <w:t>as a former client</w:t>
      </w:r>
      <w:r>
        <w:rPr>
          <w:rFonts w:ascii="Times New Roman" w:hAnsi="Times New Roman" w:cs="Times New Roman"/>
          <w:sz w:val="24"/>
          <w:szCs w:val="24"/>
        </w:rPr>
        <w:t xml:space="preserve"> he can sue for whatever happened when the </w:t>
      </w:r>
      <w:r w:rsidR="00EB6B48">
        <w:rPr>
          <w:rFonts w:ascii="Times New Roman" w:hAnsi="Times New Roman" w:cs="Times New Roman"/>
          <w:sz w:val="24"/>
          <w:szCs w:val="24"/>
        </w:rPr>
        <w:t xml:space="preserve">banker-client </w:t>
      </w:r>
      <w:r>
        <w:rPr>
          <w:rFonts w:ascii="Times New Roman" w:hAnsi="Times New Roman" w:cs="Times New Roman"/>
          <w:sz w:val="24"/>
          <w:szCs w:val="24"/>
        </w:rPr>
        <w:t xml:space="preserve">relationship was established. The applicant contended that it is clear that his cause of action is premised </w:t>
      </w:r>
      <w:r w:rsidR="00005534">
        <w:rPr>
          <w:rFonts w:ascii="Times New Roman" w:hAnsi="Times New Roman" w:cs="Times New Roman"/>
          <w:sz w:val="24"/>
          <w:szCs w:val="24"/>
        </w:rPr>
        <w:t>i</w:t>
      </w:r>
      <w:r>
        <w:rPr>
          <w:rFonts w:ascii="Times New Roman" w:hAnsi="Times New Roman" w:cs="Times New Roman"/>
          <w:sz w:val="24"/>
          <w:szCs w:val="24"/>
        </w:rPr>
        <w:t xml:space="preserve">n contract. The applicant averred that when he learnt that a second account had been opened in his name once again, and went back to first respondent with a query, its personnel never gave him feedback as they had promised to do. They </w:t>
      </w:r>
      <w:r w:rsidR="00B4556D">
        <w:rPr>
          <w:rFonts w:ascii="Times New Roman" w:hAnsi="Times New Roman" w:cs="Times New Roman"/>
          <w:sz w:val="24"/>
          <w:szCs w:val="24"/>
        </w:rPr>
        <w:t>n</w:t>
      </w:r>
      <w:r>
        <w:rPr>
          <w:rFonts w:ascii="Times New Roman" w:hAnsi="Times New Roman" w:cs="Times New Roman"/>
          <w:sz w:val="24"/>
          <w:szCs w:val="24"/>
        </w:rPr>
        <w:t xml:space="preserve">ever told him that the account was not in his name. </w:t>
      </w:r>
      <w:r w:rsidR="002D24B6">
        <w:rPr>
          <w:rFonts w:ascii="Times New Roman" w:hAnsi="Times New Roman" w:cs="Times New Roman"/>
          <w:sz w:val="24"/>
          <w:szCs w:val="24"/>
        </w:rPr>
        <w:t xml:space="preserve">The applicant further </w:t>
      </w:r>
      <w:r w:rsidR="00F836E6">
        <w:rPr>
          <w:rFonts w:ascii="Times New Roman" w:hAnsi="Times New Roman" w:cs="Times New Roman"/>
          <w:sz w:val="24"/>
          <w:szCs w:val="24"/>
        </w:rPr>
        <w:t>averred</w:t>
      </w:r>
      <w:r>
        <w:rPr>
          <w:rFonts w:ascii="Times New Roman" w:hAnsi="Times New Roman" w:cs="Times New Roman"/>
          <w:sz w:val="24"/>
          <w:szCs w:val="24"/>
        </w:rPr>
        <w:t xml:space="preserve"> </w:t>
      </w:r>
      <w:bookmarkStart w:id="7" w:name="_Hlk66812177"/>
      <w:r>
        <w:rPr>
          <w:rFonts w:ascii="Times New Roman" w:hAnsi="Times New Roman" w:cs="Times New Roman"/>
          <w:sz w:val="24"/>
          <w:szCs w:val="24"/>
        </w:rPr>
        <w:t xml:space="preserve">that the </w:t>
      </w:r>
      <w:bookmarkStart w:id="8" w:name="_Hlk67603700"/>
      <w:r>
        <w:rPr>
          <w:rFonts w:ascii="Times New Roman" w:hAnsi="Times New Roman" w:cs="Times New Roman"/>
          <w:sz w:val="24"/>
          <w:szCs w:val="24"/>
        </w:rPr>
        <w:t xml:space="preserve">Money Laundering and Proceeds of Crime Act </w:t>
      </w:r>
      <w:bookmarkEnd w:id="8"/>
      <w:r>
        <w:rPr>
          <w:rFonts w:ascii="Times New Roman" w:hAnsi="Times New Roman" w:cs="Times New Roman"/>
          <w:sz w:val="24"/>
          <w:szCs w:val="24"/>
        </w:rPr>
        <w:t>does not preclude any person whose interest</w:t>
      </w:r>
      <w:r w:rsidR="00757C0E">
        <w:rPr>
          <w:rFonts w:ascii="Times New Roman" w:hAnsi="Times New Roman" w:cs="Times New Roman"/>
          <w:sz w:val="24"/>
          <w:szCs w:val="24"/>
        </w:rPr>
        <w:t>s</w:t>
      </w:r>
      <w:r>
        <w:rPr>
          <w:rFonts w:ascii="Times New Roman" w:hAnsi="Times New Roman" w:cs="Times New Roman"/>
          <w:sz w:val="24"/>
          <w:szCs w:val="24"/>
        </w:rPr>
        <w:t xml:space="preserve"> </w:t>
      </w:r>
      <w:r w:rsidR="0021798B">
        <w:rPr>
          <w:rFonts w:ascii="Times New Roman" w:hAnsi="Times New Roman" w:cs="Times New Roman"/>
          <w:sz w:val="24"/>
          <w:szCs w:val="24"/>
        </w:rPr>
        <w:t>have been</w:t>
      </w:r>
      <w:r>
        <w:rPr>
          <w:rFonts w:ascii="Times New Roman" w:hAnsi="Times New Roman" w:cs="Times New Roman"/>
          <w:sz w:val="24"/>
          <w:szCs w:val="24"/>
        </w:rPr>
        <w:t xml:space="preserve"> pe</w:t>
      </w:r>
      <w:r w:rsidR="00B4556D">
        <w:rPr>
          <w:rFonts w:ascii="Times New Roman" w:hAnsi="Times New Roman" w:cs="Times New Roman"/>
          <w:sz w:val="24"/>
          <w:szCs w:val="24"/>
        </w:rPr>
        <w:t>r</w:t>
      </w:r>
      <w:r>
        <w:rPr>
          <w:rFonts w:ascii="Times New Roman" w:hAnsi="Times New Roman" w:cs="Times New Roman"/>
          <w:sz w:val="24"/>
          <w:szCs w:val="24"/>
        </w:rPr>
        <w:t>ve</w:t>
      </w:r>
      <w:r w:rsidR="00B4556D">
        <w:rPr>
          <w:rFonts w:ascii="Times New Roman" w:hAnsi="Times New Roman" w:cs="Times New Roman"/>
          <w:sz w:val="24"/>
          <w:szCs w:val="24"/>
        </w:rPr>
        <w:t>r</w:t>
      </w:r>
      <w:r>
        <w:rPr>
          <w:rFonts w:ascii="Times New Roman" w:hAnsi="Times New Roman" w:cs="Times New Roman"/>
          <w:sz w:val="24"/>
          <w:szCs w:val="24"/>
        </w:rPr>
        <w:t>ted from approaching the court in the ma</w:t>
      </w:r>
      <w:r w:rsidR="00B4556D">
        <w:rPr>
          <w:rFonts w:ascii="Times New Roman" w:hAnsi="Times New Roman" w:cs="Times New Roman"/>
          <w:sz w:val="24"/>
          <w:szCs w:val="24"/>
        </w:rPr>
        <w:t>nn</w:t>
      </w:r>
      <w:r>
        <w:rPr>
          <w:rFonts w:ascii="Times New Roman" w:hAnsi="Times New Roman" w:cs="Times New Roman"/>
          <w:sz w:val="24"/>
          <w:szCs w:val="24"/>
        </w:rPr>
        <w:t xml:space="preserve">er </w:t>
      </w:r>
      <w:r w:rsidR="00757C0E">
        <w:rPr>
          <w:rFonts w:ascii="Times New Roman" w:hAnsi="Times New Roman" w:cs="Times New Roman"/>
          <w:sz w:val="24"/>
          <w:szCs w:val="24"/>
        </w:rPr>
        <w:t xml:space="preserve">that </w:t>
      </w:r>
      <w:r>
        <w:rPr>
          <w:rFonts w:ascii="Times New Roman" w:hAnsi="Times New Roman" w:cs="Times New Roman"/>
          <w:sz w:val="24"/>
          <w:szCs w:val="24"/>
        </w:rPr>
        <w:t>he did. He added that constitutionally, he ha</w:t>
      </w:r>
      <w:r w:rsidR="00B4556D">
        <w:rPr>
          <w:rFonts w:ascii="Times New Roman" w:hAnsi="Times New Roman" w:cs="Times New Roman"/>
          <w:sz w:val="24"/>
          <w:szCs w:val="24"/>
        </w:rPr>
        <w:t>s</w:t>
      </w:r>
      <w:r>
        <w:rPr>
          <w:rFonts w:ascii="Times New Roman" w:hAnsi="Times New Roman" w:cs="Times New Roman"/>
          <w:sz w:val="24"/>
          <w:szCs w:val="24"/>
        </w:rPr>
        <w:t xml:space="preserve"> a right to do so despite the fact that he is an individual.</w:t>
      </w:r>
    </w:p>
    <w:p w14:paraId="60CE802A" w14:textId="432EDAF6" w:rsidR="00633BA7" w:rsidRDefault="007178A4" w:rsidP="007A36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From this response it is clear that the applicant makes mention of two causes of action</w:t>
      </w:r>
      <w:r w:rsidR="00005534">
        <w:rPr>
          <w:rFonts w:ascii="Times New Roman" w:hAnsi="Times New Roman" w:cs="Times New Roman"/>
          <w:sz w:val="24"/>
          <w:szCs w:val="24"/>
        </w:rPr>
        <w:t xml:space="preserve">. Firstly, in contract. Secondly, in terms of the Money Laundering and Proceeds of Crime Act </w:t>
      </w:r>
      <w:r>
        <w:rPr>
          <w:rFonts w:ascii="Times New Roman" w:hAnsi="Times New Roman" w:cs="Times New Roman"/>
          <w:sz w:val="24"/>
          <w:szCs w:val="24"/>
        </w:rPr>
        <w:t xml:space="preserve">yet in the founding affidavit it does not come out that his cause of action is contract based. </w:t>
      </w:r>
      <w:r w:rsidR="007A36EA">
        <w:rPr>
          <w:rFonts w:ascii="Times New Roman" w:hAnsi="Times New Roman" w:cs="Times New Roman"/>
          <w:sz w:val="24"/>
          <w:szCs w:val="24"/>
        </w:rPr>
        <w:t>There is no</w:t>
      </w:r>
      <w:r>
        <w:rPr>
          <w:rFonts w:ascii="Times New Roman" w:hAnsi="Times New Roman" w:cs="Times New Roman"/>
          <w:sz w:val="24"/>
          <w:szCs w:val="24"/>
        </w:rPr>
        <w:t xml:space="preserve"> mention</w:t>
      </w:r>
      <w:r w:rsidR="007A36EA">
        <w:rPr>
          <w:rFonts w:ascii="Times New Roman" w:hAnsi="Times New Roman" w:cs="Times New Roman"/>
          <w:sz w:val="24"/>
          <w:szCs w:val="24"/>
        </w:rPr>
        <w:t xml:space="preserve"> whatsoever</w:t>
      </w:r>
      <w:r>
        <w:rPr>
          <w:rFonts w:ascii="Times New Roman" w:hAnsi="Times New Roman" w:cs="Times New Roman"/>
          <w:sz w:val="24"/>
          <w:szCs w:val="24"/>
        </w:rPr>
        <w:t xml:space="preserve"> that the applicant is suing on the basis of a contractual relationship that was created between the parties when an account was fraudulently opened in his name by some person unknown to him.</w:t>
      </w:r>
      <w:r w:rsidR="00BB117F" w:rsidRPr="00BB117F">
        <w:rPr>
          <w:rFonts w:ascii="Times New Roman" w:hAnsi="Times New Roman" w:cs="Times New Roman"/>
          <w:iCs/>
          <w:sz w:val="24"/>
          <w:szCs w:val="24"/>
        </w:rPr>
        <w:t xml:space="preserve"> </w:t>
      </w:r>
      <w:r w:rsidR="007A36EA">
        <w:rPr>
          <w:rFonts w:ascii="Times New Roman" w:hAnsi="Times New Roman" w:cs="Times New Roman"/>
          <w:sz w:val="24"/>
          <w:szCs w:val="24"/>
        </w:rPr>
        <w:t>A</w:t>
      </w:r>
      <w:r w:rsidR="00BB117F">
        <w:rPr>
          <w:rFonts w:ascii="Times New Roman" w:hAnsi="Times New Roman" w:cs="Times New Roman"/>
          <w:sz w:val="24"/>
          <w:szCs w:val="24"/>
        </w:rPr>
        <w:t xml:space="preserve">s was correctly stated by the first respondent, the applicant’s founding affidavit is largely a never-ending narration of what the applicant perceives to be the law on the operation of digital banking platforms. He goes to extensive lengths quoting the provisions of the </w:t>
      </w:r>
      <w:bookmarkStart w:id="9" w:name="_Hlk66811379"/>
      <w:r w:rsidR="00BB117F">
        <w:rPr>
          <w:rFonts w:ascii="Times New Roman" w:hAnsi="Times New Roman" w:cs="Times New Roman"/>
          <w:sz w:val="24"/>
          <w:szCs w:val="24"/>
        </w:rPr>
        <w:t>Money Laundering and Proceeds of Crime Act</w:t>
      </w:r>
      <w:bookmarkEnd w:id="9"/>
      <w:r w:rsidR="00BB117F">
        <w:rPr>
          <w:rFonts w:ascii="Times New Roman" w:hAnsi="Times New Roman" w:cs="Times New Roman"/>
          <w:sz w:val="24"/>
          <w:szCs w:val="24"/>
        </w:rPr>
        <w:t xml:space="preserve">, that is, ss 13, 15,16 and 17. He also quoted Article 11.3 of the RBZ Guidelines from Article 11 3.1 to 11.3.8 and article 11.7 from Article 11.7.1 to 11.7.17. All this took 7 full pages from page 15 to page 22. The founding affidavit is 29 pages long. Quoting the statutory provisions and the RBZ guidelines was irrelevant and unnecessary. Be that as it may, </w:t>
      </w:r>
      <w:r w:rsidR="00FC5F92">
        <w:rPr>
          <w:rFonts w:ascii="Times New Roman" w:hAnsi="Times New Roman" w:cs="Times New Roman"/>
          <w:sz w:val="24"/>
          <w:szCs w:val="24"/>
        </w:rPr>
        <w:t>what comes out</w:t>
      </w:r>
      <w:r w:rsidR="00BB117F">
        <w:rPr>
          <w:rFonts w:ascii="Times New Roman" w:hAnsi="Times New Roman" w:cs="Times New Roman"/>
          <w:sz w:val="24"/>
          <w:szCs w:val="24"/>
        </w:rPr>
        <w:t xml:space="preserve"> </w:t>
      </w:r>
      <w:r w:rsidR="00103E29">
        <w:rPr>
          <w:rFonts w:ascii="Times New Roman" w:hAnsi="Times New Roman" w:cs="Times New Roman"/>
          <w:sz w:val="24"/>
          <w:szCs w:val="24"/>
        </w:rPr>
        <w:t xml:space="preserve">as the cause of action </w:t>
      </w:r>
      <w:r w:rsidR="00BB117F">
        <w:rPr>
          <w:rFonts w:ascii="Times New Roman" w:hAnsi="Times New Roman" w:cs="Times New Roman"/>
          <w:sz w:val="24"/>
          <w:szCs w:val="24"/>
        </w:rPr>
        <w:t xml:space="preserve">in the founding affidavit is the </w:t>
      </w:r>
      <w:r w:rsidR="00BB117F" w:rsidRPr="00757C0E">
        <w:rPr>
          <w:rFonts w:ascii="Times New Roman" w:hAnsi="Times New Roman" w:cs="Times New Roman"/>
          <w:sz w:val="24"/>
          <w:szCs w:val="24"/>
        </w:rPr>
        <w:t>first respondent</w:t>
      </w:r>
      <w:r w:rsidR="00103E29">
        <w:rPr>
          <w:rFonts w:ascii="Times New Roman" w:hAnsi="Times New Roman" w:cs="Times New Roman"/>
          <w:sz w:val="24"/>
          <w:szCs w:val="24"/>
        </w:rPr>
        <w:t>’s</w:t>
      </w:r>
      <w:r w:rsidR="00BB117F" w:rsidRPr="00757C0E">
        <w:rPr>
          <w:rFonts w:ascii="Times New Roman" w:hAnsi="Times New Roman" w:cs="Times New Roman"/>
          <w:sz w:val="24"/>
          <w:szCs w:val="24"/>
        </w:rPr>
        <w:t xml:space="preserve"> </w:t>
      </w:r>
      <w:r w:rsidR="00103E29">
        <w:rPr>
          <w:rFonts w:ascii="Times New Roman" w:hAnsi="Times New Roman" w:cs="Times New Roman"/>
          <w:sz w:val="24"/>
          <w:szCs w:val="24"/>
        </w:rPr>
        <w:t>non-compliance</w:t>
      </w:r>
      <w:r w:rsidR="00BB117F" w:rsidRPr="00757C0E">
        <w:rPr>
          <w:rFonts w:ascii="Times New Roman" w:hAnsi="Times New Roman" w:cs="Times New Roman"/>
          <w:sz w:val="24"/>
          <w:szCs w:val="24"/>
        </w:rPr>
        <w:t xml:space="preserve"> with the provisions </w:t>
      </w:r>
      <w:r w:rsidR="00BB117F">
        <w:rPr>
          <w:rFonts w:ascii="Times New Roman" w:hAnsi="Times New Roman" w:cs="Times New Roman"/>
          <w:sz w:val="24"/>
          <w:szCs w:val="24"/>
        </w:rPr>
        <w:lastRenderedPageBreak/>
        <w:t>of</w:t>
      </w:r>
      <w:r w:rsidR="00BB117F" w:rsidRPr="00757C0E">
        <w:rPr>
          <w:rFonts w:ascii="Times New Roman" w:hAnsi="Times New Roman" w:cs="Times New Roman"/>
          <w:sz w:val="24"/>
          <w:szCs w:val="24"/>
        </w:rPr>
        <w:t xml:space="preserve"> the </w:t>
      </w:r>
      <w:r w:rsidR="00BB117F">
        <w:rPr>
          <w:rFonts w:ascii="Times New Roman" w:hAnsi="Times New Roman" w:cs="Times New Roman"/>
          <w:sz w:val="24"/>
          <w:szCs w:val="24"/>
        </w:rPr>
        <w:t xml:space="preserve">Money Laundering and Proceeds of Crime Act. </w:t>
      </w:r>
      <w:r w:rsidR="0092068B">
        <w:rPr>
          <w:rFonts w:ascii="Times New Roman" w:hAnsi="Times New Roman" w:cs="Times New Roman"/>
          <w:sz w:val="24"/>
          <w:szCs w:val="24"/>
        </w:rPr>
        <w:t xml:space="preserve">That the cause of action is contract based is something that the applicant says in his answering affidavit in response to the point </w:t>
      </w:r>
      <w:r w:rsidR="0092068B" w:rsidRPr="0092068B">
        <w:rPr>
          <w:rFonts w:ascii="Times New Roman" w:hAnsi="Times New Roman" w:cs="Times New Roman"/>
          <w:i/>
          <w:iCs/>
          <w:sz w:val="24"/>
          <w:szCs w:val="24"/>
        </w:rPr>
        <w:t>in limine</w:t>
      </w:r>
      <w:r w:rsidR="0092068B">
        <w:rPr>
          <w:rFonts w:ascii="Times New Roman" w:hAnsi="Times New Roman" w:cs="Times New Roman"/>
          <w:sz w:val="24"/>
          <w:szCs w:val="24"/>
        </w:rPr>
        <w:t>.</w:t>
      </w:r>
    </w:p>
    <w:p w14:paraId="2E2C4227" w14:textId="77777777" w:rsidR="00BF5B10" w:rsidRDefault="00C27B03" w:rsidP="00C27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Clearly, this is a </w:t>
      </w:r>
      <w:r w:rsidR="007A36EA">
        <w:rPr>
          <w:rFonts w:ascii="Times New Roman" w:hAnsi="Times New Roman" w:cs="Times New Roman"/>
          <w:sz w:val="24"/>
          <w:szCs w:val="24"/>
        </w:rPr>
        <w:t xml:space="preserve">new cause of action </w:t>
      </w:r>
      <w:r>
        <w:rPr>
          <w:rFonts w:ascii="Times New Roman" w:hAnsi="Times New Roman" w:cs="Times New Roman"/>
          <w:sz w:val="24"/>
          <w:szCs w:val="24"/>
        </w:rPr>
        <w:t>that he raises</w:t>
      </w:r>
      <w:r w:rsidR="00495CA3">
        <w:rPr>
          <w:rFonts w:ascii="Times New Roman" w:hAnsi="Times New Roman" w:cs="Times New Roman"/>
          <w:sz w:val="24"/>
          <w:szCs w:val="24"/>
        </w:rPr>
        <w:t>,</w:t>
      </w:r>
      <w:r w:rsidR="00621B31">
        <w:rPr>
          <w:rFonts w:ascii="Times New Roman" w:hAnsi="Times New Roman" w:cs="Times New Roman"/>
          <w:sz w:val="24"/>
          <w:szCs w:val="24"/>
        </w:rPr>
        <w:t xml:space="preserve"> </w:t>
      </w:r>
      <w:r>
        <w:rPr>
          <w:rFonts w:ascii="Times New Roman" w:hAnsi="Times New Roman" w:cs="Times New Roman"/>
          <w:sz w:val="24"/>
          <w:szCs w:val="24"/>
        </w:rPr>
        <w:t>yet</w:t>
      </w:r>
      <w:r w:rsidR="00372939">
        <w:rPr>
          <w:rFonts w:ascii="Times New Roman" w:hAnsi="Times New Roman" w:cs="Times New Roman"/>
          <w:sz w:val="24"/>
          <w:szCs w:val="24"/>
        </w:rPr>
        <w:t xml:space="preserve"> he never pleaded or established </w:t>
      </w:r>
      <w:r>
        <w:rPr>
          <w:rFonts w:ascii="Times New Roman" w:hAnsi="Times New Roman" w:cs="Times New Roman"/>
          <w:sz w:val="24"/>
          <w:szCs w:val="24"/>
        </w:rPr>
        <w:t xml:space="preserve">it </w:t>
      </w:r>
      <w:r w:rsidR="00372939">
        <w:rPr>
          <w:rFonts w:ascii="Times New Roman" w:hAnsi="Times New Roman" w:cs="Times New Roman"/>
          <w:sz w:val="24"/>
          <w:szCs w:val="24"/>
        </w:rPr>
        <w:t xml:space="preserve">in </w:t>
      </w:r>
      <w:r>
        <w:rPr>
          <w:rFonts w:ascii="Times New Roman" w:hAnsi="Times New Roman" w:cs="Times New Roman"/>
          <w:sz w:val="24"/>
          <w:szCs w:val="24"/>
        </w:rPr>
        <w:t>his</w:t>
      </w:r>
      <w:r w:rsidR="00372939">
        <w:rPr>
          <w:rFonts w:ascii="Times New Roman" w:hAnsi="Times New Roman" w:cs="Times New Roman"/>
          <w:sz w:val="24"/>
          <w:szCs w:val="24"/>
        </w:rPr>
        <w:t xml:space="preserve"> founding affidavit</w:t>
      </w:r>
      <w:r w:rsidR="00E32D08">
        <w:rPr>
          <w:rFonts w:ascii="Times New Roman" w:hAnsi="Times New Roman" w:cs="Times New Roman"/>
          <w:sz w:val="24"/>
          <w:szCs w:val="24"/>
        </w:rPr>
        <w:t>.</w:t>
      </w:r>
      <w:r w:rsidR="00BF5B10">
        <w:rPr>
          <w:rFonts w:ascii="Times New Roman" w:hAnsi="Times New Roman" w:cs="Times New Roman"/>
          <w:sz w:val="24"/>
          <w:szCs w:val="24"/>
        </w:rPr>
        <w:t xml:space="preserve"> It goes without saying that</w:t>
      </w:r>
      <w:r w:rsidR="00372939">
        <w:rPr>
          <w:rFonts w:ascii="Times New Roman" w:hAnsi="Times New Roman" w:cs="Times New Roman"/>
          <w:sz w:val="24"/>
          <w:szCs w:val="24"/>
        </w:rPr>
        <w:t xml:space="preserve"> </w:t>
      </w:r>
      <w:r w:rsidR="00BB117F">
        <w:rPr>
          <w:rFonts w:ascii="Times New Roman" w:hAnsi="Times New Roman" w:cs="Times New Roman"/>
          <w:sz w:val="24"/>
          <w:szCs w:val="24"/>
        </w:rPr>
        <w:t>the applicant</w:t>
      </w:r>
      <w:r w:rsidR="007A36EA">
        <w:rPr>
          <w:rFonts w:ascii="Times New Roman" w:hAnsi="Times New Roman" w:cs="Times New Roman"/>
          <w:sz w:val="24"/>
          <w:szCs w:val="24"/>
        </w:rPr>
        <w:t xml:space="preserve"> does not know exactly</w:t>
      </w:r>
      <w:r w:rsidR="00BB117F">
        <w:rPr>
          <w:rFonts w:ascii="Times New Roman" w:hAnsi="Times New Roman" w:cs="Times New Roman"/>
          <w:sz w:val="24"/>
          <w:szCs w:val="24"/>
        </w:rPr>
        <w:t xml:space="preserve"> </w:t>
      </w:r>
      <w:r w:rsidR="007A36EA">
        <w:rPr>
          <w:rFonts w:ascii="Times New Roman" w:hAnsi="Times New Roman" w:cs="Times New Roman"/>
          <w:sz w:val="24"/>
          <w:szCs w:val="24"/>
        </w:rPr>
        <w:t>what</w:t>
      </w:r>
      <w:r w:rsidR="00BB117F">
        <w:rPr>
          <w:rFonts w:ascii="Times New Roman" w:hAnsi="Times New Roman" w:cs="Times New Roman"/>
          <w:sz w:val="24"/>
          <w:szCs w:val="24"/>
        </w:rPr>
        <w:t xml:space="preserve"> his cause of action</w:t>
      </w:r>
      <w:r w:rsidR="007A36EA">
        <w:rPr>
          <w:rFonts w:ascii="Times New Roman" w:hAnsi="Times New Roman" w:cs="Times New Roman"/>
          <w:sz w:val="24"/>
          <w:szCs w:val="24"/>
        </w:rPr>
        <w:t xml:space="preserve"> is.</w:t>
      </w:r>
      <w:r w:rsidR="00633BA7" w:rsidRPr="00633BA7">
        <w:rPr>
          <w:rFonts w:ascii="Times New Roman" w:hAnsi="Times New Roman" w:cs="Times New Roman"/>
          <w:sz w:val="24"/>
          <w:szCs w:val="24"/>
        </w:rPr>
        <w:t xml:space="preserve"> </w:t>
      </w:r>
    </w:p>
    <w:p w14:paraId="6B994DC5" w14:textId="3690239A" w:rsidR="00D27CE1" w:rsidRDefault="00633BA7" w:rsidP="00BF5B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was correctly submitted by the first respondent, in application proceedings just like in action proceedings, there is need for the applicant to plead or establish his or her cause of action</w:t>
      </w:r>
      <w:r w:rsidRPr="00A27743">
        <w:rPr>
          <w:rFonts w:ascii="Times New Roman" w:hAnsi="Times New Roman" w:cs="Times New Roman"/>
          <w:sz w:val="24"/>
          <w:szCs w:val="24"/>
        </w:rPr>
        <w:t xml:space="preserve"> </w:t>
      </w:r>
      <w:r>
        <w:rPr>
          <w:rFonts w:ascii="Times New Roman" w:hAnsi="Times New Roman" w:cs="Times New Roman"/>
          <w:sz w:val="24"/>
          <w:szCs w:val="24"/>
        </w:rPr>
        <w:t xml:space="preserve">in his or her founding affidavit. </w:t>
      </w:r>
      <w:r w:rsidR="00691F1D">
        <w:rPr>
          <w:rFonts w:ascii="Times New Roman" w:hAnsi="Times New Roman" w:cs="Times New Roman"/>
          <w:sz w:val="24"/>
          <w:szCs w:val="24"/>
        </w:rPr>
        <w:t xml:space="preserve"> I</w:t>
      </w:r>
      <w:r w:rsidR="00B47D29">
        <w:rPr>
          <w:rFonts w:ascii="Times New Roman" w:hAnsi="Times New Roman" w:cs="Times New Roman"/>
          <w:sz w:val="24"/>
          <w:szCs w:val="24"/>
        </w:rPr>
        <w:t xml:space="preserve">f </w:t>
      </w:r>
      <w:r w:rsidR="00691F1D">
        <w:rPr>
          <w:rFonts w:ascii="Times New Roman" w:hAnsi="Times New Roman" w:cs="Times New Roman"/>
          <w:sz w:val="24"/>
          <w:szCs w:val="24"/>
        </w:rPr>
        <w:t>the</w:t>
      </w:r>
      <w:r w:rsidR="00B47D29">
        <w:rPr>
          <w:rFonts w:ascii="Times New Roman" w:hAnsi="Times New Roman" w:cs="Times New Roman"/>
          <w:sz w:val="24"/>
          <w:szCs w:val="24"/>
        </w:rPr>
        <w:t xml:space="preserve"> applicant is relying on two causes of action, he or she needs to plead them</w:t>
      </w:r>
      <w:r w:rsidR="009B0144" w:rsidRPr="009B0144">
        <w:rPr>
          <w:rFonts w:ascii="Times New Roman" w:hAnsi="Times New Roman" w:cs="Times New Roman"/>
          <w:sz w:val="24"/>
          <w:szCs w:val="24"/>
        </w:rPr>
        <w:t xml:space="preserve"> </w:t>
      </w:r>
      <w:r w:rsidR="009B0144">
        <w:rPr>
          <w:rFonts w:ascii="Times New Roman" w:hAnsi="Times New Roman" w:cs="Times New Roman"/>
          <w:sz w:val="24"/>
          <w:szCs w:val="24"/>
        </w:rPr>
        <w:t>both and set out facts that establish them</w:t>
      </w:r>
      <w:r w:rsidR="00B47D29">
        <w:rPr>
          <w:rFonts w:ascii="Times New Roman" w:hAnsi="Times New Roman" w:cs="Times New Roman"/>
          <w:sz w:val="24"/>
          <w:szCs w:val="24"/>
        </w:rPr>
        <w:t xml:space="preserve"> </w:t>
      </w:r>
      <w:r w:rsidR="009B0144">
        <w:rPr>
          <w:rFonts w:ascii="Times New Roman" w:hAnsi="Times New Roman" w:cs="Times New Roman"/>
          <w:sz w:val="24"/>
          <w:szCs w:val="24"/>
        </w:rPr>
        <w:t xml:space="preserve">in the founding affidavit </w:t>
      </w:r>
      <w:r w:rsidR="00B47D29">
        <w:rPr>
          <w:rFonts w:ascii="Times New Roman" w:hAnsi="Times New Roman" w:cs="Times New Roman"/>
          <w:sz w:val="24"/>
          <w:szCs w:val="24"/>
        </w:rPr>
        <w:t>albeit in the alternative.</w:t>
      </w:r>
      <w:r w:rsidR="00DE5EC2">
        <w:rPr>
          <w:rFonts w:ascii="Times New Roman" w:hAnsi="Times New Roman" w:cs="Times New Roman"/>
          <w:sz w:val="24"/>
          <w:szCs w:val="24"/>
        </w:rPr>
        <w:t xml:space="preserve"> </w:t>
      </w:r>
      <w:r>
        <w:rPr>
          <w:rFonts w:ascii="Times New Roman" w:hAnsi="Times New Roman" w:cs="Times New Roman"/>
          <w:sz w:val="24"/>
          <w:szCs w:val="24"/>
        </w:rPr>
        <w:t xml:space="preserve">The applicant cannot seek to </w:t>
      </w:r>
      <w:r w:rsidR="002D7E18">
        <w:rPr>
          <w:rFonts w:ascii="Times New Roman" w:hAnsi="Times New Roman" w:cs="Times New Roman"/>
          <w:sz w:val="24"/>
          <w:szCs w:val="24"/>
        </w:rPr>
        <w:t xml:space="preserve">plead and </w:t>
      </w:r>
      <w:r>
        <w:rPr>
          <w:rFonts w:ascii="Times New Roman" w:hAnsi="Times New Roman" w:cs="Times New Roman"/>
          <w:sz w:val="24"/>
          <w:szCs w:val="24"/>
        </w:rPr>
        <w:t xml:space="preserve">establish his or her cause of action for the first time in the answering affidavit. </w:t>
      </w:r>
      <w:r w:rsidR="002D7E18">
        <w:rPr>
          <w:rFonts w:ascii="Times New Roman" w:hAnsi="Times New Roman" w:cs="Times New Roman"/>
          <w:sz w:val="24"/>
          <w:szCs w:val="24"/>
        </w:rPr>
        <w:t>It is in the founding affidavit that the applicant</w:t>
      </w:r>
      <w:bookmarkEnd w:id="7"/>
      <w:r w:rsidR="002D7E18">
        <w:rPr>
          <w:rFonts w:ascii="Times New Roman" w:hAnsi="Times New Roman" w:cs="Times New Roman"/>
          <w:sz w:val="24"/>
          <w:szCs w:val="24"/>
        </w:rPr>
        <w:t xml:space="preserve"> </w:t>
      </w:r>
      <w:r w:rsidR="00AE3E29">
        <w:rPr>
          <w:rFonts w:ascii="Times New Roman" w:hAnsi="Times New Roman" w:cs="Times New Roman"/>
          <w:sz w:val="24"/>
          <w:szCs w:val="24"/>
        </w:rPr>
        <w:t>should lay</w:t>
      </w:r>
      <w:r w:rsidR="00D22721">
        <w:rPr>
          <w:rFonts w:ascii="Times New Roman" w:hAnsi="Times New Roman" w:cs="Times New Roman"/>
          <w:sz w:val="24"/>
          <w:szCs w:val="24"/>
        </w:rPr>
        <w:t xml:space="preserve"> </w:t>
      </w:r>
      <w:r w:rsidR="00AE3E29">
        <w:rPr>
          <w:rFonts w:ascii="Times New Roman" w:hAnsi="Times New Roman" w:cs="Times New Roman"/>
          <w:sz w:val="24"/>
          <w:szCs w:val="24"/>
        </w:rPr>
        <w:t>out his or her legal basis for seeking the relie</w:t>
      </w:r>
      <w:r w:rsidR="00081673">
        <w:rPr>
          <w:rFonts w:ascii="Times New Roman" w:hAnsi="Times New Roman" w:cs="Times New Roman"/>
          <w:sz w:val="24"/>
          <w:szCs w:val="24"/>
        </w:rPr>
        <w:t>f</w:t>
      </w:r>
      <w:r w:rsidR="00AE3E29">
        <w:rPr>
          <w:rFonts w:ascii="Times New Roman" w:hAnsi="Times New Roman" w:cs="Times New Roman"/>
          <w:sz w:val="24"/>
          <w:szCs w:val="24"/>
        </w:rPr>
        <w:t xml:space="preserve"> that he or she is seeking. If the applicant is seeking an interdict</w:t>
      </w:r>
      <w:r w:rsidR="00E76230">
        <w:rPr>
          <w:rFonts w:ascii="Times New Roman" w:hAnsi="Times New Roman" w:cs="Times New Roman"/>
          <w:sz w:val="24"/>
          <w:szCs w:val="24"/>
        </w:rPr>
        <w:t xml:space="preserve"> as is the case in the present matter</w:t>
      </w:r>
      <w:r w:rsidR="00081673">
        <w:rPr>
          <w:rFonts w:ascii="Times New Roman" w:hAnsi="Times New Roman" w:cs="Times New Roman"/>
          <w:sz w:val="24"/>
          <w:szCs w:val="24"/>
        </w:rPr>
        <w:t>,</w:t>
      </w:r>
      <w:r w:rsidR="00AE3E29">
        <w:rPr>
          <w:rFonts w:ascii="Times New Roman" w:hAnsi="Times New Roman" w:cs="Times New Roman"/>
          <w:sz w:val="24"/>
          <w:szCs w:val="24"/>
        </w:rPr>
        <w:t xml:space="preserve"> he or she should lay out the legal basis for seeking the interdict. A cause of action in law, is a set of facts sufficient to justify suing to obtain relief</w:t>
      </w:r>
      <w:r w:rsidR="00A36745">
        <w:rPr>
          <w:rFonts w:ascii="Times New Roman" w:hAnsi="Times New Roman" w:cs="Times New Roman"/>
          <w:sz w:val="24"/>
          <w:szCs w:val="24"/>
        </w:rPr>
        <w:t xml:space="preserve">. It is a legal </w:t>
      </w:r>
      <w:r w:rsidR="00AE3E29">
        <w:rPr>
          <w:rFonts w:ascii="Times New Roman" w:hAnsi="Times New Roman" w:cs="Times New Roman"/>
          <w:sz w:val="24"/>
          <w:szCs w:val="24"/>
        </w:rPr>
        <w:t>theory upon which a plaintiff or applicant bring</w:t>
      </w:r>
      <w:r w:rsidR="00A36745">
        <w:rPr>
          <w:rFonts w:ascii="Times New Roman" w:hAnsi="Times New Roman" w:cs="Times New Roman"/>
          <w:sz w:val="24"/>
          <w:szCs w:val="24"/>
        </w:rPr>
        <w:t>s</w:t>
      </w:r>
      <w:r w:rsidR="00AE3E29">
        <w:rPr>
          <w:rFonts w:ascii="Times New Roman" w:hAnsi="Times New Roman" w:cs="Times New Roman"/>
          <w:sz w:val="24"/>
          <w:szCs w:val="24"/>
        </w:rPr>
        <w:t xml:space="preserve"> </w:t>
      </w:r>
      <w:r w:rsidR="00D22721">
        <w:rPr>
          <w:rFonts w:ascii="Times New Roman" w:hAnsi="Times New Roman" w:cs="Times New Roman"/>
          <w:sz w:val="24"/>
          <w:szCs w:val="24"/>
        </w:rPr>
        <w:t xml:space="preserve">a </w:t>
      </w:r>
      <w:r w:rsidR="00AE3E29">
        <w:rPr>
          <w:rFonts w:ascii="Times New Roman" w:hAnsi="Times New Roman" w:cs="Times New Roman"/>
          <w:sz w:val="24"/>
          <w:szCs w:val="24"/>
        </w:rPr>
        <w:t>suit. The applicant</w:t>
      </w:r>
      <w:r w:rsidR="005227AB">
        <w:rPr>
          <w:rFonts w:ascii="Times New Roman" w:hAnsi="Times New Roman" w:cs="Times New Roman"/>
          <w:sz w:val="24"/>
          <w:szCs w:val="24"/>
        </w:rPr>
        <w:t>’s averments in the founding affidavit</w:t>
      </w:r>
      <w:r w:rsidR="00AE3E29">
        <w:rPr>
          <w:rFonts w:ascii="Times New Roman" w:hAnsi="Times New Roman" w:cs="Times New Roman"/>
          <w:sz w:val="24"/>
          <w:szCs w:val="24"/>
        </w:rPr>
        <w:t xml:space="preserve"> should </w:t>
      </w:r>
      <w:r w:rsidR="005227AB">
        <w:rPr>
          <w:rFonts w:ascii="Times New Roman" w:hAnsi="Times New Roman" w:cs="Times New Roman"/>
          <w:sz w:val="24"/>
          <w:szCs w:val="24"/>
        </w:rPr>
        <w:t xml:space="preserve">therefore </w:t>
      </w:r>
      <w:r w:rsidR="00AE3E29">
        <w:rPr>
          <w:rFonts w:ascii="Times New Roman" w:hAnsi="Times New Roman" w:cs="Times New Roman"/>
          <w:sz w:val="24"/>
          <w:szCs w:val="24"/>
        </w:rPr>
        <w:t>allege facts that encompas</w:t>
      </w:r>
      <w:r w:rsidR="005227AB">
        <w:rPr>
          <w:rFonts w:ascii="Times New Roman" w:hAnsi="Times New Roman" w:cs="Times New Roman"/>
          <w:sz w:val="24"/>
          <w:szCs w:val="24"/>
        </w:rPr>
        <w:t xml:space="preserve">s </w:t>
      </w:r>
      <w:r w:rsidR="00AE3E29">
        <w:rPr>
          <w:rFonts w:ascii="Times New Roman" w:hAnsi="Times New Roman" w:cs="Times New Roman"/>
          <w:sz w:val="24"/>
          <w:szCs w:val="24"/>
        </w:rPr>
        <w:t xml:space="preserve">the legal wrong </w:t>
      </w:r>
      <w:r w:rsidR="005227AB">
        <w:rPr>
          <w:rFonts w:ascii="Times New Roman" w:hAnsi="Times New Roman" w:cs="Times New Roman"/>
          <w:sz w:val="24"/>
          <w:szCs w:val="24"/>
        </w:rPr>
        <w:t>he or she</w:t>
      </w:r>
      <w:r w:rsidR="00AE3E29">
        <w:rPr>
          <w:rFonts w:ascii="Times New Roman" w:hAnsi="Times New Roman" w:cs="Times New Roman"/>
          <w:sz w:val="24"/>
          <w:szCs w:val="24"/>
        </w:rPr>
        <w:t xml:space="preserve"> claims to have suffered and the remedy or the relief </w:t>
      </w:r>
      <w:r w:rsidR="002D7E18">
        <w:rPr>
          <w:rFonts w:ascii="Times New Roman" w:hAnsi="Times New Roman" w:cs="Times New Roman"/>
          <w:sz w:val="24"/>
          <w:szCs w:val="24"/>
        </w:rPr>
        <w:t xml:space="preserve">he or she is asking </w:t>
      </w:r>
      <w:r w:rsidR="00AE3E29">
        <w:rPr>
          <w:rFonts w:ascii="Times New Roman" w:hAnsi="Times New Roman" w:cs="Times New Roman"/>
          <w:sz w:val="24"/>
          <w:szCs w:val="24"/>
        </w:rPr>
        <w:t>the court to grant. Causes of action can be</w:t>
      </w:r>
      <w:r w:rsidR="00E0587B">
        <w:rPr>
          <w:rFonts w:ascii="Times New Roman" w:hAnsi="Times New Roman" w:cs="Times New Roman"/>
          <w:sz w:val="24"/>
          <w:szCs w:val="24"/>
        </w:rPr>
        <w:t xml:space="preserve"> based </w:t>
      </w:r>
      <w:r w:rsidR="005C0B4A">
        <w:rPr>
          <w:rFonts w:ascii="Times New Roman" w:hAnsi="Times New Roman" w:cs="Times New Roman"/>
          <w:sz w:val="24"/>
          <w:szCs w:val="24"/>
        </w:rPr>
        <w:t>in</w:t>
      </w:r>
      <w:r w:rsidR="002D7E18">
        <w:rPr>
          <w:rFonts w:ascii="Times New Roman" w:hAnsi="Times New Roman" w:cs="Times New Roman"/>
          <w:sz w:val="24"/>
          <w:szCs w:val="24"/>
        </w:rPr>
        <w:t xml:space="preserve"> </w:t>
      </w:r>
      <w:r w:rsidR="00AE3E29">
        <w:rPr>
          <w:rFonts w:ascii="Times New Roman" w:hAnsi="Times New Roman" w:cs="Times New Roman"/>
          <w:sz w:val="24"/>
          <w:szCs w:val="24"/>
        </w:rPr>
        <w:t>contract</w:t>
      </w:r>
      <w:r w:rsidR="00E0587B">
        <w:rPr>
          <w:rFonts w:ascii="Times New Roman" w:hAnsi="Times New Roman" w:cs="Times New Roman"/>
          <w:sz w:val="24"/>
          <w:szCs w:val="24"/>
        </w:rPr>
        <w:t xml:space="preserve">, delict, </w:t>
      </w:r>
      <w:r w:rsidR="00AE3E29">
        <w:rPr>
          <w:rFonts w:ascii="Times New Roman" w:hAnsi="Times New Roman" w:cs="Times New Roman"/>
          <w:sz w:val="24"/>
          <w:szCs w:val="24"/>
        </w:rPr>
        <w:t>statut</w:t>
      </w:r>
      <w:r w:rsidR="00E0587B">
        <w:rPr>
          <w:rFonts w:ascii="Times New Roman" w:hAnsi="Times New Roman" w:cs="Times New Roman"/>
          <w:sz w:val="24"/>
          <w:szCs w:val="24"/>
        </w:rPr>
        <w:t>e,</w:t>
      </w:r>
      <w:r w:rsidR="005C0B4A">
        <w:rPr>
          <w:rFonts w:ascii="Times New Roman" w:hAnsi="Times New Roman" w:cs="Times New Roman"/>
          <w:sz w:val="24"/>
          <w:szCs w:val="24"/>
        </w:rPr>
        <w:t xml:space="preserve"> </w:t>
      </w:r>
      <w:r w:rsidR="00E0587B">
        <w:rPr>
          <w:rFonts w:ascii="Times New Roman" w:hAnsi="Times New Roman" w:cs="Times New Roman"/>
          <w:sz w:val="24"/>
          <w:szCs w:val="24"/>
        </w:rPr>
        <w:t>etc</w:t>
      </w:r>
      <w:r w:rsidR="00AE3E29">
        <w:rPr>
          <w:rFonts w:ascii="Times New Roman" w:hAnsi="Times New Roman" w:cs="Times New Roman"/>
          <w:sz w:val="24"/>
          <w:szCs w:val="24"/>
        </w:rPr>
        <w:t xml:space="preserve">. </w:t>
      </w:r>
      <w:r w:rsidR="00E034B0">
        <w:rPr>
          <w:rFonts w:ascii="Times New Roman" w:hAnsi="Times New Roman" w:cs="Times New Roman"/>
          <w:sz w:val="24"/>
          <w:szCs w:val="24"/>
        </w:rPr>
        <w:t xml:space="preserve">The cause of action is the </w:t>
      </w:r>
      <w:r w:rsidR="00AE3E29">
        <w:rPr>
          <w:rFonts w:ascii="Times New Roman" w:hAnsi="Times New Roman" w:cs="Times New Roman"/>
          <w:sz w:val="24"/>
          <w:szCs w:val="24"/>
        </w:rPr>
        <w:t xml:space="preserve">heart of the complaint </w:t>
      </w:r>
      <w:r w:rsidR="00E034B0">
        <w:rPr>
          <w:rFonts w:ascii="Times New Roman" w:hAnsi="Times New Roman" w:cs="Times New Roman"/>
          <w:sz w:val="24"/>
          <w:szCs w:val="24"/>
        </w:rPr>
        <w:t xml:space="preserve">and it </w:t>
      </w:r>
      <w:r w:rsidR="00AE3E29">
        <w:rPr>
          <w:rFonts w:ascii="Times New Roman" w:hAnsi="Times New Roman" w:cs="Times New Roman"/>
          <w:sz w:val="24"/>
          <w:szCs w:val="24"/>
        </w:rPr>
        <w:t>is the pleading that initiates a lawsuit. Without an adequately stated cause of action</w:t>
      </w:r>
      <w:r w:rsidR="00E034B0">
        <w:rPr>
          <w:rFonts w:ascii="Times New Roman" w:hAnsi="Times New Roman" w:cs="Times New Roman"/>
          <w:sz w:val="24"/>
          <w:szCs w:val="24"/>
        </w:rPr>
        <w:t>,</w:t>
      </w:r>
      <w:r w:rsidR="00AE3E29">
        <w:rPr>
          <w:rFonts w:ascii="Times New Roman" w:hAnsi="Times New Roman" w:cs="Times New Roman"/>
          <w:sz w:val="24"/>
          <w:szCs w:val="24"/>
        </w:rPr>
        <w:t xml:space="preserve"> the applicant’s case </w:t>
      </w:r>
      <w:r w:rsidR="00E034B0">
        <w:rPr>
          <w:rFonts w:ascii="Times New Roman" w:hAnsi="Times New Roman" w:cs="Times New Roman"/>
          <w:sz w:val="24"/>
          <w:szCs w:val="24"/>
        </w:rPr>
        <w:t>should</w:t>
      </w:r>
      <w:r w:rsidR="00AE3E29">
        <w:rPr>
          <w:rFonts w:ascii="Times New Roman" w:hAnsi="Times New Roman" w:cs="Times New Roman"/>
          <w:sz w:val="24"/>
          <w:szCs w:val="24"/>
        </w:rPr>
        <w:t xml:space="preserve"> be dismissed at the outset. </w:t>
      </w:r>
      <w:r w:rsidR="004C34C3">
        <w:rPr>
          <w:rFonts w:ascii="Times New Roman" w:hAnsi="Times New Roman" w:cs="Times New Roman"/>
          <w:sz w:val="24"/>
          <w:szCs w:val="24"/>
        </w:rPr>
        <w:t xml:space="preserve">This is because without a cause of action, a civil suit cannot arise. </w:t>
      </w:r>
      <w:r w:rsidR="00AE3E29">
        <w:rPr>
          <w:rFonts w:ascii="Times New Roman" w:hAnsi="Times New Roman" w:cs="Times New Roman"/>
          <w:sz w:val="24"/>
          <w:szCs w:val="24"/>
        </w:rPr>
        <w:t xml:space="preserve">In </w:t>
      </w:r>
      <w:r w:rsidR="00AE3E29" w:rsidRPr="00492EC4">
        <w:rPr>
          <w:rFonts w:ascii="Times New Roman" w:hAnsi="Times New Roman" w:cs="Times New Roman"/>
          <w:i/>
          <w:sz w:val="24"/>
          <w:szCs w:val="24"/>
        </w:rPr>
        <w:t>Jirira</w:t>
      </w:r>
      <w:r w:rsidR="00AE3E29">
        <w:rPr>
          <w:rFonts w:ascii="Times New Roman" w:hAnsi="Times New Roman" w:cs="Times New Roman"/>
          <w:sz w:val="24"/>
          <w:szCs w:val="24"/>
        </w:rPr>
        <w:t xml:space="preserve"> v </w:t>
      </w:r>
      <w:r w:rsidR="00AE3E29">
        <w:rPr>
          <w:rFonts w:ascii="Times New Roman" w:hAnsi="Times New Roman" w:cs="Times New Roman"/>
          <w:i/>
          <w:sz w:val="24"/>
          <w:szCs w:val="24"/>
        </w:rPr>
        <w:t>Zimcor Trustees Limited and An</w:t>
      </w:r>
      <w:r w:rsidR="00AE3E29" w:rsidRPr="00492EC4">
        <w:rPr>
          <w:rFonts w:ascii="Times New Roman" w:hAnsi="Times New Roman" w:cs="Times New Roman"/>
          <w:i/>
          <w:sz w:val="24"/>
          <w:szCs w:val="24"/>
        </w:rPr>
        <w:t>other</w:t>
      </w:r>
      <w:r w:rsidR="00AE3E29">
        <w:rPr>
          <w:rFonts w:ascii="Times New Roman" w:hAnsi="Times New Roman" w:cs="Times New Roman"/>
          <w:sz w:val="24"/>
          <w:szCs w:val="24"/>
        </w:rPr>
        <w:t xml:space="preserve"> HH98/10 at p </w:t>
      </w:r>
      <w:r w:rsidR="002632D6">
        <w:rPr>
          <w:rFonts w:ascii="Times New Roman" w:hAnsi="Times New Roman" w:cs="Times New Roman"/>
          <w:sz w:val="24"/>
          <w:szCs w:val="24"/>
        </w:rPr>
        <w:t>4, MAKARAU</w:t>
      </w:r>
      <w:r w:rsidR="00AE3E29">
        <w:rPr>
          <w:rFonts w:ascii="Times New Roman" w:hAnsi="Times New Roman" w:cs="Times New Roman"/>
          <w:sz w:val="24"/>
          <w:szCs w:val="24"/>
        </w:rPr>
        <w:t xml:space="preserve"> JP</w:t>
      </w:r>
      <w:r w:rsidR="00D27CE1">
        <w:rPr>
          <w:rFonts w:ascii="Times New Roman" w:hAnsi="Times New Roman" w:cs="Times New Roman"/>
          <w:sz w:val="24"/>
          <w:szCs w:val="24"/>
        </w:rPr>
        <w:t xml:space="preserve"> (as she then was) </w:t>
      </w:r>
      <w:r w:rsidR="00470261">
        <w:rPr>
          <w:rFonts w:ascii="Times New Roman" w:hAnsi="Times New Roman" w:cs="Times New Roman"/>
          <w:sz w:val="24"/>
          <w:szCs w:val="24"/>
        </w:rPr>
        <w:t xml:space="preserve">in dismissing </w:t>
      </w:r>
      <w:r w:rsidR="00F76E3F">
        <w:rPr>
          <w:rFonts w:ascii="Times New Roman" w:hAnsi="Times New Roman" w:cs="Times New Roman"/>
          <w:sz w:val="24"/>
          <w:szCs w:val="24"/>
        </w:rPr>
        <w:t>the</w:t>
      </w:r>
      <w:r w:rsidR="00470261">
        <w:rPr>
          <w:rFonts w:ascii="Times New Roman" w:hAnsi="Times New Roman" w:cs="Times New Roman"/>
          <w:sz w:val="24"/>
          <w:szCs w:val="24"/>
        </w:rPr>
        <w:t xml:space="preserve"> application </w:t>
      </w:r>
      <w:r w:rsidR="00F76E3F">
        <w:rPr>
          <w:rFonts w:ascii="Times New Roman" w:hAnsi="Times New Roman" w:cs="Times New Roman"/>
          <w:sz w:val="24"/>
          <w:szCs w:val="24"/>
        </w:rPr>
        <w:t xml:space="preserve">that was before her said, </w:t>
      </w:r>
    </w:p>
    <w:p w14:paraId="0B469411" w14:textId="77777777" w:rsidR="00D27CE1" w:rsidRPr="00D27CE1" w:rsidRDefault="00AE3E29" w:rsidP="004D4738">
      <w:pPr>
        <w:autoSpaceDE w:val="0"/>
        <w:autoSpaceDN w:val="0"/>
        <w:adjustRightInd w:val="0"/>
        <w:spacing w:after="0" w:line="240" w:lineRule="auto"/>
        <w:ind w:firstLine="720"/>
        <w:rPr>
          <w:rFonts w:ascii="Times New Roman" w:hAnsi="Times New Roman" w:cs="Times New Roman"/>
        </w:rPr>
      </w:pPr>
      <w:r w:rsidRPr="00D27CE1">
        <w:rPr>
          <w:rFonts w:ascii="Times New Roman" w:hAnsi="Times New Roman" w:cs="Times New Roman"/>
        </w:rPr>
        <w:t>“</w:t>
      </w:r>
      <w:r w:rsidR="00D27CE1" w:rsidRPr="00D27CE1">
        <w:rPr>
          <w:rFonts w:ascii="Times New Roman" w:hAnsi="Times New Roman" w:cs="Times New Roman"/>
        </w:rPr>
        <w:t>The point I am making is that it is the duty of the legal practitioner to screen from the</w:t>
      </w:r>
    </w:p>
    <w:p w14:paraId="2DAB199B" w14:textId="77777777" w:rsidR="00D27CE1" w:rsidRPr="00D27CE1" w:rsidRDefault="00D27CE1" w:rsidP="004D4738">
      <w:pPr>
        <w:autoSpaceDE w:val="0"/>
        <w:autoSpaceDN w:val="0"/>
        <w:adjustRightInd w:val="0"/>
        <w:spacing w:after="0" w:line="240" w:lineRule="auto"/>
        <w:ind w:firstLine="720"/>
        <w:rPr>
          <w:rFonts w:ascii="Times New Roman" w:hAnsi="Times New Roman" w:cs="Times New Roman"/>
        </w:rPr>
      </w:pPr>
      <w:r w:rsidRPr="00D27CE1">
        <w:rPr>
          <w:rFonts w:ascii="Times New Roman" w:hAnsi="Times New Roman" w:cs="Times New Roman"/>
        </w:rPr>
        <w:t>story told them by their client, the legal issues arising and then to plead such with precision</w:t>
      </w:r>
    </w:p>
    <w:p w14:paraId="18022973" w14:textId="77777777" w:rsidR="00D27CE1" w:rsidRPr="00D27CE1" w:rsidRDefault="00D27CE1" w:rsidP="004D4738">
      <w:pPr>
        <w:autoSpaceDE w:val="0"/>
        <w:autoSpaceDN w:val="0"/>
        <w:adjustRightInd w:val="0"/>
        <w:spacing w:after="0" w:line="240" w:lineRule="auto"/>
        <w:ind w:firstLine="720"/>
        <w:rPr>
          <w:rFonts w:ascii="Times New Roman" w:hAnsi="Times New Roman" w:cs="Times New Roman"/>
        </w:rPr>
      </w:pPr>
      <w:r w:rsidRPr="00D27CE1">
        <w:rPr>
          <w:rFonts w:ascii="Times New Roman" w:hAnsi="Times New Roman" w:cs="Times New Roman"/>
        </w:rPr>
        <w:t>and in accordance with the law. To simply repeat the entire story as told by the client and</w:t>
      </w:r>
    </w:p>
    <w:p w14:paraId="25FCE7F6" w14:textId="77777777" w:rsidR="00D27CE1" w:rsidRPr="00D27CE1" w:rsidRDefault="00D27CE1" w:rsidP="004D4738">
      <w:pPr>
        <w:autoSpaceDE w:val="0"/>
        <w:autoSpaceDN w:val="0"/>
        <w:adjustRightInd w:val="0"/>
        <w:spacing w:after="0" w:line="240" w:lineRule="auto"/>
        <w:ind w:firstLine="720"/>
        <w:rPr>
          <w:rFonts w:ascii="Times New Roman" w:hAnsi="Times New Roman" w:cs="Times New Roman"/>
        </w:rPr>
      </w:pPr>
      <w:r w:rsidRPr="00D27CE1">
        <w:rPr>
          <w:rFonts w:ascii="Times New Roman" w:hAnsi="Times New Roman" w:cs="Times New Roman"/>
        </w:rPr>
        <w:t>using the imprecise language that lay people use may amount to incompetence on the part of</w:t>
      </w:r>
    </w:p>
    <w:p w14:paraId="725B9145" w14:textId="77777777" w:rsidR="00D27CE1" w:rsidRPr="00D27CE1" w:rsidRDefault="00D27CE1" w:rsidP="004D4738">
      <w:pPr>
        <w:autoSpaceDE w:val="0"/>
        <w:autoSpaceDN w:val="0"/>
        <w:adjustRightInd w:val="0"/>
        <w:spacing w:after="0" w:line="240" w:lineRule="auto"/>
        <w:ind w:firstLine="720"/>
        <w:rPr>
          <w:rFonts w:ascii="Times New Roman" w:hAnsi="Times New Roman" w:cs="Times New Roman"/>
        </w:rPr>
      </w:pPr>
      <w:r w:rsidRPr="00D27CE1">
        <w:rPr>
          <w:rFonts w:ascii="Times New Roman" w:hAnsi="Times New Roman" w:cs="Times New Roman"/>
        </w:rPr>
        <w:t>the legal practitioner.</w:t>
      </w:r>
    </w:p>
    <w:p w14:paraId="3DE0FA27" w14:textId="77777777" w:rsidR="00D27CE1" w:rsidRPr="00D27CE1" w:rsidRDefault="00D27CE1" w:rsidP="004D4738">
      <w:pPr>
        <w:autoSpaceDE w:val="0"/>
        <w:autoSpaceDN w:val="0"/>
        <w:adjustRightInd w:val="0"/>
        <w:spacing w:after="0" w:line="240" w:lineRule="auto"/>
        <w:ind w:firstLine="720"/>
        <w:rPr>
          <w:rFonts w:ascii="Times New Roman" w:hAnsi="Times New Roman" w:cs="Times New Roman"/>
        </w:rPr>
      </w:pPr>
      <w:r w:rsidRPr="00D27CE1">
        <w:rPr>
          <w:rFonts w:ascii="Times New Roman" w:hAnsi="Times New Roman" w:cs="Times New Roman"/>
        </w:rPr>
        <w:t>In view of the vague cause of action that the applicant is relying on, it is my view that</w:t>
      </w:r>
    </w:p>
    <w:p w14:paraId="32516CBD" w14:textId="39AED5B2" w:rsidR="00AE3E29" w:rsidRPr="00D27CE1" w:rsidRDefault="00D27CE1" w:rsidP="004D4738">
      <w:pPr>
        <w:autoSpaceDE w:val="0"/>
        <w:autoSpaceDN w:val="0"/>
        <w:adjustRightInd w:val="0"/>
        <w:spacing w:after="0" w:line="240" w:lineRule="auto"/>
        <w:ind w:left="720"/>
        <w:rPr>
          <w:rFonts w:ascii="Times New Roman" w:hAnsi="Times New Roman" w:cs="Times New Roman"/>
        </w:rPr>
      </w:pPr>
      <w:r w:rsidRPr="00D27CE1">
        <w:rPr>
          <w:rFonts w:ascii="Times New Roman" w:hAnsi="Times New Roman" w:cs="Times New Roman"/>
        </w:rPr>
        <w:t>it will serve no purpose for me to refer the matter to trial with the papers standing as summons</w:t>
      </w:r>
      <w:r w:rsidR="004D4738">
        <w:rPr>
          <w:rFonts w:ascii="Times New Roman" w:hAnsi="Times New Roman" w:cs="Times New Roman"/>
        </w:rPr>
        <w:t xml:space="preserve"> </w:t>
      </w:r>
      <w:r w:rsidRPr="00D27CE1">
        <w:rPr>
          <w:rFonts w:ascii="Times New Roman" w:hAnsi="Times New Roman" w:cs="Times New Roman"/>
        </w:rPr>
        <w:t>and appearance to defend respectively. There is in my view no cause of action disclosed in the</w:t>
      </w:r>
      <w:r w:rsidR="004D4738">
        <w:rPr>
          <w:rFonts w:ascii="Times New Roman" w:hAnsi="Times New Roman" w:cs="Times New Roman"/>
        </w:rPr>
        <w:t xml:space="preserve"> </w:t>
      </w:r>
      <w:r w:rsidRPr="00D27CE1">
        <w:rPr>
          <w:rFonts w:ascii="Times New Roman" w:hAnsi="Times New Roman" w:cs="Times New Roman"/>
        </w:rPr>
        <w:t>papers at this stage</w:t>
      </w:r>
      <w:r w:rsidR="00AE3E29" w:rsidRPr="00D27CE1">
        <w:rPr>
          <w:rFonts w:ascii="Times New Roman" w:hAnsi="Times New Roman" w:cs="Times New Roman"/>
        </w:rPr>
        <w:t>.”</w:t>
      </w:r>
    </w:p>
    <w:p w14:paraId="78C555D7" w14:textId="77777777" w:rsidR="00AE3E29" w:rsidRPr="00D27CE1" w:rsidRDefault="00AE3E29" w:rsidP="00AE3E29">
      <w:pPr>
        <w:spacing w:after="0" w:line="240" w:lineRule="auto"/>
        <w:jc w:val="both"/>
        <w:rPr>
          <w:rFonts w:ascii="Times New Roman" w:hAnsi="Times New Roman" w:cs="Times New Roman"/>
        </w:rPr>
      </w:pPr>
    </w:p>
    <w:p w14:paraId="1F56668F" w14:textId="6867FAB0" w:rsidR="00B21DEF" w:rsidRDefault="00AE3E29" w:rsidP="00B21DEF">
      <w:pPr>
        <w:spacing w:after="0" w:line="360" w:lineRule="auto"/>
        <w:ind w:firstLine="720"/>
        <w:jc w:val="both"/>
        <w:rPr>
          <w:rFonts w:ascii="Times New Roman" w:hAnsi="Times New Roman" w:cs="Times New Roman"/>
          <w:sz w:val="24"/>
          <w:szCs w:val="24"/>
        </w:rPr>
      </w:pPr>
      <w:r w:rsidRPr="00460604">
        <w:rPr>
          <w:rFonts w:ascii="Times New Roman" w:hAnsi="Times New Roman" w:cs="Times New Roman"/>
          <w:sz w:val="24"/>
          <w:szCs w:val="24"/>
        </w:rPr>
        <w:t>From the above case it is</w:t>
      </w:r>
      <w:r w:rsidR="004A5EAB">
        <w:rPr>
          <w:rFonts w:ascii="Times New Roman" w:hAnsi="Times New Roman" w:cs="Times New Roman"/>
          <w:sz w:val="24"/>
          <w:szCs w:val="24"/>
        </w:rPr>
        <w:t xml:space="preserve"> </w:t>
      </w:r>
      <w:r w:rsidRPr="00460604">
        <w:rPr>
          <w:rFonts w:ascii="Times New Roman" w:hAnsi="Times New Roman" w:cs="Times New Roman"/>
          <w:sz w:val="24"/>
          <w:szCs w:val="24"/>
        </w:rPr>
        <w:t xml:space="preserve">clear </w:t>
      </w:r>
      <w:r>
        <w:rPr>
          <w:rFonts w:ascii="Times New Roman" w:hAnsi="Times New Roman" w:cs="Times New Roman"/>
          <w:sz w:val="24"/>
          <w:szCs w:val="24"/>
        </w:rPr>
        <w:t>th</w:t>
      </w:r>
      <w:r w:rsidRPr="00460604">
        <w:rPr>
          <w:rFonts w:ascii="Times New Roman" w:hAnsi="Times New Roman" w:cs="Times New Roman"/>
          <w:sz w:val="24"/>
          <w:szCs w:val="24"/>
        </w:rPr>
        <w:t xml:space="preserve">at it is not sufficient merely to state that certain events occurred that entitle the </w:t>
      </w:r>
      <w:r>
        <w:rPr>
          <w:rFonts w:ascii="Times New Roman" w:hAnsi="Times New Roman" w:cs="Times New Roman"/>
          <w:sz w:val="24"/>
          <w:szCs w:val="24"/>
        </w:rPr>
        <w:t>applicant t</w:t>
      </w:r>
      <w:r w:rsidRPr="00460604">
        <w:rPr>
          <w:rFonts w:ascii="Times New Roman" w:hAnsi="Times New Roman" w:cs="Times New Roman"/>
          <w:sz w:val="24"/>
          <w:szCs w:val="24"/>
        </w:rPr>
        <w:t>o relief. All the elements of the cause of action must be detailed in the founding affidavit. Therefore, in a cause of action, what needs to be stated</w:t>
      </w:r>
      <w:r>
        <w:rPr>
          <w:rFonts w:ascii="Times New Roman" w:hAnsi="Times New Roman" w:cs="Times New Roman"/>
          <w:sz w:val="24"/>
          <w:szCs w:val="24"/>
        </w:rPr>
        <w:t xml:space="preserve"> is</w:t>
      </w:r>
      <w:r w:rsidRPr="00460604">
        <w:rPr>
          <w:rFonts w:ascii="Times New Roman" w:hAnsi="Times New Roman" w:cs="Times New Roman"/>
          <w:sz w:val="24"/>
          <w:szCs w:val="24"/>
        </w:rPr>
        <w:t xml:space="preserve"> (i) the applicable rule of law, (ii) the facts that give rise to the relief that is being sought and (iii) </w:t>
      </w:r>
      <w:r w:rsidRPr="00460604">
        <w:rPr>
          <w:rFonts w:ascii="Times New Roman" w:hAnsi="Times New Roman" w:cs="Times New Roman"/>
          <w:sz w:val="24"/>
          <w:szCs w:val="24"/>
        </w:rPr>
        <w:lastRenderedPageBreak/>
        <w:t xml:space="preserve">the </w:t>
      </w:r>
      <w:r w:rsidR="004A5EAB">
        <w:rPr>
          <w:rFonts w:ascii="Times New Roman" w:hAnsi="Times New Roman" w:cs="Times New Roman"/>
          <w:sz w:val="24"/>
          <w:szCs w:val="24"/>
        </w:rPr>
        <w:t>facts</w:t>
      </w:r>
      <w:r w:rsidRPr="00460604">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132596">
        <w:rPr>
          <w:rFonts w:ascii="Times New Roman" w:hAnsi="Times New Roman" w:cs="Times New Roman"/>
          <w:sz w:val="24"/>
          <w:szCs w:val="24"/>
        </w:rPr>
        <w:t xml:space="preserve">show that </w:t>
      </w:r>
      <w:r>
        <w:rPr>
          <w:rFonts w:ascii="Times New Roman" w:hAnsi="Times New Roman" w:cs="Times New Roman"/>
          <w:sz w:val="24"/>
          <w:szCs w:val="24"/>
        </w:rPr>
        <w:t>t</w:t>
      </w:r>
      <w:r w:rsidRPr="00460604">
        <w:rPr>
          <w:rFonts w:ascii="Times New Roman" w:hAnsi="Times New Roman" w:cs="Times New Roman"/>
          <w:sz w:val="24"/>
          <w:szCs w:val="24"/>
        </w:rPr>
        <w:t>h</w:t>
      </w:r>
      <w:r>
        <w:rPr>
          <w:rFonts w:ascii="Times New Roman" w:hAnsi="Times New Roman" w:cs="Times New Roman"/>
          <w:sz w:val="24"/>
          <w:szCs w:val="24"/>
        </w:rPr>
        <w:t>e</w:t>
      </w:r>
      <w:r w:rsidRPr="00460604">
        <w:rPr>
          <w:rFonts w:ascii="Times New Roman" w:hAnsi="Times New Roman" w:cs="Times New Roman"/>
          <w:sz w:val="24"/>
          <w:szCs w:val="24"/>
        </w:rPr>
        <w:t xml:space="preserve"> respondent is </w:t>
      </w:r>
      <w:r w:rsidR="00E83429">
        <w:rPr>
          <w:rFonts w:ascii="Times New Roman" w:hAnsi="Times New Roman" w:cs="Times New Roman"/>
          <w:sz w:val="24"/>
          <w:szCs w:val="24"/>
        </w:rPr>
        <w:t>liable</w:t>
      </w:r>
      <w:r w:rsidRPr="00460604">
        <w:rPr>
          <w:rFonts w:ascii="Times New Roman" w:hAnsi="Times New Roman" w:cs="Times New Roman"/>
          <w:sz w:val="24"/>
          <w:szCs w:val="24"/>
        </w:rPr>
        <w:t xml:space="preserve"> </w:t>
      </w:r>
      <w:r w:rsidR="004A5EAB">
        <w:rPr>
          <w:rFonts w:ascii="Times New Roman" w:hAnsi="Times New Roman" w:cs="Times New Roman"/>
          <w:sz w:val="24"/>
          <w:szCs w:val="24"/>
        </w:rPr>
        <w:t>f</w:t>
      </w:r>
      <w:r w:rsidRPr="00460604">
        <w:rPr>
          <w:rFonts w:ascii="Times New Roman" w:hAnsi="Times New Roman" w:cs="Times New Roman"/>
          <w:sz w:val="24"/>
          <w:szCs w:val="24"/>
        </w:rPr>
        <w:t xml:space="preserve">or the </w:t>
      </w:r>
      <w:r w:rsidR="00E83429">
        <w:rPr>
          <w:rFonts w:ascii="Times New Roman" w:hAnsi="Times New Roman" w:cs="Times New Roman"/>
          <w:sz w:val="24"/>
          <w:szCs w:val="24"/>
        </w:rPr>
        <w:t xml:space="preserve">relief the </w:t>
      </w:r>
      <w:r w:rsidRPr="00460604">
        <w:rPr>
          <w:rFonts w:ascii="Times New Roman" w:hAnsi="Times New Roman" w:cs="Times New Roman"/>
          <w:sz w:val="24"/>
          <w:szCs w:val="24"/>
        </w:rPr>
        <w:t>applicant</w:t>
      </w:r>
      <w:r w:rsidR="00E83429">
        <w:rPr>
          <w:rFonts w:ascii="Times New Roman" w:hAnsi="Times New Roman" w:cs="Times New Roman"/>
          <w:sz w:val="24"/>
          <w:szCs w:val="24"/>
        </w:rPr>
        <w:t xml:space="preserve"> is seeking</w:t>
      </w:r>
      <w:r>
        <w:rPr>
          <w:rFonts w:ascii="Times New Roman" w:hAnsi="Times New Roman" w:cs="Times New Roman"/>
          <w:sz w:val="24"/>
          <w:szCs w:val="24"/>
        </w:rPr>
        <w:t xml:space="preserve">. </w:t>
      </w:r>
      <w:r w:rsidR="00DE5EC2">
        <w:rPr>
          <w:rFonts w:ascii="Times New Roman" w:hAnsi="Times New Roman" w:cs="Times New Roman"/>
          <w:sz w:val="24"/>
          <w:szCs w:val="24"/>
        </w:rPr>
        <w:t xml:space="preserve">In view of this, the applicant in </w:t>
      </w:r>
      <w:r w:rsidR="00DE5EC2" w:rsidRPr="00DE5EC2">
        <w:rPr>
          <w:rFonts w:ascii="Times New Roman" w:hAnsi="Times New Roman" w:cs="Times New Roman"/>
          <w:i/>
          <w:iCs/>
          <w:sz w:val="24"/>
          <w:szCs w:val="24"/>
        </w:rPr>
        <w:t>casu</w:t>
      </w:r>
      <w:r w:rsidR="00DE5EC2">
        <w:rPr>
          <w:rFonts w:ascii="Times New Roman" w:hAnsi="Times New Roman" w:cs="Times New Roman"/>
          <w:sz w:val="24"/>
          <w:szCs w:val="24"/>
        </w:rPr>
        <w:t xml:space="preserve"> cannot aver that he is suing in contract simply because he has given a narration of events that he says entitle</w:t>
      </w:r>
      <w:r w:rsidR="00AA17D1">
        <w:rPr>
          <w:rFonts w:ascii="Times New Roman" w:hAnsi="Times New Roman" w:cs="Times New Roman"/>
          <w:sz w:val="24"/>
          <w:szCs w:val="24"/>
        </w:rPr>
        <w:t>s</w:t>
      </w:r>
      <w:r w:rsidR="00DE5EC2">
        <w:rPr>
          <w:rFonts w:ascii="Times New Roman" w:hAnsi="Times New Roman" w:cs="Times New Roman"/>
          <w:sz w:val="24"/>
          <w:szCs w:val="24"/>
        </w:rPr>
        <w:t xml:space="preserve"> him to relief.</w:t>
      </w:r>
      <w:r w:rsidR="009C1311">
        <w:rPr>
          <w:rFonts w:ascii="Times New Roman" w:hAnsi="Times New Roman" w:cs="Times New Roman"/>
          <w:sz w:val="24"/>
          <w:szCs w:val="24"/>
        </w:rPr>
        <w:t xml:space="preserve"> </w:t>
      </w:r>
      <w:r w:rsidR="002F3D00">
        <w:rPr>
          <w:rFonts w:ascii="Times New Roman" w:hAnsi="Times New Roman" w:cs="Times New Roman"/>
          <w:sz w:val="24"/>
          <w:szCs w:val="24"/>
        </w:rPr>
        <w:t>In any case a</w:t>
      </w:r>
      <w:r w:rsidR="009C1311">
        <w:rPr>
          <w:rFonts w:ascii="Times New Roman" w:hAnsi="Times New Roman" w:cs="Times New Roman"/>
          <w:sz w:val="24"/>
          <w:szCs w:val="24"/>
        </w:rPr>
        <w:t xml:space="preserve"> cause of action </w:t>
      </w:r>
      <w:r w:rsidR="00AA17D1">
        <w:rPr>
          <w:rFonts w:ascii="Times New Roman" w:hAnsi="Times New Roman" w:cs="Times New Roman"/>
          <w:sz w:val="24"/>
          <w:szCs w:val="24"/>
        </w:rPr>
        <w:t xml:space="preserve">based </w:t>
      </w:r>
      <w:r w:rsidR="002F3D00">
        <w:rPr>
          <w:rFonts w:ascii="Times New Roman" w:hAnsi="Times New Roman" w:cs="Times New Roman"/>
          <w:sz w:val="24"/>
          <w:szCs w:val="24"/>
        </w:rPr>
        <w:t>in</w:t>
      </w:r>
      <w:r w:rsidR="005A5538">
        <w:rPr>
          <w:rFonts w:ascii="Times New Roman" w:hAnsi="Times New Roman" w:cs="Times New Roman"/>
          <w:sz w:val="24"/>
          <w:szCs w:val="24"/>
        </w:rPr>
        <w:t xml:space="preserve"> contract </w:t>
      </w:r>
      <w:r w:rsidR="002F3D00">
        <w:rPr>
          <w:rFonts w:ascii="Times New Roman" w:hAnsi="Times New Roman" w:cs="Times New Roman"/>
          <w:sz w:val="24"/>
          <w:szCs w:val="24"/>
        </w:rPr>
        <w:t xml:space="preserve">in the circumstances of the present matter </w:t>
      </w:r>
      <w:r w:rsidR="009C1311">
        <w:rPr>
          <w:rFonts w:ascii="Times New Roman" w:hAnsi="Times New Roman" w:cs="Times New Roman"/>
          <w:sz w:val="24"/>
          <w:szCs w:val="24"/>
        </w:rPr>
        <w:t>would not be correct for the following reasons.</w:t>
      </w:r>
      <w:r w:rsidR="00493777">
        <w:rPr>
          <w:rFonts w:ascii="Times New Roman" w:hAnsi="Times New Roman" w:cs="Times New Roman"/>
          <w:sz w:val="24"/>
          <w:szCs w:val="24"/>
        </w:rPr>
        <w:t xml:space="preserve"> </w:t>
      </w:r>
      <w:r w:rsidR="008B7380" w:rsidRPr="008B7380">
        <w:rPr>
          <w:rFonts w:ascii="Times New Roman" w:hAnsi="Times New Roman" w:cs="Times New Roman"/>
          <w:sz w:val="24"/>
          <w:szCs w:val="24"/>
        </w:rPr>
        <w:t xml:space="preserve">A contract is an agreement which is enforceable at law or which is intended to be enforceable at </w:t>
      </w:r>
      <w:r w:rsidR="00493777">
        <w:rPr>
          <w:rFonts w:ascii="Times New Roman" w:hAnsi="Times New Roman" w:cs="Times New Roman"/>
          <w:sz w:val="24"/>
          <w:szCs w:val="24"/>
        </w:rPr>
        <w:t>l</w:t>
      </w:r>
      <w:r w:rsidR="008B7380" w:rsidRPr="008B7380">
        <w:rPr>
          <w:rFonts w:ascii="Times New Roman" w:hAnsi="Times New Roman" w:cs="Times New Roman"/>
          <w:sz w:val="24"/>
          <w:szCs w:val="24"/>
        </w:rPr>
        <w:t>aw</w:t>
      </w:r>
      <w:r w:rsidR="002241D0">
        <w:rPr>
          <w:rStyle w:val="FootnoteReference"/>
          <w:rFonts w:ascii="Times New Roman" w:hAnsi="Times New Roman" w:cs="Times New Roman"/>
          <w:sz w:val="24"/>
          <w:szCs w:val="24"/>
        </w:rPr>
        <w:footnoteReference w:id="2"/>
      </w:r>
      <w:r w:rsidR="008B7380" w:rsidRPr="008B7380">
        <w:rPr>
          <w:rFonts w:ascii="Times New Roman" w:hAnsi="Times New Roman" w:cs="Times New Roman"/>
          <w:sz w:val="24"/>
          <w:szCs w:val="24"/>
        </w:rPr>
        <w:t xml:space="preserve">. As such for an agreement to be reached there should be consent, or a meeting of the minds, or a coincidence of the wills or </w:t>
      </w:r>
      <w:r w:rsidR="008B7380" w:rsidRPr="00D406A0">
        <w:rPr>
          <w:rFonts w:ascii="Times New Roman" w:hAnsi="Times New Roman" w:cs="Times New Roman"/>
          <w:i/>
          <w:iCs/>
          <w:sz w:val="24"/>
          <w:szCs w:val="24"/>
        </w:rPr>
        <w:t>consensus ad idem</w:t>
      </w:r>
      <w:r w:rsidR="008B7380" w:rsidRPr="008B7380">
        <w:rPr>
          <w:rFonts w:ascii="Times New Roman" w:hAnsi="Times New Roman" w:cs="Times New Roman"/>
          <w:sz w:val="24"/>
          <w:szCs w:val="24"/>
        </w:rPr>
        <w:t xml:space="preserve"> by the parties entering into that agreement</w:t>
      </w:r>
      <w:r w:rsidR="00D406A0">
        <w:rPr>
          <w:rStyle w:val="FootnoteReference"/>
          <w:rFonts w:ascii="Times New Roman" w:hAnsi="Times New Roman" w:cs="Times New Roman"/>
          <w:sz w:val="24"/>
          <w:szCs w:val="24"/>
        </w:rPr>
        <w:footnoteReference w:id="3"/>
      </w:r>
      <w:r w:rsidR="008B7380" w:rsidRPr="008B7380">
        <w:rPr>
          <w:rFonts w:ascii="Times New Roman" w:hAnsi="Times New Roman" w:cs="Times New Roman"/>
          <w:sz w:val="24"/>
          <w:szCs w:val="24"/>
        </w:rPr>
        <w:t xml:space="preserve">. </w:t>
      </w:r>
      <w:r w:rsidR="002F3D00">
        <w:rPr>
          <w:rFonts w:ascii="Times New Roman" w:hAnsi="Times New Roman" w:cs="Times New Roman"/>
          <w:sz w:val="24"/>
          <w:szCs w:val="24"/>
        </w:rPr>
        <w:t>I</w:t>
      </w:r>
      <w:r w:rsidR="008B7380" w:rsidRPr="008B7380">
        <w:rPr>
          <w:rFonts w:ascii="Times New Roman" w:hAnsi="Times New Roman" w:cs="Times New Roman"/>
          <w:sz w:val="24"/>
          <w:szCs w:val="24"/>
        </w:rPr>
        <w:t xml:space="preserve">n the absence of </w:t>
      </w:r>
      <w:r w:rsidR="00D406A0">
        <w:rPr>
          <w:rFonts w:ascii="Times New Roman" w:hAnsi="Times New Roman" w:cs="Times New Roman"/>
          <w:sz w:val="24"/>
          <w:szCs w:val="24"/>
        </w:rPr>
        <w:t>a meeting of the minds</w:t>
      </w:r>
      <w:r w:rsidR="006E640B">
        <w:rPr>
          <w:rFonts w:ascii="Times New Roman" w:hAnsi="Times New Roman" w:cs="Times New Roman"/>
          <w:sz w:val="24"/>
          <w:szCs w:val="24"/>
        </w:rPr>
        <w:t xml:space="preserve"> of the contracting parties</w:t>
      </w:r>
      <w:r w:rsidR="008B7380" w:rsidRPr="008B7380">
        <w:rPr>
          <w:rFonts w:ascii="Times New Roman" w:hAnsi="Times New Roman" w:cs="Times New Roman"/>
          <w:sz w:val="24"/>
          <w:szCs w:val="24"/>
        </w:rPr>
        <w:t xml:space="preserve">, there cannot be a valid or binding contract. </w:t>
      </w:r>
      <w:r w:rsidR="00D910CE" w:rsidRPr="008B7380">
        <w:rPr>
          <w:rFonts w:ascii="Times New Roman" w:hAnsi="Times New Roman" w:cs="Times New Roman"/>
          <w:sz w:val="24"/>
          <w:szCs w:val="24"/>
        </w:rPr>
        <w:t>The</w:t>
      </w:r>
      <w:r w:rsidR="00D910CE">
        <w:rPr>
          <w:rFonts w:ascii="Times New Roman" w:hAnsi="Times New Roman" w:cs="Times New Roman"/>
          <w:sz w:val="24"/>
          <w:szCs w:val="24"/>
        </w:rPr>
        <w:t>re is however, what is called the</w:t>
      </w:r>
      <w:r w:rsidR="00D910CE" w:rsidRPr="008B7380">
        <w:rPr>
          <w:rFonts w:ascii="Times New Roman" w:hAnsi="Times New Roman" w:cs="Times New Roman"/>
          <w:sz w:val="24"/>
          <w:szCs w:val="24"/>
        </w:rPr>
        <w:t xml:space="preserve"> </w:t>
      </w:r>
      <w:r w:rsidR="00D910CE">
        <w:rPr>
          <w:rFonts w:ascii="Times New Roman" w:hAnsi="Times New Roman" w:cs="Times New Roman"/>
          <w:sz w:val="24"/>
          <w:szCs w:val="24"/>
        </w:rPr>
        <w:t>d</w:t>
      </w:r>
      <w:r w:rsidR="00D910CE" w:rsidRPr="008B7380">
        <w:rPr>
          <w:rFonts w:ascii="Times New Roman" w:hAnsi="Times New Roman" w:cs="Times New Roman"/>
          <w:sz w:val="24"/>
          <w:szCs w:val="24"/>
        </w:rPr>
        <w:t>octrine of priv</w:t>
      </w:r>
      <w:r w:rsidR="00D910CE">
        <w:rPr>
          <w:rFonts w:ascii="Times New Roman" w:hAnsi="Times New Roman" w:cs="Times New Roman"/>
          <w:sz w:val="24"/>
          <w:szCs w:val="24"/>
        </w:rPr>
        <w:t>ity</w:t>
      </w:r>
      <w:r w:rsidR="00D910CE" w:rsidRPr="008B7380">
        <w:rPr>
          <w:rFonts w:ascii="Times New Roman" w:hAnsi="Times New Roman" w:cs="Times New Roman"/>
          <w:sz w:val="24"/>
          <w:szCs w:val="24"/>
        </w:rPr>
        <w:t xml:space="preserve"> of contract </w:t>
      </w:r>
      <w:r w:rsidR="00D910CE">
        <w:rPr>
          <w:rFonts w:ascii="Times New Roman" w:hAnsi="Times New Roman" w:cs="Times New Roman"/>
          <w:sz w:val="24"/>
          <w:szCs w:val="24"/>
        </w:rPr>
        <w:t xml:space="preserve">which </w:t>
      </w:r>
      <w:r w:rsidR="00D910CE" w:rsidRPr="008B7380">
        <w:rPr>
          <w:rFonts w:ascii="Times New Roman" w:hAnsi="Times New Roman" w:cs="Times New Roman"/>
          <w:sz w:val="24"/>
          <w:szCs w:val="24"/>
        </w:rPr>
        <w:t xml:space="preserve">encompasses the rules of agency, such that a principal becomes a party to a contract </w:t>
      </w:r>
      <w:r w:rsidR="00D22721">
        <w:rPr>
          <w:rFonts w:ascii="Times New Roman" w:hAnsi="Times New Roman" w:cs="Times New Roman"/>
          <w:sz w:val="24"/>
          <w:szCs w:val="24"/>
        </w:rPr>
        <w:t>entered into</w:t>
      </w:r>
      <w:r w:rsidR="00D910CE" w:rsidRPr="008B7380">
        <w:rPr>
          <w:rFonts w:ascii="Times New Roman" w:hAnsi="Times New Roman" w:cs="Times New Roman"/>
          <w:sz w:val="24"/>
          <w:szCs w:val="24"/>
        </w:rPr>
        <w:t xml:space="preserve"> on his behalf by his or her agent</w:t>
      </w:r>
      <w:r w:rsidR="00D910CE">
        <w:rPr>
          <w:rStyle w:val="FootnoteReference"/>
          <w:rFonts w:ascii="Times New Roman" w:hAnsi="Times New Roman" w:cs="Times New Roman"/>
          <w:sz w:val="24"/>
          <w:szCs w:val="24"/>
        </w:rPr>
        <w:footnoteReference w:id="4"/>
      </w:r>
      <w:r w:rsidR="00D910CE" w:rsidRPr="008B7380">
        <w:rPr>
          <w:rFonts w:ascii="Times New Roman" w:hAnsi="Times New Roman" w:cs="Times New Roman"/>
          <w:sz w:val="24"/>
          <w:szCs w:val="24"/>
        </w:rPr>
        <w:t>.</w:t>
      </w:r>
      <w:r w:rsidR="00D910CE">
        <w:rPr>
          <w:rFonts w:ascii="Times New Roman" w:hAnsi="Times New Roman" w:cs="Times New Roman"/>
          <w:sz w:val="24"/>
          <w:szCs w:val="24"/>
        </w:rPr>
        <w:t xml:space="preserve"> Under this doctrine, the principal must have authorised his or her agent to enter into the contract on his behalf. </w:t>
      </w:r>
      <w:r w:rsidR="00D406A0">
        <w:rPr>
          <w:rFonts w:ascii="Times New Roman" w:hAnsi="Times New Roman" w:cs="Times New Roman"/>
          <w:sz w:val="24"/>
          <w:szCs w:val="24"/>
        </w:rPr>
        <w:t>Th</w:t>
      </w:r>
      <w:r w:rsidR="00D910CE">
        <w:rPr>
          <w:rFonts w:ascii="Times New Roman" w:hAnsi="Times New Roman" w:cs="Times New Roman"/>
          <w:sz w:val="24"/>
          <w:szCs w:val="24"/>
        </w:rPr>
        <w:t>erefore</w:t>
      </w:r>
      <w:r w:rsidR="00B21DEF">
        <w:rPr>
          <w:rFonts w:ascii="Times New Roman" w:hAnsi="Times New Roman" w:cs="Times New Roman"/>
          <w:sz w:val="24"/>
          <w:szCs w:val="24"/>
        </w:rPr>
        <w:t>,</w:t>
      </w:r>
      <w:r w:rsidR="00D910CE">
        <w:rPr>
          <w:rFonts w:ascii="Times New Roman" w:hAnsi="Times New Roman" w:cs="Times New Roman"/>
          <w:sz w:val="24"/>
          <w:szCs w:val="24"/>
        </w:rPr>
        <w:t xml:space="preserve"> th</w:t>
      </w:r>
      <w:r w:rsidR="00D406A0">
        <w:rPr>
          <w:rFonts w:ascii="Times New Roman" w:hAnsi="Times New Roman" w:cs="Times New Roman"/>
          <w:sz w:val="24"/>
          <w:szCs w:val="24"/>
        </w:rPr>
        <w:t xml:space="preserve">is means </w:t>
      </w:r>
      <w:r w:rsidR="008B7380" w:rsidRPr="008B7380">
        <w:rPr>
          <w:rFonts w:ascii="Times New Roman" w:hAnsi="Times New Roman" w:cs="Times New Roman"/>
          <w:sz w:val="24"/>
          <w:szCs w:val="24"/>
        </w:rPr>
        <w:t xml:space="preserve">that if a contract is fraudulently entered </w:t>
      </w:r>
      <w:r w:rsidR="00D406A0">
        <w:rPr>
          <w:rFonts w:ascii="Times New Roman" w:hAnsi="Times New Roman" w:cs="Times New Roman"/>
          <w:sz w:val="24"/>
          <w:szCs w:val="24"/>
        </w:rPr>
        <w:t xml:space="preserve">into </w:t>
      </w:r>
      <w:r w:rsidR="008B7380" w:rsidRPr="008B7380">
        <w:rPr>
          <w:rFonts w:ascii="Times New Roman" w:hAnsi="Times New Roman" w:cs="Times New Roman"/>
          <w:sz w:val="24"/>
          <w:szCs w:val="24"/>
        </w:rPr>
        <w:t xml:space="preserve">on </w:t>
      </w:r>
      <w:r w:rsidR="00D406A0">
        <w:rPr>
          <w:rFonts w:ascii="Times New Roman" w:hAnsi="Times New Roman" w:cs="Times New Roman"/>
          <w:sz w:val="24"/>
          <w:szCs w:val="24"/>
        </w:rPr>
        <w:t xml:space="preserve">a person’s </w:t>
      </w:r>
      <w:r w:rsidR="00D406A0" w:rsidRPr="008B7380">
        <w:rPr>
          <w:rFonts w:ascii="Times New Roman" w:hAnsi="Times New Roman" w:cs="Times New Roman"/>
          <w:sz w:val="24"/>
          <w:szCs w:val="24"/>
        </w:rPr>
        <w:t>behalf</w:t>
      </w:r>
      <w:r w:rsidR="008B7380" w:rsidRPr="008B7380">
        <w:rPr>
          <w:rFonts w:ascii="Times New Roman" w:hAnsi="Times New Roman" w:cs="Times New Roman"/>
          <w:sz w:val="24"/>
          <w:szCs w:val="24"/>
        </w:rPr>
        <w:t xml:space="preserve"> without </w:t>
      </w:r>
      <w:r w:rsidR="00D406A0">
        <w:rPr>
          <w:rFonts w:ascii="Times New Roman" w:hAnsi="Times New Roman" w:cs="Times New Roman"/>
          <w:sz w:val="24"/>
          <w:szCs w:val="24"/>
        </w:rPr>
        <w:t>their</w:t>
      </w:r>
      <w:r w:rsidR="008B7380" w:rsidRPr="008B7380">
        <w:rPr>
          <w:rFonts w:ascii="Times New Roman" w:hAnsi="Times New Roman" w:cs="Times New Roman"/>
          <w:sz w:val="24"/>
          <w:szCs w:val="24"/>
        </w:rPr>
        <w:t xml:space="preserve"> knowledge and consent by </w:t>
      </w:r>
      <w:r w:rsidR="005A5538">
        <w:rPr>
          <w:rFonts w:ascii="Times New Roman" w:hAnsi="Times New Roman" w:cs="Times New Roman"/>
          <w:sz w:val="24"/>
          <w:szCs w:val="24"/>
        </w:rPr>
        <w:t>an imposter</w:t>
      </w:r>
      <w:r w:rsidR="00D406A0">
        <w:rPr>
          <w:rFonts w:ascii="Times New Roman" w:hAnsi="Times New Roman" w:cs="Times New Roman"/>
          <w:sz w:val="24"/>
          <w:szCs w:val="24"/>
        </w:rPr>
        <w:t>,</w:t>
      </w:r>
      <w:r w:rsidR="008B7380" w:rsidRPr="008B7380">
        <w:rPr>
          <w:rFonts w:ascii="Times New Roman" w:hAnsi="Times New Roman" w:cs="Times New Roman"/>
          <w:sz w:val="24"/>
          <w:szCs w:val="24"/>
        </w:rPr>
        <w:t xml:space="preserve"> that contract is </w:t>
      </w:r>
      <w:r w:rsidR="00D406A0">
        <w:rPr>
          <w:rFonts w:ascii="Times New Roman" w:hAnsi="Times New Roman" w:cs="Times New Roman"/>
          <w:sz w:val="24"/>
          <w:szCs w:val="24"/>
        </w:rPr>
        <w:t>in</w:t>
      </w:r>
      <w:r w:rsidR="008B7380" w:rsidRPr="008B7380">
        <w:rPr>
          <w:rFonts w:ascii="Times New Roman" w:hAnsi="Times New Roman" w:cs="Times New Roman"/>
          <w:sz w:val="24"/>
          <w:szCs w:val="24"/>
        </w:rPr>
        <w:t xml:space="preserve">valid and not binding between the parties as there was never a meeting of the minds. The doctrine of freedom </w:t>
      </w:r>
      <w:r w:rsidR="00D406A0">
        <w:rPr>
          <w:rFonts w:ascii="Times New Roman" w:hAnsi="Times New Roman" w:cs="Times New Roman"/>
          <w:sz w:val="24"/>
          <w:szCs w:val="24"/>
        </w:rPr>
        <w:t xml:space="preserve">of contract </w:t>
      </w:r>
      <w:r w:rsidR="00B21DEF">
        <w:rPr>
          <w:rFonts w:ascii="Times New Roman" w:hAnsi="Times New Roman" w:cs="Times New Roman"/>
          <w:sz w:val="24"/>
          <w:szCs w:val="24"/>
        </w:rPr>
        <w:t xml:space="preserve">in contract law </w:t>
      </w:r>
      <w:r w:rsidR="008B7380" w:rsidRPr="008B7380">
        <w:rPr>
          <w:rFonts w:ascii="Times New Roman" w:hAnsi="Times New Roman" w:cs="Times New Roman"/>
          <w:sz w:val="24"/>
          <w:szCs w:val="24"/>
        </w:rPr>
        <w:t xml:space="preserve">provides that </w:t>
      </w:r>
      <w:r w:rsidR="00D406A0">
        <w:rPr>
          <w:rFonts w:ascii="Times New Roman" w:hAnsi="Times New Roman" w:cs="Times New Roman"/>
          <w:sz w:val="24"/>
          <w:szCs w:val="24"/>
        </w:rPr>
        <w:t>a person</w:t>
      </w:r>
      <w:r w:rsidR="008B7380" w:rsidRPr="008B7380">
        <w:rPr>
          <w:rFonts w:ascii="Times New Roman" w:hAnsi="Times New Roman" w:cs="Times New Roman"/>
          <w:sz w:val="24"/>
          <w:szCs w:val="24"/>
        </w:rPr>
        <w:t xml:space="preserve"> is free to enter or not to enter into a contract with whom they please</w:t>
      </w:r>
      <w:r w:rsidR="00DD0FFE">
        <w:rPr>
          <w:rStyle w:val="FootnoteReference"/>
          <w:rFonts w:ascii="Times New Roman" w:hAnsi="Times New Roman" w:cs="Times New Roman"/>
          <w:sz w:val="24"/>
          <w:szCs w:val="24"/>
        </w:rPr>
        <w:footnoteReference w:id="5"/>
      </w:r>
      <w:r w:rsidR="00DD0FFE">
        <w:rPr>
          <w:rFonts w:ascii="Times New Roman" w:hAnsi="Times New Roman" w:cs="Times New Roman"/>
          <w:sz w:val="24"/>
          <w:szCs w:val="24"/>
        </w:rPr>
        <w:t xml:space="preserve">. </w:t>
      </w:r>
      <w:r w:rsidR="008B7380" w:rsidRPr="008B7380">
        <w:rPr>
          <w:rFonts w:ascii="Times New Roman" w:hAnsi="Times New Roman" w:cs="Times New Roman"/>
          <w:sz w:val="24"/>
          <w:szCs w:val="24"/>
        </w:rPr>
        <w:t xml:space="preserve">So, a contract which is fraudulently entered into in </w:t>
      </w:r>
      <w:r w:rsidR="00B21DEF">
        <w:rPr>
          <w:rFonts w:ascii="Times New Roman" w:hAnsi="Times New Roman" w:cs="Times New Roman"/>
          <w:sz w:val="24"/>
          <w:szCs w:val="24"/>
        </w:rPr>
        <w:t xml:space="preserve">the </w:t>
      </w:r>
      <w:r w:rsidR="008B7380" w:rsidRPr="008B7380">
        <w:rPr>
          <w:rFonts w:ascii="Times New Roman" w:hAnsi="Times New Roman" w:cs="Times New Roman"/>
          <w:sz w:val="24"/>
          <w:szCs w:val="24"/>
        </w:rPr>
        <w:t xml:space="preserve">name </w:t>
      </w:r>
      <w:r w:rsidR="00B21DEF">
        <w:rPr>
          <w:rFonts w:ascii="Times New Roman" w:hAnsi="Times New Roman" w:cs="Times New Roman"/>
          <w:sz w:val="24"/>
          <w:szCs w:val="24"/>
        </w:rPr>
        <w:t xml:space="preserve">of another person </w:t>
      </w:r>
      <w:r w:rsidR="008B7380" w:rsidRPr="008B7380">
        <w:rPr>
          <w:rFonts w:ascii="Times New Roman" w:hAnsi="Times New Roman" w:cs="Times New Roman"/>
          <w:sz w:val="24"/>
          <w:szCs w:val="24"/>
        </w:rPr>
        <w:t xml:space="preserve">without </w:t>
      </w:r>
      <w:r w:rsidR="00B21DEF">
        <w:rPr>
          <w:rFonts w:ascii="Times New Roman" w:hAnsi="Times New Roman" w:cs="Times New Roman"/>
          <w:sz w:val="24"/>
          <w:szCs w:val="24"/>
        </w:rPr>
        <w:t>their</w:t>
      </w:r>
      <w:r w:rsidR="008B7380" w:rsidRPr="008B7380">
        <w:rPr>
          <w:rFonts w:ascii="Times New Roman" w:hAnsi="Times New Roman" w:cs="Times New Roman"/>
          <w:sz w:val="24"/>
          <w:szCs w:val="24"/>
        </w:rPr>
        <w:t xml:space="preserve"> knowledge and consent is not consistent with the doctrine of freedom of contract</w:t>
      </w:r>
      <w:r w:rsidR="008B5969">
        <w:rPr>
          <w:rFonts w:ascii="Times New Roman" w:hAnsi="Times New Roman" w:cs="Times New Roman"/>
          <w:sz w:val="24"/>
          <w:szCs w:val="24"/>
        </w:rPr>
        <w:t>.</w:t>
      </w:r>
      <w:r w:rsidR="008B7380" w:rsidRPr="008B7380">
        <w:rPr>
          <w:rFonts w:ascii="Times New Roman" w:hAnsi="Times New Roman" w:cs="Times New Roman"/>
          <w:sz w:val="24"/>
          <w:szCs w:val="24"/>
        </w:rPr>
        <w:t xml:space="preserve"> </w:t>
      </w:r>
      <w:r w:rsidR="00B21DEF" w:rsidRPr="009F2994">
        <w:rPr>
          <w:rFonts w:ascii="Times New Roman" w:hAnsi="Times New Roman" w:cs="Times New Roman"/>
          <w:sz w:val="24"/>
          <w:szCs w:val="24"/>
        </w:rPr>
        <w:t>A</w:t>
      </w:r>
      <w:r w:rsidR="009F2994">
        <w:rPr>
          <w:rFonts w:ascii="Times New Roman" w:hAnsi="Times New Roman" w:cs="Times New Roman"/>
          <w:sz w:val="24"/>
          <w:szCs w:val="24"/>
        </w:rPr>
        <w:t xml:space="preserve">s such, such </w:t>
      </w:r>
      <w:r w:rsidR="00B21DEF" w:rsidRPr="009F2994">
        <w:rPr>
          <w:rFonts w:ascii="Times New Roman" w:hAnsi="Times New Roman" w:cs="Times New Roman"/>
          <w:sz w:val="24"/>
          <w:szCs w:val="24"/>
        </w:rPr>
        <w:t xml:space="preserve">a contract </w:t>
      </w:r>
      <w:r w:rsidR="009F2994">
        <w:rPr>
          <w:rFonts w:ascii="Times New Roman" w:hAnsi="Times New Roman" w:cs="Times New Roman"/>
          <w:sz w:val="24"/>
          <w:szCs w:val="24"/>
        </w:rPr>
        <w:t xml:space="preserve">is not </w:t>
      </w:r>
      <w:r w:rsidR="00B21DEF" w:rsidRPr="009F2994">
        <w:rPr>
          <w:rFonts w:ascii="Times New Roman" w:hAnsi="Times New Roman" w:cs="Times New Roman"/>
          <w:sz w:val="24"/>
          <w:szCs w:val="24"/>
        </w:rPr>
        <w:t xml:space="preserve">valid </w:t>
      </w:r>
      <w:r w:rsidR="009F2994">
        <w:rPr>
          <w:rFonts w:ascii="Times New Roman" w:hAnsi="Times New Roman" w:cs="Times New Roman"/>
          <w:sz w:val="24"/>
          <w:szCs w:val="24"/>
        </w:rPr>
        <w:t>and it creates no rights and obligations between the parties. None of the parties can</w:t>
      </w:r>
      <w:r w:rsidR="003A0FFB">
        <w:rPr>
          <w:rFonts w:ascii="Times New Roman" w:hAnsi="Times New Roman" w:cs="Times New Roman"/>
          <w:sz w:val="24"/>
          <w:szCs w:val="24"/>
        </w:rPr>
        <w:t xml:space="preserve"> </w:t>
      </w:r>
      <w:r w:rsidR="009F2994">
        <w:rPr>
          <w:rFonts w:ascii="Times New Roman" w:hAnsi="Times New Roman" w:cs="Times New Roman"/>
          <w:sz w:val="24"/>
          <w:szCs w:val="24"/>
        </w:rPr>
        <w:t>act</w:t>
      </w:r>
      <w:r w:rsidR="001929C9">
        <w:rPr>
          <w:rFonts w:ascii="Times New Roman" w:hAnsi="Times New Roman" w:cs="Times New Roman"/>
          <w:sz w:val="24"/>
          <w:szCs w:val="24"/>
        </w:rPr>
        <w:t xml:space="preserve"> and sue</w:t>
      </w:r>
      <w:r w:rsidR="009F2994">
        <w:rPr>
          <w:rFonts w:ascii="Times New Roman" w:hAnsi="Times New Roman" w:cs="Times New Roman"/>
          <w:sz w:val="24"/>
          <w:szCs w:val="24"/>
        </w:rPr>
        <w:t xml:space="preserve"> upon it. </w:t>
      </w:r>
    </w:p>
    <w:p w14:paraId="1E51DB44" w14:textId="527677FE" w:rsidR="00B82E88" w:rsidRDefault="008B7380" w:rsidP="00B21DEF">
      <w:pPr>
        <w:spacing w:after="0" w:line="360" w:lineRule="auto"/>
        <w:ind w:firstLine="720"/>
        <w:jc w:val="both"/>
        <w:rPr>
          <w:rFonts w:ascii="Times New Roman" w:hAnsi="Times New Roman" w:cs="Times New Roman"/>
          <w:sz w:val="24"/>
          <w:szCs w:val="24"/>
        </w:rPr>
      </w:pPr>
      <w:r w:rsidRPr="008B5969">
        <w:rPr>
          <w:rFonts w:ascii="Times New Roman" w:hAnsi="Times New Roman" w:cs="Times New Roman"/>
          <w:iCs/>
          <w:sz w:val="24"/>
          <w:szCs w:val="24"/>
        </w:rPr>
        <w:t>In</w:t>
      </w:r>
      <w:r w:rsidRPr="008B7380">
        <w:rPr>
          <w:rFonts w:ascii="Times New Roman" w:hAnsi="Times New Roman" w:cs="Times New Roman"/>
          <w:sz w:val="24"/>
          <w:szCs w:val="24"/>
        </w:rPr>
        <w:t xml:space="preserve"> </w:t>
      </w:r>
      <w:r w:rsidRPr="008B5969">
        <w:rPr>
          <w:rFonts w:ascii="Times New Roman" w:hAnsi="Times New Roman" w:cs="Times New Roman"/>
          <w:i/>
          <w:iCs/>
          <w:sz w:val="24"/>
          <w:szCs w:val="24"/>
        </w:rPr>
        <w:t>casu</w:t>
      </w:r>
      <w:r w:rsidRPr="008B7380">
        <w:rPr>
          <w:rFonts w:ascii="Times New Roman" w:hAnsi="Times New Roman" w:cs="Times New Roman"/>
          <w:sz w:val="24"/>
          <w:szCs w:val="24"/>
        </w:rPr>
        <w:t xml:space="preserve"> the applicant </w:t>
      </w:r>
      <w:r w:rsidR="008B5969">
        <w:rPr>
          <w:rFonts w:ascii="Times New Roman" w:hAnsi="Times New Roman" w:cs="Times New Roman"/>
          <w:sz w:val="24"/>
          <w:szCs w:val="24"/>
        </w:rPr>
        <w:t xml:space="preserve">did not personally open an account with first respondent. Neither did he authorise anyone to open an account on his behalf. </w:t>
      </w:r>
      <w:r w:rsidR="008B5969" w:rsidRPr="008B7380">
        <w:rPr>
          <w:rFonts w:ascii="Times New Roman" w:hAnsi="Times New Roman" w:cs="Times New Roman"/>
          <w:sz w:val="24"/>
          <w:szCs w:val="24"/>
        </w:rPr>
        <w:t>So</w:t>
      </w:r>
      <w:r w:rsidR="008B5969">
        <w:rPr>
          <w:rFonts w:ascii="Times New Roman" w:hAnsi="Times New Roman" w:cs="Times New Roman"/>
          <w:sz w:val="24"/>
          <w:szCs w:val="24"/>
        </w:rPr>
        <w:t>,</w:t>
      </w:r>
      <w:r w:rsidR="008B5969" w:rsidRPr="008B7380">
        <w:rPr>
          <w:rFonts w:ascii="Times New Roman" w:hAnsi="Times New Roman" w:cs="Times New Roman"/>
          <w:sz w:val="24"/>
          <w:szCs w:val="24"/>
        </w:rPr>
        <w:t xml:space="preserve"> he never contract</w:t>
      </w:r>
      <w:r w:rsidR="008B5969">
        <w:rPr>
          <w:rFonts w:ascii="Times New Roman" w:hAnsi="Times New Roman" w:cs="Times New Roman"/>
          <w:sz w:val="24"/>
          <w:szCs w:val="24"/>
        </w:rPr>
        <w:t>ed</w:t>
      </w:r>
      <w:r w:rsidR="008B5969" w:rsidRPr="008B7380">
        <w:rPr>
          <w:rFonts w:ascii="Times New Roman" w:hAnsi="Times New Roman" w:cs="Times New Roman"/>
          <w:sz w:val="24"/>
          <w:szCs w:val="24"/>
        </w:rPr>
        <w:t xml:space="preserve"> with the first respondent.</w:t>
      </w:r>
      <w:r w:rsidR="008B5969">
        <w:rPr>
          <w:rFonts w:ascii="Times New Roman" w:hAnsi="Times New Roman" w:cs="Times New Roman"/>
          <w:sz w:val="24"/>
          <w:szCs w:val="24"/>
        </w:rPr>
        <w:t xml:space="preserve"> Therefore, he </w:t>
      </w:r>
      <w:r w:rsidRPr="008B7380">
        <w:rPr>
          <w:rFonts w:ascii="Times New Roman" w:hAnsi="Times New Roman" w:cs="Times New Roman"/>
          <w:sz w:val="24"/>
          <w:szCs w:val="24"/>
        </w:rPr>
        <w:t>was n</w:t>
      </w:r>
      <w:r w:rsidR="008B5969">
        <w:rPr>
          <w:rFonts w:ascii="Times New Roman" w:hAnsi="Times New Roman" w:cs="Times New Roman"/>
          <w:sz w:val="24"/>
          <w:szCs w:val="24"/>
        </w:rPr>
        <w:t>ever</w:t>
      </w:r>
      <w:r w:rsidRPr="008B7380">
        <w:rPr>
          <w:rFonts w:ascii="Times New Roman" w:hAnsi="Times New Roman" w:cs="Times New Roman"/>
          <w:sz w:val="24"/>
          <w:szCs w:val="24"/>
        </w:rPr>
        <w:t xml:space="preserve"> a client of the first respondent. He therefore cannot say a bank</w:t>
      </w:r>
      <w:r w:rsidR="00493777">
        <w:rPr>
          <w:rFonts w:ascii="Times New Roman" w:hAnsi="Times New Roman" w:cs="Times New Roman"/>
          <w:sz w:val="24"/>
          <w:szCs w:val="24"/>
        </w:rPr>
        <w:t>er</w:t>
      </w:r>
      <w:r w:rsidRPr="008B7380">
        <w:rPr>
          <w:rFonts w:ascii="Times New Roman" w:hAnsi="Times New Roman" w:cs="Times New Roman"/>
          <w:sz w:val="24"/>
          <w:szCs w:val="24"/>
        </w:rPr>
        <w:t xml:space="preserve">-client relationship was created when some </w:t>
      </w:r>
      <w:r w:rsidR="005A5538">
        <w:rPr>
          <w:rFonts w:ascii="Times New Roman" w:hAnsi="Times New Roman" w:cs="Times New Roman"/>
          <w:sz w:val="24"/>
          <w:szCs w:val="24"/>
        </w:rPr>
        <w:t>imposter</w:t>
      </w:r>
      <w:r w:rsidRPr="008B7380">
        <w:rPr>
          <w:rFonts w:ascii="Times New Roman" w:hAnsi="Times New Roman" w:cs="Times New Roman"/>
          <w:sz w:val="24"/>
          <w:szCs w:val="24"/>
        </w:rPr>
        <w:t xml:space="preserve"> fraudulently opened an account in his name</w:t>
      </w:r>
      <w:r w:rsidR="00493777">
        <w:rPr>
          <w:rFonts w:ascii="Times New Roman" w:hAnsi="Times New Roman" w:cs="Times New Roman"/>
          <w:sz w:val="24"/>
          <w:szCs w:val="24"/>
        </w:rPr>
        <w:t xml:space="preserve"> without his knowledge and consent</w:t>
      </w:r>
      <w:r w:rsidRPr="008B7380">
        <w:rPr>
          <w:rFonts w:ascii="Times New Roman" w:hAnsi="Times New Roman" w:cs="Times New Roman"/>
          <w:sz w:val="24"/>
          <w:szCs w:val="24"/>
        </w:rPr>
        <w:t xml:space="preserve">. </w:t>
      </w:r>
      <w:r w:rsidR="00D22721">
        <w:rPr>
          <w:rFonts w:ascii="Times New Roman" w:hAnsi="Times New Roman" w:cs="Times New Roman"/>
          <w:sz w:val="24"/>
          <w:szCs w:val="24"/>
        </w:rPr>
        <w:t>T</w:t>
      </w:r>
      <w:r w:rsidR="00603AA9">
        <w:rPr>
          <w:rFonts w:ascii="Times New Roman" w:hAnsi="Times New Roman" w:cs="Times New Roman"/>
          <w:sz w:val="24"/>
          <w:szCs w:val="24"/>
        </w:rPr>
        <w:t>hese principles of contract law are elementary</w:t>
      </w:r>
      <w:r w:rsidR="00D22721">
        <w:rPr>
          <w:rFonts w:ascii="Times New Roman" w:hAnsi="Times New Roman" w:cs="Times New Roman"/>
          <w:sz w:val="24"/>
          <w:szCs w:val="24"/>
        </w:rPr>
        <w:t>.</w:t>
      </w:r>
      <w:r w:rsidR="00603AA9">
        <w:rPr>
          <w:rFonts w:ascii="Times New Roman" w:hAnsi="Times New Roman" w:cs="Times New Roman"/>
          <w:sz w:val="24"/>
          <w:szCs w:val="24"/>
        </w:rPr>
        <w:t xml:space="preserve"> </w:t>
      </w:r>
      <w:r w:rsidR="006638AF" w:rsidRPr="008B7380">
        <w:rPr>
          <w:rFonts w:ascii="Times New Roman" w:hAnsi="Times New Roman" w:cs="Times New Roman"/>
          <w:sz w:val="24"/>
          <w:szCs w:val="24"/>
        </w:rPr>
        <w:t>It is also surprising that the applicant seeks to approbate and reprobate or blow hot and cold or hav</w:t>
      </w:r>
      <w:r w:rsidR="002115E4">
        <w:rPr>
          <w:rFonts w:ascii="Times New Roman" w:hAnsi="Times New Roman" w:cs="Times New Roman"/>
          <w:sz w:val="24"/>
          <w:szCs w:val="24"/>
        </w:rPr>
        <w:t>e</w:t>
      </w:r>
      <w:r w:rsidR="006638AF" w:rsidRPr="008B7380">
        <w:rPr>
          <w:rFonts w:ascii="Times New Roman" w:hAnsi="Times New Roman" w:cs="Times New Roman"/>
          <w:sz w:val="24"/>
          <w:szCs w:val="24"/>
        </w:rPr>
        <w:t xml:space="preserve"> his cake and eat it. </w:t>
      </w:r>
      <w:r w:rsidR="005A5538">
        <w:rPr>
          <w:rFonts w:ascii="Times New Roman" w:hAnsi="Times New Roman" w:cs="Times New Roman"/>
          <w:sz w:val="24"/>
          <w:szCs w:val="24"/>
        </w:rPr>
        <w:t>On one hand he says</w:t>
      </w:r>
      <w:r w:rsidR="006638AF" w:rsidRPr="008B7380">
        <w:rPr>
          <w:rFonts w:ascii="Times New Roman" w:hAnsi="Times New Roman" w:cs="Times New Roman"/>
          <w:sz w:val="24"/>
          <w:szCs w:val="24"/>
        </w:rPr>
        <w:t xml:space="preserve"> </w:t>
      </w:r>
      <w:r w:rsidR="006638AF">
        <w:rPr>
          <w:rFonts w:ascii="Times New Roman" w:hAnsi="Times New Roman" w:cs="Times New Roman"/>
          <w:sz w:val="24"/>
          <w:szCs w:val="24"/>
        </w:rPr>
        <w:t xml:space="preserve">that </w:t>
      </w:r>
      <w:r w:rsidR="006638AF" w:rsidRPr="008B7380">
        <w:rPr>
          <w:rFonts w:ascii="Times New Roman" w:hAnsi="Times New Roman" w:cs="Times New Roman"/>
          <w:sz w:val="24"/>
          <w:szCs w:val="24"/>
        </w:rPr>
        <w:t xml:space="preserve">the </w:t>
      </w:r>
      <w:r w:rsidR="006638AF">
        <w:rPr>
          <w:rFonts w:ascii="Times New Roman" w:hAnsi="Times New Roman" w:cs="Times New Roman"/>
          <w:sz w:val="24"/>
          <w:szCs w:val="24"/>
        </w:rPr>
        <w:t>account</w:t>
      </w:r>
      <w:r w:rsidR="006638AF" w:rsidRPr="008B7380">
        <w:rPr>
          <w:rFonts w:ascii="Times New Roman" w:hAnsi="Times New Roman" w:cs="Times New Roman"/>
          <w:sz w:val="24"/>
          <w:szCs w:val="24"/>
        </w:rPr>
        <w:t xml:space="preserve"> was fraudulently opened without his knowledge and </w:t>
      </w:r>
      <w:r w:rsidR="003979F1">
        <w:rPr>
          <w:rFonts w:ascii="Times New Roman" w:hAnsi="Times New Roman" w:cs="Times New Roman"/>
          <w:sz w:val="24"/>
          <w:szCs w:val="24"/>
        </w:rPr>
        <w:t xml:space="preserve">consent and </w:t>
      </w:r>
      <w:r w:rsidR="002A0C9C">
        <w:rPr>
          <w:rFonts w:ascii="Times New Roman" w:hAnsi="Times New Roman" w:cs="Times New Roman"/>
          <w:sz w:val="24"/>
          <w:szCs w:val="24"/>
        </w:rPr>
        <w:t>he sought</w:t>
      </w:r>
      <w:r w:rsidR="003979F1">
        <w:rPr>
          <w:rFonts w:ascii="Times New Roman" w:hAnsi="Times New Roman" w:cs="Times New Roman"/>
          <w:sz w:val="24"/>
          <w:szCs w:val="24"/>
        </w:rPr>
        <w:t xml:space="preserve"> its closure</w:t>
      </w:r>
      <w:r w:rsidR="002A0C9C">
        <w:rPr>
          <w:rFonts w:ascii="Times New Roman" w:hAnsi="Times New Roman" w:cs="Times New Roman"/>
          <w:sz w:val="24"/>
          <w:szCs w:val="24"/>
        </w:rPr>
        <w:t>.</w:t>
      </w:r>
      <w:r w:rsidR="006638AF" w:rsidRPr="008B7380">
        <w:rPr>
          <w:rFonts w:ascii="Times New Roman" w:hAnsi="Times New Roman" w:cs="Times New Roman"/>
          <w:sz w:val="24"/>
          <w:szCs w:val="24"/>
        </w:rPr>
        <w:t xml:space="preserve"> </w:t>
      </w:r>
      <w:r w:rsidR="002A0C9C">
        <w:rPr>
          <w:rFonts w:ascii="Times New Roman" w:hAnsi="Times New Roman" w:cs="Times New Roman"/>
          <w:sz w:val="24"/>
          <w:szCs w:val="24"/>
        </w:rPr>
        <w:t>O</w:t>
      </w:r>
      <w:r w:rsidR="005A5538">
        <w:rPr>
          <w:rFonts w:ascii="Times New Roman" w:hAnsi="Times New Roman" w:cs="Times New Roman"/>
          <w:sz w:val="24"/>
          <w:szCs w:val="24"/>
        </w:rPr>
        <w:t xml:space="preserve">n the other </w:t>
      </w:r>
      <w:r w:rsidR="002A0C9C">
        <w:rPr>
          <w:rFonts w:ascii="Times New Roman" w:hAnsi="Times New Roman" w:cs="Times New Roman"/>
          <w:sz w:val="24"/>
          <w:szCs w:val="24"/>
        </w:rPr>
        <w:t>hand,</w:t>
      </w:r>
      <w:r w:rsidR="006638AF" w:rsidRPr="008B7380">
        <w:rPr>
          <w:rFonts w:ascii="Times New Roman" w:hAnsi="Times New Roman" w:cs="Times New Roman"/>
          <w:sz w:val="24"/>
          <w:szCs w:val="24"/>
        </w:rPr>
        <w:t xml:space="preserve"> </w:t>
      </w:r>
      <w:r w:rsidR="002A0C9C">
        <w:rPr>
          <w:rFonts w:ascii="Times New Roman" w:hAnsi="Times New Roman" w:cs="Times New Roman"/>
          <w:sz w:val="24"/>
          <w:szCs w:val="24"/>
        </w:rPr>
        <w:t>he says he is</w:t>
      </w:r>
      <w:r w:rsidR="006638AF" w:rsidRPr="008B7380">
        <w:rPr>
          <w:rFonts w:ascii="Times New Roman" w:hAnsi="Times New Roman" w:cs="Times New Roman"/>
          <w:sz w:val="24"/>
          <w:szCs w:val="24"/>
        </w:rPr>
        <w:t xml:space="preserve"> su</w:t>
      </w:r>
      <w:r w:rsidR="002A0C9C">
        <w:rPr>
          <w:rFonts w:ascii="Times New Roman" w:hAnsi="Times New Roman" w:cs="Times New Roman"/>
          <w:sz w:val="24"/>
          <w:szCs w:val="24"/>
        </w:rPr>
        <w:t>ing</w:t>
      </w:r>
      <w:r w:rsidR="006638AF" w:rsidRPr="008B7380">
        <w:rPr>
          <w:rFonts w:ascii="Times New Roman" w:hAnsi="Times New Roman" w:cs="Times New Roman"/>
          <w:sz w:val="24"/>
          <w:szCs w:val="24"/>
        </w:rPr>
        <w:t xml:space="preserve"> in </w:t>
      </w:r>
      <w:r w:rsidR="006638AF" w:rsidRPr="008B7380">
        <w:rPr>
          <w:rFonts w:ascii="Times New Roman" w:hAnsi="Times New Roman" w:cs="Times New Roman"/>
          <w:sz w:val="24"/>
          <w:szCs w:val="24"/>
        </w:rPr>
        <w:lastRenderedPageBreak/>
        <w:t>contract on the basis of that s</w:t>
      </w:r>
      <w:r w:rsidR="006638AF">
        <w:rPr>
          <w:rFonts w:ascii="Times New Roman" w:hAnsi="Times New Roman" w:cs="Times New Roman"/>
          <w:sz w:val="24"/>
          <w:szCs w:val="24"/>
        </w:rPr>
        <w:t>a</w:t>
      </w:r>
      <w:r w:rsidR="006638AF" w:rsidRPr="008B7380">
        <w:rPr>
          <w:rFonts w:ascii="Times New Roman" w:hAnsi="Times New Roman" w:cs="Times New Roman"/>
          <w:sz w:val="24"/>
          <w:szCs w:val="24"/>
        </w:rPr>
        <w:t xml:space="preserve">me </w:t>
      </w:r>
      <w:r w:rsidR="006638AF">
        <w:rPr>
          <w:rFonts w:ascii="Times New Roman" w:hAnsi="Times New Roman" w:cs="Times New Roman"/>
          <w:sz w:val="24"/>
          <w:szCs w:val="24"/>
        </w:rPr>
        <w:t>fraudulently opened account</w:t>
      </w:r>
      <w:r w:rsidR="006638AF" w:rsidRPr="008B7380">
        <w:rPr>
          <w:rFonts w:ascii="Times New Roman" w:hAnsi="Times New Roman" w:cs="Times New Roman"/>
          <w:sz w:val="24"/>
          <w:szCs w:val="24"/>
        </w:rPr>
        <w:t xml:space="preserve">. He cannot challenge the validity of </w:t>
      </w:r>
      <w:r w:rsidR="002A0C9C">
        <w:rPr>
          <w:rFonts w:ascii="Times New Roman" w:hAnsi="Times New Roman" w:cs="Times New Roman"/>
          <w:sz w:val="24"/>
          <w:szCs w:val="24"/>
        </w:rPr>
        <w:t>the</w:t>
      </w:r>
      <w:r w:rsidR="006638AF" w:rsidRPr="008B7380">
        <w:rPr>
          <w:rFonts w:ascii="Times New Roman" w:hAnsi="Times New Roman" w:cs="Times New Roman"/>
          <w:sz w:val="24"/>
          <w:szCs w:val="24"/>
        </w:rPr>
        <w:t xml:space="preserve"> contract and at the same time sue on </w:t>
      </w:r>
      <w:r w:rsidR="00D22721">
        <w:rPr>
          <w:rFonts w:ascii="Times New Roman" w:hAnsi="Times New Roman" w:cs="Times New Roman"/>
          <w:sz w:val="24"/>
          <w:szCs w:val="24"/>
        </w:rPr>
        <w:t xml:space="preserve">the </w:t>
      </w:r>
      <w:r w:rsidR="006638AF" w:rsidRPr="008B7380">
        <w:rPr>
          <w:rFonts w:ascii="Times New Roman" w:hAnsi="Times New Roman" w:cs="Times New Roman"/>
          <w:sz w:val="24"/>
          <w:szCs w:val="24"/>
        </w:rPr>
        <w:t xml:space="preserve">basis of that same </w:t>
      </w:r>
      <w:r w:rsidR="005A5538">
        <w:rPr>
          <w:rFonts w:ascii="Times New Roman" w:hAnsi="Times New Roman" w:cs="Times New Roman"/>
          <w:sz w:val="24"/>
          <w:szCs w:val="24"/>
        </w:rPr>
        <w:t xml:space="preserve">invalid </w:t>
      </w:r>
      <w:r w:rsidR="006638AF" w:rsidRPr="008B7380">
        <w:rPr>
          <w:rFonts w:ascii="Times New Roman" w:hAnsi="Times New Roman" w:cs="Times New Roman"/>
          <w:sz w:val="24"/>
          <w:szCs w:val="24"/>
        </w:rPr>
        <w:t xml:space="preserve">contract. </w:t>
      </w:r>
    </w:p>
    <w:p w14:paraId="7AB39646" w14:textId="551FE8CC" w:rsidR="00A10732" w:rsidRDefault="00B82E88" w:rsidP="006B7D81">
      <w:pPr>
        <w:spacing w:after="0" w:line="360" w:lineRule="auto"/>
        <w:ind w:firstLine="720"/>
        <w:jc w:val="both"/>
        <w:rPr>
          <w:rFonts w:ascii="Times New Roman" w:hAnsi="Times New Roman" w:cs="Times New Roman"/>
          <w:sz w:val="24"/>
          <w:szCs w:val="24"/>
        </w:rPr>
      </w:pPr>
      <w:r w:rsidRPr="008B7380">
        <w:rPr>
          <w:rFonts w:ascii="Times New Roman" w:hAnsi="Times New Roman" w:cs="Times New Roman"/>
          <w:sz w:val="24"/>
          <w:szCs w:val="24"/>
        </w:rPr>
        <w:t xml:space="preserve">The second </w:t>
      </w:r>
      <w:r w:rsidR="001D2AE7">
        <w:rPr>
          <w:rFonts w:ascii="Times New Roman" w:hAnsi="Times New Roman" w:cs="Times New Roman"/>
          <w:sz w:val="24"/>
          <w:szCs w:val="24"/>
        </w:rPr>
        <w:t xml:space="preserve">bank </w:t>
      </w:r>
      <w:r w:rsidRPr="008B7380">
        <w:rPr>
          <w:rFonts w:ascii="Times New Roman" w:hAnsi="Times New Roman" w:cs="Times New Roman"/>
          <w:sz w:val="24"/>
          <w:szCs w:val="24"/>
        </w:rPr>
        <w:t xml:space="preserve">account which the applicant claimed to have been opened in his </w:t>
      </w:r>
      <w:r>
        <w:rPr>
          <w:rFonts w:ascii="Times New Roman" w:hAnsi="Times New Roman" w:cs="Times New Roman"/>
          <w:sz w:val="24"/>
          <w:szCs w:val="24"/>
        </w:rPr>
        <w:t>name</w:t>
      </w:r>
      <w:r w:rsidRPr="008B7380">
        <w:rPr>
          <w:rFonts w:ascii="Times New Roman" w:hAnsi="Times New Roman" w:cs="Times New Roman"/>
          <w:sz w:val="24"/>
          <w:szCs w:val="24"/>
        </w:rPr>
        <w:t xml:space="preserve"> was found not to </w:t>
      </w:r>
      <w:r w:rsidR="001C54B9">
        <w:rPr>
          <w:rFonts w:ascii="Times New Roman" w:hAnsi="Times New Roman" w:cs="Times New Roman"/>
          <w:sz w:val="24"/>
          <w:szCs w:val="24"/>
        </w:rPr>
        <w:t>being in his name</w:t>
      </w:r>
      <w:r w:rsidRPr="008B7380">
        <w:rPr>
          <w:rFonts w:ascii="Times New Roman" w:hAnsi="Times New Roman" w:cs="Times New Roman"/>
          <w:sz w:val="24"/>
          <w:szCs w:val="24"/>
        </w:rPr>
        <w:t xml:space="preserve">, but </w:t>
      </w:r>
      <w:r w:rsidR="001C54B9">
        <w:rPr>
          <w:rFonts w:ascii="Times New Roman" w:hAnsi="Times New Roman" w:cs="Times New Roman"/>
          <w:sz w:val="24"/>
          <w:szCs w:val="24"/>
        </w:rPr>
        <w:t xml:space="preserve">in the name of </w:t>
      </w:r>
      <w:r w:rsidRPr="008B7380">
        <w:rPr>
          <w:rFonts w:ascii="Times New Roman" w:hAnsi="Times New Roman" w:cs="Times New Roman"/>
          <w:sz w:val="24"/>
          <w:szCs w:val="24"/>
        </w:rPr>
        <w:t>a Mr F</w:t>
      </w:r>
      <w:r w:rsidR="00523837">
        <w:rPr>
          <w:rFonts w:ascii="Times New Roman" w:hAnsi="Times New Roman" w:cs="Times New Roman"/>
          <w:sz w:val="24"/>
          <w:szCs w:val="24"/>
        </w:rPr>
        <w:t>r</w:t>
      </w:r>
      <w:r w:rsidRPr="008B7380">
        <w:rPr>
          <w:rFonts w:ascii="Times New Roman" w:hAnsi="Times New Roman" w:cs="Times New Roman"/>
          <w:sz w:val="24"/>
          <w:szCs w:val="24"/>
        </w:rPr>
        <w:t>ank Chinyoka</w:t>
      </w:r>
      <w:r w:rsidR="00C04AA2">
        <w:rPr>
          <w:rFonts w:ascii="Times New Roman" w:hAnsi="Times New Roman" w:cs="Times New Roman"/>
          <w:sz w:val="24"/>
          <w:szCs w:val="24"/>
        </w:rPr>
        <w:t xml:space="preserve">, an averment which the applicant </w:t>
      </w:r>
      <w:r w:rsidR="002A74F0">
        <w:rPr>
          <w:rFonts w:ascii="Times New Roman" w:hAnsi="Times New Roman" w:cs="Times New Roman"/>
          <w:sz w:val="24"/>
          <w:szCs w:val="24"/>
        </w:rPr>
        <w:t>did</w:t>
      </w:r>
      <w:r w:rsidR="00C430CE">
        <w:rPr>
          <w:rFonts w:ascii="Times New Roman" w:hAnsi="Times New Roman" w:cs="Times New Roman"/>
          <w:sz w:val="24"/>
          <w:szCs w:val="24"/>
        </w:rPr>
        <w:t xml:space="preserve"> </w:t>
      </w:r>
      <w:r w:rsidR="00C04AA2">
        <w:rPr>
          <w:rFonts w:ascii="Times New Roman" w:hAnsi="Times New Roman" w:cs="Times New Roman"/>
          <w:sz w:val="24"/>
          <w:szCs w:val="24"/>
        </w:rPr>
        <w:t>not dispute</w:t>
      </w:r>
      <w:r w:rsidR="006B7D81">
        <w:rPr>
          <w:rFonts w:ascii="Times New Roman" w:hAnsi="Times New Roman" w:cs="Times New Roman"/>
          <w:sz w:val="24"/>
          <w:szCs w:val="24"/>
        </w:rPr>
        <w:t xml:space="preserve"> in </w:t>
      </w:r>
      <w:r w:rsidR="001D2AE7">
        <w:rPr>
          <w:rFonts w:ascii="Times New Roman" w:hAnsi="Times New Roman" w:cs="Times New Roman"/>
          <w:sz w:val="24"/>
          <w:szCs w:val="24"/>
        </w:rPr>
        <w:t>his</w:t>
      </w:r>
      <w:r w:rsidR="006B7D81">
        <w:rPr>
          <w:rFonts w:ascii="Times New Roman" w:hAnsi="Times New Roman" w:cs="Times New Roman"/>
          <w:sz w:val="24"/>
          <w:szCs w:val="24"/>
        </w:rPr>
        <w:t xml:space="preserve"> answering affidavit</w:t>
      </w:r>
      <w:r w:rsidR="00C04AA2">
        <w:rPr>
          <w:rFonts w:ascii="Times New Roman" w:hAnsi="Times New Roman" w:cs="Times New Roman"/>
          <w:sz w:val="24"/>
          <w:szCs w:val="24"/>
        </w:rPr>
        <w:t>. However, even if this second account had been opened in the applicant’s name</w:t>
      </w:r>
      <w:r w:rsidR="00050ACE">
        <w:rPr>
          <w:rFonts w:ascii="Times New Roman" w:hAnsi="Times New Roman" w:cs="Times New Roman"/>
          <w:sz w:val="24"/>
          <w:szCs w:val="24"/>
        </w:rPr>
        <w:t xml:space="preserve">, </w:t>
      </w:r>
      <w:r w:rsidR="00C04AA2">
        <w:rPr>
          <w:rFonts w:ascii="Times New Roman" w:hAnsi="Times New Roman" w:cs="Times New Roman"/>
          <w:sz w:val="24"/>
          <w:szCs w:val="24"/>
        </w:rPr>
        <w:t xml:space="preserve">that account would still not entitle </w:t>
      </w:r>
      <w:r w:rsidR="00050ACE">
        <w:rPr>
          <w:rFonts w:ascii="Times New Roman" w:hAnsi="Times New Roman" w:cs="Times New Roman"/>
          <w:sz w:val="24"/>
          <w:szCs w:val="24"/>
        </w:rPr>
        <w:t xml:space="preserve">him </w:t>
      </w:r>
      <w:r w:rsidR="00C04AA2">
        <w:rPr>
          <w:rFonts w:ascii="Times New Roman" w:hAnsi="Times New Roman" w:cs="Times New Roman"/>
          <w:sz w:val="24"/>
          <w:szCs w:val="24"/>
        </w:rPr>
        <w:t xml:space="preserve">to sue in contract because the contract would </w:t>
      </w:r>
      <w:r w:rsidR="002A74F0">
        <w:rPr>
          <w:rFonts w:ascii="Times New Roman" w:hAnsi="Times New Roman" w:cs="Times New Roman"/>
          <w:sz w:val="24"/>
          <w:szCs w:val="24"/>
        </w:rPr>
        <w:t xml:space="preserve">have </w:t>
      </w:r>
      <w:r w:rsidR="00C04AA2">
        <w:rPr>
          <w:rFonts w:ascii="Times New Roman" w:hAnsi="Times New Roman" w:cs="Times New Roman"/>
          <w:sz w:val="24"/>
          <w:szCs w:val="24"/>
        </w:rPr>
        <w:t>be</w:t>
      </w:r>
      <w:r w:rsidR="002A74F0">
        <w:rPr>
          <w:rFonts w:ascii="Times New Roman" w:hAnsi="Times New Roman" w:cs="Times New Roman"/>
          <w:sz w:val="24"/>
          <w:szCs w:val="24"/>
        </w:rPr>
        <w:t>en</w:t>
      </w:r>
      <w:r w:rsidR="00C04AA2">
        <w:rPr>
          <w:rFonts w:ascii="Times New Roman" w:hAnsi="Times New Roman" w:cs="Times New Roman"/>
          <w:sz w:val="24"/>
          <w:szCs w:val="24"/>
        </w:rPr>
        <w:t xml:space="preserve"> invalid just like the first one. </w:t>
      </w:r>
      <w:r w:rsidRPr="008B7380">
        <w:rPr>
          <w:rFonts w:ascii="Times New Roman" w:hAnsi="Times New Roman" w:cs="Times New Roman"/>
          <w:sz w:val="24"/>
          <w:szCs w:val="24"/>
        </w:rPr>
        <w:t xml:space="preserve">The </w:t>
      </w:r>
      <w:r w:rsidR="002A74F0">
        <w:rPr>
          <w:rFonts w:ascii="Times New Roman" w:hAnsi="Times New Roman" w:cs="Times New Roman"/>
          <w:sz w:val="24"/>
          <w:szCs w:val="24"/>
        </w:rPr>
        <w:t xml:space="preserve">foregoing shows that the </w:t>
      </w:r>
      <w:r w:rsidRPr="008B7380">
        <w:rPr>
          <w:rFonts w:ascii="Times New Roman" w:hAnsi="Times New Roman" w:cs="Times New Roman"/>
          <w:sz w:val="24"/>
          <w:szCs w:val="24"/>
        </w:rPr>
        <w:t xml:space="preserve">applicant has </w:t>
      </w:r>
      <w:r w:rsidR="00050ACE">
        <w:rPr>
          <w:rFonts w:ascii="Times New Roman" w:hAnsi="Times New Roman" w:cs="Times New Roman"/>
          <w:sz w:val="24"/>
          <w:szCs w:val="24"/>
        </w:rPr>
        <w:t xml:space="preserve">no </w:t>
      </w:r>
      <w:r w:rsidRPr="008B7380">
        <w:rPr>
          <w:rFonts w:ascii="Times New Roman" w:hAnsi="Times New Roman" w:cs="Times New Roman"/>
          <w:sz w:val="24"/>
          <w:szCs w:val="24"/>
        </w:rPr>
        <w:t xml:space="preserve">legal basis to sue </w:t>
      </w:r>
      <w:r w:rsidR="002010F3">
        <w:rPr>
          <w:rFonts w:ascii="Times New Roman" w:hAnsi="Times New Roman" w:cs="Times New Roman"/>
          <w:sz w:val="24"/>
          <w:szCs w:val="24"/>
        </w:rPr>
        <w:t>the first respondent</w:t>
      </w:r>
      <w:r w:rsidRPr="008B7380">
        <w:rPr>
          <w:rFonts w:ascii="Times New Roman" w:hAnsi="Times New Roman" w:cs="Times New Roman"/>
          <w:sz w:val="24"/>
          <w:szCs w:val="24"/>
        </w:rPr>
        <w:t xml:space="preserve"> </w:t>
      </w:r>
      <w:r w:rsidR="002A74F0">
        <w:rPr>
          <w:rFonts w:ascii="Times New Roman" w:hAnsi="Times New Roman" w:cs="Times New Roman"/>
          <w:sz w:val="24"/>
          <w:szCs w:val="24"/>
        </w:rPr>
        <w:t>in</w:t>
      </w:r>
      <w:r w:rsidRPr="008B7380">
        <w:rPr>
          <w:rFonts w:ascii="Times New Roman" w:hAnsi="Times New Roman" w:cs="Times New Roman"/>
          <w:sz w:val="24"/>
          <w:szCs w:val="24"/>
        </w:rPr>
        <w:t xml:space="preserve"> contract. </w:t>
      </w:r>
      <w:r w:rsidR="00050ACE">
        <w:rPr>
          <w:rFonts w:ascii="Times New Roman" w:hAnsi="Times New Roman" w:cs="Times New Roman"/>
          <w:sz w:val="24"/>
          <w:szCs w:val="24"/>
        </w:rPr>
        <w:t xml:space="preserve">He </w:t>
      </w:r>
      <w:r w:rsidR="000B651D">
        <w:rPr>
          <w:rFonts w:ascii="Times New Roman" w:hAnsi="Times New Roman" w:cs="Times New Roman"/>
          <w:sz w:val="24"/>
          <w:szCs w:val="24"/>
        </w:rPr>
        <w:t xml:space="preserve">thus cannot have a </w:t>
      </w:r>
      <w:r w:rsidR="00050ACE" w:rsidRPr="008B7380">
        <w:rPr>
          <w:rFonts w:ascii="Times New Roman" w:hAnsi="Times New Roman" w:cs="Times New Roman"/>
          <w:sz w:val="24"/>
          <w:szCs w:val="24"/>
        </w:rPr>
        <w:t>cause of action</w:t>
      </w:r>
      <w:r w:rsidR="002A74F0">
        <w:rPr>
          <w:rFonts w:ascii="Times New Roman" w:hAnsi="Times New Roman" w:cs="Times New Roman"/>
          <w:sz w:val="24"/>
          <w:szCs w:val="24"/>
        </w:rPr>
        <w:t xml:space="preserve"> under the law of contract</w:t>
      </w:r>
      <w:r w:rsidR="00050ACE">
        <w:rPr>
          <w:rFonts w:ascii="Times New Roman" w:hAnsi="Times New Roman" w:cs="Times New Roman"/>
          <w:sz w:val="24"/>
          <w:szCs w:val="24"/>
        </w:rPr>
        <w:t xml:space="preserve">. </w:t>
      </w:r>
    </w:p>
    <w:p w14:paraId="083B27F6" w14:textId="147CED00" w:rsidR="000272D3" w:rsidRPr="00F750CC" w:rsidRDefault="00E66865" w:rsidP="00F750CC">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w:t>
      </w:r>
      <w:r w:rsidR="00050ACE">
        <w:rPr>
          <w:rFonts w:ascii="Times New Roman" w:hAnsi="Times New Roman" w:cs="Times New Roman"/>
          <w:sz w:val="24"/>
          <w:szCs w:val="24"/>
        </w:rPr>
        <w:t>second</w:t>
      </w:r>
      <w:r w:rsidR="004643E0">
        <w:rPr>
          <w:rFonts w:ascii="Times New Roman" w:hAnsi="Times New Roman" w:cs="Times New Roman"/>
          <w:sz w:val="24"/>
          <w:szCs w:val="24"/>
        </w:rPr>
        <w:t xml:space="preserve"> </w:t>
      </w:r>
      <w:r w:rsidR="00871D49">
        <w:rPr>
          <w:rFonts w:ascii="Times New Roman" w:hAnsi="Times New Roman" w:cs="Times New Roman"/>
          <w:sz w:val="24"/>
          <w:szCs w:val="24"/>
        </w:rPr>
        <w:t xml:space="preserve">cause of action that the </w:t>
      </w:r>
      <w:r w:rsidR="00404826">
        <w:rPr>
          <w:rFonts w:ascii="Times New Roman" w:hAnsi="Times New Roman" w:cs="Times New Roman"/>
          <w:sz w:val="24"/>
          <w:szCs w:val="24"/>
        </w:rPr>
        <w:t>applicant relies on</w:t>
      </w:r>
      <w:r w:rsidR="004643E0">
        <w:rPr>
          <w:rFonts w:ascii="Times New Roman" w:hAnsi="Times New Roman" w:cs="Times New Roman"/>
          <w:sz w:val="24"/>
          <w:szCs w:val="24"/>
        </w:rPr>
        <w:t xml:space="preserve"> is that the first respondent is not complying with the</w:t>
      </w:r>
      <w:r w:rsidR="004643E0" w:rsidRPr="004643E0">
        <w:rPr>
          <w:rFonts w:ascii="Times New Roman" w:hAnsi="Times New Roman" w:cs="Times New Roman"/>
          <w:b/>
          <w:bCs/>
          <w:sz w:val="24"/>
          <w:szCs w:val="24"/>
        </w:rPr>
        <w:t xml:space="preserve"> </w:t>
      </w:r>
      <w:r w:rsidR="004643E0" w:rsidRPr="004643E0">
        <w:rPr>
          <w:rFonts w:ascii="Times New Roman" w:hAnsi="Times New Roman" w:cs="Times New Roman"/>
          <w:sz w:val="24"/>
          <w:szCs w:val="24"/>
        </w:rPr>
        <w:t xml:space="preserve">provisions </w:t>
      </w:r>
      <w:bookmarkStart w:id="10" w:name="_Hlk66936025"/>
      <w:r w:rsidR="004643E0" w:rsidRPr="004643E0">
        <w:rPr>
          <w:rFonts w:ascii="Times New Roman" w:hAnsi="Times New Roman" w:cs="Times New Roman"/>
          <w:sz w:val="24"/>
          <w:szCs w:val="24"/>
        </w:rPr>
        <w:t xml:space="preserve">of the </w:t>
      </w:r>
      <w:bookmarkStart w:id="11" w:name="_Hlk67608288"/>
      <w:r w:rsidR="004643E0" w:rsidRPr="004643E0">
        <w:rPr>
          <w:rFonts w:ascii="Times New Roman" w:hAnsi="Times New Roman" w:cs="Times New Roman"/>
          <w:sz w:val="24"/>
          <w:szCs w:val="24"/>
        </w:rPr>
        <w:t>Money Laundering and Proceeds of Crime Act</w:t>
      </w:r>
      <w:bookmarkEnd w:id="10"/>
      <w:bookmarkEnd w:id="11"/>
      <w:r w:rsidR="004643E0">
        <w:rPr>
          <w:rFonts w:ascii="Times New Roman" w:hAnsi="Times New Roman" w:cs="Times New Roman"/>
          <w:sz w:val="24"/>
          <w:szCs w:val="24"/>
        </w:rPr>
        <w:t xml:space="preserve">. </w:t>
      </w:r>
      <w:r w:rsidR="00A10732">
        <w:rPr>
          <w:rFonts w:ascii="Times New Roman" w:hAnsi="Times New Roman" w:cs="Times New Roman"/>
          <w:sz w:val="24"/>
          <w:szCs w:val="24"/>
        </w:rPr>
        <w:t>F</w:t>
      </w:r>
      <w:r w:rsidR="004643E0">
        <w:rPr>
          <w:rFonts w:ascii="Times New Roman" w:hAnsi="Times New Roman" w:cs="Times New Roman"/>
          <w:sz w:val="24"/>
          <w:szCs w:val="24"/>
        </w:rPr>
        <w:t xml:space="preserve">rom </w:t>
      </w:r>
      <w:r w:rsidR="00404826">
        <w:rPr>
          <w:rFonts w:ascii="Times New Roman" w:hAnsi="Times New Roman" w:cs="Times New Roman"/>
          <w:sz w:val="24"/>
          <w:szCs w:val="24"/>
        </w:rPr>
        <w:t>his</w:t>
      </w:r>
      <w:r w:rsidR="004643E0">
        <w:rPr>
          <w:rFonts w:ascii="Times New Roman" w:hAnsi="Times New Roman" w:cs="Times New Roman"/>
          <w:sz w:val="24"/>
          <w:szCs w:val="24"/>
        </w:rPr>
        <w:t xml:space="preserve"> founding affidavit </w:t>
      </w:r>
      <w:r w:rsidR="00A10732">
        <w:rPr>
          <w:rFonts w:ascii="Times New Roman" w:hAnsi="Times New Roman" w:cs="Times New Roman"/>
          <w:sz w:val="24"/>
          <w:szCs w:val="24"/>
        </w:rPr>
        <w:t xml:space="preserve">it is clear that </w:t>
      </w:r>
      <w:r w:rsidR="004643E0">
        <w:rPr>
          <w:rFonts w:ascii="Times New Roman" w:hAnsi="Times New Roman" w:cs="Times New Roman"/>
          <w:sz w:val="24"/>
          <w:szCs w:val="24"/>
        </w:rPr>
        <w:t>this is the cause of action</w:t>
      </w:r>
      <w:r w:rsidR="00404826">
        <w:rPr>
          <w:rFonts w:ascii="Times New Roman" w:hAnsi="Times New Roman" w:cs="Times New Roman"/>
          <w:sz w:val="24"/>
          <w:szCs w:val="24"/>
        </w:rPr>
        <w:t xml:space="preserve"> that he pleaded and sought to establish hence the extensive quotation of the provisions of the</w:t>
      </w:r>
      <w:r w:rsidR="00404826" w:rsidRPr="00404826">
        <w:rPr>
          <w:rFonts w:ascii="Times New Roman" w:hAnsi="Times New Roman" w:cs="Times New Roman"/>
          <w:sz w:val="24"/>
          <w:szCs w:val="24"/>
        </w:rPr>
        <w:t xml:space="preserve"> </w:t>
      </w:r>
      <w:r w:rsidR="00404826" w:rsidRPr="004643E0">
        <w:rPr>
          <w:rFonts w:ascii="Times New Roman" w:hAnsi="Times New Roman" w:cs="Times New Roman"/>
          <w:sz w:val="24"/>
          <w:szCs w:val="24"/>
        </w:rPr>
        <w:t>Money Laundering and Proceeds of Crime Act</w:t>
      </w:r>
      <w:r w:rsidR="004643E0">
        <w:rPr>
          <w:rFonts w:ascii="Times New Roman" w:hAnsi="Times New Roman" w:cs="Times New Roman"/>
          <w:sz w:val="24"/>
          <w:szCs w:val="24"/>
        </w:rPr>
        <w:t>.</w:t>
      </w:r>
      <w:r w:rsidR="00FE10C4">
        <w:rPr>
          <w:rFonts w:ascii="Times New Roman" w:hAnsi="Times New Roman" w:cs="Times New Roman"/>
          <w:sz w:val="24"/>
          <w:szCs w:val="24"/>
        </w:rPr>
        <w:t xml:space="preserve"> However, as was correctly contended by the first respondent</w:t>
      </w:r>
      <w:r w:rsidR="00CB28BB">
        <w:rPr>
          <w:rFonts w:ascii="Times New Roman" w:hAnsi="Times New Roman" w:cs="Times New Roman"/>
          <w:sz w:val="24"/>
          <w:szCs w:val="24"/>
        </w:rPr>
        <w:t>,</w:t>
      </w:r>
      <w:r w:rsidR="00FE10C4">
        <w:rPr>
          <w:rFonts w:ascii="Times New Roman" w:hAnsi="Times New Roman" w:cs="Times New Roman"/>
          <w:sz w:val="24"/>
          <w:szCs w:val="24"/>
        </w:rPr>
        <w:t xml:space="preserve"> e</w:t>
      </w:r>
      <w:r w:rsidR="00C140EE" w:rsidRPr="00A10732">
        <w:rPr>
          <w:rFonts w:ascii="Times New Roman" w:hAnsi="Times New Roman" w:cs="Times New Roman"/>
          <w:sz w:val="24"/>
          <w:szCs w:val="24"/>
        </w:rPr>
        <w:t xml:space="preserve">ven if </w:t>
      </w:r>
      <w:r w:rsidR="00FE10C4">
        <w:rPr>
          <w:rFonts w:ascii="Times New Roman" w:hAnsi="Times New Roman" w:cs="Times New Roman"/>
          <w:sz w:val="24"/>
          <w:szCs w:val="24"/>
        </w:rPr>
        <w:t xml:space="preserve">it is true that </w:t>
      </w:r>
      <w:r w:rsidR="00C140EE" w:rsidRPr="00A10732">
        <w:rPr>
          <w:rFonts w:ascii="Times New Roman" w:hAnsi="Times New Roman" w:cs="Times New Roman"/>
          <w:sz w:val="24"/>
          <w:szCs w:val="24"/>
        </w:rPr>
        <w:t xml:space="preserve">the </w:t>
      </w:r>
      <w:bookmarkStart w:id="12" w:name="_Hlk66811273"/>
      <w:r w:rsidR="00C140EE" w:rsidRPr="00A10732">
        <w:rPr>
          <w:rFonts w:ascii="Times New Roman" w:hAnsi="Times New Roman" w:cs="Times New Roman"/>
          <w:sz w:val="24"/>
          <w:szCs w:val="24"/>
        </w:rPr>
        <w:t xml:space="preserve">first respondent is not complying with the provisions </w:t>
      </w:r>
      <w:r w:rsidR="00FE10C4" w:rsidRPr="004643E0">
        <w:rPr>
          <w:rFonts w:ascii="Times New Roman" w:hAnsi="Times New Roman" w:cs="Times New Roman"/>
          <w:sz w:val="24"/>
          <w:szCs w:val="24"/>
        </w:rPr>
        <w:t>of the Money Laundering and Proceeds of Crime Act</w:t>
      </w:r>
      <w:r w:rsidR="00C140EE" w:rsidRPr="00A10732">
        <w:rPr>
          <w:rFonts w:ascii="Times New Roman" w:hAnsi="Times New Roman" w:cs="Times New Roman"/>
          <w:sz w:val="24"/>
          <w:szCs w:val="24"/>
        </w:rPr>
        <w:t xml:space="preserve">, </w:t>
      </w:r>
      <w:bookmarkEnd w:id="12"/>
      <w:r w:rsidR="00FE10C4">
        <w:rPr>
          <w:rFonts w:ascii="Times New Roman" w:hAnsi="Times New Roman" w:cs="Times New Roman"/>
          <w:sz w:val="24"/>
          <w:szCs w:val="24"/>
        </w:rPr>
        <w:t>the failure to comply b</w:t>
      </w:r>
      <w:r w:rsidR="00CB28BB">
        <w:rPr>
          <w:rFonts w:ascii="Times New Roman" w:hAnsi="Times New Roman" w:cs="Times New Roman"/>
          <w:sz w:val="24"/>
          <w:szCs w:val="24"/>
        </w:rPr>
        <w:t>y</w:t>
      </w:r>
      <w:r w:rsidR="00FE10C4">
        <w:rPr>
          <w:rFonts w:ascii="Times New Roman" w:hAnsi="Times New Roman" w:cs="Times New Roman"/>
          <w:sz w:val="24"/>
          <w:szCs w:val="24"/>
        </w:rPr>
        <w:t xml:space="preserve"> the first respondent </w:t>
      </w:r>
      <w:r w:rsidR="00C140EE" w:rsidRPr="00A10732">
        <w:rPr>
          <w:rFonts w:ascii="Times New Roman" w:hAnsi="Times New Roman" w:cs="Times New Roman"/>
          <w:sz w:val="24"/>
          <w:szCs w:val="24"/>
        </w:rPr>
        <w:t xml:space="preserve">does not provide </w:t>
      </w:r>
      <w:r w:rsidR="00CB28BB">
        <w:rPr>
          <w:rFonts w:ascii="Times New Roman" w:hAnsi="Times New Roman" w:cs="Times New Roman"/>
          <w:sz w:val="24"/>
          <w:szCs w:val="24"/>
        </w:rPr>
        <w:t>the applicant</w:t>
      </w:r>
      <w:r w:rsidR="00C140EE" w:rsidRPr="00A10732">
        <w:rPr>
          <w:rFonts w:ascii="Times New Roman" w:hAnsi="Times New Roman" w:cs="Times New Roman"/>
          <w:sz w:val="24"/>
          <w:szCs w:val="24"/>
        </w:rPr>
        <w:t xml:space="preserve"> with a cause of action</w:t>
      </w:r>
      <w:r w:rsidR="00D70E58">
        <w:rPr>
          <w:rFonts w:ascii="Times New Roman" w:hAnsi="Times New Roman" w:cs="Times New Roman"/>
          <w:sz w:val="24"/>
          <w:szCs w:val="24"/>
        </w:rPr>
        <w:t xml:space="preserve"> </w:t>
      </w:r>
      <w:r w:rsidR="001C54B9">
        <w:rPr>
          <w:rFonts w:ascii="Times New Roman" w:hAnsi="Times New Roman" w:cs="Times New Roman"/>
          <w:sz w:val="24"/>
          <w:szCs w:val="24"/>
        </w:rPr>
        <w:t xml:space="preserve">to sue </w:t>
      </w:r>
      <w:r w:rsidR="00D70E58">
        <w:rPr>
          <w:rFonts w:ascii="Times New Roman" w:hAnsi="Times New Roman" w:cs="Times New Roman"/>
          <w:sz w:val="24"/>
          <w:szCs w:val="24"/>
        </w:rPr>
        <w:t>for the reliefs that he is seeking</w:t>
      </w:r>
      <w:r w:rsidR="00C140EE" w:rsidRPr="00A10732">
        <w:rPr>
          <w:rFonts w:ascii="Times New Roman" w:hAnsi="Times New Roman" w:cs="Times New Roman"/>
          <w:sz w:val="24"/>
          <w:szCs w:val="24"/>
        </w:rPr>
        <w:t xml:space="preserve">. It is not for him </w:t>
      </w:r>
      <w:r w:rsidR="00FE10C4">
        <w:rPr>
          <w:rFonts w:ascii="Times New Roman" w:hAnsi="Times New Roman" w:cs="Times New Roman"/>
          <w:sz w:val="24"/>
          <w:szCs w:val="24"/>
        </w:rPr>
        <w:t xml:space="preserve">as an individual </w:t>
      </w:r>
      <w:r w:rsidR="00C140EE" w:rsidRPr="00A10732">
        <w:rPr>
          <w:rFonts w:ascii="Times New Roman" w:hAnsi="Times New Roman" w:cs="Times New Roman"/>
          <w:sz w:val="24"/>
          <w:szCs w:val="24"/>
        </w:rPr>
        <w:t>to enforce compliance</w:t>
      </w:r>
      <w:r w:rsidR="00FE10C4">
        <w:rPr>
          <w:rFonts w:ascii="Times New Roman" w:hAnsi="Times New Roman" w:cs="Times New Roman"/>
          <w:sz w:val="24"/>
          <w:szCs w:val="24"/>
        </w:rPr>
        <w:t xml:space="preserve"> </w:t>
      </w:r>
      <w:r w:rsidR="00CB28BB">
        <w:rPr>
          <w:rFonts w:ascii="Times New Roman" w:hAnsi="Times New Roman" w:cs="Times New Roman"/>
          <w:sz w:val="24"/>
          <w:szCs w:val="24"/>
        </w:rPr>
        <w:t>with</w:t>
      </w:r>
      <w:r w:rsidR="00FE10C4">
        <w:rPr>
          <w:rFonts w:ascii="Times New Roman" w:hAnsi="Times New Roman" w:cs="Times New Roman"/>
          <w:sz w:val="24"/>
          <w:szCs w:val="24"/>
        </w:rPr>
        <w:t xml:space="preserve"> the Act by the first respondent</w:t>
      </w:r>
      <w:r w:rsidR="00CB28BB">
        <w:rPr>
          <w:rFonts w:ascii="Times New Roman" w:hAnsi="Times New Roman" w:cs="Times New Roman"/>
          <w:sz w:val="24"/>
          <w:szCs w:val="24"/>
        </w:rPr>
        <w:t xml:space="preserve"> even if he has suffered prejudice as a result of the non-compliance</w:t>
      </w:r>
      <w:r w:rsidR="00C140EE" w:rsidRPr="00A10732">
        <w:rPr>
          <w:rFonts w:ascii="Times New Roman" w:hAnsi="Times New Roman" w:cs="Times New Roman"/>
          <w:sz w:val="24"/>
          <w:szCs w:val="24"/>
        </w:rPr>
        <w:t xml:space="preserve">. In terms of s 3 </w:t>
      </w:r>
      <w:bookmarkStart w:id="13" w:name="_Hlk66818078"/>
      <w:r w:rsidR="00C140EE" w:rsidRPr="00A10732">
        <w:rPr>
          <w:rFonts w:ascii="Times New Roman" w:hAnsi="Times New Roman" w:cs="Times New Roman"/>
          <w:sz w:val="24"/>
          <w:szCs w:val="24"/>
        </w:rPr>
        <w:t xml:space="preserve">of </w:t>
      </w:r>
      <w:bookmarkStart w:id="14" w:name="_Hlk66947687"/>
      <w:r w:rsidR="00C140EE" w:rsidRPr="00A10732">
        <w:rPr>
          <w:rFonts w:ascii="Times New Roman" w:hAnsi="Times New Roman" w:cs="Times New Roman"/>
          <w:sz w:val="24"/>
          <w:szCs w:val="24"/>
        </w:rPr>
        <w:t>the Money Laundering and Proceeds of Crime Act</w:t>
      </w:r>
      <w:bookmarkEnd w:id="13"/>
      <w:bookmarkEnd w:id="14"/>
      <w:r w:rsidR="00C140EE" w:rsidRPr="00A10732">
        <w:rPr>
          <w:rFonts w:ascii="Times New Roman" w:hAnsi="Times New Roman" w:cs="Times New Roman"/>
          <w:sz w:val="24"/>
          <w:szCs w:val="24"/>
        </w:rPr>
        <w:t xml:space="preserve">, </w:t>
      </w:r>
      <w:r w:rsidR="00DD2F8D">
        <w:rPr>
          <w:rFonts w:ascii="Times New Roman" w:hAnsi="Times New Roman" w:cs="Times New Roman"/>
          <w:sz w:val="24"/>
          <w:szCs w:val="24"/>
        </w:rPr>
        <w:t xml:space="preserve">it is </w:t>
      </w:r>
      <w:r w:rsidR="00C140EE" w:rsidRPr="00A10732">
        <w:rPr>
          <w:rFonts w:ascii="Times New Roman" w:hAnsi="Times New Roman" w:cs="Times New Roman"/>
          <w:sz w:val="24"/>
          <w:szCs w:val="24"/>
        </w:rPr>
        <w:t xml:space="preserve">the Financial Intelligence Unit </w:t>
      </w:r>
      <w:r w:rsidR="00DD2F8D">
        <w:rPr>
          <w:rFonts w:ascii="Times New Roman" w:hAnsi="Times New Roman" w:cs="Times New Roman"/>
          <w:sz w:val="24"/>
          <w:szCs w:val="24"/>
        </w:rPr>
        <w:t xml:space="preserve">that </w:t>
      </w:r>
      <w:r w:rsidR="00C140EE" w:rsidRPr="00A10732">
        <w:rPr>
          <w:rFonts w:ascii="Times New Roman" w:hAnsi="Times New Roman" w:cs="Times New Roman"/>
          <w:sz w:val="24"/>
          <w:szCs w:val="24"/>
        </w:rPr>
        <w:t>be</w:t>
      </w:r>
      <w:r w:rsidR="00F750CC">
        <w:rPr>
          <w:rFonts w:ascii="Times New Roman" w:hAnsi="Times New Roman" w:cs="Times New Roman"/>
          <w:sz w:val="24"/>
          <w:szCs w:val="24"/>
        </w:rPr>
        <w:t>a</w:t>
      </w:r>
      <w:r w:rsidR="00C140EE" w:rsidRPr="00A10732">
        <w:rPr>
          <w:rFonts w:ascii="Times New Roman" w:hAnsi="Times New Roman" w:cs="Times New Roman"/>
          <w:sz w:val="24"/>
          <w:szCs w:val="24"/>
        </w:rPr>
        <w:t xml:space="preserve">rs the primary and general responsibility </w:t>
      </w:r>
      <w:r w:rsidR="00DD2F8D">
        <w:rPr>
          <w:rFonts w:ascii="Times New Roman" w:hAnsi="Times New Roman" w:cs="Times New Roman"/>
          <w:sz w:val="24"/>
          <w:szCs w:val="24"/>
        </w:rPr>
        <w:t>of</w:t>
      </w:r>
      <w:r w:rsidR="00C140EE" w:rsidRPr="00A10732">
        <w:rPr>
          <w:rFonts w:ascii="Times New Roman" w:hAnsi="Times New Roman" w:cs="Times New Roman"/>
          <w:sz w:val="24"/>
          <w:szCs w:val="24"/>
        </w:rPr>
        <w:t xml:space="preserve"> ensuring compliance with the Act</w:t>
      </w:r>
      <w:r w:rsidR="00F750CC">
        <w:rPr>
          <w:rFonts w:ascii="Times New Roman" w:hAnsi="Times New Roman" w:cs="Times New Roman"/>
          <w:sz w:val="24"/>
          <w:szCs w:val="24"/>
        </w:rPr>
        <w:t xml:space="preserve"> by financial institutions</w:t>
      </w:r>
      <w:r w:rsidR="00C140EE" w:rsidRPr="00A10732">
        <w:rPr>
          <w:rFonts w:ascii="Times New Roman" w:hAnsi="Times New Roman" w:cs="Times New Roman"/>
          <w:sz w:val="24"/>
          <w:szCs w:val="24"/>
        </w:rPr>
        <w:t xml:space="preserve">. </w:t>
      </w:r>
      <w:r w:rsidR="00C55F41">
        <w:rPr>
          <w:rFonts w:ascii="Times New Roman" w:hAnsi="Times New Roman" w:cs="Times New Roman"/>
          <w:sz w:val="24"/>
          <w:szCs w:val="24"/>
        </w:rPr>
        <w:t>The provision reads,</w:t>
      </w:r>
    </w:p>
    <w:p w14:paraId="78CBB038" w14:textId="0553C711" w:rsidR="000272D3" w:rsidRPr="001C54B9" w:rsidRDefault="00843FD4" w:rsidP="00843FD4">
      <w:pPr>
        <w:autoSpaceDE w:val="0"/>
        <w:autoSpaceDN w:val="0"/>
        <w:adjustRightInd w:val="0"/>
        <w:spacing w:after="0" w:line="240" w:lineRule="auto"/>
        <w:ind w:firstLine="720"/>
        <w:rPr>
          <w:rFonts w:ascii="Times New Roman" w:hAnsi="Times New Roman" w:cs="Times New Roman"/>
          <w:b/>
          <w:bCs/>
        </w:rPr>
      </w:pPr>
      <w:r>
        <w:rPr>
          <w:rFonts w:ascii="Times New Roman" w:hAnsi="Times New Roman" w:cs="Times New Roman"/>
          <w:sz w:val="20"/>
          <w:szCs w:val="20"/>
        </w:rPr>
        <w:t>“</w:t>
      </w:r>
      <w:r w:rsidR="00C55F41" w:rsidRPr="001C54B9">
        <w:rPr>
          <w:rFonts w:ascii="Times New Roman" w:hAnsi="Times New Roman" w:cs="Times New Roman"/>
        </w:rPr>
        <w:t>3</w:t>
      </w:r>
      <w:r w:rsidRPr="001C54B9">
        <w:rPr>
          <w:rFonts w:ascii="Times New Roman" w:hAnsi="Times New Roman" w:cs="Times New Roman"/>
        </w:rPr>
        <w:t xml:space="preserve"> U</w:t>
      </w:r>
      <w:r w:rsidR="000272D3" w:rsidRPr="001C54B9">
        <w:rPr>
          <w:rFonts w:ascii="Times New Roman" w:hAnsi="Times New Roman" w:cs="Times New Roman"/>
          <w:b/>
          <w:bCs/>
        </w:rPr>
        <w:t>nit and competent supervisory authorities to cooperate in securing compliance</w:t>
      </w:r>
    </w:p>
    <w:p w14:paraId="39344363" w14:textId="77777777" w:rsidR="000272D3" w:rsidRPr="001C54B9" w:rsidRDefault="000272D3" w:rsidP="00843FD4">
      <w:pPr>
        <w:autoSpaceDE w:val="0"/>
        <w:autoSpaceDN w:val="0"/>
        <w:adjustRightInd w:val="0"/>
        <w:spacing w:after="0" w:line="240" w:lineRule="auto"/>
        <w:ind w:firstLine="720"/>
        <w:rPr>
          <w:rFonts w:ascii="Arial" w:hAnsi="Arial" w:cs="Arial"/>
          <w:b/>
          <w:bCs/>
        </w:rPr>
      </w:pPr>
      <w:r w:rsidRPr="001C54B9">
        <w:rPr>
          <w:rFonts w:ascii="Times New Roman" w:hAnsi="Times New Roman" w:cs="Times New Roman"/>
          <w:b/>
          <w:bCs/>
        </w:rPr>
        <w:t>with this Act</w:t>
      </w:r>
    </w:p>
    <w:p w14:paraId="250A0E4C" w14:textId="77777777" w:rsidR="000272D3" w:rsidRPr="001C54B9" w:rsidRDefault="000272D3" w:rsidP="00843FD4">
      <w:pPr>
        <w:autoSpaceDE w:val="0"/>
        <w:autoSpaceDN w:val="0"/>
        <w:adjustRightInd w:val="0"/>
        <w:spacing w:after="0" w:line="240" w:lineRule="auto"/>
        <w:ind w:firstLine="720"/>
        <w:rPr>
          <w:rFonts w:ascii="Times New Roman" w:hAnsi="Times New Roman" w:cs="Times New Roman"/>
        </w:rPr>
      </w:pPr>
      <w:r w:rsidRPr="001C54B9">
        <w:rPr>
          <w:rFonts w:ascii="Times New Roman" w:hAnsi="Times New Roman" w:cs="Times New Roman"/>
        </w:rPr>
        <w:t>(1) ….</w:t>
      </w:r>
    </w:p>
    <w:p w14:paraId="0DD35194" w14:textId="77777777" w:rsidR="000272D3" w:rsidRPr="001C54B9" w:rsidRDefault="000272D3" w:rsidP="00843FD4">
      <w:pPr>
        <w:autoSpaceDE w:val="0"/>
        <w:autoSpaceDN w:val="0"/>
        <w:adjustRightInd w:val="0"/>
        <w:spacing w:after="0" w:line="240" w:lineRule="auto"/>
        <w:ind w:firstLine="720"/>
        <w:rPr>
          <w:rFonts w:ascii="Times New Roman" w:hAnsi="Times New Roman" w:cs="Times New Roman"/>
        </w:rPr>
      </w:pPr>
      <w:r w:rsidRPr="001C54B9">
        <w:rPr>
          <w:rFonts w:ascii="Times New Roman" w:hAnsi="Times New Roman" w:cs="Times New Roman"/>
        </w:rPr>
        <w:t>[Subsection repealed by Act 12 of 2018]</w:t>
      </w:r>
    </w:p>
    <w:p w14:paraId="7249A1E6" w14:textId="2D134521" w:rsidR="000272D3" w:rsidRPr="001C54B9" w:rsidRDefault="000272D3" w:rsidP="00843FD4">
      <w:pPr>
        <w:autoSpaceDE w:val="0"/>
        <w:autoSpaceDN w:val="0"/>
        <w:adjustRightInd w:val="0"/>
        <w:spacing w:after="0" w:line="240" w:lineRule="auto"/>
        <w:ind w:left="720"/>
        <w:rPr>
          <w:rFonts w:ascii="Times New Roman" w:hAnsi="Times New Roman" w:cs="Times New Roman"/>
        </w:rPr>
      </w:pPr>
      <w:r w:rsidRPr="001C54B9">
        <w:rPr>
          <w:rFonts w:ascii="Times New Roman" w:hAnsi="Times New Roman" w:cs="Times New Roman"/>
        </w:rPr>
        <w:t>(2) The Unit, acting with the cooperation of the competent supervisory authorities, bears the primary</w:t>
      </w:r>
      <w:r w:rsidR="00843FD4" w:rsidRPr="001C54B9">
        <w:rPr>
          <w:rFonts w:ascii="Times New Roman" w:hAnsi="Times New Roman" w:cs="Times New Roman"/>
        </w:rPr>
        <w:t xml:space="preserve"> </w:t>
      </w:r>
      <w:r w:rsidRPr="001C54B9">
        <w:rPr>
          <w:rFonts w:ascii="Times New Roman" w:hAnsi="Times New Roman" w:cs="Times New Roman"/>
        </w:rPr>
        <w:t>and general responsibility for ensuring compliance with this Act.</w:t>
      </w:r>
    </w:p>
    <w:p w14:paraId="0AA73FA5" w14:textId="2B2AEF05" w:rsidR="00843FD4" w:rsidRDefault="000272D3" w:rsidP="001C54B9">
      <w:pPr>
        <w:autoSpaceDE w:val="0"/>
        <w:autoSpaceDN w:val="0"/>
        <w:adjustRightInd w:val="0"/>
        <w:spacing w:after="0" w:line="240" w:lineRule="auto"/>
        <w:ind w:left="720"/>
        <w:rPr>
          <w:rFonts w:ascii="Times New Roman" w:hAnsi="Times New Roman" w:cs="Times New Roman"/>
        </w:rPr>
      </w:pPr>
      <w:r w:rsidRPr="001C54B9">
        <w:rPr>
          <w:rFonts w:ascii="Times New Roman" w:hAnsi="Times New Roman" w:cs="Times New Roman"/>
        </w:rPr>
        <w:t>(3) Competent supervisory authorities shall, under the guidance of the Unit, supervise compliance</w:t>
      </w:r>
      <w:r w:rsidR="00843FD4" w:rsidRPr="001C54B9">
        <w:rPr>
          <w:rFonts w:ascii="Times New Roman" w:hAnsi="Times New Roman" w:cs="Times New Roman"/>
        </w:rPr>
        <w:t xml:space="preserve"> </w:t>
      </w:r>
      <w:r w:rsidRPr="001C54B9">
        <w:rPr>
          <w:rFonts w:ascii="Times New Roman" w:hAnsi="Times New Roman" w:cs="Times New Roman"/>
        </w:rPr>
        <w:t>with the applicable requirements of this Act by the financial institutions and designated non-financial</w:t>
      </w:r>
      <w:r w:rsidR="00843FD4" w:rsidRPr="001C54B9">
        <w:rPr>
          <w:rFonts w:ascii="Times New Roman" w:hAnsi="Times New Roman" w:cs="Times New Roman"/>
        </w:rPr>
        <w:t xml:space="preserve"> </w:t>
      </w:r>
      <w:r w:rsidRPr="001C54B9">
        <w:rPr>
          <w:rFonts w:ascii="Times New Roman" w:hAnsi="Times New Roman" w:cs="Times New Roman"/>
        </w:rPr>
        <w:t>businesses or professions for which they are responsible.</w:t>
      </w:r>
      <w:r w:rsidR="00843FD4" w:rsidRPr="001C54B9">
        <w:rPr>
          <w:rFonts w:ascii="Times New Roman" w:hAnsi="Times New Roman" w:cs="Times New Roman"/>
        </w:rPr>
        <w:t>”</w:t>
      </w:r>
      <w:r w:rsidRPr="001C54B9">
        <w:rPr>
          <w:rFonts w:ascii="Times New Roman" w:hAnsi="Times New Roman" w:cs="Times New Roman"/>
        </w:rPr>
        <w:t xml:space="preserve"> </w:t>
      </w:r>
    </w:p>
    <w:p w14:paraId="2920665D" w14:textId="77777777" w:rsidR="001C54B9" w:rsidRPr="001C54B9" w:rsidRDefault="001C54B9" w:rsidP="001C54B9">
      <w:pPr>
        <w:autoSpaceDE w:val="0"/>
        <w:autoSpaceDN w:val="0"/>
        <w:adjustRightInd w:val="0"/>
        <w:spacing w:after="0" w:line="240" w:lineRule="auto"/>
        <w:ind w:left="720"/>
        <w:rPr>
          <w:rFonts w:ascii="Times New Roman" w:hAnsi="Times New Roman" w:cs="Times New Roman"/>
        </w:rPr>
      </w:pPr>
    </w:p>
    <w:p w14:paraId="5C9B624F" w14:textId="20B9CC1F" w:rsidR="00843FD4" w:rsidRPr="00A10732" w:rsidRDefault="001371ED" w:rsidP="00843F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unit that is being referred to in </w:t>
      </w:r>
      <w:r w:rsidR="00147543">
        <w:rPr>
          <w:rFonts w:ascii="Times New Roman" w:hAnsi="Times New Roman" w:cs="Times New Roman"/>
          <w:sz w:val="24"/>
          <w:szCs w:val="24"/>
        </w:rPr>
        <w:t>s 3 (</w:t>
      </w:r>
      <w:r>
        <w:rPr>
          <w:rFonts w:ascii="Times New Roman" w:hAnsi="Times New Roman" w:cs="Times New Roman"/>
          <w:sz w:val="24"/>
          <w:szCs w:val="24"/>
        </w:rPr>
        <w:t>2</w:t>
      </w:r>
      <w:r w:rsidR="00147543">
        <w:rPr>
          <w:rFonts w:ascii="Times New Roman" w:hAnsi="Times New Roman" w:cs="Times New Roman"/>
          <w:sz w:val="24"/>
          <w:szCs w:val="24"/>
        </w:rPr>
        <w:t>)</w:t>
      </w:r>
      <w:r>
        <w:rPr>
          <w:rFonts w:ascii="Times New Roman" w:hAnsi="Times New Roman" w:cs="Times New Roman"/>
          <w:sz w:val="24"/>
          <w:szCs w:val="24"/>
        </w:rPr>
        <w:t xml:space="preserve"> is defined in section 2 of the Act as the Financial Intelligence Unit</w:t>
      </w:r>
      <w:r w:rsidR="004C329B">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147543">
        <w:rPr>
          <w:rFonts w:ascii="Times New Roman" w:hAnsi="Times New Roman" w:cs="Times New Roman"/>
          <w:sz w:val="24"/>
          <w:szCs w:val="24"/>
        </w:rPr>
        <w:t>S</w:t>
      </w:r>
      <w:r w:rsidR="001C54B9">
        <w:rPr>
          <w:rFonts w:ascii="Times New Roman" w:hAnsi="Times New Roman" w:cs="Times New Roman"/>
          <w:sz w:val="24"/>
          <w:szCs w:val="24"/>
        </w:rPr>
        <w:t>ection</w:t>
      </w:r>
      <w:r w:rsidR="00147543">
        <w:rPr>
          <w:rFonts w:ascii="Times New Roman" w:hAnsi="Times New Roman" w:cs="Times New Roman"/>
          <w:sz w:val="24"/>
          <w:szCs w:val="24"/>
        </w:rPr>
        <w:t xml:space="preserve"> 6A of the Act states that this unit is an administrative establishment of the </w:t>
      </w:r>
      <w:bookmarkStart w:id="15" w:name="_Hlk66947543"/>
      <w:r w:rsidR="00147543">
        <w:rPr>
          <w:rFonts w:ascii="Times New Roman" w:hAnsi="Times New Roman" w:cs="Times New Roman"/>
          <w:sz w:val="24"/>
          <w:szCs w:val="24"/>
        </w:rPr>
        <w:t>Reserve Bank of Zimbabwe</w:t>
      </w:r>
      <w:bookmarkEnd w:id="15"/>
      <w:r w:rsidR="00147543">
        <w:rPr>
          <w:rFonts w:ascii="Times New Roman" w:hAnsi="Times New Roman" w:cs="Times New Roman"/>
          <w:sz w:val="24"/>
          <w:szCs w:val="24"/>
        </w:rPr>
        <w:t xml:space="preserve">. </w:t>
      </w:r>
      <w:r w:rsidR="009F7015">
        <w:rPr>
          <w:rFonts w:ascii="Times New Roman" w:hAnsi="Times New Roman" w:cs="Times New Roman"/>
          <w:sz w:val="24"/>
          <w:szCs w:val="24"/>
        </w:rPr>
        <w:t>In other words, t</w:t>
      </w:r>
      <w:r w:rsidR="00C140EE" w:rsidRPr="00A10732">
        <w:rPr>
          <w:rFonts w:ascii="Times New Roman" w:hAnsi="Times New Roman" w:cs="Times New Roman"/>
          <w:sz w:val="24"/>
          <w:szCs w:val="24"/>
        </w:rPr>
        <w:t xml:space="preserve">herefore, </w:t>
      </w:r>
      <w:r w:rsidR="009F7015">
        <w:rPr>
          <w:rFonts w:ascii="Times New Roman" w:hAnsi="Times New Roman" w:cs="Times New Roman"/>
          <w:sz w:val="24"/>
          <w:szCs w:val="24"/>
        </w:rPr>
        <w:t>it is the</w:t>
      </w:r>
      <w:r w:rsidR="009F7015" w:rsidRPr="009F7015">
        <w:rPr>
          <w:rFonts w:ascii="Times New Roman" w:hAnsi="Times New Roman" w:cs="Times New Roman"/>
          <w:sz w:val="24"/>
          <w:szCs w:val="24"/>
        </w:rPr>
        <w:t xml:space="preserve"> </w:t>
      </w:r>
      <w:bookmarkStart w:id="16" w:name="_Hlk66947862"/>
      <w:r w:rsidR="009F7015">
        <w:rPr>
          <w:rFonts w:ascii="Times New Roman" w:hAnsi="Times New Roman" w:cs="Times New Roman"/>
          <w:sz w:val="24"/>
          <w:szCs w:val="24"/>
        </w:rPr>
        <w:t xml:space="preserve">Reserve </w:t>
      </w:r>
      <w:r w:rsidR="009F7015">
        <w:rPr>
          <w:rFonts w:ascii="Times New Roman" w:hAnsi="Times New Roman" w:cs="Times New Roman"/>
          <w:sz w:val="24"/>
          <w:szCs w:val="24"/>
        </w:rPr>
        <w:lastRenderedPageBreak/>
        <w:t>Bank of Zimbabwe</w:t>
      </w:r>
      <w:r w:rsidR="00404826">
        <w:rPr>
          <w:rFonts w:ascii="Times New Roman" w:hAnsi="Times New Roman" w:cs="Times New Roman"/>
          <w:sz w:val="24"/>
          <w:szCs w:val="24"/>
        </w:rPr>
        <w:t>, the second respondent</w:t>
      </w:r>
      <w:r w:rsidR="009F7015">
        <w:rPr>
          <w:rFonts w:ascii="Times New Roman" w:hAnsi="Times New Roman" w:cs="Times New Roman"/>
          <w:sz w:val="24"/>
          <w:szCs w:val="24"/>
        </w:rPr>
        <w:t xml:space="preserve"> </w:t>
      </w:r>
      <w:bookmarkEnd w:id="16"/>
      <w:r w:rsidR="009F7015">
        <w:rPr>
          <w:rFonts w:ascii="Times New Roman" w:hAnsi="Times New Roman" w:cs="Times New Roman"/>
          <w:sz w:val="24"/>
          <w:szCs w:val="24"/>
        </w:rPr>
        <w:t>which has the role of ensuring that financial institutions comply with the provisions of the</w:t>
      </w:r>
      <w:r w:rsidR="009F7015" w:rsidRPr="009F7015">
        <w:rPr>
          <w:rFonts w:ascii="Times New Roman" w:hAnsi="Times New Roman" w:cs="Times New Roman"/>
          <w:sz w:val="24"/>
          <w:szCs w:val="24"/>
        </w:rPr>
        <w:t xml:space="preserve"> </w:t>
      </w:r>
      <w:r w:rsidR="009F7015" w:rsidRPr="00A10732">
        <w:rPr>
          <w:rFonts w:ascii="Times New Roman" w:hAnsi="Times New Roman" w:cs="Times New Roman"/>
          <w:sz w:val="24"/>
          <w:szCs w:val="24"/>
        </w:rPr>
        <w:t>Money Laundering and Proceeds of Crime Act</w:t>
      </w:r>
      <w:r w:rsidR="00E31CAA">
        <w:rPr>
          <w:rFonts w:ascii="Times New Roman" w:hAnsi="Times New Roman" w:cs="Times New Roman"/>
          <w:sz w:val="24"/>
          <w:szCs w:val="24"/>
        </w:rPr>
        <w:t>.</w:t>
      </w:r>
      <w:r w:rsidR="009F7015">
        <w:rPr>
          <w:rFonts w:ascii="Times New Roman" w:hAnsi="Times New Roman" w:cs="Times New Roman"/>
          <w:sz w:val="24"/>
          <w:szCs w:val="24"/>
        </w:rPr>
        <w:t xml:space="preserve">  </w:t>
      </w:r>
      <w:r w:rsidR="00E31CAA">
        <w:rPr>
          <w:rFonts w:ascii="Times New Roman" w:hAnsi="Times New Roman" w:cs="Times New Roman"/>
          <w:sz w:val="24"/>
          <w:szCs w:val="24"/>
        </w:rPr>
        <w:t xml:space="preserve">An individual cannot therefore assume the role of the Reserve Bank of Zimbabwe even if they have suffered prejudice as a result of non-compliance with statutory provisions by a financial institution. </w:t>
      </w:r>
      <w:r w:rsidR="00404826">
        <w:rPr>
          <w:rFonts w:ascii="Times New Roman" w:hAnsi="Times New Roman" w:cs="Times New Roman"/>
          <w:sz w:val="24"/>
          <w:szCs w:val="24"/>
        </w:rPr>
        <w:t xml:space="preserve">The first respondent averred that the best that the applicant ought to have done was to report it </w:t>
      </w:r>
      <w:r w:rsidR="00DB3C37">
        <w:rPr>
          <w:rFonts w:ascii="Times New Roman" w:hAnsi="Times New Roman" w:cs="Times New Roman"/>
          <w:sz w:val="24"/>
          <w:szCs w:val="24"/>
        </w:rPr>
        <w:t xml:space="preserve">to </w:t>
      </w:r>
      <w:r w:rsidR="00855B79">
        <w:rPr>
          <w:rFonts w:ascii="Times New Roman" w:hAnsi="Times New Roman" w:cs="Times New Roman"/>
          <w:sz w:val="24"/>
          <w:szCs w:val="24"/>
        </w:rPr>
        <w:t xml:space="preserve">the </w:t>
      </w:r>
      <w:r w:rsidR="00DB3C37">
        <w:rPr>
          <w:rFonts w:ascii="Times New Roman" w:hAnsi="Times New Roman" w:cs="Times New Roman"/>
          <w:sz w:val="24"/>
          <w:szCs w:val="24"/>
        </w:rPr>
        <w:t xml:space="preserve">Financial </w:t>
      </w:r>
      <w:r w:rsidR="001C54B9">
        <w:rPr>
          <w:rFonts w:ascii="Times New Roman" w:hAnsi="Times New Roman" w:cs="Times New Roman"/>
          <w:sz w:val="24"/>
          <w:szCs w:val="24"/>
        </w:rPr>
        <w:t>Intelligence</w:t>
      </w:r>
      <w:r w:rsidR="00DB3C37">
        <w:rPr>
          <w:rFonts w:ascii="Times New Roman" w:hAnsi="Times New Roman" w:cs="Times New Roman"/>
          <w:sz w:val="24"/>
          <w:szCs w:val="24"/>
        </w:rPr>
        <w:t xml:space="preserve"> Unit of the second respondent for enforcement of compliance. I am in agreement. </w:t>
      </w:r>
      <w:r w:rsidR="00843FD4" w:rsidRPr="00A10732">
        <w:rPr>
          <w:rFonts w:ascii="Times New Roman" w:hAnsi="Times New Roman" w:cs="Times New Roman"/>
          <w:sz w:val="24"/>
          <w:szCs w:val="24"/>
        </w:rPr>
        <w:t xml:space="preserve">In </w:t>
      </w:r>
      <w:r w:rsidR="00843FD4" w:rsidRPr="00A10732">
        <w:rPr>
          <w:rFonts w:ascii="Times New Roman" w:hAnsi="Times New Roman" w:cs="Times New Roman"/>
          <w:i/>
          <w:sz w:val="24"/>
          <w:szCs w:val="24"/>
        </w:rPr>
        <w:t>Local Authorities Pension Fund</w:t>
      </w:r>
      <w:r w:rsidR="00843FD4" w:rsidRPr="00A10732">
        <w:rPr>
          <w:rFonts w:ascii="Times New Roman" w:hAnsi="Times New Roman" w:cs="Times New Roman"/>
          <w:sz w:val="24"/>
          <w:szCs w:val="24"/>
        </w:rPr>
        <w:t xml:space="preserve"> v </w:t>
      </w:r>
      <w:r w:rsidR="00843FD4" w:rsidRPr="00A10732">
        <w:rPr>
          <w:rFonts w:ascii="Times New Roman" w:hAnsi="Times New Roman" w:cs="Times New Roman"/>
          <w:i/>
          <w:sz w:val="24"/>
          <w:szCs w:val="24"/>
        </w:rPr>
        <w:t>Munyaradzi Nyakwawa and Ors</w:t>
      </w:r>
      <w:r w:rsidR="00843FD4" w:rsidRPr="00A10732">
        <w:rPr>
          <w:rFonts w:ascii="Times New Roman" w:hAnsi="Times New Roman" w:cs="Times New Roman"/>
          <w:sz w:val="24"/>
          <w:szCs w:val="24"/>
        </w:rPr>
        <w:t xml:space="preserve"> </w:t>
      </w:r>
      <w:r w:rsidR="001C54B9">
        <w:rPr>
          <w:rFonts w:ascii="Times New Roman" w:hAnsi="Times New Roman" w:cs="Times New Roman"/>
          <w:sz w:val="24"/>
          <w:szCs w:val="24"/>
        </w:rPr>
        <w:t>2015 (1) ZLR 103 (H)</w:t>
      </w:r>
      <w:r w:rsidR="00843FD4" w:rsidRPr="00A10732">
        <w:rPr>
          <w:rFonts w:ascii="Times New Roman" w:hAnsi="Times New Roman" w:cs="Times New Roman"/>
          <w:sz w:val="24"/>
          <w:szCs w:val="24"/>
        </w:rPr>
        <w:t xml:space="preserve"> </w:t>
      </w:r>
      <w:r w:rsidR="00843FD4" w:rsidRPr="00A10732">
        <w:rPr>
          <w:rFonts w:ascii="Times New Roman" w:hAnsi="Times New Roman" w:cs="Times New Roman"/>
          <w:smallCaps/>
          <w:sz w:val="24"/>
          <w:szCs w:val="24"/>
        </w:rPr>
        <w:t>Mafusire</w:t>
      </w:r>
      <w:r w:rsidR="00843FD4" w:rsidRPr="00A10732">
        <w:rPr>
          <w:rFonts w:ascii="Times New Roman" w:hAnsi="Times New Roman" w:cs="Times New Roman"/>
          <w:sz w:val="24"/>
          <w:szCs w:val="24"/>
        </w:rPr>
        <w:t xml:space="preserve"> J at </w:t>
      </w:r>
      <w:r w:rsidR="00D22721">
        <w:rPr>
          <w:rFonts w:ascii="Times New Roman" w:hAnsi="Times New Roman" w:cs="Times New Roman"/>
          <w:sz w:val="24"/>
          <w:szCs w:val="24"/>
        </w:rPr>
        <w:t>113 D-F</w:t>
      </w:r>
      <w:r w:rsidR="00843FD4" w:rsidRPr="00A10732">
        <w:rPr>
          <w:rFonts w:ascii="Times New Roman" w:hAnsi="Times New Roman" w:cs="Times New Roman"/>
          <w:sz w:val="24"/>
          <w:szCs w:val="24"/>
        </w:rPr>
        <w:t xml:space="preserve"> held that;</w:t>
      </w:r>
    </w:p>
    <w:p w14:paraId="501766A3" w14:textId="77777777" w:rsidR="00843FD4" w:rsidRPr="00A10732" w:rsidRDefault="00843FD4" w:rsidP="00843FD4">
      <w:pPr>
        <w:spacing w:after="0" w:line="240" w:lineRule="auto"/>
        <w:jc w:val="both"/>
        <w:rPr>
          <w:rFonts w:ascii="Times New Roman" w:hAnsi="Times New Roman" w:cs="Times New Roman"/>
        </w:rPr>
      </w:pPr>
    </w:p>
    <w:p w14:paraId="70206BBC" w14:textId="213113DA" w:rsidR="00C140EE" w:rsidRDefault="00843FD4" w:rsidP="001C54B9">
      <w:pPr>
        <w:spacing w:after="0" w:line="240" w:lineRule="auto"/>
        <w:ind w:left="720"/>
        <w:jc w:val="both"/>
        <w:rPr>
          <w:rFonts w:ascii="Times New Roman" w:hAnsi="Times New Roman" w:cs="Times New Roman"/>
        </w:rPr>
      </w:pPr>
      <w:r w:rsidRPr="00A10732">
        <w:rPr>
          <w:rFonts w:ascii="Times New Roman" w:hAnsi="Times New Roman" w:cs="Times New Roman"/>
        </w:rPr>
        <w:t xml:space="preserve">“The above confusion serves to emphasise the importance of elegance and precision in pleadings. The statutory provisions being relied upon for any cause of action have to be identified. But be that as it may, even if it was the pension fund’s intention to rely on the Bank Use Promotion Act, or the Money Laundering and Proceeds of Crime Act, in my view, it still comes short. </w:t>
      </w:r>
      <w:r w:rsidRPr="0048765A">
        <w:rPr>
          <w:rFonts w:ascii="Times New Roman" w:hAnsi="Times New Roman" w:cs="Times New Roman"/>
          <w:u w:val="single"/>
        </w:rPr>
        <w:t xml:space="preserve">Even if it was meant to plead that the bank breached some of the provisions of those Acts and would therefore be liable to suffer criminal sanction, that breach would still not transform into civil liability to the pension fund. In my view, as with negligence in the air, this would be “criminality in the air” in relation to the pension fund. The causal link would be absent. </w:t>
      </w:r>
      <w:r w:rsidRPr="00843FD4">
        <w:rPr>
          <w:rFonts w:ascii="Times New Roman" w:hAnsi="Times New Roman" w:cs="Times New Roman"/>
        </w:rPr>
        <w:t>(my underlinin</w:t>
      </w:r>
      <w:r w:rsidR="001C54B9">
        <w:rPr>
          <w:rFonts w:ascii="Times New Roman" w:hAnsi="Times New Roman" w:cs="Times New Roman"/>
        </w:rPr>
        <w:t>g)</w:t>
      </w:r>
    </w:p>
    <w:p w14:paraId="72D348AA" w14:textId="3A3C20F1" w:rsidR="001C54B9" w:rsidRDefault="001C54B9" w:rsidP="001C54B9">
      <w:pPr>
        <w:spacing w:after="0" w:line="240" w:lineRule="auto"/>
        <w:ind w:left="720"/>
        <w:jc w:val="both"/>
        <w:rPr>
          <w:rFonts w:ascii="Times New Roman" w:hAnsi="Times New Roman" w:cs="Times New Roman"/>
        </w:rPr>
      </w:pPr>
    </w:p>
    <w:p w14:paraId="2FC89A03" w14:textId="126277A9" w:rsidR="001C54B9" w:rsidRPr="001C54B9" w:rsidRDefault="001C54B9" w:rsidP="001C54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the applicant does not have a </w:t>
      </w:r>
      <w:r w:rsidR="00523837">
        <w:rPr>
          <w:rFonts w:ascii="Times New Roman" w:hAnsi="Times New Roman" w:cs="Times New Roman"/>
          <w:sz w:val="24"/>
          <w:szCs w:val="24"/>
        </w:rPr>
        <w:t>cause</w:t>
      </w:r>
      <w:r>
        <w:rPr>
          <w:rFonts w:ascii="Times New Roman" w:hAnsi="Times New Roman" w:cs="Times New Roman"/>
          <w:sz w:val="24"/>
          <w:szCs w:val="24"/>
        </w:rPr>
        <w:t xml:space="preserve"> of action</w:t>
      </w:r>
      <w:r w:rsidR="00D22721">
        <w:rPr>
          <w:rFonts w:ascii="Times New Roman" w:hAnsi="Times New Roman" w:cs="Times New Roman"/>
          <w:sz w:val="24"/>
          <w:szCs w:val="24"/>
        </w:rPr>
        <w:t xml:space="preserve"> in terms of the Money Laund</w:t>
      </w:r>
      <w:r w:rsidR="00A2209E">
        <w:rPr>
          <w:rFonts w:ascii="Times New Roman" w:hAnsi="Times New Roman" w:cs="Times New Roman"/>
          <w:sz w:val="24"/>
          <w:szCs w:val="24"/>
        </w:rPr>
        <w:t>ering and Proceeds of Crime Act</w:t>
      </w:r>
      <w:r>
        <w:rPr>
          <w:rFonts w:ascii="Times New Roman" w:hAnsi="Times New Roman" w:cs="Times New Roman"/>
          <w:sz w:val="24"/>
          <w:szCs w:val="24"/>
        </w:rPr>
        <w:t xml:space="preserve"> to sue for the reliefs that he is seeking </w:t>
      </w:r>
    </w:p>
    <w:p w14:paraId="64D8C830" w14:textId="119FCBC9" w:rsidR="00524CCB" w:rsidRDefault="0069347B" w:rsidP="00652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the present matter, it cannot </w:t>
      </w:r>
      <w:r w:rsidR="00271D33">
        <w:rPr>
          <w:rFonts w:ascii="Times New Roman" w:hAnsi="Times New Roman" w:cs="Times New Roman"/>
          <w:sz w:val="24"/>
          <w:szCs w:val="24"/>
        </w:rPr>
        <w:t xml:space="preserve">however </w:t>
      </w:r>
      <w:r>
        <w:rPr>
          <w:rFonts w:ascii="Times New Roman" w:hAnsi="Times New Roman" w:cs="Times New Roman"/>
          <w:sz w:val="24"/>
          <w:szCs w:val="24"/>
        </w:rPr>
        <w:t>be disputed that the applicant suffered harm as a result of a bank account that was opened with the first respondent, by an imposter, in his name. From the averments that the applicant ma</w:t>
      </w:r>
      <w:r w:rsidR="009761D2">
        <w:rPr>
          <w:rFonts w:ascii="Times New Roman" w:hAnsi="Times New Roman" w:cs="Times New Roman"/>
          <w:sz w:val="24"/>
          <w:szCs w:val="24"/>
        </w:rPr>
        <w:t>de</w:t>
      </w:r>
      <w:r>
        <w:rPr>
          <w:rFonts w:ascii="Times New Roman" w:hAnsi="Times New Roman" w:cs="Times New Roman"/>
          <w:sz w:val="24"/>
          <w:szCs w:val="24"/>
        </w:rPr>
        <w:t xml:space="preserve"> in </w:t>
      </w:r>
      <w:r w:rsidR="009761D2">
        <w:rPr>
          <w:rFonts w:ascii="Times New Roman" w:hAnsi="Times New Roman" w:cs="Times New Roman"/>
          <w:sz w:val="24"/>
          <w:szCs w:val="24"/>
        </w:rPr>
        <w:t>his</w:t>
      </w:r>
      <w:r>
        <w:rPr>
          <w:rFonts w:ascii="Times New Roman" w:hAnsi="Times New Roman" w:cs="Times New Roman"/>
          <w:sz w:val="24"/>
          <w:szCs w:val="24"/>
        </w:rPr>
        <w:t xml:space="preserve"> founding affidavit, the first respondent created a system that is open to abuse. The system of opening accounts on the digital banking platforms is </w:t>
      </w:r>
      <w:r w:rsidR="000D6C52">
        <w:rPr>
          <w:rFonts w:ascii="Times New Roman" w:hAnsi="Times New Roman" w:cs="Times New Roman"/>
          <w:sz w:val="24"/>
          <w:szCs w:val="24"/>
        </w:rPr>
        <w:t>inadequate</w:t>
      </w:r>
      <w:r>
        <w:rPr>
          <w:rFonts w:ascii="Times New Roman" w:hAnsi="Times New Roman" w:cs="Times New Roman"/>
          <w:sz w:val="24"/>
          <w:szCs w:val="24"/>
        </w:rPr>
        <w:t xml:space="preserve"> as it allow</w:t>
      </w:r>
      <w:r w:rsidR="00EA6DDC">
        <w:rPr>
          <w:rFonts w:ascii="Times New Roman" w:hAnsi="Times New Roman" w:cs="Times New Roman"/>
          <w:sz w:val="24"/>
          <w:szCs w:val="24"/>
        </w:rPr>
        <w:t>ed</w:t>
      </w:r>
      <w:r>
        <w:rPr>
          <w:rFonts w:ascii="Times New Roman" w:hAnsi="Times New Roman" w:cs="Times New Roman"/>
          <w:sz w:val="24"/>
          <w:szCs w:val="24"/>
        </w:rPr>
        <w:t xml:space="preserve"> for </w:t>
      </w:r>
      <w:r w:rsidR="00EA6DDC">
        <w:rPr>
          <w:rFonts w:ascii="Times New Roman" w:hAnsi="Times New Roman" w:cs="Times New Roman"/>
          <w:sz w:val="24"/>
          <w:szCs w:val="24"/>
        </w:rPr>
        <w:t xml:space="preserve">an </w:t>
      </w:r>
      <w:r>
        <w:rPr>
          <w:rFonts w:ascii="Times New Roman" w:hAnsi="Times New Roman" w:cs="Times New Roman"/>
          <w:sz w:val="24"/>
          <w:szCs w:val="24"/>
        </w:rPr>
        <w:t xml:space="preserve">imposter to fraudulently open </w:t>
      </w:r>
      <w:r w:rsidR="00EA6DDC">
        <w:rPr>
          <w:rFonts w:ascii="Times New Roman" w:hAnsi="Times New Roman" w:cs="Times New Roman"/>
          <w:sz w:val="24"/>
          <w:szCs w:val="24"/>
        </w:rPr>
        <w:t>an account</w:t>
      </w:r>
      <w:r>
        <w:rPr>
          <w:rFonts w:ascii="Times New Roman" w:hAnsi="Times New Roman" w:cs="Times New Roman"/>
          <w:sz w:val="24"/>
          <w:szCs w:val="24"/>
        </w:rPr>
        <w:t xml:space="preserve"> in </w:t>
      </w:r>
      <w:r w:rsidR="00D22721">
        <w:rPr>
          <w:rFonts w:ascii="Times New Roman" w:hAnsi="Times New Roman" w:cs="Times New Roman"/>
          <w:sz w:val="24"/>
          <w:szCs w:val="24"/>
        </w:rPr>
        <w:t>applicant’s</w:t>
      </w:r>
      <w:r>
        <w:rPr>
          <w:rFonts w:ascii="Times New Roman" w:hAnsi="Times New Roman" w:cs="Times New Roman"/>
          <w:sz w:val="24"/>
          <w:szCs w:val="24"/>
        </w:rPr>
        <w:t xml:space="preserve"> name</w:t>
      </w:r>
      <w:r w:rsidR="009761D2">
        <w:rPr>
          <w:rFonts w:ascii="Times New Roman" w:hAnsi="Times New Roman" w:cs="Times New Roman"/>
          <w:sz w:val="24"/>
          <w:szCs w:val="24"/>
        </w:rPr>
        <w:t xml:space="preserve"> without his </w:t>
      </w:r>
      <w:r w:rsidR="004900AA">
        <w:rPr>
          <w:rFonts w:ascii="Times New Roman" w:hAnsi="Times New Roman" w:cs="Times New Roman"/>
          <w:sz w:val="24"/>
          <w:szCs w:val="24"/>
        </w:rPr>
        <w:t>knowledge</w:t>
      </w:r>
      <w:r w:rsidR="00D22721">
        <w:rPr>
          <w:rFonts w:ascii="Times New Roman" w:hAnsi="Times New Roman" w:cs="Times New Roman"/>
          <w:sz w:val="24"/>
          <w:szCs w:val="24"/>
        </w:rPr>
        <w:t xml:space="preserve"> and authority</w:t>
      </w:r>
      <w:r>
        <w:rPr>
          <w:rFonts w:ascii="Times New Roman" w:hAnsi="Times New Roman" w:cs="Times New Roman"/>
          <w:sz w:val="24"/>
          <w:szCs w:val="24"/>
        </w:rPr>
        <w:t xml:space="preserve">. </w:t>
      </w:r>
      <w:r w:rsidR="005E1AEB">
        <w:rPr>
          <w:rFonts w:ascii="Times New Roman" w:hAnsi="Times New Roman" w:cs="Times New Roman"/>
          <w:sz w:val="24"/>
          <w:szCs w:val="24"/>
        </w:rPr>
        <w:t xml:space="preserve">When the account was opened one Samantha Ndaba was duped into depositing money into that account. She </w:t>
      </w:r>
      <w:r w:rsidR="000D6C52">
        <w:rPr>
          <w:rFonts w:ascii="Times New Roman" w:hAnsi="Times New Roman" w:cs="Times New Roman"/>
          <w:sz w:val="24"/>
          <w:szCs w:val="24"/>
        </w:rPr>
        <w:t>made demands</w:t>
      </w:r>
      <w:r w:rsidR="00D22721">
        <w:rPr>
          <w:rFonts w:ascii="Times New Roman" w:hAnsi="Times New Roman" w:cs="Times New Roman"/>
          <w:sz w:val="24"/>
          <w:szCs w:val="24"/>
        </w:rPr>
        <w:t>,</w:t>
      </w:r>
      <w:r w:rsidR="000D6C52">
        <w:rPr>
          <w:rFonts w:ascii="Times New Roman" w:hAnsi="Times New Roman" w:cs="Times New Roman"/>
          <w:sz w:val="24"/>
          <w:szCs w:val="24"/>
        </w:rPr>
        <w:t xml:space="preserve"> </w:t>
      </w:r>
      <w:r w:rsidR="00D22721">
        <w:rPr>
          <w:rFonts w:ascii="Times New Roman" w:hAnsi="Times New Roman" w:cs="Times New Roman"/>
          <w:sz w:val="24"/>
          <w:szCs w:val="24"/>
        </w:rPr>
        <w:t xml:space="preserve">on </w:t>
      </w:r>
      <w:r w:rsidR="000D6C52">
        <w:rPr>
          <w:rFonts w:ascii="Times New Roman" w:hAnsi="Times New Roman" w:cs="Times New Roman"/>
          <w:sz w:val="24"/>
          <w:szCs w:val="24"/>
        </w:rPr>
        <w:t>applicant</w:t>
      </w:r>
      <w:r w:rsidR="00D22721">
        <w:rPr>
          <w:rFonts w:ascii="Times New Roman" w:hAnsi="Times New Roman" w:cs="Times New Roman"/>
          <w:sz w:val="24"/>
          <w:szCs w:val="24"/>
        </w:rPr>
        <w:t>’s</w:t>
      </w:r>
      <w:r w:rsidR="000D6C52">
        <w:rPr>
          <w:rFonts w:ascii="Times New Roman" w:hAnsi="Times New Roman" w:cs="Times New Roman"/>
          <w:sz w:val="24"/>
          <w:szCs w:val="24"/>
        </w:rPr>
        <w:t xml:space="preserve"> </w:t>
      </w:r>
      <w:r w:rsidR="00C70262">
        <w:rPr>
          <w:rFonts w:ascii="Times New Roman" w:hAnsi="Times New Roman" w:cs="Times New Roman"/>
          <w:sz w:val="24"/>
          <w:szCs w:val="24"/>
        </w:rPr>
        <w:t>Facebook page, that he refunds her.</w:t>
      </w:r>
      <w:r w:rsidR="000D6C52">
        <w:rPr>
          <w:rFonts w:ascii="Times New Roman" w:hAnsi="Times New Roman" w:cs="Times New Roman"/>
          <w:sz w:val="24"/>
          <w:szCs w:val="24"/>
        </w:rPr>
        <w:t xml:space="preserve"> Reports were made against him to the Law Society of Zimbabwe. </w:t>
      </w:r>
      <w:r w:rsidR="00273FBE">
        <w:rPr>
          <w:rFonts w:ascii="Times New Roman" w:hAnsi="Times New Roman" w:cs="Times New Roman"/>
          <w:sz w:val="24"/>
          <w:szCs w:val="24"/>
        </w:rPr>
        <w:t>Obviously</w:t>
      </w:r>
      <w:r w:rsidR="0006609D">
        <w:rPr>
          <w:rFonts w:ascii="Times New Roman" w:hAnsi="Times New Roman" w:cs="Times New Roman"/>
          <w:sz w:val="24"/>
          <w:szCs w:val="24"/>
        </w:rPr>
        <w:t>,</w:t>
      </w:r>
      <w:r w:rsidR="00273FBE">
        <w:rPr>
          <w:rFonts w:ascii="Times New Roman" w:hAnsi="Times New Roman" w:cs="Times New Roman"/>
          <w:sz w:val="24"/>
          <w:szCs w:val="24"/>
        </w:rPr>
        <w:t xml:space="preserve"> </w:t>
      </w:r>
      <w:r w:rsidR="009761D2">
        <w:rPr>
          <w:rFonts w:ascii="Times New Roman" w:hAnsi="Times New Roman" w:cs="Times New Roman"/>
          <w:sz w:val="24"/>
          <w:szCs w:val="24"/>
        </w:rPr>
        <w:t xml:space="preserve">all this injured </w:t>
      </w:r>
      <w:r w:rsidR="00273FBE">
        <w:rPr>
          <w:rFonts w:ascii="Times New Roman" w:hAnsi="Times New Roman" w:cs="Times New Roman"/>
          <w:sz w:val="24"/>
          <w:szCs w:val="24"/>
        </w:rPr>
        <w:t>the applicant</w:t>
      </w:r>
      <w:r w:rsidR="0006609D">
        <w:rPr>
          <w:rFonts w:ascii="Times New Roman" w:hAnsi="Times New Roman" w:cs="Times New Roman"/>
          <w:sz w:val="24"/>
          <w:szCs w:val="24"/>
        </w:rPr>
        <w:t xml:space="preserve">. </w:t>
      </w:r>
      <w:r w:rsidR="00DD25CE">
        <w:rPr>
          <w:rFonts w:ascii="Times New Roman" w:hAnsi="Times New Roman" w:cs="Times New Roman"/>
          <w:sz w:val="24"/>
          <w:szCs w:val="24"/>
        </w:rPr>
        <w:t xml:space="preserve">However, the first respondent closed that account as soon as the applicant brought the issue to its attention. </w:t>
      </w:r>
      <w:r w:rsidR="00E70C5C">
        <w:rPr>
          <w:rFonts w:ascii="Times New Roman" w:hAnsi="Times New Roman" w:cs="Times New Roman"/>
          <w:sz w:val="24"/>
          <w:szCs w:val="24"/>
        </w:rPr>
        <w:t>With that account having been closed, the applicant had no reason to approach th</w:t>
      </w:r>
      <w:r w:rsidR="009761D2">
        <w:rPr>
          <w:rFonts w:ascii="Times New Roman" w:hAnsi="Times New Roman" w:cs="Times New Roman"/>
          <w:sz w:val="24"/>
          <w:szCs w:val="24"/>
        </w:rPr>
        <w:t>is</w:t>
      </w:r>
      <w:r w:rsidR="00E70C5C">
        <w:rPr>
          <w:rFonts w:ascii="Times New Roman" w:hAnsi="Times New Roman" w:cs="Times New Roman"/>
          <w:sz w:val="24"/>
          <w:szCs w:val="24"/>
        </w:rPr>
        <w:t xml:space="preserve"> court for an interdict</w:t>
      </w:r>
      <w:r w:rsidR="00E70C5C" w:rsidRPr="00E70C5C">
        <w:rPr>
          <w:rFonts w:ascii="Times New Roman" w:hAnsi="Times New Roman" w:cs="Times New Roman"/>
          <w:sz w:val="24"/>
          <w:szCs w:val="24"/>
        </w:rPr>
        <w:t xml:space="preserve"> </w:t>
      </w:r>
      <w:r w:rsidR="00E70C5C">
        <w:rPr>
          <w:rFonts w:ascii="Times New Roman" w:hAnsi="Times New Roman" w:cs="Times New Roman"/>
          <w:sz w:val="24"/>
          <w:szCs w:val="24"/>
        </w:rPr>
        <w:t xml:space="preserve">unless </w:t>
      </w:r>
      <w:r w:rsidR="00E70C5C" w:rsidRPr="008B7380">
        <w:rPr>
          <w:rFonts w:ascii="Times New Roman" w:hAnsi="Times New Roman" w:cs="Times New Roman"/>
          <w:sz w:val="24"/>
          <w:szCs w:val="24"/>
        </w:rPr>
        <w:t xml:space="preserve">there </w:t>
      </w:r>
      <w:r w:rsidR="00E70C5C">
        <w:rPr>
          <w:rFonts w:ascii="Times New Roman" w:hAnsi="Times New Roman" w:cs="Times New Roman"/>
          <w:sz w:val="24"/>
          <w:szCs w:val="24"/>
        </w:rPr>
        <w:t>wa</w:t>
      </w:r>
      <w:r w:rsidR="00E70C5C" w:rsidRPr="008B7380">
        <w:rPr>
          <w:rFonts w:ascii="Times New Roman" w:hAnsi="Times New Roman" w:cs="Times New Roman"/>
          <w:sz w:val="24"/>
          <w:szCs w:val="24"/>
        </w:rPr>
        <w:t xml:space="preserve">s a reasonable apprehension that </w:t>
      </w:r>
      <w:r w:rsidR="00E70C5C">
        <w:rPr>
          <w:rFonts w:ascii="Times New Roman" w:hAnsi="Times New Roman" w:cs="Times New Roman"/>
          <w:sz w:val="24"/>
          <w:szCs w:val="24"/>
        </w:rPr>
        <w:t>the opening of another fictitious account in his name would</w:t>
      </w:r>
      <w:r w:rsidR="00E70C5C" w:rsidRPr="008B7380">
        <w:rPr>
          <w:rFonts w:ascii="Times New Roman" w:hAnsi="Times New Roman" w:cs="Times New Roman"/>
          <w:sz w:val="24"/>
          <w:szCs w:val="24"/>
        </w:rPr>
        <w:t xml:space="preserve"> be repeated</w:t>
      </w:r>
      <w:r w:rsidR="00E70C5C">
        <w:rPr>
          <w:rFonts w:ascii="Times New Roman" w:hAnsi="Times New Roman" w:cs="Times New Roman"/>
          <w:sz w:val="24"/>
          <w:szCs w:val="24"/>
        </w:rPr>
        <w:t xml:space="preserve">. </w:t>
      </w:r>
      <w:r w:rsidR="00524CCB" w:rsidRPr="008B7380">
        <w:rPr>
          <w:rFonts w:ascii="Times New Roman" w:hAnsi="Times New Roman" w:cs="Times New Roman"/>
          <w:sz w:val="24"/>
          <w:szCs w:val="24"/>
        </w:rPr>
        <w:t>An interdict is appropriate only when future injury is feared</w:t>
      </w:r>
      <w:r w:rsidR="00524CCB">
        <w:rPr>
          <w:rStyle w:val="FootnoteReference"/>
          <w:rFonts w:ascii="Times New Roman" w:hAnsi="Times New Roman" w:cs="Times New Roman"/>
          <w:sz w:val="24"/>
          <w:szCs w:val="24"/>
        </w:rPr>
        <w:footnoteReference w:id="7"/>
      </w:r>
      <w:r w:rsidR="00524CCB" w:rsidRPr="008B7380">
        <w:rPr>
          <w:rFonts w:ascii="Times New Roman" w:hAnsi="Times New Roman" w:cs="Times New Roman"/>
          <w:sz w:val="24"/>
          <w:szCs w:val="24"/>
        </w:rPr>
        <w:t>.</w:t>
      </w:r>
      <w:r w:rsidR="001E23B6" w:rsidRPr="001E23B6">
        <w:rPr>
          <w:rFonts w:ascii="Times New Roman" w:hAnsi="Times New Roman" w:cs="Times New Roman"/>
          <w:sz w:val="24"/>
          <w:szCs w:val="24"/>
        </w:rPr>
        <w:t xml:space="preserve"> </w:t>
      </w:r>
      <w:r w:rsidR="001E23B6" w:rsidRPr="008B7380">
        <w:rPr>
          <w:rFonts w:ascii="Times New Roman" w:hAnsi="Times New Roman" w:cs="Times New Roman"/>
          <w:sz w:val="24"/>
          <w:szCs w:val="24"/>
        </w:rPr>
        <w:t xml:space="preserve">The applicant must </w:t>
      </w:r>
      <w:r w:rsidR="00B35B80">
        <w:rPr>
          <w:rFonts w:ascii="Times New Roman" w:hAnsi="Times New Roman" w:cs="Times New Roman"/>
          <w:sz w:val="24"/>
          <w:szCs w:val="24"/>
        </w:rPr>
        <w:t xml:space="preserve">therefore </w:t>
      </w:r>
      <w:r w:rsidR="001E23B6" w:rsidRPr="008B7380">
        <w:rPr>
          <w:rFonts w:ascii="Times New Roman" w:hAnsi="Times New Roman" w:cs="Times New Roman"/>
          <w:sz w:val="24"/>
          <w:szCs w:val="24"/>
        </w:rPr>
        <w:t xml:space="preserve">establish on a balance of probabilities that </w:t>
      </w:r>
      <w:r w:rsidR="001E23B6" w:rsidRPr="008B7380">
        <w:rPr>
          <w:rFonts w:ascii="Times New Roman" w:hAnsi="Times New Roman" w:cs="Times New Roman"/>
          <w:sz w:val="24"/>
          <w:szCs w:val="24"/>
        </w:rPr>
        <w:lastRenderedPageBreak/>
        <w:t xml:space="preserve">there are grounds for a reasonable apprehension that </w:t>
      </w:r>
      <w:r w:rsidR="004B5FF9">
        <w:rPr>
          <w:rFonts w:ascii="Times New Roman" w:hAnsi="Times New Roman" w:cs="Times New Roman"/>
          <w:sz w:val="24"/>
          <w:szCs w:val="24"/>
        </w:rPr>
        <w:t xml:space="preserve">the injury that occurred to him or her will be repeated </w:t>
      </w:r>
      <w:r w:rsidR="00706467">
        <w:rPr>
          <w:rFonts w:ascii="Times New Roman" w:hAnsi="Times New Roman" w:cs="Times New Roman"/>
          <w:sz w:val="24"/>
          <w:szCs w:val="24"/>
        </w:rPr>
        <w:t xml:space="preserve">in future </w:t>
      </w:r>
      <w:r w:rsidR="004B5FF9">
        <w:rPr>
          <w:rFonts w:ascii="Times New Roman" w:hAnsi="Times New Roman" w:cs="Times New Roman"/>
          <w:sz w:val="24"/>
          <w:szCs w:val="24"/>
        </w:rPr>
        <w:t>and that his rights</w:t>
      </w:r>
      <w:r w:rsidR="001E23B6" w:rsidRPr="008B7380">
        <w:rPr>
          <w:rFonts w:ascii="Times New Roman" w:hAnsi="Times New Roman" w:cs="Times New Roman"/>
          <w:sz w:val="24"/>
          <w:szCs w:val="24"/>
        </w:rPr>
        <w:t xml:space="preserve"> will be detrimentall</w:t>
      </w:r>
      <w:r w:rsidR="001E23B6">
        <w:rPr>
          <w:rFonts w:ascii="Times New Roman" w:hAnsi="Times New Roman" w:cs="Times New Roman"/>
          <w:sz w:val="24"/>
          <w:szCs w:val="24"/>
        </w:rPr>
        <w:t>y affected</w:t>
      </w:r>
      <w:r w:rsidR="001E23B6">
        <w:rPr>
          <w:rStyle w:val="FootnoteReference"/>
          <w:rFonts w:ascii="Times New Roman" w:hAnsi="Times New Roman" w:cs="Times New Roman"/>
          <w:sz w:val="24"/>
          <w:szCs w:val="24"/>
        </w:rPr>
        <w:footnoteReference w:id="8"/>
      </w:r>
      <w:r w:rsidR="001E23B6">
        <w:rPr>
          <w:rFonts w:ascii="Times New Roman" w:hAnsi="Times New Roman" w:cs="Times New Roman"/>
          <w:sz w:val="24"/>
          <w:szCs w:val="24"/>
        </w:rPr>
        <w:t>.</w:t>
      </w:r>
      <w:r w:rsidR="004B5FF9">
        <w:rPr>
          <w:rFonts w:ascii="Times New Roman" w:hAnsi="Times New Roman" w:cs="Times New Roman"/>
          <w:sz w:val="24"/>
          <w:szCs w:val="24"/>
        </w:rPr>
        <w:t xml:space="preserve"> </w:t>
      </w:r>
      <w:r w:rsidR="00B35B80">
        <w:rPr>
          <w:rFonts w:ascii="Times New Roman" w:hAnsi="Times New Roman" w:cs="Times New Roman"/>
          <w:sz w:val="24"/>
          <w:szCs w:val="24"/>
        </w:rPr>
        <w:t>T</w:t>
      </w:r>
      <w:r w:rsidR="008B2C89">
        <w:rPr>
          <w:rFonts w:ascii="Times New Roman" w:hAnsi="Times New Roman" w:cs="Times New Roman"/>
          <w:sz w:val="24"/>
          <w:szCs w:val="24"/>
        </w:rPr>
        <w:t xml:space="preserve">he applicant </w:t>
      </w:r>
      <w:r w:rsidR="00B35B80">
        <w:rPr>
          <w:rFonts w:ascii="Times New Roman" w:hAnsi="Times New Roman" w:cs="Times New Roman"/>
          <w:sz w:val="24"/>
          <w:szCs w:val="24"/>
        </w:rPr>
        <w:t xml:space="preserve">will also </w:t>
      </w:r>
      <w:r w:rsidR="008B2C89">
        <w:rPr>
          <w:rFonts w:ascii="Times New Roman" w:hAnsi="Times New Roman" w:cs="Times New Roman"/>
          <w:sz w:val="24"/>
          <w:szCs w:val="24"/>
        </w:rPr>
        <w:t>need to show that the harm or injury will be caused by the respondent or alternatively that the prevention of the harm is within the respondent’s power</w:t>
      </w:r>
      <w:r w:rsidR="008B2C89">
        <w:rPr>
          <w:rStyle w:val="FootnoteReference"/>
          <w:rFonts w:ascii="Times New Roman" w:hAnsi="Times New Roman" w:cs="Times New Roman"/>
          <w:sz w:val="24"/>
          <w:szCs w:val="24"/>
        </w:rPr>
        <w:footnoteReference w:id="9"/>
      </w:r>
      <w:r w:rsidR="008B2C89">
        <w:rPr>
          <w:rFonts w:ascii="Times New Roman" w:hAnsi="Times New Roman" w:cs="Times New Roman"/>
          <w:sz w:val="24"/>
          <w:szCs w:val="24"/>
        </w:rPr>
        <w:t xml:space="preserve">. </w:t>
      </w:r>
      <w:r w:rsidR="00B35B80">
        <w:rPr>
          <w:rFonts w:ascii="Times New Roman" w:hAnsi="Times New Roman" w:cs="Times New Roman"/>
          <w:sz w:val="24"/>
          <w:szCs w:val="24"/>
        </w:rPr>
        <w:t xml:space="preserve">If he can prove his case, the court can grant him an interdict to restrain the threatened conduct. </w:t>
      </w:r>
      <w:r w:rsidR="008E1273">
        <w:rPr>
          <w:rFonts w:ascii="Times New Roman" w:hAnsi="Times New Roman" w:cs="Times New Roman"/>
          <w:sz w:val="24"/>
          <w:szCs w:val="24"/>
        </w:rPr>
        <w:t>In the circumstances of this case, I do not see why the applicant would not be entitled to sue the first respondent in delict for such an interdict if he can establish on a balance of probabilities that there are grounds for a reasonable apprehension that another fictitious account will be opened in his name. Whilst it is the first respondent’s contention that it is not the one that open</w:t>
      </w:r>
      <w:r w:rsidR="004B7B96">
        <w:rPr>
          <w:rFonts w:ascii="Times New Roman" w:hAnsi="Times New Roman" w:cs="Times New Roman"/>
          <w:sz w:val="24"/>
          <w:szCs w:val="24"/>
        </w:rPr>
        <w:t>ed</w:t>
      </w:r>
      <w:r w:rsidR="008E1273">
        <w:rPr>
          <w:rFonts w:ascii="Times New Roman" w:hAnsi="Times New Roman" w:cs="Times New Roman"/>
          <w:sz w:val="24"/>
          <w:szCs w:val="24"/>
        </w:rPr>
        <w:t xml:space="preserve"> </w:t>
      </w:r>
      <w:r w:rsidR="004B7B96">
        <w:rPr>
          <w:rFonts w:ascii="Times New Roman" w:hAnsi="Times New Roman" w:cs="Times New Roman"/>
          <w:sz w:val="24"/>
          <w:szCs w:val="24"/>
        </w:rPr>
        <w:t xml:space="preserve">the </w:t>
      </w:r>
      <w:r w:rsidR="008E1273">
        <w:rPr>
          <w:rFonts w:ascii="Times New Roman" w:hAnsi="Times New Roman" w:cs="Times New Roman"/>
          <w:sz w:val="24"/>
          <w:szCs w:val="24"/>
        </w:rPr>
        <w:t>fictitious account, it is a fact that it is the one that created the digital banking platforms that are being abused</w:t>
      </w:r>
      <w:r w:rsidR="004B7B96">
        <w:rPr>
          <w:rFonts w:ascii="Times New Roman" w:hAnsi="Times New Roman" w:cs="Times New Roman"/>
          <w:sz w:val="24"/>
          <w:szCs w:val="24"/>
        </w:rPr>
        <w:t xml:space="preserve"> by unscrupulous members of society</w:t>
      </w:r>
      <w:r w:rsidR="008E1273">
        <w:rPr>
          <w:rFonts w:ascii="Times New Roman" w:hAnsi="Times New Roman" w:cs="Times New Roman"/>
          <w:sz w:val="24"/>
          <w:szCs w:val="24"/>
        </w:rPr>
        <w:t>. As such it is within its power</w:t>
      </w:r>
      <w:r w:rsidR="004B7B96">
        <w:rPr>
          <w:rFonts w:ascii="Times New Roman" w:hAnsi="Times New Roman" w:cs="Times New Roman"/>
          <w:sz w:val="24"/>
          <w:szCs w:val="24"/>
        </w:rPr>
        <w:t>s</w:t>
      </w:r>
      <w:r w:rsidR="004D74C7">
        <w:rPr>
          <w:rFonts w:ascii="Times New Roman" w:hAnsi="Times New Roman" w:cs="Times New Roman"/>
          <w:sz w:val="24"/>
          <w:szCs w:val="24"/>
        </w:rPr>
        <w:t xml:space="preserve"> to prevent harm or a breach of the applicant’s rights. </w:t>
      </w:r>
      <w:r w:rsidR="00B531F6">
        <w:rPr>
          <w:rFonts w:ascii="Times New Roman" w:hAnsi="Times New Roman" w:cs="Times New Roman"/>
          <w:sz w:val="24"/>
          <w:szCs w:val="24"/>
        </w:rPr>
        <w:t>Therefore</w:t>
      </w:r>
      <w:r w:rsidR="00271D33">
        <w:rPr>
          <w:rFonts w:ascii="Times New Roman" w:hAnsi="Times New Roman" w:cs="Times New Roman"/>
          <w:sz w:val="24"/>
          <w:szCs w:val="24"/>
        </w:rPr>
        <w:t>,</w:t>
      </w:r>
      <w:r w:rsidR="00B531F6">
        <w:rPr>
          <w:rFonts w:ascii="Times New Roman" w:hAnsi="Times New Roman" w:cs="Times New Roman"/>
          <w:sz w:val="24"/>
          <w:szCs w:val="24"/>
        </w:rPr>
        <w:t xml:space="preserve"> an interdict</w:t>
      </w:r>
      <w:r w:rsidR="00C70262">
        <w:rPr>
          <w:rFonts w:ascii="Times New Roman" w:hAnsi="Times New Roman" w:cs="Times New Roman"/>
          <w:sz w:val="24"/>
          <w:szCs w:val="24"/>
        </w:rPr>
        <w:t>, in an appropriate case, may well</w:t>
      </w:r>
      <w:r w:rsidR="00B531F6">
        <w:rPr>
          <w:rFonts w:ascii="Times New Roman" w:hAnsi="Times New Roman" w:cs="Times New Roman"/>
          <w:sz w:val="24"/>
          <w:szCs w:val="24"/>
        </w:rPr>
        <w:t xml:space="preserve"> be granted against it.</w:t>
      </w:r>
      <w:r w:rsidR="004D74C7">
        <w:rPr>
          <w:rFonts w:ascii="Times New Roman" w:hAnsi="Times New Roman" w:cs="Times New Roman"/>
          <w:sz w:val="24"/>
          <w:szCs w:val="24"/>
        </w:rPr>
        <w:t xml:space="preserve"> </w:t>
      </w:r>
      <w:r w:rsidR="008E1273">
        <w:rPr>
          <w:rFonts w:ascii="Times New Roman" w:hAnsi="Times New Roman" w:cs="Times New Roman"/>
          <w:sz w:val="24"/>
          <w:szCs w:val="24"/>
        </w:rPr>
        <w:t xml:space="preserve"> </w:t>
      </w:r>
    </w:p>
    <w:p w14:paraId="72123D67" w14:textId="3AE6656E" w:rsidR="00AB1BAB" w:rsidRDefault="008B41EF" w:rsidP="002502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w:t>
      </w:r>
      <w:r w:rsidR="00D64761">
        <w:rPr>
          <w:rFonts w:ascii="Times New Roman" w:hAnsi="Times New Roman" w:cs="Times New Roman"/>
          <w:sz w:val="24"/>
          <w:szCs w:val="24"/>
        </w:rPr>
        <w:t xml:space="preserve">he second account which the applicant said was opened in his name, which account is the one that prompted </w:t>
      </w:r>
      <w:r w:rsidR="00616884">
        <w:rPr>
          <w:rFonts w:ascii="Times New Roman" w:hAnsi="Times New Roman" w:cs="Times New Roman"/>
          <w:sz w:val="24"/>
          <w:szCs w:val="24"/>
        </w:rPr>
        <w:t xml:space="preserve">him </w:t>
      </w:r>
      <w:r w:rsidR="00D64761">
        <w:rPr>
          <w:rFonts w:ascii="Times New Roman" w:hAnsi="Times New Roman" w:cs="Times New Roman"/>
          <w:sz w:val="24"/>
          <w:szCs w:val="24"/>
        </w:rPr>
        <w:t xml:space="preserve">to file the application, </w:t>
      </w:r>
      <w:r w:rsidR="006D482E">
        <w:rPr>
          <w:rFonts w:ascii="Times New Roman" w:hAnsi="Times New Roman" w:cs="Times New Roman"/>
          <w:sz w:val="24"/>
          <w:szCs w:val="24"/>
        </w:rPr>
        <w:t>turn</w:t>
      </w:r>
      <w:r w:rsidR="00D64761">
        <w:rPr>
          <w:rFonts w:ascii="Times New Roman" w:hAnsi="Times New Roman" w:cs="Times New Roman"/>
          <w:sz w:val="24"/>
          <w:szCs w:val="24"/>
        </w:rPr>
        <w:t>ed</w:t>
      </w:r>
      <w:r w:rsidR="006D482E">
        <w:rPr>
          <w:rFonts w:ascii="Times New Roman" w:hAnsi="Times New Roman" w:cs="Times New Roman"/>
          <w:sz w:val="24"/>
          <w:szCs w:val="24"/>
        </w:rPr>
        <w:t xml:space="preserve"> out not </w:t>
      </w:r>
      <w:r w:rsidR="00C70262">
        <w:rPr>
          <w:rFonts w:ascii="Times New Roman" w:hAnsi="Times New Roman" w:cs="Times New Roman"/>
          <w:sz w:val="24"/>
          <w:szCs w:val="24"/>
        </w:rPr>
        <w:t xml:space="preserve">to be </w:t>
      </w:r>
      <w:r w:rsidR="006D482E">
        <w:rPr>
          <w:rFonts w:ascii="Times New Roman" w:hAnsi="Times New Roman" w:cs="Times New Roman"/>
          <w:sz w:val="24"/>
          <w:szCs w:val="24"/>
        </w:rPr>
        <w:t>in his name.</w:t>
      </w:r>
      <w:r w:rsidR="00D64761">
        <w:rPr>
          <w:rFonts w:ascii="Times New Roman" w:hAnsi="Times New Roman" w:cs="Times New Roman"/>
          <w:sz w:val="24"/>
          <w:szCs w:val="24"/>
        </w:rPr>
        <w:t xml:space="preserve"> With the first account having been shut down by the respondent, that leaves </w:t>
      </w:r>
      <w:r w:rsidR="00616884">
        <w:rPr>
          <w:rFonts w:ascii="Times New Roman" w:hAnsi="Times New Roman" w:cs="Times New Roman"/>
          <w:sz w:val="24"/>
          <w:szCs w:val="24"/>
        </w:rPr>
        <w:t>the applicant</w:t>
      </w:r>
      <w:r w:rsidR="00D64761">
        <w:rPr>
          <w:rFonts w:ascii="Times New Roman" w:hAnsi="Times New Roman" w:cs="Times New Roman"/>
          <w:sz w:val="24"/>
          <w:szCs w:val="24"/>
        </w:rPr>
        <w:t xml:space="preserve"> with no cause of action for </w:t>
      </w:r>
      <w:r w:rsidR="00AB58DC">
        <w:rPr>
          <w:rFonts w:ascii="Times New Roman" w:hAnsi="Times New Roman" w:cs="Times New Roman"/>
          <w:sz w:val="24"/>
          <w:szCs w:val="24"/>
        </w:rPr>
        <w:t xml:space="preserve">the relief of </w:t>
      </w:r>
      <w:r w:rsidR="00D64761">
        <w:rPr>
          <w:rFonts w:ascii="Times New Roman" w:hAnsi="Times New Roman" w:cs="Times New Roman"/>
          <w:sz w:val="24"/>
          <w:szCs w:val="24"/>
        </w:rPr>
        <w:t xml:space="preserve">an interdict </w:t>
      </w:r>
      <w:r w:rsidR="00AE6CC0">
        <w:rPr>
          <w:rFonts w:ascii="Times New Roman" w:hAnsi="Times New Roman" w:cs="Times New Roman"/>
          <w:sz w:val="24"/>
          <w:szCs w:val="24"/>
        </w:rPr>
        <w:t>to protect his rights</w:t>
      </w:r>
      <w:r w:rsidR="00706467">
        <w:rPr>
          <w:rFonts w:ascii="Times New Roman" w:hAnsi="Times New Roman" w:cs="Times New Roman"/>
          <w:sz w:val="24"/>
          <w:szCs w:val="24"/>
        </w:rPr>
        <w:t xml:space="preserve"> in future</w:t>
      </w:r>
      <w:r w:rsidR="00D64761">
        <w:rPr>
          <w:rFonts w:ascii="Times New Roman" w:hAnsi="Times New Roman" w:cs="Times New Roman"/>
          <w:sz w:val="24"/>
          <w:szCs w:val="24"/>
        </w:rPr>
        <w:t>.</w:t>
      </w:r>
      <w:r w:rsidR="004B4A03">
        <w:rPr>
          <w:rFonts w:ascii="Times New Roman" w:hAnsi="Times New Roman" w:cs="Times New Roman"/>
          <w:sz w:val="24"/>
          <w:szCs w:val="24"/>
        </w:rPr>
        <w:t xml:space="preserve"> He has no facts giving cause </w:t>
      </w:r>
      <w:r w:rsidR="0028536D">
        <w:rPr>
          <w:rFonts w:ascii="Times New Roman" w:hAnsi="Times New Roman" w:cs="Times New Roman"/>
          <w:sz w:val="24"/>
          <w:szCs w:val="24"/>
        </w:rPr>
        <w:t xml:space="preserve">or </w:t>
      </w:r>
      <w:r w:rsidR="00C70262">
        <w:rPr>
          <w:rFonts w:ascii="Times New Roman" w:hAnsi="Times New Roman" w:cs="Times New Roman"/>
          <w:sz w:val="24"/>
          <w:szCs w:val="24"/>
        </w:rPr>
        <w:t>ground for judicial intervention</w:t>
      </w:r>
      <w:r w:rsidR="0028536D">
        <w:rPr>
          <w:rFonts w:ascii="Times New Roman" w:hAnsi="Times New Roman" w:cs="Times New Roman"/>
          <w:sz w:val="24"/>
          <w:szCs w:val="24"/>
        </w:rPr>
        <w:t xml:space="preserve">. There are no facts upon which it can be found that there is </w:t>
      </w:r>
      <w:r w:rsidR="00C70262">
        <w:rPr>
          <w:rFonts w:ascii="Times New Roman" w:hAnsi="Times New Roman" w:cs="Times New Roman"/>
          <w:sz w:val="24"/>
          <w:szCs w:val="24"/>
        </w:rPr>
        <w:t xml:space="preserve">a </w:t>
      </w:r>
      <w:r w:rsidR="0028536D">
        <w:rPr>
          <w:rFonts w:ascii="Times New Roman" w:hAnsi="Times New Roman" w:cs="Times New Roman"/>
          <w:sz w:val="24"/>
          <w:szCs w:val="24"/>
        </w:rPr>
        <w:t xml:space="preserve">reasonable apprehension that another </w:t>
      </w:r>
      <w:r w:rsidR="00503855">
        <w:rPr>
          <w:rFonts w:ascii="Times New Roman" w:hAnsi="Times New Roman" w:cs="Times New Roman"/>
          <w:sz w:val="24"/>
          <w:szCs w:val="24"/>
        </w:rPr>
        <w:t xml:space="preserve">fictitious </w:t>
      </w:r>
      <w:r w:rsidR="0028536D">
        <w:rPr>
          <w:rFonts w:ascii="Times New Roman" w:hAnsi="Times New Roman" w:cs="Times New Roman"/>
          <w:sz w:val="24"/>
          <w:szCs w:val="24"/>
        </w:rPr>
        <w:t>account will be opened in his name.</w:t>
      </w:r>
      <w:r w:rsidR="005B79FC">
        <w:rPr>
          <w:rFonts w:ascii="Times New Roman" w:hAnsi="Times New Roman" w:cs="Times New Roman"/>
          <w:sz w:val="24"/>
          <w:szCs w:val="24"/>
        </w:rPr>
        <w:t xml:space="preserve"> But</w:t>
      </w:r>
      <w:r w:rsidR="00503855">
        <w:rPr>
          <w:rFonts w:ascii="Times New Roman" w:hAnsi="Times New Roman" w:cs="Times New Roman"/>
          <w:sz w:val="24"/>
          <w:szCs w:val="24"/>
        </w:rPr>
        <w:t xml:space="preserve"> assuming that there were such facts, it would still be impossible to grant the interdict</w:t>
      </w:r>
      <w:r w:rsidR="00A97C75">
        <w:rPr>
          <w:rFonts w:ascii="Times New Roman" w:hAnsi="Times New Roman" w:cs="Times New Roman"/>
          <w:sz w:val="24"/>
          <w:szCs w:val="24"/>
        </w:rPr>
        <w:t>s</w:t>
      </w:r>
      <w:r w:rsidR="00503855">
        <w:rPr>
          <w:rFonts w:ascii="Times New Roman" w:hAnsi="Times New Roman" w:cs="Times New Roman"/>
          <w:sz w:val="24"/>
          <w:szCs w:val="24"/>
        </w:rPr>
        <w:t xml:space="preserve"> the applicant is seeking</w:t>
      </w:r>
      <w:r w:rsidR="00A97C75">
        <w:rPr>
          <w:rFonts w:ascii="Times New Roman" w:hAnsi="Times New Roman" w:cs="Times New Roman"/>
          <w:sz w:val="24"/>
          <w:szCs w:val="24"/>
        </w:rPr>
        <w:t xml:space="preserve"> both in the interim and on the return day</w:t>
      </w:r>
      <w:r w:rsidR="0025028A">
        <w:rPr>
          <w:rFonts w:ascii="Times New Roman" w:hAnsi="Times New Roman" w:cs="Times New Roman"/>
          <w:sz w:val="24"/>
          <w:szCs w:val="24"/>
        </w:rPr>
        <w:t>.</w:t>
      </w:r>
      <w:r w:rsidR="00503855">
        <w:rPr>
          <w:rFonts w:ascii="Times New Roman" w:hAnsi="Times New Roman" w:cs="Times New Roman"/>
          <w:sz w:val="24"/>
          <w:szCs w:val="24"/>
        </w:rPr>
        <w:t xml:space="preserve"> </w:t>
      </w:r>
      <w:r w:rsidR="0025028A">
        <w:rPr>
          <w:rFonts w:ascii="Times New Roman" w:hAnsi="Times New Roman" w:cs="Times New Roman"/>
          <w:sz w:val="24"/>
          <w:szCs w:val="24"/>
        </w:rPr>
        <w:t xml:space="preserve">This is because </w:t>
      </w:r>
      <w:r w:rsidR="005B79FC">
        <w:rPr>
          <w:rFonts w:ascii="Times New Roman" w:hAnsi="Times New Roman" w:cs="Times New Roman"/>
          <w:sz w:val="24"/>
          <w:szCs w:val="24"/>
        </w:rPr>
        <w:t xml:space="preserve">of </w:t>
      </w:r>
      <w:r w:rsidR="0025028A">
        <w:rPr>
          <w:rFonts w:ascii="Times New Roman" w:hAnsi="Times New Roman" w:cs="Times New Roman"/>
          <w:sz w:val="24"/>
          <w:szCs w:val="24"/>
        </w:rPr>
        <w:t>the</w:t>
      </w:r>
      <w:r w:rsidR="005B79FC">
        <w:rPr>
          <w:rFonts w:ascii="Times New Roman" w:hAnsi="Times New Roman" w:cs="Times New Roman"/>
          <w:sz w:val="24"/>
          <w:szCs w:val="24"/>
        </w:rPr>
        <w:t xml:space="preserve"> nature of the interdict</w:t>
      </w:r>
      <w:r w:rsidR="00A97C75">
        <w:rPr>
          <w:rFonts w:ascii="Times New Roman" w:hAnsi="Times New Roman" w:cs="Times New Roman"/>
          <w:sz w:val="24"/>
          <w:szCs w:val="24"/>
        </w:rPr>
        <w:t>s</w:t>
      </w:r>
      <w:r w:rsidR="0025028A">
        <w:rPr>
          <w:rFonts w:ascii="Times New Roman" w:hAnsi="Times New Roman" w:cs="Times New Roman"/>
          <w:sz w:val="24"/>
          <w:szCs w:val="24"/>
        </w:rPr>
        <w:t xml:space="preserve"> </w:t>
      </w:r>
      <w:r w:rsidR="00652CC1" w:rsidRPr="008B7380">
        <w:rPr>
          <w:rFonts w:ascii="Times New Roman" w:hAnsi="Times New Roman" w:cs="Times New Roman"/>
          <w:sz w:val="24"/>
          <w:szCs w:val="24"/>
        </w:rPr>
        <w:t xml:space="preserve">that </w:t>
      </w:r>
      <w:r w:rsidR="00B938E5">
        <w:rPr>
          <w:rFonts w:ascii="Times New Roman" w:hAnsi="Times New Roman" w:cs="Times New Roman"/>
          <w:sz w:val="24"/>
          <w:szCs w:val="24"/>
        </w:rPr>
        <w:t>t</w:t>
      </w:r>
      <w:r w:rsidR="00652CC1" w:rsidRPr="008B7380">
        <w:rPr>
          <w:rFonts w:ascii="Times New Roman" w:hAnsi="Times New Roman" w:cs="Times New Roman"/>
          <w:sz w:val="24"/>
          <w:szCs w:val="24"/>
        </w:rPr>
        <w:t xml:space="preserve">he </w:t>
      </w:r>
      <w:r w:rsidR="00B938E5">
        <w:rPr>
          <w:rFonts w:ascii="Times New Roman" w:hAnsi="Times New Roman" w:cs="Times New Roman"/>
          <w:sz w:val="24"/>
          <w:szCs w:val="24"/>
        </w:rPr>
        <w:t xml:space="preserve">applicant </w:t>
      </w:r>
      <w:r w:rsidR="00652CC1" w:rsidRPr="008B7380">
        <w:rPr>
          <w:rFonts w:ascii="Times New Roman" w:hAnsi="Times New Roman" w:cs="Times New Roman"/>
          <w:sz w:val="24"/>
          <w:szCs w:val="24"/>
        </w:rPr>
        <w:t xml:space="preserve">is seeking. </w:t>
      </w:r>
      <w:r w:rsidR="005B79FC">
        <w:rPr>
          <w:rFonts w:ascii="Times New Roman" w:hAnsi="Times New Roman" w:cs="Times New Roman"/>
          <w:sz w:val="24"/>
          <w:szCs w:val="24"/>
        </w:rPr>
        <w:t>The interdict</w:t>
      </w:r>
      <w:r w:rsidR="00A97C75">
        <w:rPr>
          <w:rFonts w:ascii="Times New Roman" w:hAnsi="Times New Roman" w:cs="Times New Roman"/>
          <w:sz w:val="24"/>
          <w:szCs w:val="24"/>
        </w:rPr>
        <w:t>s</w:t>
      </w:r>
      <w:r w:rsidR="005B79FC">
        <w:rPr>
          <w:rFonts w:ascii="Times New Roman" w:hAnsi="Times New Roman" w:cs="Times New Roman"/>
          <w:sz w:val="24"/>
          <w:szCs w:val="24"/>
        </w:rPr>
        <w:t xml:space="preserve"> </w:t>
      </w:r>
      <w:r w:rsidR="00A97C75">
        <w:rPr>
          <w:rFonts w:ascii="Times New Roman" w:hAnsi="Times New Roman" w:cs="Times New Roman"/>
          <w:sz w:val="24"/>
          <w:szCs w:val="24"/>
        </w:rPr>
        <w:t>are</w:t>
      </w:r>
      <w:r w:rsidR="005B79FC">
        <w:rPr>
          <w:rFonts w:ascii="Times New Roman" w:hAnsi="Times New Roman" w:cs="Times New Roman"/>
          <w:sz w:val="24"/>
          <w:szCs w:val="24"/>
        </w:rPr>
        <w:t xml:space="preserve"> </w:t>
      </w:r>
      <w:r w:rsidR="00652CC1" w:rsidRPr="008B7380">
        <w:rPr>
          <w:rFonts w:ascii="Times New Roman" w:hAnsi="Times New Roman" w:cs="Times New Roman"/>
          <w:sz w:val="24"/>
          <w:szCs w:val="24"/>
        </w:rPr>
        <w:t xml:space="preserve">not personal </w:t>
      </w:r>
      <w:r w:rsidR="00B938E5">
        <w:rPr>
          <w:rFonts w:ascii="Times New Roman" w:hAnsi="Times New Roman" w:cs="Times New Roman"/>
          <w:sz w:val="24"/>
          <w:szCs w:val="24"/>
        </w:rPr>
        <w:t xml:space="preserve">and specific </w:t>
      </w:r>
      <w:r w:rsidR="00652CC1" w:rsidRPr="008B7380">
        <w:rPr>
          <w:rFonts w:ascii="Times New Roman" w:hAnsi="Times New Roman" w:cs="Times New Roman"/>
          <w:sz w:val="24"/>
          <w:szCs w:val="24"/>
        </w:rPr>
        <w:t>to him</w:t>
      </w:r>
      <w:r w:rsidR="00B938E5">
        <w:rPr>
          <w:rFonts w:ascii="Times New Roman" w:hAnsi="Times New Roman" w:cs="Times New Roman"/>
          <w:sz w:val="24"/>
          <w:szCs w:val="24"/>
        </w:rPr>
        <w:t>,</w:t>
      </w:r>
      <w:r w:rsidR="00652CC1" w:rsidRPr="008B7380">
        <w:rPr>
          <w:rFonts w:ascii="Times New Roman" w:hAnsi="Times New Roman" w:cs="Times New Roman"/>
          <w:sz w:val="24"/>
          <w:szCs w:val="24"/>
        </w:rPr>
        <w:t xml:space="preserve"> </w:t>
      </w:r>
      <w:r w:rsidR="005B79FC">
        <w:rPr>
          <w:rFonts w:ascii="Times New Roman" w:hAnsi="Times New Roman" w:cs="Times New Roman"/>
          <w:sz w:val="24"/>
          <w:szCs w:val="24"/>
        </w:rPr>
        <w:t xml:space="preserve">if granted </w:t>
      </w:r>
      <w:r w:rsidR="00301BEA">
        <w:rPr>
          <w:rFonts w:ascii="Times New Roman" w:hAnsi="Times New Roman" w:cs="Times New Roman"/>
          <w:sz w:val="24"/>
          <w:szCs w:val="24"/>
        </w:rPr>
        <w:t xml:space="preserve">they </w:t>
      </w:r>
      <w:r w:rsidR="005B79FC">
        <w:rPr>
          <w:rFonts w:ascii="Times New Roman" w:hAnsi="Times New Roman" w:cs="Times New Roman"/>
          <w:sz w:val="24"/>
          <w:szCs w:val="24"/>
        </w:rPr>
        <w:t xml:space="preserve">will </w:t>
      </w:r>
      <w:r w:rsidR="00652CC1" w:rsidRPr="008B7380">
        <w:rPr>
          <w:rFonts w:ascii="Times New Roman" w:hAnsi="Times New Roman" w:cs="Times New Roman"/>
          <w:sz w:val="24"/>
          <w:szCs w:val="24"/>
        </w:rPr>
        <w:t xml:space="preserve">affect </w:t>
      </w:r>
      <w:r w:rsidR="00B938E5">
        <w:rPr>
          <w:rFonts w:ascii="Times New Roman" w:hAnsi="Times New Roman" w:cs="Times New Roman"/>
          <w:sz w:val="24"/>
          <w:szCs w:val="24"/>
        </w:rPr>
        <w:t xml:space="preserve">the whole world. </w:t>
      </w:r>
      <w:r w:rsidR="0054620A">
        <w:rPr>
          <w:rFonts w:ascii="Times New Roman" w:hAnsi="Times New Roman" w:cs="Times New Roman"/>
          <w:sz w:val="24"/>
          <w:szCs w:val="24"/>
        </w:rPr>
        <w:t xml:space="preserve">Even the declarator that he will be seeking on the return day has the same effect. </w:t>
      </w:r>
      <w:r w:rsidR="00864B03">
        <w:rPr>
          <w:rFonts w:ascii="Times New Roman" w:hAnsi="Times New Roman" w:cs="Times New Roman"/>
          <w:sz w:val="24"/>
          <w:szCs w:val="24"/>
        </w:rPr>
        <w:t>E</w:t>
      </w:r>
      <w:r w:rsidR="00652CC1" w:rsidRPr="008B7380">
        <w:rPr>
          <w:rFonts w:ascii="Times New Roman" w:hAnsi="Times New Roman" w:cs="Times New Roman"/>
          <w:sz w:val="24"/>
          <w:szCs w:val="24"/>
        </w:rPr>
        <w:t xml:space="preserve">very person who either has an existing account now or </w:t>
      </w:r>
      <w:r w:rsidR="00864B03">
        <w:rPr>
          <w:rFonts w:ascii="Times New Roman" w:hAnsi="Times New Roman" w:cs="Times New Roman"/>
          <w:sz w:val="24"/>
          <w:szCs w:val="24"/>
        </w:rPr>
        <w:t xml:space="preserve">who does not have but </w:t>
      </w:r>
      <w:r w:rsidR="00652CC1" w:rsidRPr="008B7380">
        <w:rPr>
          <w:rFonts w:ascii="Times New Roman" w:hAnsi="Times New Roman" w:cs="Times New Roman"/>
          <w:sz w:val="24"/>
          <w:szCs w:val="24"/>
        </w:rPr>
        <w:t xml:space="preserve">might </w:t>
      </w:r>
      <w:r w:rsidR="00864B03">
        <w:rPr>
          <w:rFonts w:ascii="Times New Roman" w:hAnsi="Times New Roman" w:cs="Times New Roman"/>
          <w:sz w:val="24"/>
          <w:szCs w:val="24"/>
        </w:rPr>
        <w:t>want</w:t>
      </w:r>
      <w:r w:rsidR="00652CC1" w:rsidRPr="008B7380">
        <w:rPr>
          <w:rFonts w:ascii="Times New Roman" w:hAnsi="Times New Roman" w:cs="Times New Roman"/>
          <w:sz w:val="24"/>
          <w:szCs w:val="24"/>
        </w:rPr>
        <w:t xml:space="preserve"> to open an account with the first respondent in future</w:t>
      </w:r>
      <w:r w:rsidR="00864B03">
        <w:rPr>
          <w:rFonts w:ascii="Times New Roman" w:hAnsi="Times New Roman" w:cs="Times New Roman"/>
          <w:sz w:val="24"/>
          <w:szCs w:val="24"/>
        </w:rPr>
        <w:t xml:space="preserve"> will be affected by these </w:t>
      </w:r>
      <w:r w:rsidR="00A660EC">
        <w:rPr>
          <w:rFonts w:ascii="Times New Roman" w:hAnsi="Times New Roman" w:cs="Times New Roman"/>
          <w:sz w:val="24"/>
          <w:szCs w:val="24"/>
        </w:rPr>
        <w:t xml:space="preserve">interdicts and </w:t>
      </w:r>
      <w:r w:rsidR="00A660EC" w:rsidRPr="00AB1BAB">
        <w:rPr>
          <w:rFonts w:ascii="Times New Roman" w:hAnsi="Times New Roman" w:cs="Times New Roman"/>
          <w:i/>
          <w:iCs/>
          <w:sz w:val="24"/>
          <w:szCs w:val="24"/>
        </w:rPr>
        <w:t>declaratur</w:t>
      </w:r>
      <w:r w:rsidR="00864B03" w:rsidRPr="00AB1BAB">
        <w:rPr>
          <w:rFonts w:ascii="Times New Roman" w:hAnsi="Times New Roman" w:cs="Times New Roman"/>
          <w:i/>
          <w:iCs/>
          <w:sz w:val="24"/>
          <w:szCs w:val="24"/>
        </w:rPr>
        <w:t xml:space="preserve"> </w:t>
      </w:r>
      <w:r w:rsidR="00864B03">
        <w:rPr>
          <w:rFonts w:ascii="Times New Roman" w:hAnsi="Times New Roman" w:cs="Times New Roman"/>
          <w:sz w:val="24"/>
          <w:szCs w:val="24"/>
        </w:rPr>
        <w:t>if they are granted</w:t>
      </w:r>
      <w:r w:rsidR="00652CC1" w:rsidRPr="008B7380">
        <w:rPr>
          <w:rFonts w:ascii="Times New Roman" w:hAnsi="Times New Roman" w:cs="Times New Roman"/>
          <w:sz w:val="24"/>
          <w:szCs w:val="24"/>
        </w:rPr>
        <w:t xml:space="preserve">. </w:t>
      </w:r>
      <w:r w:rsidR="00864B03">
        <w:rPr>
          <w:rFonts w:ascii="Times New Roman" w:hAnsi="Times New Roman" w:cs="Times New Roman"/>
          <w:sz w:val="24"/>
          <w:szCs w:val="24"/>
        </w:rPr>
        <w:t xml:space="preserve">The effect of the </w:t>
      </w:r>
      <w:r w:rsidR="00AB1BAB">
        <w:rPr>
          <w:rFonts w:ascii="Times New Roman" w:hAnsi="Times New Roman" w:cs="Times New Roman"/>
          <w:sz w:val="24"/>
          <w:szCs w:val="24"/>
        </w:rPr>
        <w:t>reliefs sought</w:t>
      </w:r>
      <w:r w:rsidR="00864B03">
        <w:rPr>
          <w:rFonts w:ascii="Times New Roman" w:hAnsi="Times New Roman" w:cs="Times New Roman"/>
          <w:sz w:val="24"/>
          <w:szCs w:val="24"/>
        </w:rPr>
        <w:t xml:space="preserve"> is to completely shut down the digital banking platforms of the first respondent.</w:t>
      </w:r>
      <w:r w:rsidR="00652CC1" w:rsidRPr="008B7380">
        <w:rPr>
          <w:rFonts w:ascii="Times New Roman" w:hAnsi="Times New Roman" w:cs="Times New Roman"/>
          <w:sz w:val="24"/>
          <w:szCs w:val="24"/>
        </w:rPr>
        <w:t xml:space="preserve"> </w:t>
      </w:r>
    </w:p>
    <w:p w14:paraId="1A59C184" w14:textId="540E3257" w:rsidR="003F7914" w:rsidRDefault="00864B03" w:rsidP="0025028A">
      <w:pPr>
        <w:spacing w:after="0" w:line="360" w:lineRule="auto"/>
        <w:ind w:firstLine="720"/>
        <w:jc w:val="both"/>
        <w:rPr>
          <w:rFonts w:ascii="Times New Roman" w:hAnsi="Times New Roman" w:cs="Times New Roman"/>
          <w:sz w:val="24"/>
          <w:szCs w:val="24"/>
        </w:rPr>
      </w:pPr>
      <w:r w:rsidRPr="008B7380">
        <w:rPr>
          <w:rFonts w:ascii="Times New Roman" w:hAnsi="Times New Roman" w:cs="Times New Roman"/>
          <w:sz w:val="24"/>
          <w:szCs w:val="24"/>
        </w:rPr>
        <w:t>It is the applicant’s contention that there are criminal</w:t>
      </w:r>
      <w:r w:rsidR="00205C92">
        <w:rPr>
          <w:rFonts w:ascii="Times New Roman" w:hAnsi="Times New Roman" w:cs="Times New Roman"/>
          <w:sz w:val="24"/>
          <w:szCs w:val="24"/>
        </w:rPr>
        <w:t xml:space="preserve"> elements </w:t>
      </w:r>
      <w:r w:rsidRPr="008B7380">
        <w:rPr>
          <w:rFonts w:ascii="Times New Roman" w:hAnsi="Times New Roman" w:cs="Times New Roman"/>
          <w:sz w:val="24"/>
          <w:szCs w:val="24"/>
        </w:rPr>
        <w:t xml:space="preserve">out there that have a </w:t>
      </w:r>
      <w:r w:rsidR="004900AA" w:rsidRPr="008B7380">
        <w:rPr>
          <w:rFonts w:ascii="Times New Roman" w:hAnsi="Times New Roman" w:cs="Times New Roman"/>
          <w:sz w:val="24"/>
          <w:szCs w:val="24"/>
        </w:rPr>
        <w:t>mind set</w:t>
      </w:r>
      <w:r w:rsidRPr="008B7380">
        <w:rPr>
          <w:rFonts w:ascii="Times New Roman" w:hAnsi="Times New Roman" w:cs="Times New Roman"/>
          <w:sz w:val="24"/>
          <w:szCs w:val="24"/>
        </w:rPr>
        <w:t xml:space="preserve"> to use his identification number and those of m</w:t>
      </w:r>
      <w:r>
        <w:rPr>
          <w:rFonts w:ascii="Times New Roman" w:hAnsi="Times New Roman" w:cs="Times New Roman"/>
          <w:sz w:val="24"/>
          <w:szCs w:val="24"/>
        </w:rPr>
        <w:t>an</w:t>
      </w:r>
      <w:r w:rsidRPr="008B7380">
        <w:rPr>
          <w:rFonts w:ascii="Times New Roman" w:hAnsi="Times New Roman" w:cs="Times New Roman"/>
          <w:sz w:val="24"/>
          <w:szCs w:val="24"/>
        </w:rPr>
        <w:t xml:space="preserve">y other clients of the first respondent and </w:t>
      </w:r>
      <w:r>
        <w:rPr>
          <w:rFonts w:ascii="Times New Roman" w:hAnsi="Times New Roman" w:cs="Times New Roman"/>
          <w:sz w:val="24"/>
          <w:szCs w:val="24"/>
        </w:rPr>
        <w:t xml:space="preserve">the </w:t>
      </w:r>
      <w:r w:rsidR="00205C92">
        <w:rPr>
          <w:rFonts w:ascii="Times New Roman" w:hAnsi="Times New Roman" w:cs="Times New Roman"/>
          <w:sz w:val="24"/>
          <w:szCs w:val="24"/>
        </w:rPr>
        <w:t xml:space="preserve">general </w:t>
      </w:r>
      <w:r>
        <w:rPr>
          <w:rFonts w:ascii="Times New Roman" w:hAnsi="Times New Roman" w:cs="Times New Roman"/>
          <w:sz w:val="24"/>
          <w:szCs w:val="24"/>
        </w:rPr>
        <w:t xml:space="preserve">public </w:t>
      </w:r>
      <w:r w:rsidRPr="008B7380">
        <w:rPr>
          <w:rFonts w:ascii="Times New Roman" w:hAnsi="Times New Roman" w:cs="Times New Roman"/>
          <w:sz w:val="24"/>
          <w:szCs w:val="24"/>
        </w:rPr>
        <w:t xml:space="preserve">who are </w:t>
      </w:r>
      <w:r>
        <w:rPr>
          <w:rFonts w:ascii="Times New Roman" w:hAnsi="Times New Roman" w:cs="Times New Roman"/>
          <w:sz w:val="24"/>
          <w:szCs w:val="24"/>
        </w:rPr>
        <w:t xml:space="preserve">not </w:t>
      </w:r>
      <w:r w:rsidRPr="008B7380">
        <w:rPr>
          <w:rFonts w:ascii="Times New Roman" w:hAnsi="Times New Roman" w:cs="Times New Roman"/>
          <w:sz w:val="24"/>
          <w:szCs w:val="24"/>
        </w:rPr>
        <w:t xml:space="preserve">the first respondent’s clients. </w:t>
      </w:r>
      <w:r w:rsidR="005929DC">
        <w:rPr>
          <w:rFonts w:ascii="Times New Roman" w:hAnsi="Times New Roman" w:cs="Times New Roman"/>
          <w:sz w:val="24"/>
          <w:szCs w:val="24"/>
        </w:rPr>
        <w:t>However, a</w:t>
      </w:r>
      <w:r w:rsidR="005338B0" w:rsidRPr="008B7380">
        <w:rPr>
          <w:rFonts w:ascii="Times New Roman" w:hAnsi="Times New Roman" w:cs="Times New Roman"/>
          <w:sz w:val="24"/>
          <w:szCs w:val="24"/>
        </w:rPr>
        <w:t xml:space="preserve">s </w:t>
      </w:r>
      <w:r w:rsidR="00205C92">
        <w:rPr>
          <w:rFonts w:ascii="Times New Roman" w:hAnsi="Times New Roman" w:cs="Times New Roman"/>
          <w:sz w:val="24"/>
          <w:szCs w:val="24"/>
        </w:rPr>
        <w:t xml:space="preserve">was </w:t>
      </w:r>
      <w:r w:rsidR="005338B0" w:rsidRPr="008B7380">
        <w:rPr>
          <w:rFonts w:ascii="Times New Roman" w:hAnsi="Times New Roman" w:cs="Times New Roman"/>
          <w:sz w:val="24"/>
          <w:szCs w:val="24"/>
        </w:rPr>
        <w:t xml:space="preserve">correctly </w:t>
      </w:r>
      <w:r w:rsidR="005338B0" w:rsidRPr="008B7380">
        <w:rPr>
          <w:rFonts w:ascii="Times New Roman" w:hAnsi="Times New Roman" w:cs="Times New Roman"/>
          <w:sz w:val="24"/>
          <w:szCs w:val="24"/>
        </w:rPr>
        <w:lastRenderedPageBreak/>
        <w:t>averred by the first respondent</w:t>
      </w:r>
      <w:r w:rsidR="005338B0">
        <w:rPr>
          <w:rFonts w:ascii="Times New Roman" w:hAnsi="Times New Roman" w:cs="Times New Roman"/>
          <w:sz w:val="24"/>
          <w:szCs w:val="24"/>
        </w:rPr>
        <w:t>,</w:t>
      </w:r>
      <w:r w:rsidR="005338B0" w:rsidRPr="008B7380">
        <w:rPr>
          <w:rFonts w:ascii="Times New Roman" w:hAnsi="Times New Roman" w:cs="Times New Roman"/>
          <w:sz w:val="24"/>
          <w:szCs w:val="24"/>
        </w:rPr>
        <w:t xml:space="preserve"> the applicant cannot pr</w:t>
      </w:r>
      <w:r w:rsidR="005338B0">
        <w:rPr>
          <w:rFonts w:ascii="Times New Roman" w:hAnsi="Times New Roman" w:cs="Times New Roman"/>
          <w:sz w:val="24"/>
          <w:szCs w:val="24"/>
        </w:rPr>
        <w:t>e</w:t>
      </w:r>
      <w:r w:rsidR="005338B0" w:rsidRPr="008B7380">
        <w:rPr>
          <w:rFonts w:ascii="Times New Roman" w:hAnsi="Times New Roman" w:cs="Times New Roman"/>
          <w:sz w:val="24"/>
          <w:szCs w:val="24"/>
        </w:rPr>
        <w:t>mise his cause of action on grievances of third parties which do not exi</w:t>
      </w:r>
      <w:r w:rsidR="005338B0">
        <w:rPr>
          <w:rFonts w:ascii="Times New Roman" w:hAnsi="Times New Roman" w:cs="Times New Roman"/>
          <w:sz w:val="24"/>
          <w:szCs w:val="24"/>
        </w:rPr>
        <w:t>s</w:t>
      </w:r>
      <w:r w:rsidR="005338B0" w:rsidRPr="008B7380">
        <w:rPr>
          <w:rFonts w:ascii="Times New Roman" w:hAnsi="Times New Roman" w:cs="Times New Roman"/>
          <w:sz w:val="24"/>
          <w:szCs w:val="24"/>
        </w:rPr>
        <w:t xml:space="preserve">t, and without receiving </w:t>
      </w:r>
      <w:r w:rsidR="005338B0">
        <w:rPr>
          <w:rFonts w:ascii="Times New Roman" w:hAnsi="Times New Roman" w:cs="Times New Roman"/>
          <w:sz w:val="24"/>
          <w:szCs w:val="24"/>
        </w:rPr>
        <w:t>authority</w:t>
      </w:r>
      <w:r w:rsidR="005338B0" w:rsidRPr="008B7380">
        <w:rPr>
          <w:rFonts w:ascii="Times New Roman" w:hAnsi="Times New Roman" w:cs="Times New Roman"/>
          <w:sz w:val="24"/>
          <w:szCs w:val="24"/>
        </w:rPr>
        <w:t xml:space="preserve"> to represent them in the protection of their rights.</w:t>
      </w:r>
      <w:r w:rsidR="005338B0">
        <w:rPr>
          <w:rFonts w:ascii="Times New Roman" w:hAnsi="Times New Roman" w:cs="Times New Roman"/>
          <w:sz w:val="24"/>
          <w:szCs w:val="24"/>
        </w:rPr>
        <w:t xml:space="preserve"> </w:t>
      </w:r>
      <w:r w:rsidR="008B7380" w:rsidRPr="008B7380">
        <w:rPr>
          <w:rFonts w:ascii="Times New Roman" w:hAnsi="Times New Roman" w:cs="Times New Roman"/>
          <w:sz w:val="24"/>
          <w:szCs w:val="24"/>
        </w:rPr>
        <w:t xml:space="preserve">The applicant can only seek such relief if he is bringing </w:t>
      </w:r>
      <w:r w:rsidR="005338B0">
        <w:rPr>
          <w:rFonts w:ascii="Times New Roman" w:hAnsi="Times New Roman" w:cs="Times New Roman"/>
          <w:sz w:val="24"/>
          <w:szCs w:val="24"/>
        </w:rPr>
        <w:t>a</w:t>
      </w:r>
      <w:r w:rsidR="008B7380" w:rsidRPr="008B7380">
        <w:rPr>
          <w:rFonts w:ascii="Times New Roman" w:hAnsi="Times New Roman" w:cs="Times New Roman"/>
          <w:sz w:val="24"/>
          <w:szCs w:val="24"/>
        </w:rPr>
        <w:t xml:space="preserve"> class action on behalf of people that share the same injury or harm as himself. </w:t>
      </w:r>
      <w:r w:rsidR="005338B0">
        <w:rPr>
          <w:rFonts w:ascii="Times New Roman" w:hAnsi="Times New Roman" w:cs="Times New Roman"/>
          <w:sz w:val="24"/>
          <w:szCs w:val="24"/>
        </w:rPr>
        <w:t xml:space="preserve">To institute a class action, certain requirements that are stipulated </w:t>
      </w:r>
      <w:r w:rsidR="005338B0" w:rsidRPr="008B7380">
        <w:rPr>
          <w:rFonts w:ascii="Times New Roman" w:hAnsi="Times New Roman" w:cs="Times New Roman"/>
          <w:sz w:val="24"/>
          <w:szCs w:val="24"/>
        </w:rPr>
        <w:t>in the Class Action</w:t>
      </w:r>
      <w:r w:rsidR="004900AA">
        <w:rPr>
          <w:rFonts w:ascii="Times New Roman" w:hAnsi="Times New Roman" w:cs="Times New Roman"/>
          <w:sz w:val="24"/>
          <w:szCs w:val="24"/>
        </w:rPr>
        <w:t>s</w:t>
      </w:r>
      <w:r w:rsidR="005338B0" w:rsidRPr="008B7380">
        <w:rPr>
          <w:rFonts w:ascii="Times New Roman" w:hAnsi="Times New Roman" w:cs="Times New Roman"/>
          <w:sz w:val="24"/>
          <w:szCs w:val="24"/>
        </w:rPr>
        <w:t xml:space="preserve"> </w:t>
      </w:r>
      <w:r w:rsidR="005338B0">
        <w:rPr>
          <w:rFonts w:ascii="Times New Roman" w:hAnsi="Times New Roman" w:cs="Times New Roman"/>
          <w:sz w:val="24"/>
          <w:szCs w:val="24"/>
        </w:rPr>
        <w:t>A</w:t>
      </w:r>
      <w:r w:rsidR="005338B0" w:rsidRPr="008B7380">
        <w:rPr>
          <w:rFonts w:ascii="Times New Roman" w:hAnsi="Times New Roman" w:cs="Times New Roman"/>
          <w:sz w:val="24"/>
          <w:szCs w:val="24"/>
        </w:rPr>
        <w:t>ct [</w:t>
      </w:r>
      <w:r w:rsidR="005338B0" w:rsidRPr="008B7380">
        <w:rPr>
          <w:rFonts w:ascii="Times New Roman" w:hAnsi="Times New Roman" w:cs="Times New Roman"/>
          <w:i/>
          <w:sz w:val="24"/>
          <w:szCs w:val="24"/>
        </w:rPr>
        <w:t>chapter 8:17</w:t>
      </w:r>
      <w:r w:rsidR="005338B0" w:rsidRPr="008B7380">
        <w:rPr>
          <w:rFonts w:ascii="Times New Roman" w:hAnsi="Times New Roman" w:cs="Times New Roman"/>
          <w:sz w:val="24"/>
          <w:szCs w:val="24"/>
        </w:rPr>
        <w:t>]</w:t>
      </w:r>
      <w:r w:rsidR="005338B0">
        <w:rPr>
          <w:rFonts w:ascii="Times New Roman" w:hAnsi="Times New Roman" w:cs="Times New Roman"/>
          <w:sz w:val="24"/>
          <w:szCs w:val="24"/>
        </w:rPr>
        <w:t xml:space="preserve"> </w:t>
      </w:r>
      <w:r w:rsidR="00136152">
        <w:rPr>
          <w:rFonts w:ascii="Times New Roman" w:hAnsi="Times New Roman" w:cs="Times New Roman"/>
          <w:sz w:val="24"/>
          <w:szCs w:val="24"/>
        </w:rPr>
        <w:t>ought to be met</w:t>
      </w:r>
      <w:r w:rsidR="008B7380" w:rsidRPr="008B7380">
        <w:rPr>
          <w:rFonts w:ascii="Times New Roman" w:hAnsi="Times New Roman" w:cs="Times New Roman"/>
          <w:sz w:val="24"/>
          <w:szCs w:val="24"/>
        </w:rPr>
        <w:t xml:space="preserve">.  </w:t>
      </w:r>
      <w:r w:rsidR="00167FA4" w:rsidRPr="008B7380">
        <w:rPr>
          <w:rFonts w:ascii="Times New Roman" w:hAnsi="Times New Roman" w:cs="Times New Roman"/>
          <w:sz w:val="24"/>
          <w:szCs w:val="24"/>
        </w:rPr>
        <w:t>The most basic requirement is for the applicant to have sought leave</w:t>
      </w:r>
      <w:r w:rsidR="00C70262">
        <w:rPr>
          <w:rFonts w:ascii="Times New Roman" w:hAnsi="Times New Roman" w:cs="Times New Roman"/>
          <w:sz w:val="24"/>
          <w:szCs w:val="24"/>
        </w:rPr>
        <w:t xml:space="preserve"> from this court</w:t>
      </w:r>
      <w:r w:rsidR="00167FA4" w:rsidRPr="008B7380">
        <w:rPr>
          <w:rFonts w:ascii="Times New Roman" w:hAnsi="Times New Roman" w:cs="Times New Roman"/>
          <w:sz w:val="24"/>
          <w:szCs w:val="24"/>
        </w:rPr>
        <w:t xml:space="preserve"> to bring a class action</w:t>
      </w:r>
      <w:r w:rsidR="00167FA4">
        <w:rPr>
          <w:rFonts w:ascii="Times New Roman" w:hAnsi="Times New Roman" w:cs="Times New Roman"/>
          <w:sz w:val="24"/>
          <w:szCs w:val="24"/>
        </w:rPr>
        <w:t>. S</w:t>
      </w:r>
      <w:r w:rsidR="00167FA4" w:rsidRPr="008B7380">
        <w:rPr>
          <w:rFonts w:ascii="Times New Roman" w:hAnsi="Times New Roman" w:cs="Times New Roman"/>
          <w:sz w:val="24"/>
          <w:szCs w:val="24"/>
        </w:rPr>
        <w:t xml:space="preserve">ee </w:t>
      </w:r>
      <w:r w:rsidR="00167FA4">
        <w:rPr>
          <w:rFonts w:ascii="Times New Roman" w:hAnsi="Times New Roman" w:cs="Times New Roman"/>
          <w:sz w:val="24"/>
          <w:szCs w:val="24"/>
        </w:rPr>
        <w:t xml:space="preserve">s </w:t>
      </w:r>
      <w:r w:rsidR="00167FA4" w:rsidRPr="008B7380">
        <w:rPr>
          <w:rFonts w:ascii="Times New Roman" w:hAnsi="Times New Roman" w:cs="Times New Roman"/>
          <w:sz w:val="24"/>
          <w:szCs w:val="24"/>
        </w:rPr>
        <w:t>3 of the Class Action</w:t>
      </w:r>
      <w:r w:rsidR="00F1744D">
        <w:rPr>
          <w:rFonts w:ascii="Times New Roman" w:hAnsi="Times New Roman" w:cs="Times New Roman"/>
          <w:sz w:val="24"/>
          <w:szCs w:val="24"/>
        </w:rPr>
        <w:t>s</w:t>
      </w:r>
      <w:r w:rsidR="00167FA4" w:rsidRPr="008B7380">
        <w:rPr>
          <w:rFonts w:ascii="Times New Roman" w:hAnsi="Times New Roman" w:cs="Times New Roman"/>
          <w:sz w:val="24"/>
          <w:szCs w:val="24"/>
        </w:rPr>
        <w:t xml:space="preserve"> Act</w:t>
      </w:r>
      <w:r w:rsidR="00F1744D">
        <w:rPr>
          <w:rFonts w:ascii="Times New Roman" w:hAnsi="Times New Roman" w:cs="Times New Roman"/>
          <w:sz w:val="24"/>
          <w:szCs w:val="24"/>
        </w:rPr>
        <w:t xml:space="preserve"> [</w:t>
      </w:r>
      <w:r w:rsidR="00F1744D" w:rsidRPr="00F1744D">
        <w:rPr>
          <w:rFonts w:ascii="Times New Roman" w:hAnsi="Times New Roman" w:cs="Times New Roman"/>
          <w:i/>
          <w:iCs/>
          <w:sz w:val="24"/>
          <w:szCs w:val="24"/>
        </w:rPr>
        <w:t>Chapter</w:t>
      </w:r>
      <w:r w:rsidR="00F1744D">
        <w:rPr>
          <w:rFonts w:ascii="Times New Roman" w:hAnsi="Times New Roman" w:cs="Times New Roman"/>
          <w:sz w:val="24"/>
          <w:szCs w:val="24"/>
        </w:rPr>
        <w:t xml:space="preserve"> 8:17]</w:t>
      </w:r>
      <w:r w:rsidR="00F1744D">
        <w:rPr>
          <w:rStyle w:val="FootnoteReference"/>
          <w:rFonts w:ascii="Times New Roman" w:hAnsi="Times New Roman" w:cs="Times New Roman"/>
          <w:sz w:val="24"/>
          <w:szCs w:val="24"/>
        </w:rPr>
        <w:footnoteReference w:id="10"/>
      </w:r>
      <w:r w:rsidR="00167FA4" w:rsidRPr="008B7380">
        <w:rPr>
          <w:rFonts w:ascii="Times New Roman" w:hAnsi="Times New Roman" w:cs="Times New Roman"/>
          <w:sz w:val="24"/>
          <w:szCs w:val="24"/>
        </w:rPr>
        <w:t>. The applicant also need</w:t>
      </w:r>
      <w:r w:rsidR="00A21152">
        <w:rPr>
          <w:rFonts w:ascii="Times New Roman" w:hAnsi="Times New Roman" w:cs="Times New Roman"/>
          <w:sz w:val="24"/>
          <w:szCs w:val="24"/>
        </w:rPr>
        <w:t>ed</w:t>
      </w:r>
      <w:r w:rsidR="00167FA4" w:rsidRPr="008B7380">
        <w:rPr>
          <w:rFonts w:ascii="Times New Roman" w:hAnsi="Times New Roman" w:cs="Times New Roman"/>
          <w:sz w:val="24"/>
          <w:szCs w:val="24"/>
        </w:rPr>
        <w:t xml:space="preserve"> to </w:t>
      </w:r>
      <w:r w:rsidR="00A21152">
        <w:rPr>
          <w:rFonts w:ascii="Times New Roman" w:hAnsi="Times New Roman" w:cs="Times New Roman"/>
          <w:sz w:val="24"/>
          <w:szCs w:val="24"/>
        </w:rPr>
        <w:t>have</w:t>
      </w:r>
      <w:r w:rsidR="00167FA4" w:rsidRPr="008B7380">
        <w:rPr>
          <w:rFonts w:ascii="Times New Roman" w:hAnsi="Times New Roman" w:cs="Times New Roman"/>
          <w:sz w:val="24"/>
          <w:szCs w:val="24"/>
        </w:rPr>
        <w:t xml:space="preserve"> been appointed by the High Court to be the representative of the class of persons concerned in the class action. </w:t>
      </w:r>
      <w:r w:rsidR="00A21152">
        <w:rPr>
          <w:rFonts w:ascii="Times New Roman" w:hAnsi="Times New Roman" w:cs="Times New Roman"/>
          <w:sz w:val="24"/>
          <w:szCs w:val="24"/>
        </w:rPr>
        <w:t xml:space="preserve">See s </w:t>
      </w:r>
      <w:r w:rsidR="00167FA4" w:rsidRPr="008B7380">
        <w:rPr>
          <w:rFonts w:ascii="Times New Roman" w:hAnsi="Times New Roman" w:cs="Times New Roman"/>
          <w:sz w:val="24"/>
          <w:szCs w:val="24"/>
        </w:rPr>
        <w:t>5 (1) of the C</w:t>
      </w:r>
      <w:r w:rsidR="00A21152">
        <w:rPr>
          <w:rFonts w:ascii="Times New Roman" w:hAnsi="Times New Roman" w:cs="Times New Roman"/>
          <w:sz w:val="24"/>
          <w:szCs w:val="24"/>
        </w:rPr>
        <w:t>l</w:t>
      </w:r>
      <w:r w:rsidR="00167FA4" w:rsidRPr="008B7380">
        <w:rPr>
          <w:rFonts w:ascii="Times New Roman" w:hAnsi="Times New Roman" w:cs="Times New Roman"/>
          <w:sz w:val="24"/>
          <w:szCs w:val="24"/>
        </w:rPr>
        <w:t>ass Action</w:t>
      </w:r>
      <w:r w:rsidR="00913BC1">
        <w:rPr>
          <w:rFonts w:ascii="Times New Roman" w:hAnsi="Times New Roman" w:cs="Times New Roman"/>
          <w:sz w:val="24"/>
          <w:szCs w:val="24"/>
        </w:rPr>
        <w:t>s</w:t>
      </w:r>
      <w:r w:rsidR="00167FA4" w:rsidRPr="008B7380">
        <w:rPr>
          <w:rFonts w:ascii="Times New Roman" w:hAnsi="Times New Roman" w:cs="Times New Roman"/>
          <w:sz w:val="24"/>
          <w:szCs w:val="24"/>
        </w:rPr>
        <w:t xml:space="preserve"> Act</w:t>
      </w:r>
      <w:r w:rsidR="00913BC1">
        <w:rPr>
          <w:rStyle w:val="FootnoteReference"/>
          <w:rFonts w:ascii="Times New Roman" w:hAnsi="Times New Roman" w:cs="Times New Roman"/>
          <w:sz w:val="24"/>
          <w:szCs w:val="24"/>
        </w:rPr>
        <w:footnoteReference w:id="11"/>
      </w:r>
      <w:r w:rsidR="00167FA4" w:rsidRPr="008B7380">
        <w:rPr>
          <w:rFonts w:ascii="Times New Roman" w:hAnsi="Times New Roman" w:cs="Times New Roman"/>
          <w:sz w:val="24"/>
          <w:szCs w:val="24"/>
        </w:rPr>
        <w:t xml:space="preserve">. </w:t>
      </w:r>
      <w:r w:rsidR="00A21152">
        <w:rPr>
          <w:rFonts w:ascii="Times New Roman" w:hAnsi="Times New Roman" w:cs="Times New Roman"/>
          <w:sz w:val="24"/>
          <w:szCs w:val="24"/>
        </w:rPr>
        <w:t xml:space="preserve">The applicant </w:t>
      </w:r>
      <w:r w:rsidR="003629D1">
        <w:rPr>
          <w:rFonts w:ascii="Times New Roman" w:hAnsi="Times New Roman" w:cs="Times New Roman"/>
          <w:sz w:val="24"/>
          <w:szCs w:val="24"/>
        </w:rPr>
        <w:t>should appreciate</w:t>
      </w:r>
      <w:r w:rsidR="00A21152">
        <w:rPr>
          <w:rFonts w:ascii="Times New Roman" w:hAnsi="Times New Roman" w:cs="Times New Roman"/>
          <w:sz w:val="24"/>
          <w:szCs w:val="24"/>
        </w:rPr>
        <w:t xml:space="preserve"> that n</w:t>
      </w:r>
      <w:r w:rsidR="008B7380" w:rsidRPr="008B7380">
        <w:rPr>
          <w:rFonts w:ascii="Times New Roman" w:hAnsi="Times New Roman" w:cs="Times New Roman"/>
          <w:sz w:val="24"/>
          <w:szCs w:val="24"/>
        </w:rPr>
        <w:t xml:space="preserve">ot every other person </w:t>
      </w:r>
      <w:r w:rsidR="00A21152">
        <w:rPr>
          <w:rFonts w:ascii="Times New Roman" w:hAnsi="Times New Roman" w:cs="Times New Roman"/>
          <w:sz w:val="24"/>
          <w:szCs w:val="24"/>
        </w:rPr>
        <w:t>was</w:t>
      </w:r>
      <w:r w:rsidR="008B7380" w:rsidRPr="008B7380">
        <w:rPr>
          <w:rFonts w:ascii="Times New Roman" w:hAnsi="Times New Roman" w:cs="Times New Roman"/>
          <w:sz w:val="24"/>
          <w:szCs w:val="24"/>
        </w:rPr>
        <w:t xml:space="preserve"> injured </w:t>
      </w:r>
      <w:r w:rsidR="003659BA">
        <w:rPr>
          <w:rFonts w:ascii="Times New Roman" w:hAnsi="Times New Roman" w:cs="Times New Roman"/>
          <w:sz w:val="24"/>
          <w:szCs w:val="24"/>
        </w:rPr>
        <w:t>as he</w:t>
      </w:r>
      <w:r w:rsidR="00A21152">
        <w:rPr>
          <w:rFonts w:ascii="Times New Roman" w:hAnsi="Times New Roman" w:cs="Times New Roman"/>
          <w:sz w:val="24"/>
          <w:szCs w:val="24"/>
        </w:rPr>
        <w:t xml:space="preserve"> was</w:t>
      </w:r>
      <w:r w:rsidR="008B7380" w:rsidRPr="008B7380">
        <w:rPr>
          <w:rFonts w:ascii="Times New Roman" w:hAnsi="Times New Roman" w:cs="Times New Roman"/>
          <w:sz w:val="24"/>
          <w:szCs w:val="24"/>
        </w:rPr>
        <w:t xml:space="preserve"> injured. As such it is wrong for the applicant to seek relief</w:t>
      </w:r>
      <w:r w:rsidR="003659BA">
        <w:rPr>
          <w:rFonts w:ascii="Times New Roman" w:hAnsi="Times New Roman" w:cs="Times New Roman"/>
          <w:sz w:val="24"/>
          <w:szCs w:val="24"/>
        </w:rPr>
        <w:t xml:space="preserve">s that </w:t>
      </w:r>
      <w:r w:rsidR="008B7380" w:rsidRPr="008B7380">
        <w:rPr>
          <w:rFonts w:ascii="Times New Roman" w:hAnsi="Times New Roman" w:cs="Times New Roman"/>
          <w:sz w:val="24"/>
          <w:szCs w:val="24"/>
        </w:rPr>
        <w:t>stop the operation of the first respondent’s digital banking platform</w:t>
      </w:r>
      <w:r w:rsidR="00A21152">
        <w:rPr>
          <w:rFonts w:ascii="Times New Roman" w:hAnsi="Times New Roman" w:cs="Times New Roman"/>
          <w:sz w:val="24"/>
          <w:szCs w:val="24"/>
        </w:rPr>
        <w:t xml:space="preserve"> in its entirety</w:t>
      </w:r>
      <w:r w:rsidR="003629D1">
        <w:rPr>
          <w:rFonts w:ascii="Times New Roman" w:hAnsi="Times New Roman" w:cs="Times New Roman"/>
          <w:sz w:val="24"/>
          <w:szCs w:val="24"/>
        </w:rPr>
        <w:t xml:space="preserve"> to the prejudice of the generality of the population</w:t>
      </w:r>
      <w:r w:rsidR="008B7380" w:rsidRPr="008B7380">
        <w:rPr>
          <w:rFonts w:ascii="Times New Roman" w:hAnsi="Times New Roman" w:cs="Times New Roman"/>
          <w:sz w:val="24"/>
          <w:szCs w:val="24"/>
        </w:rPr>
        <w:t xml:space="preserve">. </w:t>
      </w:r>
      <w:r w:rsidR="003629D1">
        <w:rPr>
          <w:rFonts w:ascii="Times New Roman" w:hAnsi="Times New Roman" w:cs="Times New Roman"/>
          <w:sz w:val="24"/>
          <w:szCs w:val="24"/>
        </w:rPr>
        <w:t>A</w:t>
      </w:r>
      <w:r w:rsidR="00EE6C7B">
        <w:rPr>
          <w:rFonts w:ascii="Times New Roman" w:hAnsi="Times New Roman" w:cs="Times New Roman"/>
          <w:sz w:val="24"/>
          <w:szCs w:val="24"/>
        </w:rPr>
        <w:t xml:space="preserve">n injury to </w:t>
      </w:r>
      <w:r w:rsidR="003629D1">
        <w:rPr>
          <w:rFonts w:ascii="Times New Roman" w:hAnsi="Times New Roman" w:cs="Times New Roman"/>
          <w:sz w:val="24"/>
          <w:szCs w:val="24"/>
        </w:rPr>
        <w:t>the applicant</w:t>
      </w:r>
      <w:r w:rsidR="00EE6C7B">
        <w:rPr>
          <w:rFonts w:ascii="Times New Roman" w:hAnsi="Times New Roman" w:cs="Times New Roman"/>
          <w:sz w:val="24"/>
          <w:szCs w:val="24"/>
        </w:rPr>
        <w:t xml:space="preserve"> cannot be an injury to everyone. </w:t>
      </w:r>
      <w:r w:rsidR="003659BA">
        <w:rPr>
          <w:rFonts w:ascii="Times New Roman" w:hAnsi="Times New Roman" w:cs="Times New Roman"/>
          <w:sz w:val="24"/>
          <w:szCs w:val="24"/>
        </w:rPr>
        <w:t xml:space="preserve">Whilst he might have a genuine complaint, </w:t>
      </w:r>
      <w:r w:rsidR="003E782F">
        <w:rPr>
          <w:rFonts w:ascii="Times New Roman" w:hAnsi="Times New Roman" w:cs="Times New Roman"/>
          <w:sz w:val="24"/>
          <w:szCs w:val="24"/>
        </w:rPr>
        <w:t>his re</w:t>
      </w:r>
      <w:r w:rsidR="003629D1">
        <w:rPr>
          <w:rFonts w:ascii="Times New Roman" w:hAnsi="Times New Roman" w:cs="Times New Roman"/>
          <w:sz w:val="24"/>
          <w:szCs w:val="24"/>
        </w:rPr>
        <w:t>lief</w:t>
      </w:r>
      <w:r w:rsidR="003E782F">
        <w:rPr>
          <w:rFonts w:ascii="Times New Roman" w:hAnsi="Times New Roman" w:cs="Times New Roman"/>
          <w:sz w:val="24"/>
          <w:szCs w:val="24"/>
        </w:rPr>
        <w:t xml:space="preserve"> </w:t>
      </w:r>
      <w:r w:rsidR="003629D1">
        <w:rPr>
          <w:rFonts w:ascii="Times New Roman" w:hAnsi="Times New Roman" w:cs="Times New Roman"/>
          <w:sz w:val="24"/>
          <w:szCs w:val="24"/>
        </w:rPr>
        <w:t>cannot</w:t>
      </w:r>
      <w:r w:rsidR="003E782F">
        <w:rPr>
          <w:rFonts w:ascii="Times New Roman" w:hAnsi="Times New Roman" w:cs="Times New Roman"/>
          <w:sz w:val="24"/>
          <w:szCs w:val="24"/>
        </w:rPr>
        <w:t xml:space="preserve"> be </w:t>
      </w:r>
      <w:r w:rsidR="003629D1">
        <w:rPr>
          <w:rFonts w:ascii="Times New Roman" w:hAnsi="Times New Roman" w:cs="Times New Roman"/>
          <w:sz w:val="24"/>
          <w:szCs w:val="24"/>
        </w:rPr>
        <w:t xml:space="preserve">a total </w:t>
      </w:r>
      <w:r w:rsidR="003E782F">
        <w:rPr>
          <w:rFonts w:ascii="Times New Roman" w:hAnsi="Times New Roman" w:cs="Times New Roman"/>
          <w:sz w:val="24"/>
          <w:szCs w:val="24"/>
        </w:rPr>
        <w:t xml:space="preserve">shut down </w:t>
      </w:r>
      <w:r w:rsidR="003629D1">
        <w:rPr>
          <w:rFonts w:ascii="Times New Roman" w:hAnsi="Times New Roman" w:cs="Times New Roman"/>
          <w:sz w:val="24"/>
          <w:szCs w:val="24"/>
        </w:rPr>
        <w:t xml:space="preserve">of </w:t>
      </w:r>
      <w:r w:rsidR="003E782F">
        <w:rPr>
          <w:rFonts w:ascii="Times New Roman" w:hAnsi="Times New Roman" w:cs="Times New Roman"/>
          <w:sz w:val="24"/>
          <w:szCs w:val="24"/>
        </w:rPr>
        <w:t>the whole digital banking system of the first respondent</w:t>
      </w:r>
      <w:r w:rsidR="003629D1">
        <w:rPr>
          <w:rFonts w:ascii="Times New Roman" w:hAnsi="Times New Roman" w:cs="Times New Roman"/>
          <w:sz w:val="24"/>
          <w:szCs w:val="24"/>
        </w:rPr>
        <w:t>.</w:t>
      </w:r>
      <w:r w:rsidR="009539BE">
        <w:rPr>
          <w:rFonts w:ascii="Times New Roman" w:hAnsi="Times New Roman" w:cs="Times New Roman"/>
          <w:sz w:val="24"/>
          <w:szCs w:val="24"/>
        </w:rPr>
        <w:t xml:space="preserve"> </w:t>
      </w:r>
      <w:r w:rsidR="00C12A8D">
        <w:rPr>
          <w:rFonts w:ascii="Times New Roman" w:hAnsi="Times New Roman" w:cs="Times New Roman"/>
          <w:sz w:val="24"/>
          <w:szCs w:val="24"/>
        </w:rPr>
        <w:t>An order affecting t</w:t>
      </w:r>
      <w:r w:rsidR="009539BE">
        <w:rPr>
          <w:rFonts w:ascii="Times New Roman" w:hAnsi="Times New Roman" w:cs="Times New Roman"/>
          <w:sz w:val="24"/>
          <w:szCs w:val="24"/>
        </w:rPr>
        <w:t xml:space="preserve">he existing </w:t>
      </w:r>
      <w:r w:rsidR="003E782F">
        <w:rPr>
          <w:rFonts w:ascii="Times New Roman" w:hAnsi="Times New Roman" w:cs="Times New Roman"/>
          <w:sz w:val="24"/>
          <w:szCs w:val="24"/>
        </w:rPr>
        <w:t>49000 customers</w:t>
      </w:r>
      <w:r w:rsidR="009539BE">
        <w:rPr>
          <w:rFonts w:ascii="Times New Roman" w:hAnsi="Times New Roman" w:cs="Times New Roman"/>
          <w:sz w:val="24"/>
          <w:szCs w:val="24"/>
        </w:rPr>
        <w:t xml:space="preserve"> of the first respondent</w:t>
      </w:r>
      <w:r w:rsidR="003E782F">
        <w:rPr>
          <w:rFonts w:ascii="Times New Roman" w:hAnsi="Times New Roman" w:cs="Times New Roman"/>
          <w:sz w:val="24"/>
          <w:szCs w:val="24"/>
        </w:rPr>
        <w:t xml:space="preserve"> </w:t>
      </w:r>
      <w:r w:rsidR="009539BE">
        <w:rPr>
          <w:rFonts w:ascii="Times New Roman" w:hAnsi="Times New Roman" w:cs="Times New Roman"/>
          <w:sz w:val="24"/>
          <w:szCs w:val="24"/>
        </w:rPr>
        <w:t>ca</w:t>
      </w:r>
      <w:r w:rsidR="00C12A8D">
        <w:rPr>
          <w:rFonts w:ascii="Times New Roman" w:hAnsi="Times New Roman" w:cs="Times New Roman"/>
          <w:sz w:val="24"/>
          <w:szCs w:val="24"/>
        </w:rPr>
        <w:t>n</w:t>
      </w:r>
      <w:r w:rsidR="009539BE">
        <w:rPr>
          <w:rFonts w:ascii="Times New Roman" w:hAnsi="Times New Roman" w:cs="Times New Roman"/>
          <w:sz w:val="24"/>
          <w:szCs w:val="24"/>
        </w:rPr>
        <w:t>not be</w:t>
      </w:r>
      <w:r w:rsidR="00C12A8D">
        <w:rPr>
          <w:rFonts w:ascii="Times New Roman" w:hAnsi="Times New Roman" w:cs="Times New Roman"/>
          <w:sz w:val="24"/>
          <w:szCs w:val="24"/>
        </w:rPr>
        <w:t xml:space="preserve"> granted against them without them having been</w:t>
      </w:r>
      <w:r w:rsidR="00B1492A">
        <w:rPr>
          <w:rFonts w:ascii="Times New Roman" w:hAnsi="Times New Roman" w:cs="Times New Roman"/>
          <w:sz w:val="24"/>
          <w:szCs w:val="24"/>
        </w:rPr>
        <w:t xml:space="preserve"> given an opportunity to be</w:t>
      </w:r>
      <w:r w:rsidR="00C12A8D">
        <w:rPr>
          <w:rFonts w:ascii="Times New Roman" w:hAnsi="Times New Roman" w:cs="Times New Roman"/>
          <w:sz w:val="24"/>
          <w:szCs w:val="24"/>
        </w:rPr>
        <w:t xml:space="preserve"> heard</w:t>
      </w:r>
      <w:r w:rsidR="008B7380" w:rsidRPr="008B7380">
        <w:rPr>
          <w:rFonts w:ascii="Times New Roman" w:hAnsi="Times New Roman" w:cs="Times New Roman"/>
          <w:sz w:val="24"/>
          <w:szCs w:val="24"/>
        </w:rPr>
        <w:t>.</w:t>
      </w:r>
      <w:bookmarkStart w:id="17" w:name="_Hlk66948749"/>
      <w:r w:rsidR="003F7914">
        <w:rPr>
          <w:rFonts w:ascii="Times New Roman" w:hAnsi="Times New Roman" w:cs="Times New Roman"/>
          <w:sz w:val="24"/>
          <w:szCs w:val="24"/>
        </w:rPr>
        <w:t xml:space="preserve"> </w:t>
      </w:r>
    </w:p>
    <w:p w14:paraId="5500C849" w14:textId="7D8FFE76" w:rsidR="008B7380" w:rsidRPr="008B7380" w:rsidRDefault="003F7914" w:rsidP="005338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it is clear that t</w:t>
      </w:r>
      <w:r w:rsidR="008B7380" w:rsidRPr="008B7380">
        <w:rPr>
          <w:rFonts w:ascii="Times New Roman" w:hAnsi="Times New Roman" w:cs="Times New Roman"/>
          <w:sz w:val="24"/>
          <w:szCs w:val="24"/>
        </w:rPr>
        <w:t>he applicant has no cause of action that justifies the closure of the first respondent’s entire digital baking platforms; even on a temporary basis pending the return da</w:t>
      </w:r>
      <w:r w:rsidR="00A63EA4">
        <w:rPr>
          <w:rFonts w:ascii="Times New Roman" w:hAnsi="Times New Roman" w:cs="Times New Roman"/>
          <w:sz w:val="24"/>
          <w:szCs w:val="24"/>
        </w:rPr>
        <w:t>y</w:t>
      </w:r>
      <w:r w:rsidR="008B7380" w:rsidRPr="008B7380">
        <w:rPr>
          <w:rFonts w:ascii="Times New Roman" w:hAnsi="Times New Roman" w:cs="Times New Roman"/>
          <w:sz w:val="24"/>
          <w:szCs w:val="24"/>
        </w:rPr>
        <w:t xml:space="preserve">. </w:t>
      </w:r>
      <w:r w:rsidR="002B64C4">
        <w:rPr>
          <w:rFonts w:ascii="Times New Roman" w:hAnsi="Times New Roman" w:cs="Times New Roman"/>
          <w:sz w:val="24"/>
          <w:szCs w:val="24"/>
        </w:rPr>
        <w:t xml:space="preserve">As I have already discussed above, </w:t>
      </w:r>
      <w:r w:rsidR="00BC52E8">
        <w:rPr>
          <w:rFonts w:ascii="Times New Roman" w:hAnsi="Times New Roman" w:cs="Times New Roman"/>
          <w:sz w:val="24"/>
          <w:szCs w:val="24"/>
        </w:rPr>
        <w:t>if the applicant could show on a balance of probabilities, that there is a reasonable apprehension of fear that another fictitious account would be opened in</w:t>
      </w:r>
      <w:r w:rsidR="009B6AE2">
        <w:rPr>
          <w:rFonts w:ascii="Times New Roman" w:hAnsi="Times New Roman" w:cs="Times New Roman"/>
          <w:sz w:val="24"/>
          <w:szCs w:val="24"/>
        </w:rPr>
        <w:t xml:space="preserve"> his name in</w:t>
      </w:r>
      <w:r w:rsidR="00BC52E8">
        <w:rPr>
          <w:rFonts w:ascii="Times New Roman" w:hAnsi="Times New Roman" w:cs="Times New Roman"/>
          <w:sz w:val="24"/>
          <w:szCs w:val="24"/>
        </w:rPr>
        <w:t xml:space="preserve"> future, </w:t>
      </w:r>
      <w:r w:rsidR="009B6AE2">
        <w:rPr>
          <w:rFonts w:ascii="Times New Roman" w:hAnsi="Times New Roman" w:cs="Times New Roman"/>
          <w:sz w:val="24"/>
          <w:szCs w:val="24"/>
        </w:rPr>
        <w:t xml:space="preserve">that would entitle him to obtain an interdict. But even then, </w:t>
      </w:r>
      <w:r w:rsidR="00BC52E8">
        <w:rPr>
          <w:rFonts w:ascii="Times New Roman" w:hAnsi="Times New Roman" w:cs="Times New Roman"/>
          <w:sz w:val="24"/>
          <w:szCs w:val="24"/>
        </w:rPr>
        <w:t>the relief</w:t>
      </w:r>
      <w:r w:rsidR="0019686B">
        <w:rPr>
          <w:rFonts w:ascii="Times New Roman" w:hAnsi="Times New Roman" w:cs="Times New Roman"/>
          <w:sz w:val="24"/>
          <w:szCs w:val="24"/>
        </w:rPr>
        <w:t>s</w:t>
      </w:r>
      <w:r w:rsidR="00BC52E8">
        <w:rPr>
          <w:rFonts w:ascii="Times New Roman" w:hAnsi="Times New Roman" w:cs="Times New Roman"/>
          <w:sz w:val="24"/>
          <w:szCs w:val="24"/>
        </w:rPr>
        <w:t xml:space="preserve"> that he should</w:t>
      </w:r>
      <w:r w:rsidR="009B6AE2">
        <w:rPr>
          <w:rFonts w:ascii="Times New Roman" w:hAnsi="Times New Roman" w:cs="Times New Roman"/>
          <w:sz w:val="24"/>
          <w:szCs w:val="24"/>
        </w:rPr>
        <w:t xml:space="preserve"> be seeking should relate</w:t>
      </w:r>
      <w:r w:rsidR="00BC52E8">
        <w:rPr>
          <w:rFonts w:ascii="Times New Roman" w:hAnsi="Times New Roman" w:cs="Times New Roman"/>
          <w:sz w:val="24"/>
          <w:szCs w:val="24"/>
        </w:rPr>
        <w:t xml:space="preserve"> to him and him alone. </w:t>
      </w:r>
    </w:p>
    <w:bookmarkEnd w:id="17"/>
    <w:p w14:paraId="0547B65B" w14:textId="1778E192" w:rsidR="008B7380" w:rsidRPr="008B7380" w:rsidRDefault="008B7380" w:rsidP="008B7380">
      <w:pPr>
        <w:spacing w:after="0" w:line="360" w:lineRule="auto"/>
        <w:ind w:firstLine="720"/>
        <w:jc w:val="both"/>
        <w:rPr>
          <w:rFonts w:ascii="Times New Roman" w:hAnsi="Times New Roman" w:cs="Times New Roman"/>
          <w:sz w:val="24"/>
          <w:szCs w:val="24"/>
        </w:rPr>
      </w:pPr>
      <w:r w:rsidRPr="008B7380">
        <w:rPr>
          <w:rFonts w:ascii="Times New Roman" w:hAnsi="Times New Roman" w:cs="Times New Roman"/>
          <w:sz w:val="24"/>
          <w:szCs w:val="24"/>
        </w:rPr>
        <w:t xml:space="preserve">In view of the foregoing, I will uphold the point </w:t>
      </w:r>
      <w:r w:rsidRPr="008B7380">
        <w:rPr>
          <w:rFonts w:ascii="Times New Roman" w:hAnsi="Times New Roman" w:cs="Times New Roman"/>
          <w:i/>
          <w:sz w:val="24"/>
          <w:szCs w:val="24"/>
        </w:rPr>
        <w:t>in limine</w:t>
      </w:r>
      <w:r w:rsidRPr="008B7380">
        <w:rPr>
          <w:rFonts w:ascii="Times New Roman" w:hAnsi="Times New Roman" w:cs="Times New Roman"/>
          <w:sz w:val="24"/>
          <w:szCs w:val="24"/>
        </w:rPr>
        <w:t xml:space="preserve"> that there is no cause of action</w:t>
      </w:r>
      <w:r w:rsidR="0019686B">
        <w:rPr>
          <w:rFonts w:ascii="Times New Roman" w:hAnsi="Times New Roman" w:cs="Times New Roman"/>
          <w:sz w:val="24"/>
          <w:szCs w:val="24"/>
        </w:rPr>
        <w:t xml:space="preserve"> which entitle</w:t>
      </w:r>
      <w:r w:rsidR="004900AA">
        <w:rPr>
          <w:rFonts w:ascii="Times New Roman" w:hAnsi="Times New Roman" w:cs="Times New Roman"/>
          <w:sz w:val="24"/>
          <w:szCs w:val="24"/>
        </w:rPr>
        <w:t>s</w:t>
      </w:r>
      <w:r w:rsidR="0019686B">
        <w:rPr>
          <w:rFonts w:ascii="Times New Roman" w:hAnsi="Times New Roman" w:cs="Times New Roman"/>
          <w:sz w:val="24"/>
          <w:szCs w:val="24"/>
        </w:rPr>
        <w:t xml:space="preserve"> the applicant to be granted the reliefs that he is seeking</w:t>
      </w:r>
      <w:r w:rsidRPr="008B7380">
        <w:rPr>
          <w:rFonts w:ascii="Times New Roman" w:hAnsi="Times New Roman" w:cs="Times New Roman"/>
          <w:sz w:val="24"/>
          <w:szCs w:val="24"/>
        </w:rPr>
        <w:t xml:space="preserve">. </w:t>
      </w:r>
    </w:p>
    <w:p w14:paraId="2B2B6AA5" w14:textId="77777777" w:rsidR="008B7380" w:rsidRPr="008B7380" w:rsidRDefault="008B7380" w:rsidP="008B7380">
      <w:pPr>
        <w:spacing w:after="0" w:line="360" w:lineRule="auto"/>
        <w:ind w:firstLine="720"/>
        <w:jc w:val="both"/>
        <w:rPr>
          <w:rFonts w:ascii="Times New Roman" w:hAnsi="Times New Roman" w:cs="Times New Roman"/>
          <w:sz w:val="24"/>
          <w:szCs w:val="24"/>
        </w:rPr>
      </w:pPr>
      <w:r w:rsidRPr="008B7380">
        <w:rPr>
          <w:rFonts w:ascii="Times New Roman" w:hAnsi="Times New Roman" w:cs="Times New Roman"/>
          <w:sz w:val="24"/>
          <w:szCs w:val="24"/>
        </w:rPr>
        <w:t>I thus make the following order: -</w:t>
      </w:r>
    </w:p>
    <w:p w14:paraId="1D6284D7" w14:textId="7D3933F6" w:rsidR="008B7380" w:rsidRPr="00F75676" w:rsidRDefault="008B7380" w:rsidP="00F75676">
      <w:pPr>
        <w:spacing w:after="0" w:line="240" w:lineRule="auto"/>
        <w:ind w:firstLine="720"/>
        <w:jc w:val="both"/>
        <w:rPr>
          <w:rFonts w:ascii="Times New Roman" w:hAnsi="Times New Roman" w:cs="Times New Roman"/>
        </w:rPr>
      </w:pPr>
      <w:r w:rsidRPr="008B7380">
        <w:rPr>
          <w:rFonts w:ascii="Times New Roman" w:hAnsi="Times New Roman" w:cs="Times New Roman"/>
        </w:rPr>
        <w:t>1.</w:t>
      </w:r>
      <w:r w:rsidRPr="008B7380">
        <w:rPr>
          <w:rFonts w:ascii="Times New Roman" w:hAnsi="Times New Roman" w:cs="Times New Roman"/>
        </w:rPr>
        <w:tab/>
        <w:t>The application is dismissed</w:t>
      </w:r>
      <w:r w:rsidR="00F95E23">
        <w:rPr>
          <w:rFonts w:ascii="Times New Roman" w:hAnsi="Times New Roman" w:cs="Times New Roman"/>
        </w:rPr>
        <w:t xml:space="preserve"> with </w:t>
      </w:r>
      <w:r w:rsidRPr="008B7380">
        <w:rPr>
          <w:rFonts w:ascii="Times New Roman" w:hAnsi="Times New Roman" w:cs="Times New Roman"/>
        </w:rPr>
        <w:t xml:space="preserve">costs. </w:t>
      </w:r>
    </w:p>
    <w:p w14:paraId="1E3765B2" w14:textId="77777777" w:rsidR="0019686B" w:rsidRDefault="0019686B" w:rsidP="008B7380">
      <w:pPr>
        <w:spacing w:after="0" w:line="240" w:lineRule="auto"/>
        <w:jc w:val="both"/>
        <w:rPr>
          <w:rFonts w:ascii="Times New Roman" w:hAnsi="Times New Roman" w:cs="Times New Roman"/>
          <w:i/>
          <w:sz w:val="24"/>
          <w:szCs w:val="24"/>
        </w:rPr>
      </w:pPr>
    </w:p>
    <w:p w14:paraId="4F892BE1" w14:textId="77777777" w:rsidR="0019686B" w:rsidRDefault="0019686B" w:rsidP="008B7380">
      <w:pPr>
        <w:spacing w:after="0" w:line="240" w:lineRule="auto"/>
        <w:jc w:val="both"/>
        <w:rPr>
          <w:rFonts w:ascii="Times New Roman" w:hAnsi="Times New Roman" w:cs="Times New Roman"/>
          <w:i/>
          <w:sz w:val="24"/>
          <w:szCs w:val="24"/>
        </w:rPr>
      </w:pPr>
    </w:p>
    <w:p w14:paraId="345E08E6" w14:textId="77777777" w:rsidR="0019686B" w:rsidRDefault="0019686B" w:rsidP="008B7380">
      <w:pPr>
        <w:spacing w:after="0" w:line="240" w:lineRule="auto"/>
        <w:jc w:val="both"/>
        <w:rPr>
          <w:rFonts w:ascii="Times New Roman" w:hAnsi="Times New Roman" w:cs="Times New Roman"/>
          <w:i/>
          <w:sz w:val="24"/>
          <w:szCs w:val="24"/>
        </w:rPr>
      </w:pPr>
    </w:p>
    <w:p w14:paraId="02EC2AEB" w14:textId="77777777" w:rsidR="0019686B" w:rsidRDefault="0019686B" w:rsidP="008B7380">
      <w:pPr>
        <w:spacing w:after="0" w:line="240" w:lineRule="auto"/>
        <w:jc w:val="both"/>
        <w:rPr>
          <w:rFonts w:ascii="Times New Roman" w:hAnsi="Times New Roman" w:cs="Times New Roman"/>
          <w:i/>
          <w:sz w:val="24"/>
          <w:szCs w:val="24"/>
        </w:rPr>
      </w:pPr>
    </w:p>
    <w:p w14:paraId="16588025" w14:textId="77777777" w:rsidR="0019686B" w:rsidRDefault="0019686B" w:rsidP="008B7380">
      <w:pPr>
        <w:spacing w:after="0" w:line="240" w:lineRule="auto"/>
        <w:jc w:val="both"/>
        <w:rPr>
          <w:rFonts w:ascii="Times New Roman" w:hAnsi="Times New Roman" w:cs="Times New Roman"/>
          <w:i/>
          <w:sz w:val="24"/>
          <w:szCs w:val="24"/>
        </w:rPr>
      </w:pPr>
    </w:p>
    <w:p w14:paraId="09EC98EF" w14:textId="77777777" w:rsidR="0019686B" w:rsidRDefault="0019686B" w:rsidP="008B7380">
      <w:pPr>
        <w:spacing w:after="0" w:line="240" w:lineRule="auto"/>
        <w:jc w:val="both"/>
        <w:rPr>
          <w:rFonts w:ascii="Times New Roman" w:hAnsi="Times New Roman" w:cs="Times New Roman"/>
          <w:i/>
          <w:sz w:val="24"/>
          <w:szCs w:val="24"/>
        </w:rPr>
      </w:pPr>
    </w:p>
    <w:p w14:paraId="0C1B20DE" w14:textId="77777777" w:rsidR="0019686B" w:rsidRDefault="0019686B" w:rsidP="008B7380">
      <w:pPr>
        <w:spacing w:after="0" w:line="240" w:lineRule="auto"/>
        <w:jc w:val="both"/>
        <w:rPr>
          <w:rFonts w:ascii="Times New Roman" w:hAnsi="Times New Roman" w:cs="Times New Roman"/>
          <w:i/>
          <w:sz w:val="24"/>
          <w:szCs w:val="24"/>
        </w:rPr>
      </w:pPr>
    </w:p>
    <w:p w14:paraId="3521F991" w14:textId="77777777" w:rsidR="0019686B" w:rsidRDefault="0019686B" w:rsidP="008B7380">
      <w:pPr>
        <w:spacing w:after="0" w:line="240" w:lineRule="auto"/>
        <w:jc w:val="both"/>
        <w:rPr>
          <w:rFonts w:ascii="Times New Roman" w:hAnsi="Times New Roman" w:cs="Times New Roman"/>
          <w:i/>
          <w:sz w:val="24"/>
          <w:szCs w:val="24"/>
        </w:rPr>
      </w:pPr>
    </w:p>
    <w:p w14:paraId="723AA53C" w14:textId="77777777" w:rsidR="008B7380" w:rsidRPr="008B7380" w:rsidRDefault="008B7380" w:rsidP="008B7380">
      <w:pPr>
        <w:spacing w:after="0" w:line="240" w:lineRule="auto"/>
        <w:jc w:val="both"/>
        <w:rPr>
          <w:rFonts w:ascii="Times New Roman" w:hAnsi="Times New Roman" w:cs="Times New Roman"/>
          <w:sz w:val="24"/>
          <w:szCs w:val="24"/>
        </w:rPr>
      </w:pPr>
      <w:r w:rsidRPr="008B7380">
        <w:rPr>
          <w:rFonts w:ascii="Times New Roman" w:hAnsi="Times New Roman" w:cs="Times New Roman"/>
          <w:i/>
          <w:sz w:val="24"/>
          <w:szCs w:val="24"/>
        </w:rPr>
        <w:t>Dube, Manikai &amp; Hwacha</w:t>
      </w:r>
      <w:r w:rsidRPr="008B7380">
        <w:rPr>
          <w:rFonts w:ascii="Times New Roman" w:hAnsi="Times New Roman" w:cs="Times New Roman"/>
          <w:sz w:val="24"/>
          <w:szCs w:val="24"/>
        </w:rPr>
        <w:t>, 1</w:t>
      </w:r>
      <w:r w:rsidRPr="008B7380">
        <w:rPr>
          <w:rFonts w:ascii="Times New Roman" w:hAnsi="Times New Roman" w:cs="Times New Roman"/>
          <w:sz w:val="24"/>
          <w:szCs w:val="24"/>
          <w:vertAlign w:val="superscript"/>
        </w:rPr>
        <w:t>st</w:t>
      </w:r>
      <w:r w:rsidRPr="008B7380">
        <w:rPr>
          <w:rFonts w:ascii="Times New Roman" w:hAnsi="Times New Roman" w:cs="Times New Roman"/>
          <w:sz w:val="24"/>
          <w:szCs w:val="24"/>
        </w:rPr>
        <w:t xml:space="preserve"> respondent’s legal practitioners</w:t>
      </w:r>
    </w:p>
    <w:p w14:paraId="4EE1D9CB" w14:textId="77777777" w:rsidR="008B7380" w:rsidRPr="008B7380" w:rsidRDefault="008B7380" w:rsidP="008B7380">
      <w:pPr>
        <w:pStyle w:val="ListParagraph"/>
        <w:spacing w:after="0" w:line="240" w:lineRule="auto"/>
        <w:ind w:left="1080"/>
        <w:jc w:val="both"/>
        <w:rPr>
          <w:rFonts w:ascii="Times New Roman" w:hAnsi="Times New Roman" w:cs="Times New Roman"/>
          <w:sz w:val="24"/>
          <w:szCs w:val="24"/>
        </w:rPr>
      </w:pPr>
    </w:p>
    <w:p w14:paraId="496D2945" w14:textId="77777777" w:rsidR="008B7380" w:rsidRPr="008B7380" w:rsidRDefault="008B7380" w:rsidP="008B7380">
      <w:pPr>
        <w:pStyle w:val="ListParagraph"/>
        <w:spacing w:after="0" w:line="240" w:lineRule="auto"/>
        <w:ind w:left="1080"/>
        <w:jc w:val="both"/>
        <w:rPr>
          <w:rFonts w:ascii="Times New Roman" w:hAnsi="Times New Roman" w:cs="Times New Roman"/>
          <w:sz w:val="24"/>
          <w:szCs w:val="24"/>
        </w:rPr>
      </w:pPr>
    </w:p>
    <w:p w14:paraId="7A235858" w14:textId="77777777" w:rsidR="00AE3E29" w:rsidRPr="00AE2A78" w:rsidRDefault="00AE3E29" w:rsidP="00AE3E29">
      <w:pPr>
        <w:pStyle w:val="ListParagraph"/>
        <w:rPr>
          <w:rFonts w:ascii="Times New Roman" w:hAnsi="Times New Roman" w:cs="Times New Roman"/>
        </w:rPr>
      </w:pPr>
    </w:p>
    <w:p w14:paraId="3901215A" w14:textId="77777777" w:rsidR="00AE3E29" w:rsidRDefault="00AE3E29" w:rsidP="00AE3E29">
      <w:pPr>
        <w:spacing w:after="0" w:line="240" w:lineRule="auto"/>
        <w:jc w:val="both"/>
        <w:rPr>
          <w:rFonts w:ascii="Times New Roman" w:hAnsi="Times New Roman" w:cs="Times New Roman"/>
        </w:rPr>
      </w:pPr>
    </w:p>
    <w:p w14:paraId="7B695D6C" w14:textId="77777777" w:rsidR="00AE3E29" w:rsidRDefault="00AE3E29" w:rsidP="00AE3E29">
      <w:pPr>
        <w:spacing w:after="0" w:line="240" w:lineRule="auto"/>
        <w:jc w:val="both"/>
        <w:rPr>
          <w:rFonts w:ascii="Times New Roman" w:hAnsi="Times New Roman" w:cs="Times New Roman"/>
        </w:rPr>
      </w:pPr>
    </w:p>
    <w:p w14:paraId="1431EF60" w14:textId="77777777" w:rsidR="00AE3E29" w:rsidRDefault="00AE3E29" w:rsidP="00AE3E29">
      <w:pPr>
        <w:spacing w:after="0" w:line="240" w:lineRule="auto"/>
        <w:jc w:val="both"/>
        <w:rPr>
          <w:rFonts w:ascii="Times New Roman" w:hAnsi="Times New Roman" w:cs="Times New Roman"/>
        </w:rPr>
      </w:pPr>
    </w:p>
    <w:p w14:paraId="5AB8E228" w14:textId="77777777" w:rsidR="00AE3E29" w:rsidRDefault="00AE3E29" w:rsidP="00AE3E29">
      <w:pPr>
        <w:spacing w:after="0" w:line="240" w:lineRule="auto"/>
        <w:jc w:val="both"/>
        <w:rPr>
          <w:rFonts w:ascii="Times New Roman" w:hAnsi="Times New Roman" w:cs="Times New Roman"/>
        </w:rPr>
      </w:pPr>
    </w:p>
    <w:p w14:paraId="01C8FFC9" w14:textId="77777777" w:rsidR="00AE3E29" w:rsidRDefault="00AE3E29" w:rsidP="00AE3E29">
      <w:pPr>
        <w:spacing w:after="0" w:line="240" w:lineRule="auto"/>
        <w:jc w:val="both"/>
        <w:rPr>
          <w:rFonts w:ascii="Times New Roman" w:hAnsi="Times New Roman" w:cs="Times New Roman"/>
        </w:rPr>
      </w:pPr>
    </w:p>
    <w:p w14:paraId="17098109" w14:textId="77777777" w:rsidR="00AE3E29" w:rsidRDefault="00AE3E29" w:rsidP="00AE3E29">
      <w:pPr>
        <w:spacing w:after="0" w:line="240" w:lineRule="auto"/>
        <w:jc w:val="both"/>
        <w:rPr>
          <w:rFonts w:ascii="Times New Roman" w:hAnsi="Times New Roman" w:cs="Times New Roman"/>
        </w:rPr>
      </w:pPr>
    </w:p>
    <w:p w14:paraId="62A806E5" w14:textId="77777777" w:rsidR="00AE3E29" w:rsidRDefault="00AE3E29" w:rsidP="00AE3E29">
      <w:pPr>
        <w:spacing w:after="0" w:line="240" w:lineRule="auto"/>
        <w:jc w:val="both"/>
        <w:rPr>
          <w:rFonts w:ascii="Times New Roman" w:hAnsi="Times New Roman" w:cs="Times New Roman"/>
        </w:rPr>
      </w:pPr>
    </w:p>
    <w:p w14:paraId="631D5AC1" w14:textId="77777777" w:rsidR="00B22077" w:rsidRDefault="00B22077" w:rsidP="00052014">
      <w:pPr>
        <w:spacing w:after="0" w:line="360" w:lineRule="auto"/>
        <w:ind w:firstLine="720"/>
        <w:jc w:val="both"/>
        <w:rPr>
          <w:rFonts w:ascii="Times New Roman" w:hAnsi="Times New Roman" w:cs="Times New Roman"/>
          <w:sz w:val="24"/>
          <w:szCs w:val="24"/>
        </w:rPr>
      </w:pPr>
    </w:p>
    <w:p w14:paraId="782F769A" w14:textId="77777777" w:rsidR="00B22077" w:rsidRPr="00052014" w:rsidRDefault="00B22077" w:rsidP="00052014">
      <w:pPr>
        <w:spacing w:after="0" w:line="360" w:lineRule="auto"/>
        <w:ind w:firstLine="720"/>
        <w:jc w:val="both"/>
        <w:rPr>
          <w:rFonts w:ascii="Times New Roman" w:hAnsi="Times New Roman" w:cs="Times New Roman"/>
          <w:sz w:val="24"/>
          <w:szCs w:val="24"/>
        </w:rPr>
      </w:pPr>
    </w:p>
    <w:p w14:paraId="4FE5DFA4" w14:textId="77777777" w:rsidR="00052014" w:rsidRPr="00052014" w:rsidRDefault="00052014" w:rsidP="00882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0C16D6C" w14:textId="77777777" w:rsidR="00882E7E" w:rsidRDefault="00882E7E" w:rsidP="00882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78F8FB7" w14:textId="77777777" w:rsidR="004C4084" w:rsidRPr="004C4084" w:rsidRDefault="004C4084" w:rsidP="004C4084">
      <w:pPr>
        <w:spacing w:after="0" w:line="360" w:lineRule="auto"/>
        <w:ind w:left="360" w:firstLine="360"/>
        <w:jc w:val="both"/>
        <w:rPr>
          <w:rFonts w:ascii="Times New Roman" w:hAnsi="Times New Roman" w:cs="Times New Roman"/>
          <w:sz w:val="24"/>
          <w:szCs w:val="24"/>
        </w:rPr>
      </w:pPr>
    </w:p>
    <w:sectPr w:rsidR="004C4084" w:rsidRPr="004C408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24E88" w14:textId="77777777" w:rsidR="00CC1DB9" w:rsidRDefault="00CC1DB9" w:rsidP="00D32A75">
      <w:pPr>
        <w:spacing w:after="0" w:line="240" w:lineRule="auto"/>
      </w:pPr>
      <w:r>
        <w:separator/>
      </w:r>
    </w:p>
  </w:endnote>
  <w:endnote w:type="continuationSeparator" w:id="0">
    <w:p w14:paraId="1931B591" w14:textId="77777777" w:rsidR="00CC1DB9" w:rsidRDefault="00CC1DB9" w:rsidP="00D3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EFB1C" w14:textId="77777777" w:rsidR="00CC1DB9" w:rsidRDefault="00CC1DB9" w:rsidP="00D32A75">
      <w:pPr>
        <w:spacing w:after="0" w:line="240" w:lineRule="auto"/>
      </w:pPr>
      <w:r>
        <w:separator/>
      </w:r>
    </w:p>
  </w:footnote>
  <w:footnote w:type="continuationSeparator" w:id="0">
    <w:p w14:paraId="344820D4" w14:textId="77777777" w:rsidR="00CC1DB9" w:rsidRDefault="00CC1DB9" w:rsidP="00D32A75">
      <w:pPr>
        <w:spacing w:after="0" w:line="240" w:lineRule="auto"/>
      </w:pPr>
      <w:r>
        <w:continuationSeparator/>
      </w:r>
    </w:p>
  </w:footnote>
  <w:footnote w:id="1">
    <w:p w14:paraId="54614C2C" w14:textId="766525F3" w:rsidR="00C70FDA" w:rsidRDefault="00C70FDA" w:rsidP="00C70FDA">
      <w:pPr>
        <w:autoSpaceDE w:val="0"/>
        <w:autoSpaceDN w:val="0"/>
        <w:adjustRightInd w:val="0"/>
        <w:spacing w:after="0" w:line="240" w:lineRule="auto"/>
        <w:rPr>
          <w:rFonts w:ascii="Times New Roman" w:hAnsi="Times New Roman" w:cs="Times New Roman"/>
          <w:sz w:val="21"/>
          <w:szCs w:val="21"/>
        </w:rPr>
      </w:pPr>
      <w:r>
        <w:rPr>
          <w:rStyle w:val="FootnoteReference"/>
        </w:rPr>
        <w:footnoteRef/>
      </w:r>
      <w:r>
        <w:t xml:space="preserve"> “</w:t>
      </w:r>
      <w:r>
        <w:rPr>
          <w:rFonts w:ascii="Times New Roman" w:hAnsi="Times New Roman" w:cs="Times New Roman"/>
          <w:sz w:val="21"/>
          <w:szCs w:val="21"/>
        </w:rPr>
        <w:t>The court or a judge may, in relation to any particular case before it or him, as the case may be—</w:t>
      </w:r>
    </w:p>
    <w:p w14:paraId="20FB615D" w14:textId="0EDD2B9C" w:rsidR="00C70FDA" w:rsidRDefault="00C70FDA" w:rsidP="00C70FDA">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direct, authorize or condone a departure from any provision of these rules, including an extension of any period specified therein, where it or he, as the case may be, is satisfied that the departure is required in</w:t>
      </w:r>
    </w:p>
    <w:p w14:paraId="510C6A0B" w14:textId="766551B4" w:rsidR="00C70FDA" w:rsidRDefault="00C70FDA" w:rsidP="00C70FDA">
      <w:pPr>
        <w:pStyle w:val="FootnoteText"/>
      </w:pPr>
      <w:r>
        <w:rPr>
          <w:rFonts w:ascii="Times New Roman" w:hAnsi="Times New Roman" w:cs="Times New Roman"/>
          <w:sz w:val="21"/>
          <w:szCs w:val="21"/>
        </w:rPr>
        <w:t>the interests of justice</w:t>
      </w:r>
      <w:r w:rsidR="007F4112">
        <w:rPr>
          <w:rFonts w:ascii="Times New Roman" w:hAnsi="Times New Roman" w:cs="Times New Roman"/>
          <w:sz w:val="21"/>
          <w:szCs w:val="21"/>
        </w:rPr>
        <w:t>.’</w:t>
      </w:r>
    </w:p>
  </w:footnote>
  <w:footnote w:id="2">
    <w:p w14:paraId="48C790E3" w14:textId="78D7EAF9" w:rsidR="002241D0" w:rsidRPr="002241D0" w:rsidRDefault="002241D0">
      <w:pPr>
        <w:pStyle w:val="FootnoteText"/>
        <w:rPr>
          <w:lang w:val="en-US"/>
        </w:rPr>
      </w:pPr>
      <w:r>
        <w:rPr>
          <w:rStyle w:val="FootnoteReference"/>
        </w:rPr>
        <w:footnoteRef/>
      </w:r>
      <w:r>
        <w:t xml:space="preserve"> </w:t>
      </w:r>
      <w:r w:rsidR="0035602C" w:rsidRPr="0064757C">
        <w:rPr>
          <w:rFonts w:ascii="Times New Roman" w:hAnsi="Times New Roman" w:cs="Times New Roman"/>
          <w:sz w:val="22"/>
          <w:szCs w:val="22"/>
        </w:rPr>
        <w:t xml:space="preserve">R. H. Christie </w:t>
      </w:r>
      <w:r w:rsidR="0035602C" w:rsidRPr="0064757C">
        <w:rPr>
          <w:rFonts w:ascii="Times New Roman" w:hAnsi="Times New Roman" w:cs="Times New Roman"/>
          <w:i/>
          <w:iCs/>
          <w:sz w:val="22"/>
          <w:szCs w:val="22"/>
        </w:rPr>
        <w:t>Business Law in Zimbabwe</w:t>
      </w:r>
      <w:r w:rsidR="0035602C" w:rsidRPr="0064757C">
        <w:rPr>
          <w:rFonts w:ascii="Times New Roman" w:hAnsi="Times New Roman" w:cs="Times New Roman"/>
          <w:sz w:val="22"/>
          <w:szCs w:val="22"/>
        </w:rPr>
        <w:t xml:space="preserve"> 2</w:t>
      </w:r>
      <w:r w:rsidR="0035602C" w:rsidRPr="0064757C">
        <w:rPr>
          <w:rFonts w:ascii="Times New Roman" w:hAnsi="Times New Roman" w:cs="Times New Roman"/>
          <w:sz w:val="22"/>
          <w:szCs w:val="22"/>
          <w:vertAlign w:val="superscript"/>
        </w:rPr>
        <w:t>nd</w:t>
      </w:r>
      <w:r w:rsidR="0035602C" w:rsidRPr="0064757C">
        <w:rPr>
          <w:rFonts w:ascii="Times New Roman" w:hAnsi="Times New Roman" w:cs="Times New Roman"/>
          <w:sz w:val="22"/>
          <w:szCs w:val="22"/>
        </w:rPr>
        <w:t xml:space="preserve"> Edition at </w:t>
      </w:r>
      <w:r w:rsidRPr="002241D0">
        <w:rPr>
          <w:rFonts w:ascii="Times New Roman" w:hAnsi="Times New Roman" w:cs="Times New Roman"/>
          <w:sz w:val="22"/>
          <w:szCs w:val="22"/>
        </w:rPr>
        <w:t>31.</w:t>
      </w:r>
    </w:p>
  </w:footnote>
  <w:footnote w:id="3">
    <w:p w14:paraId="77D30399" w14:textId="60DCBAB5" w:rsidR="00D406A0" w:rsidRPr="00D406A0" w:rsidRDefault="00D406A0">
      <w:pPr>
        <w:pStyle w:val="FootnoteText"/>
        <w:rPr>
          <w:lang w:val="en-US"/>
        </w:rPr>
      </w:pPr>
      <w:r>
        <w:rPr>
          <w:rStyle w:val="FootnoteReference"/>
        </w:rPr>
        <w:footnoteRef/>
      </w:r>
      <w:r>
        <w:t xml:space="preserve"> </w:t>
      </w:r>
      <w:r w:rsidRPr="002241D0">
        <w:rPr>
          <w:rFonts w:ascii="Times New Roman" w:hAnsi="Times New Roman" w:cs="Times New Roman"/>
          <w:sz w:val="22"/>
          <w:szCs w:val="22"/>
        </w:rPr>
        <w:t>Ibid p 31.</w:t>
      </w:r>
    </w:p>
  </w:footnote>
  <w:footnote w:id="4">
    <w:p w14:paraId="5B5B3B5E" w14:textId="4BA17BD3" w:rsidR="00D910CE" w:rsidRPr="0064757C" w:rsidRDefault="00D910CE" w:rsidP="00D910CE">
      <w:pPr>
        <w:pStyle w:val="FootnoteText"/>
        <w:rPr>
          <w:lang w:val="en-US"/>
        </w:rPr>
      </w:pPr>
      <w:r>
        <w:rPr>
          <w:rStyle w:val="FootnoteReference"/>
        </w:rPr>
        <w:footnoteRef/>
      </w:r>
      <w:r>
        <w:t xml:space="preserve"> </w:t>
      </w:r>
      <w:r w:rsidR="0035602C">
        <w:rPr>
          <w:rFonts w:ascii="Times New Roman" w:hAnsi="Times New Roman" w:cs="Times New Roman"/>
          <w:sz w:val="22"/>
          <w:szCs w:val="22"/>
        </w:rPr>
        <w:t>Ibid</w:t>
      </w:r>
      <w:r w:rsidRPr="0064757C">
        <w:rPr>
          <w:rFonts w:ascii="Times New Roman" w:hAnsi="Times New Roman" w:cs="Times New Roman"/>
          <w:sz w:val="22"/>
          <w:szCs w:val="22"/>
        </w:rPr>
        <w:t xml:space="preserve"> p75.</w:t>
      </w:r>
    </w:p>
  </w:footnote>
  <w:footnote w:id="5">
    <w:p w14:paraId="4969A428" w14:textId="6AD8771D" w:rsidR="00DD0FFE" w:rsidRPr="00DD0FFE" w:rsidRDefault="00DD0FFE">
      <w:pPr>
        <w:pStyle w:val="FootnoteText"/>
        <w:rPr>
          <w:lang w:val="en-US"/>
        </w:rPr>
      </w:pPr>
      <w:r>
        <w:rPr>
          <w:rStyle w:val="FootnoteReference"/>
        </w:rPr>
        <w:footnoteRef/>
      </w:r>
      <w:r>
        <w:t xml:space="preserve"> </w:t>
      </w:r>
      <w:r w:rsidRPr="00DD0FFE">
        <w:rPr>
          <w:rFonts w:ascii="Times New Roman" w:hAnsi="Times New Roman" w:cs="Times New Roman"/>
          <w:sz w:val="22"/>
          <w:szCs w:val="22"/>
        </w:rPr>
        <w:t xml:space="preserve">I Maja </w:t>
      </w:r>
      <w:r w:rsidRPr="00DD0FFE">
        <w:rPr>
          <w:rFonts w:ascii="Times New Roman" w:hAnsi="Times New Roman" w:cs="Times New Roman"/>
          <w:i/>
          <w:iCs/>
          <w:sz w:val="22"/>
          <w:szCs w:val="22"/>
        </w:rPr>
        <w:t xml:space="preserve">The Law of Contract in Zimbabwe </w:t>
      </w:r>
      <w:r w:rsidRPr="00DD0FFE">
        <w:rPr>
          <w:rFonts w:ascii="Times New Roman" w:hAnsi="Times New Roman" w:cs="Times New Roman"/>
          <w:sz w:val="22"/>
          <w:szCs w:val="22"/>
        </w:rPr>
        <w:t>2015 at p 22.</w:t>
      </w:r>
    </w:p>
  </w:footnote>
  <w:footnote w:id="6">
    <w:p w14:paraId="5D315B74" w14:textId="78AB26BF" w:rsidR="004C329B" w:rsidRDefault="004C329B">
      <w:pPr>
        <w:pStyle w:val="FootnoteText"/>
      </w:pPr>
      <w:r>
        <w:rPr>
          <w:rStyle w:val="FootnoteReference"/>
        </w:rPr>
        <w:footnoteRef/>
      </w:r>
      <w:r>
        <w:t xml:space="preserve"> </w:t>
      </w:r>
      <w:r>
        <w:rPr>
          <w:rFonts w:ascii="Times New Roman" w:hAnsi="Times New Roman" w:cs="Times New Roman"/>
        </w:rPr>
        <w:t>“Unit” means the Financial Intelligence Unit referred to in section 6A</w:t>
      </w:r>
      <w:r w:rsidR="00CF58B2">
        <w:rPr>
          <w:rFonts w:ascii="Times New Roman" w:hAnsi="Times New Roman" w:cs="Times New Roman"/>
        </w:rPr>
        <w:t>.</w:t>
      </w:r>
    </w:p>
  </w:footnote>
  <w:footnote w:id="7">
    <w:p w14:paraId="0084DA64" w14:textId="6DFA3869" w:rsidR="00524CCB" w:rsidRPr="00524CCB" w:rsidRDefault="00524CCB">
      <w:pPr>
        <w:pStyle w:val="FootnoteText"/>
        <w:rPr>
          <w:lang w:val="en-US"/>
        </w:rPr>
      </w:pPr>
      <w:r>
        <w:rPr>
          <w:rStyle w:val="FootnoteReference"/>
        </w:rPr>
        <w:footnoteRef/>
      </w:r>
      <w:r>
        <w:t xml:space="preserve"> </w:t>
      </w:r>
      <w:r w:rsidRPr="00524CCB">
        <w:rPr>
          <w:rFonts w:ascii="Times New Roman" w:hAnsi="Times New Roman" w:cs="Times New Roman"/>
          <w:sz w:val="22"/>
          <w:szCs w:val="22"/>
        </w:rPr>
        <w:t>Herbste</w:t>
      </w:r>
      <w:r>
        <w:rPr>
          <w:rFonts w:ascii="Times New Roman" w:hAnsi="Times New Roman" w:cs="Times New Roman"/>
          <w:sz w:val="22"/>
          <w:szCs w:val="22"/>
        </w:rPr>
        <w:t>i</w:t>
      </w:r>
      <w:r w:rsidRPr="00524CCB">
        <w:rPr>
          <w:rFonts w:ascii="Times New Roman" w:hAnsi="Times New Roman" w:cs="Times New Roman"/>
          <w:sz w:val="22"/>
          <w:szCs w:val="22"/>
        </w:rPr>
        <w:t xml:space="preserve">n and </w:t>
      </w:r>
      <w:r>
        <w:rPr>
          <w:rFonts w:ascii="Times New Roman" w:hAnsi="Times New Roman" w:cs="Times New Roman"/>
        </w:rPr>
        <w:t>V</w:t>
      </w:r>
      <w:r w:rsidRPr="00524CCB">
        <w:rPr>
          <w:rFonts w:ascii="Times New Roman" w:hAnsi="Times New Roman" w:cs="Times New Roman"/>
          <w:sz w:val="22"/>
          <w:szCs w:val="22"/>
        </w:rPr>
        <w:t xml:space="preserve">an Winsen </w:t>
      </w:r>
      <w:r w:rsidR="00735989" w:rsidRPr="00735989">
        <w:rPr>
          <w:rFonts w:ascii="Times New Roman" w:hAnsi="Times New Roman" w:cs="Times New Roman"/>
          <w:i/>
          <w:iCs/>
          <w:sz w:val="22"/>
          <w:szCs w:val="22"/>
        </w:rPr>
        <w:t xml:space="preserve">The Civil Practice of the High Courts and the Supreme Court of Appeal of South Africa </w:t>
      </w:r>
      <w:r w:rsidR="00735989">
        <w:rPr>
          <w:rFonts w:ascii="Times New Roman" w:hAnsi="Times New Roman" w:cs="Times New Roman"/>
          <w:sz w:val="22"/>
          <w:szCs w:val="22"/>
        </w:rPr>
        <w:t>5</w:t>
      </w:r>
      <w:r w:rsidR="00735989" w:rsidRPr="00735989">
        <w:rPr>
          <w:rFonts w:ascii="Times New Roman" w:hAnsi="Times New Roman" w:cs="Times New Roman"/>
          <w:sz w:val="22"/>
          <w:szCs w:val="22"/>
          <w:vertAlign w:val="superscript"/>
        </w:rPr>
        <w:t>th</w:t>
      </w:r>
      <w:r w:rsidR="00735989">
        <w:rPr>
          <w:rFonts w:ascii="Times New Roman" w:hAnsi="Times New Roman" w:cs="Times New Roman"/>
          <w:sz w:val="22"/>
          <w:szCs w:val="22"/>
        </w:rPr>
        <w:t xml:space="preserve"> Ed </w:t>
      </w:r>
      <w:r w:rsidRPr="00524CCB">
        <w:rPr>
          <w:rFonts w:ascii="Times New Roman" w:hAnsi="Times New Roman" w:cs="Times New Roman"/>
          <w:sz w:val="22"/>
          <w:szCs w:val="22"/>
        </w:rPr>
        <w:t>at p 1465</w:t>
      </w:r>
      <w:r>
        <w:rPr>
          <w:rFonts w:ascii="Times New Roman" w:hAnsi="Times New Roman" w:cs="Times New Roman"/>
          <w:sz w:val="22"/>
          <w:szCs w:val="22"/>
        </w:rPr>
        <w:t>.</w:t>
      </w:r>
    </w:p>
  </w:footnote>
  <w:footnote w:id="8">
    <w:p w14:paraId="25B1C15D" w14:textId="5645CBEB" w:rsidR="001E23B6" w:rsidRPr="001E23B6" w:rsidRDefault="001E23B6" w:rsidP="001E23B6">
      <w:pPr>
        <w:pStyle w:val="FootnoteText"/>
        <w:rPr>
          <w:lang w:val="en-US"/>
        </w:rPr>
      </w:pPr>
      <w:r>
        <w:rPr>
          <w:rStyle w:val="FootnoteReference"/>
        </w:rPr>
        <w:footnoteRef/>
      </w:r>
      <w:r>
        <w:t xml:space="preserve"> </w:t>
      </w:r>
      <w:r w:rsidR="00735989">
        <w:rPr>
          <w:rFonts w:ascii="Times New Roman" w:hAnsi="Times New Roman" w:cs="Times New Roman"/>
          <w:sz w:val="22"/>
          <w:szCs w:val="22"/>
        </w:rPr>
        <w:t>Ibid</w:t>
      </w:r>
      <w:r w:rsidRPr="00524CCB">
        <w:rPr>
          <w:rFonts w:ascii="Times New Roman" w:hAnsi="Times New Roman" w:cs="Times New Roman"/>
          <w:sz w:val="22"/>
          <w:szCs w:val="22"/>
        </w:rPr>
        <w:t xml:space="preserve"> at p 146</w:t>
      </w:r>
      <w:r>
        <w:rPr>
          <w:rFonts w:ascii="Times New Roman" w:hAnsi="Times New Roman" w:cs="Times New Roman"/>
          <w:sz w:val="22"/>
          <w:szCs w:val="22"/>
        </w:rPr>
        <w:t>6.</w:t>
      </w:r>
    </w:p>
    <w:p w14:paraId="19F5C353" w14:textId="2F53C25C" w:rsidR="001E23B6" w:rsidRPr="001E23B6" w:rsidRDefault="001E23B6">
      <w:pPr>
        <w:pStyle w:val="FootnoteText"/>
        <w:rPr>
          <w:lang w:val="en-US"/>
        </w:rPr>
      </w:pPr>
    </w:p>
  </w:footnote>
  <w:footnote w:id="9">
    <w:p w14:paraId="2E3E6DF6" w14:textId="18545463" w:rsidR="008B2C89" w:rsidRPr="008B2C89" w:rsidRDefault="008B2C89">
      <w:pPr>
        <w:pStyle w:val="FootnoteText"/>
        <w:rPr>
          <w:lang w:val="en-US"/>
        </w:rPr>
      </w:pPr>
      <w:r>
        <w:rPr>
          <w:rStyle w:val="FootnoteReference"/>
        </w:rPr>
        <w:footnoteRef/>
      </w:r>
      <w:r>
        <w:t xml:space="preserve"> </w:t>
      </w:r>
      <w:r>
        <w:rPr>
          <w:lang w:val="en-US"/>
        </w:rPr>
        <w:t xml:space="preserve">Ibid </w:t>
      </w:r>
      <w:r w:rsidR="00735989">
        <w:rPr>
          <w:lang w:val="en-US"/>
        </w:rPr>
        <w:t xml:space="preserve">at p </w:t>
      </w:r>
      <w:r>
        <w:rPr>
          <w:lang w:val="en-US"/>
        </w:rPr>
        <w:t>1466.</w:t>
      </w:r>
    </w:p>
  </w:footnote>
  <w:footnote w:id="10">
    <w:p w14:paraId="241D3D0D" w14:textId="0445DAA0" w:rsidR="00F1744D" w:rsidRDefault="00F1744D">
      <w:pPr>
        <w:pStyle w:val="FootnoteText"/>
      </w:pPr>
      <w:r>
        <w:rPr>
          <w:rStyle w:val="FootnoteReference"/>
        </w:rPr>
        <w:footnoteRef/>
      </w:r>
      <w:r w:rsidR="00BA5933">
        <w:rPr>
          <w:sz w:val="21"/>
          <w:szCs w:val="21"/>
        </w:rPr>
        <w:t xml:space="preserve"> “Subject to this section, the High Court may on application grant leave for the institution of a class action on behalf of any class of persons.” </w:t>
      </w:r>
      <w:r>
        <w:t xml:space="preserve"> </w:t>
      </w:r>
    </w:p>
  </w:footnote>
  <w:footnote w:id="11">
    <w:p w14:paraId="73E1DCE0" w14:textId="17F3BFCB" w:rsidR="00913BC1" w:rsidRDefault="00913BC1">
      <w:pPr>
        <w:pStyle w:val="FootnoteText"/>
      </w:pPr>
      <w:r>
        <w:rPr>
          <w:rStyle w:val="FootnoteReference"/>
        </w:rPr>
        <w:footnoteRef/>
      </w:r>
      <w:r>
        <w:t xml:space="preserve"> “</w:t>
      </w:r>
      <w:r>
        <w:rPr>
          <w:sz w:val="21"/>
          <w:szCs w:val="21"/>
        </w:rPr>
        <w:t xml:space="preserve">(1) Where the High Court grants an application under section </w:t>
      </w:r>
      <w:r>
        <w:rPr>
          <w:i/>
          <w:iCs/>
          <w:sz w:val="21"/>
          <w:szCs w:val="21"/>
        </w:rPr>
        <w:t xml:space="preserve">three </w:t>
      </w:r>
      <w:r>
        <w:rPr>
          <w:sz w:val="21"/>
          <w:szCs w:val="21"/>
        </w:rPr>
        <w:t>for leave to institute a class action it shall appoint the applicant or any other suitable person to be the representative of the class of persons concerned in the class action.”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085385"/>
      <w:docPartObj>
        <w:docPartGallery w:val="Page Numbers (Top of Page)"/>
        <w:docPartUnique/>
      </w:docPartObj>
    </w:sdtPr>
    <w:sdtEndPr>
      <w:rPr>
        <w:noProof/>
      </w:rPr>
    </w:sdtEndPr>
    <w:sdtContent>
      <w:p w14:paraId="2634EF5A" w14:textId="035D70CA" w:rsidR="00780BB5" w:rsidRDefault="00780BB5">
        <w:pPr>
          <w:pStyle w:val="Header"/>
          <w:jc w:val="right"/>
          <w:rPr>
            <w:noProof/>
          </w:rPr>
        </w:pPr>
        <w:r>
          <w:fldChar w:fldCharType="begin"/>
        </w:r>
        <w:r>
          <w:instrText xml:space="preserve"> PAGE   \* MERGEFORMAT </w:instrText>
        </w:r>
        <w:r>
          <w:fldChar w:fldCharType="separate"/>
        </w:r>
        <w:r w:rsidR="000B0D18">
          <w:rPr>
            <w:noProof/>
          </w:rPr>
          <w:t>1</w:t>
        </w:r>
        <w:r>
          <w:rPr>
            <w:noProof/>
          </w:rPr>
          <w:fldChar w:fldCharType="end"/>
        </w:r>
      </w:p>
      <w:p w14:paraId="57CF0904" w14:textId="7BF6B51B" w:rsidR="00780BB5" w:rsidRDefault="00ED0755">
        <w:pPr>
          <w:pStyle w:val="Header"/>
          <w:jc w:val="right"/>
          <w:rPr>
            <w:noProof/>
          </w:rPr>
        </w:pPr>
        <w:r>
          <w:rPr>
            <w:noProof/>
          </w:rPr>
          <w:t>HH</w:t>
        </w:r>
        <w:r w:rsidR="00BC2F47">
          <w:rPr>
            <w:noProof/>
          </w:rPr>
          <w:t xml:space="preserve"> 140-21</w:t>
        </w:r>
      </w:p>
      <w:p w14:paraId="3C99B692" w14:textId="77777777" w:rsidR="00780BB5" w:rsidRDefault="00780BB5">
        <w:pPr>
          <w:pStyle w:val="Header"/>
          <w:jc w:val="right"/>
        </w:pPr>
        <w:r>
          <w:rPr>
            <w:noProof/>
          </w:rPr>
          <w:t>HC 111/21</w:t>
        </w:r>
      </w:p>
    </w:sdtContent>
  </w:sdt>
  <w:p w14:paraId="6FFDC9E4" w14:textId="77777777" w:rsidR="00780BB5" w:rsidRDefault="00780B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50F94"/>
    <w:multiLevelType w:val="hybridMultilevel"/>
    <w:tmpl w:val="897CD046"/>
    <w:lvl w:ilvl="0" w:tplc="DA8489C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34776D4"/>
    <w:multiLevelType w:val="hybridMultilevel"/>
    <w:tmpl w:val="52341AAC"/>
    <w:lvl w:ilvl="0" w:tplc="04CA39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3BF5E4A"/>
    <w:multiLevelType w:val="hybridMultilevel"/>
    <w:tmpl w:val="404CEFE2"/>
    <w:lvl w:ilvl="0" w:tplc="DA8489C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C93073E"/>
    <w:multiLevelType w:val="hybridMultilevel"/>
    <w:tmpl w:val="AE9051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0EB3E0D"/>
    <w:multiLevelType w:val="hybridMultilevel"/>
    <w:tmpl w:val="94F60808"/>
    <w:lvl w:ilvl="0" w:tplc="4744540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B1F23A2"/>
    <w:multiLevelType w:val="hybridMultilevel"/>
    <w:tmpl w:val="41F479EA"/>
    <w:lvl w:ilvl="0" w:tplc="DA8489C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4EF2D96"/>
    <w:multiLevelType w:val="hybridMultilevel"/>
    <w:tmpl w:val="BFC2F6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4030075"/>
    <w:multiLevelType w:val="hybridMultilevel"/>
    <w:tmpl w:val="FB627524"/>
    <w:lvl w:ilvl="0" w:tplc="04CA39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93433E0"/>
    <w:multiLevelType w:val="hybridMultilevel"/>
    <w:tmpl w:val="38AC65AC"/>
    <w:lvl w:ilvl="0" w:tplc="CF8CD0D0">
      <w:start w:val="1"/>
      <w:numFmt w:val="decimal"/>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CAA6113"/>
    <w:multiLevelType w:val="hybridMultilevel"/>
    <w:tmpl w:val="E702CB0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3"/>
  </w:num>
  <w:num w:numId="5">
    <w:abstractNumId w:val="1"/>
  </w:num>
  <w:num w:numId="6">
    <w:abstractNumId w:val="0"/>
  </w:num>
  <w:num w:numId="7">
    <w:abstractNumId w:val="5"/>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75"/>
    <w:rsid w:val="00001C2D"/>
    <w:rsid w:val="00005534"/>
    <w:rsid w:val="000104B1"/>
    <w:rsid w:val="000272D3"/>
    <w:rsid w:val="00046C00"/>
    <w:rsid w:val="00050ACE"/>
    <w:rsid w:val="00052014"/>
    <w:rsid w:val="00061777"/>
    <w:rsid w:val="000631EB"/>
    <w:rsid w:val="00064E6B"/>
    <w:rsid w:val="0006609D"/>
    <w:rsid w:val="00075374"/>
    <w:rsid w:val="00081673"/>
    <w:rsid w:val="00091344"/>
    <w:rsid w:val="000928D7"/>
    <w:rsid w:val="00096B49"/>
    <w:rsid w:val="000A33C0"/>
    <w:rsid w:val="000A4955"/>
    <w:rsid w:val="000A7F93"/>
    <w:rsid w:val="000B0D18"/>
    <w:rsid w:val="000B3F4E"/>
    <w:rsid w:val="000B651D"/>
    <w:rsid w:val="000D5133"/>
    <w:rsid w:val="000D6C52"/>
    <w:rsid w:val="000F508E"/>
    <w:rsid w:val="000F6BE5"/>
    <w:rsid w:val="00103E29"/>
    <w:rsid w:val="001041F5"/>
    <w:rsid w:val="00110D18"/>
    <w:rsid w:val="0011458B"/>
    <w:rsid w:val="001164E3"/>
    <w:rsid w:val="00132596"/>
    <w:rsid w:val="001331A9"/>
    <w:rsid w:val="00136152"/>
    <w:rsid w:val="00136A90"/>
    <w:rsid w:val="001371ED"/>
    <w:rsid w:val="00143EC0"/>
    <w:rsid w:val="00147543"/>
    <w:rsid w:val="00153EC1"/>
    <w:rsid w:val="00162986"/>
    <w:rsid w:val="00163562"/>
    <w:rsid w:val="00167FA4"/>
    <w:rsid w:val="00173808"/>
    <w:rsid w:val="001929C9"/>
    <w:rsid w:val="00194244"/>
    <w:rsid w:val="0019686B"/>
    <w:rsid w:val="001A3E3D"/>
    <w:rsid w:val="001A4689"/>
    <w:rsid w:val="001B508D"/>
    <w:rsid w:val="001B523F"/>
    <w:rsid w:val="001C54B9"/>
    <w:rsid w:val="001D2AE7"/>
    <w:rsid w:val="001D3329"/>
    <w:rsid w:val="001D7392"/>
    <w:rsid w:val="001E030E"/>
    <w:rsid w:val="001E23B6"/>
    <w:rsid w:val="001F525E"/>
    <w:rsid w:val="002010F3"/>
    <w:rsid w:val="002025D2"/>
    <w:rsid w:val="00205C92"/>
    <w:rsid w:val="002115E4"/>
    <w:rsid w:val="002126AA"/>
    <w:rsid w:val="00215F74"/>
    <w:rsid w:val="0021798B"/>
    <w:rsid w:val="002241D0"/>
    <w:rsid w:val="002374BF"/>
    <w:rsid w:val="0025028A"/>
    <w:rsid w:val="00250FA3"/>
    <w:rsid w:val="002632D6"/>
    <w:rsid w:val="00271D33"/>
    <w:rsid w:val="00273FBE"/>
    <w:rsid w:val="0028536D"/>
    <w:rsid w:val="002868D2"/>
    <w:rsid w:val="00295E70"/>
    <w:rsid w:val="002A0C9C"/>
    <w:rsid w:val="002A74F0"/>
    <w:rsid w:val="002B236A"/>
    <w:rsid w:val="002B64C4"/>
    <w:rsid w:val="002C4728"/>
    <w:rsid w:val="002C623D"/>
    <w:rsid w:val="002D24B6"/>
    <w:rsid w:val="002D54D4"/>
    <w:rsid w:val="002D68A6"/>
    <w:rsid w:val="002D7E18"/>
    <w:rsid w:val="002F3D00"/>
    <w:rsid w:val="002F4593"/>
    <w:rsid w:val="00301BEA"/>
    <w:rsid w:val="0030672E"/>
    <w:rsid w:val="00312B6E"/>
    <w:rsid w:val="00315514"/>
    <w:rsid w:val="00316ED7"/>
    <w:rsid w:val="003261EC"/>
    <w:rsid w:val="0034637D"/>
    <w:rsid w:val="0035602C"/>
    <w:rsid w:val="003629D1"/>
    <w:rsid w:val="00364EB4"/>
    <w:rsid w:val="003659BA"/>
    <w:rsid w:val="00372939"/>
    <w:rsid w:val="00386A09"/>
    <w:rsid w:val="003909D7"/>
    <w:rsid w:val="003971F3"/>
    <w:rsid w:val="003979F1"/>
    <w:rsid w:val="00397E3D"/>
    <w:rsid w:val="003A0FFB"/>
    <w:rsid w:val="003A11AE"/>
    <w:rsid w:val="003A1C02"/>
    <w:rsid w:val="003B3503"/>
    <w:rsid w:val="003C6B33"/>
    <w:rsid w:val="003D4AAC"/>
    <w:rsid w:val="003E782F"/>
    <w:rsid w:val="003E78C0"/>
    <w:rsid w:val="003F0909"/>
    <w:rsid w:val="003F6D50"/>
    <w:rsid w:val="003F7914"/>
    <w:rsid w:val="00401E1C"/>
    <w:rsid w:val="00404826"/>
    <w:rsid w:val="004112F2"/>
    <w:rsid w:val="0041248B"/>
    <w:rsid w:val="00414694"/>
    <w:rsid w:val="00417711"/>
    <w:rsid w:val="0043020F"/>
    <w:rsid w:val="00433F73"/>
    <w:rsid w:val="00434E79"/>
    <w:rsid w:val="004565ED"/>
    <w:rsid w:val="004643E0"/>
    <w:rsid w:val="00470261"/>
    <w:rsid w:val="00482CC7"/>
    <w:rsid w:val="00486BEA"/>
    <w:rsid w:val="0048765A"/>
    <w:rsid w:val="004900AA"/>
    <w:rsid w:val="00493777"/>
    <w:rsid w:val="00495CA3"/>
    <w:rsid w:val="00497084"/>
    <w:rsid w:val="004A5EAB"/>
    <w:rsid w:val="004B26DB"/>
    <w:rsid w:val="004B4A03"/>
    <w:rsid w:val="004B5F8A"/>
    <w:rsid w:val="004B5FF9"/>
    <w:rsid w:val="004B7B96"/>
    <w:rsid w:val="004C329B"/>
    <w:rsid w:val="004C34C3"/>
    <w:rsid w:val="004C4084"/>
    <w:rsid w:val="004C5A2F"/>
    <w:rsid w:val="004C7233"/>
    <w:rsid w:val="004D0CF8"/>
    <w:rsid w:val="004D4738"/>
    <w:rsid w:val="004D74C7"/>
    <w:rsid w:val="004F2DEA"/>
    <w:rsid w:val="0050081A"/>
    <w:rsid w:val="00500C34"/>
    <w:rsid w:val="00503855"/>
    <w:rsid w:val="00511560"/>
    <w:rsid w:val="005227AB"/>
    <w:rsid w:val="00523837"/>
    <w:rsid w:val="00524CCB"/>
    <w:rsid w:val="00532743"/>
    <w:rsid w:val="00532CEB"/>
    <w:rsid w:val="005338B0"/>
    <w:rsid w:val="0054620A"/>
    <w:rsid w:val="0056320C"/>
    <w:rsid w:val="00565230"/>
    <w:rsid w:val="00577DED"/>
    <w:rsid w:val="005929DC"/>
    <w:rsid w:val="0059612F"/>
    <w:rsid w:val="005A5538"/>
    <w:rsid w:val="005B79FC"/>
    <w:rsid w:val="005C0B4A"/>
    <w:rsid w:val="005E1AEB"/>
    <w:rsid w:val="005E72FB"/>
    <w:rsid w:val="005F6552"/>
    <w:rsid w:val="00603AA9"/>
    <w:rsid w:val="00605EEA"/>
    <w:rsid w:val="00616884"/>
    <w:rsid w:val="00621B31"/>
    <w:rsid w:val="00633BA7"/>
    <w:rsid w:val="006379BD"/>
    <w:rsid w:val="00640CF0"/>
    <w:rsid w:val="0064757C"/>
    <w:rsid w:val="00652CC1"/>
    <w:rsid w:val="006638AF"/>
    <w:rsid w:val="00675C63"/>
    <w:rsid w:val="00691F1D"/>
    <w:rsid w:val="0069347B"/>
    <w:rsid w:val="00695434"/>
    <w:rsid w:val="00697792"/>
    <w:rsid w:val="006A456E"/>
    <w:rsid w:val="006B25CA"/>
    <w:rsid w:val="006B4BE4"/>
    <w:rsid w:val="006B4DB9"/>
    <w:rsid w:val="006B70DD"/>
    <w:rsid w:val="006B7D81"/>
    <w:rsid w:val="006C1E34"/>
    <w:rsid w:val="006D0EFB"/>
    <w:rsid w:val="006D1963"/>
    <w:rsid w:val="006D482E"/>
    <w:rsid w:val="006D5D8B"/>
    <w:rsid w:val="006E1C72"/>
    <w:rsid w:val="006E640B"/>
    <w:rsid w:val="006F1EE8"/>
    <w:rsid w:val="006F5E46"/>
    <w:rsid w:val="006F7407"/>
    <w:rsid w:val="00702493"/>
    <w:rsid w:val="00706467"/>
    <w:rsid w:val="007178A4"/>
    <w:rsid w:val="00724067"/>
    <w:rsid w:val="00735989"/>
    <w:rsid w:val="0074461B"/>
    <w:rsid w:val="00744B7E"/>
    <w:rsid w:val="00757B99"/>
    <w:rsid w:val="00757C0E"/>
    <w:rsid w:val="00780BB5"/>
    <w:rsid w:val="00787865"/>
    <w:rsid w:val="00796191"/>
    <w:rsid w:val="007A36EA"/>
    <w:rsid w:val="007B3C80"/>
    <w:rsid w:val="007C5896"/>
    <w:rsid w:val="007E4D78"/>
    <w:rsid w:val="007F297B"/>
    <w:rsid w:val="007F33CF"/>
    <w:rsid w:val="007F345C"/>
    <w:rsid w:val="007F4112"/>
    <w:rsid w:val="007F5E1D"/>
    <w:rsid w:val="00804B85"/>
    <w:rsid w:val="0083226F"/>
    <w:rsid w:val="0084208D"/>
    <w:rsid w:val="00843FD4"/>
    <w:rsid w:val="00851CC3"/>
    <w:rsid w:val="008524AF"/>
    <w:rsid w:val="00855B79"/>
    <w:rsid w:val="00864B03"/>
    <w:rsid w:val="00865BBA"/>
    <w:rsid w:val="0086667B"/>
    <w:rsid w:val="00871D49"/>
    <w:rsid w:val="0087360B"/>
    <w:rsid w:val="00874C07"/>
    <w:rsid w:val="0088187D"/>
    <w:rsid w:val="00882E7E"/>
    <w:rsid w:val="008B2C89"/>
    <w:rsid w:val="008B3246"/>
    <w:rsid w:val="008B41EF"/>
    <w:rsid w:val="008B5969"/>
    <w:rsid w:val="008B6FAA"/>
    <w:rsid w:val="008B7380"/>
    <w:rsid w:val="008E1273"/>
    <w:rsid w:val="008F4010"/>
    <w:rsid w:val="008F73E1"/>
    <w:rsid w:val="00913BC1"/>
    <w:rsid w:val="0092068B"/>
    <w:rsid w:val="00927158"/>
    <w:rsid w:val="00934D55"/>
    <w:rsid w:val="009529F8"/>
    <w:rsid w:val="009539BE"/>
    <w:rsid w:val="009576C4"/>
    <w:rsid w:val="009711AA"/>
    <w:rsid w:val="00972E94"/>
    <w:rsid w:val="009761D2"/>
    <w:rsid w:val="0099317B"/>
    <w:rsid w:val="009946EF"/>
    <w:rsid w:val="009A38A3"/>
    <w:rsid w:val="009A621D"/>
    <w:rsid w:val="009B0144"/>
    <w:rsid w:val="009B6AE2"/>
    <w:rsid w:val="009C1311"/>
    <w:rsid w:val="009C6535"/>
    <w:rsid w:val="009E4706"/>
    <w:rsid w:val="009E75C7"/>
    <w:rsid w:val="009E7DB7"/>
    <w:rsid w:val="009F2994"/>
    <w:rsid w:val="009F52D1"/>
    <w:rsid w:val="009F7015"/>
    <w:rsid w:val="009F7438"/>
    <w:rsid w:val="00A02BA3"/>
    <w:rsid w:val="00A061DE"/>
    <w:rsid w:val="00A10732"/>
    <w:rsid w:val="00A11BC1"/>
    <w:rsid w:val="00A21144"/>
    <w:rsid w:val="00A21152"/>
    <w:rsid w:val="00A2209E"/>
    <w:rsid w:val="00A247EC"/>
    <w:rsid w:val="00A27743"/>
    <w:rsid w:val="00A31209"/>
    <w:rsid w:val="00A36745"/>
    <w:rsid w:val="00A56A21"/>
    <w:rsid w:val="00A63EA4"/>
    <w:rsid w:val="00A660EC"/>
    <w:rsid w:val="00A71AD7"/>
    <w:rsid w:val="00A819FB"/>
    <w:rsid w:val="00A83293"/>
    <w:rsid w:val="00A97C75"/>
    <w:rsid w:val="00AA17D1"/>
    <w:rsid w:val="00AB1BAB"/>
    <w:rsid w:val="00AB58DC"/>
    <w:rsid w:val="00AC1C93"/>
    <w:rsid w:val="00AC6BEF"/>
    <w:rsid w:val="00AD05DF"/>
    <w:rsid w:val="00AD7B5A"/>
    <w:rsid w:val="00AE08B6"/>
    <w:rsid w:val="00AE2A78"/>
    <w:rsid w:val="00AE3E29"/>
    <w:rsid w:val="00AE6CC0"/>
    <w:rsid w:val="00AF597C"/>
    <w:rsid w:val="00B05095"/>
    <w:rsid w:val="00B059FA"/>
    <w:rsid w:val="00B05C60"/>
    <w:rsid w:val="00B1492A"/>
    <w:rsid w:val="00B21DEF"/>
    <w:rsid w:val="00B22077"/>
    <w:rsid w:val="00B248E6"/>
    <w:rsid w:val="00B305BD"/>
    <w:rsid w:val="00B31408"/>
    <w:rsid w:val="00B35B80"/>
    <w:rsid w:val="00B45216"/>
    <w:rsid w:val="00B4556D"/>
    <w:rsid w:val="00B47D29"/>
    <w:rsid w:val="00B531F6"/>
    <w:rsid w:val="00B75C07"/>
    <w:rsid w:val="00B82E88"/>
    <w:rsid w:val="00B938E5"/>
    <w:rsid w:val="00BA5933"/>
    <w:rsid w:val="00BB03D2"/>
    <w:rsid w:val="00BB117F"/>
    <w:rsid w:val="00BB1FDC"/>
    <w:rsid w:val="00BC2F47"/>
    <w:rsid w:val="00BC52E8"/>
    <w:rsid w:val="00BF5B10"/>
    <w:rsid w:val="00C004EE"/>
    <w:rsid w:val="00C042C3"/>
    <w:rsid w:val="00C04AA2"/>
    <w:rsid w:val="00C12A8D"/>
    <w:rsid w:val="00C140EE"/>
    <w:rsid w:val="00C23034"/>
    <w:rsid w:val="00C250E4"/>
    <w:rsid w:val="00C27B03"/>
    <w:rsid w:val="00C35CB9"/>
    <w:rsid w:val="00C37C41"/>
    <w:rsid w:val="00C430CE"/>
    <w:rsid w:val="00C46C4C"/>
    <w:rsid w:val="00C472AF"/>
    <w:rsid w:val="00C51C74"/>
    <w:rsid w:val="00C55F41"/>
    <w:rsid w:val="00C6650E"/>
    <w:rsid w:val="00C66BE2"/>
    <w:rsid w:val="00C70262"/>
    <w:rsid w:val="00C70FDA"/>
    <w:rsid w:val="00C80172"/>
    <w:rsid w:val="00C8474E"/>
    <w:rsid w:val="00C96262"/>
    <w:rsid w:val="00CB28BB"/>
    <w:rsid w:val="00CB5738"/>
    <w:rsid w:val="00CC1DB9"/>
    <w:rsid w:val="00CD3897"/>
    <w:rsid w:val="00CE4D99"/>
    <w:rsid w:val="00CF41B5"/>
    <w:rsid w:val="00CF58B2"/>
    <w:rsid w:val="00D03D73"/>
    <w:rsid w:val="00D11920"/>
    <w:rsid w:val="00D16903"/>
    <w:rsid w:val="00D20598"/>
    <w:rsid w:val="00D21942"/>
    <w:rsid w:val="00D22721"/>
    <w:rsid w:val="00D27CE1"/>
    <w:rsid w:val="00D32A75"/>
    <w:rsid w:val="00D406A0"/>
    <w:rsid w:val="00D45828"/>
    <w:rsid w:val="00D46022"/>
    <w:rsid w:val="00D6042F"/>
    <w:rsid w:val="00D63FDA"/>
    <w:rsid w:val="00D64761"/>
    <w:rsid w:val="00D70E58"/>
    <w:rsid w:val="00D7629B"/>
    <w:rsid w:val="00D80366"/>
    <w:rsid w:val="00D8291E"/>
    <w:rsid w:val="00D910CE"/>
    <w:rsid w:val="00D93F4E"/>
    <w:rsid w:val="00D96E72"/>
    <w:rsid w:val="00DB3C37"/>
    <w:rsid w:val="00DC6C78"/>
    <w:rsid w:val="00DD0FFE"/>
    <w:rsid w:val="00DD25CE"/>
    <w:rsid w:val="00DD2F8D"/>
    <w:rsid w:val="00DE34C6"/>
    <w:rsid w:val="00DE548C"/>
    <w:rsid w:val="00DE5EC2"/>
    <w:rsid w:val="00E010DF"/>
    <w:rsid w:val="00E01B66"/>
    <w:rsid w:val="00E034B0"/>
    <w:rsid w:val="00E0587B"/>
    <w:rsid w:val="00E31CAA"/>
    <w:rsid w:val="00E3286E"/>
    <w:rsid w:val="00E32D08"/>
    <w:rsid w:val="00E66865"/>
    <w:rsid w:val="00E70C5C"/>
    <w:rsid w:val="00E76230"/>
    <w:rsid w:val="00E823E2"/>
    <w:rsid w:val="00E83429"/>
    <w:rsid w:val="00E92314"/>
    <w:rsid w:val="00EA6DDC"/>
    <w:rsid w:val="00EB51E2"/>
    <w:rsid w:val="00EB6B48"/>
    <w:rsid w:val="00EB7586"/>
    <w:rsid w:val="00EC211E"/>
    <w:rsid w:val="00EC6FD3"/>
    <w:rsid w:val="00EC7AD1"/>
    <w:rsid w:val="00ED0755"/>
    <w:rsid w:val="00EE2703"/>
    <w:rsid w:val="00EE6C7B"/>
    <w:rsid w:val="00EF6E2E"/>
    <w:rsid w:val="00F009B7"/>
    <w:rsid w:val="00F1744D"/>
    <w:rsid w:val="00F4243A"/>
    <w:rsid w:val="00F72109"/>
    <w:rsid w:val="00F72879"/>
    <w:rsid w:val="00F750CC"/>
    <w:rsid w:val="00F75676"/>
    <w:rsid w:val="00F75D49"/>
    <w:rsid w:val="00F76E3F"/>
    <w:rsid w:val="00F836E6"/>
    <w:rsid w:val="00F95E23"/>
    <w:rsid w:val="00FA634D"/>
    <w:rsid w:val="00FC5F92"/>
    <w:rsid w:val="00FC6991"/>
    <w:rsid w:val="00FC71CE"/>
    <w:rsid w:val="00FE0993"/>
    <w:rsid w:val="00FE10C4"/>
    <w:rsid w:val="00FE3C86"/>
    <w:rsid w:val="00FF0B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573F"/>
  <w15:chartTrackingRefBased/>
  <w15:docId w15:val="{36C10F56-0481-446A-BFDC-42253946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A75"/>
  </w:style>
  <w:style w:type="paragraph" w:styleId="Footer">
    <w:name w:val="footer"/>
    <w:basedOn w:val="Normal"/>
    <w:link w:val="FooterChar"/>
    <w:uiPriority w:val="99"/>
    <w:unhideWhenUsed/>
    <w:rsid w:val="00D3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A75"/>
  </w:style>
  <w:style w:type="paragraph" w:styleId="ListParagraph">
    <w:name w:val="List Paragraph"/>
    <w:basedOn w:val="Normal"/>
    <w:uiPriority w:val="34"/>
    <w:qFormat/>
    <w:rsid w:val="00972E94"/>
    <w:pPr>
      <w:ind w:left="720"/>
      <w:contextualSpacing/>
    </w:pPr>
  </w:style>
  <w:style w:type="character" w:styleId="CommentReference">
    <w:name w:val="annotation reference"/>
    <w:basedOn w:val="DefaultParagraphFont"/>
    <w:uiPriority w:val="99"/>
    <w:semiHidden/>
    <w:unhideWhenUsed/>
    <w:rsid w:val="003909D7"/>
    <w:rPr>
      <w:sz w:val="16"/>
      <w:szCs w:val="16"/>
    </w:rPr>
  </w:style>
  <w:style w:type="paragraph" w:styleId="CommentText">
    <w:name w:val="annotation text"/>
    <w:basedOn w:val="Normal"/>
    <w:link w:val="CommentTextChar"/>
    <w:uiPriority w:val="99"/>
    <w:semiHidden/>
    <w:unhideWhenUsed/>
    <w:rsid w:val="003909D7"/>
    <w:pPr>
      <w:spacing w:line="240" w:lineRule="auto"/>
    </w:pPr>
    <w:rPr>
      <w:sz w:val="20"/>
      <w:szCs w:val="20"/>
    </w:rPr>
  </w:style>
  <w:style w:type="character" w:customStyle="1" w:styleId="CommentTextChar">
    <w:name w:val="Comment Text Char"/>
    <w:basedOn w:val="DefaultParagraphFont"/>
    <w:link w:val="CommentText"/>
    <w:uiPriority w:val="99"/>
    <w:semiHidden/>
    <w:rsid w:val="003909D7"/>
    <w:rPr>
      <w:sz w:val="20"/>
      <w:szCs w:val="20"/>
    </w:rPr>
  </w:style>
  <w:style w:type="paragraph" w:styleId="CommentSubject">
    <w:name w:val="annotation subject"/>
    <w:basedOn w:val="CommentText"/>
    <w:next w:val="CommentText"/>
    <w:link w:val="CommentSubjectChar"/>
    <w:uiPriority w:val="99"/>
    <w:semiHidden/>
    <w:unhideWhenUsed/>
    <w:rsid w:val="003909D7"/>
    <w:rPr>
      <w:b/>
      <w:bCs/>
    </w:rPr>
  </w:style>
  <w:style w:type="character" w:customStyle="1" w:styleId="CommentSubjectChar">
    <w:name w:val="Comment Subject Char"/>
    <w:basedOn w:val="CommentTextChar"/>
    <w:link w:val="CommentSubject"/>
    <w:uiPriority w:val="99"/>
    <w:semiHidden/>
    <w:rsid w:val="003909D7"/>
    <w:rPr>
      <w:b/>
      <w:bCs/>
      <w:sz w:val="20"/>
      <w:szCs w:val="20"/>
    </w:rPr>
  </w:style>
  <w:style w:type="paragraph" w:styleId="BalloonText">
    <w:name w:val="Balloon Text"/>
    <w:basedOn w:val="Normal"/>
    <w:link w:val="BalloonTextChar"/>
    <w:uiPriority w:val="99"/>
    <w:semiHidden/>
    <w:unhideWhenUsed/>
    <w:rsid w:val="00390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9D7"/>
    <w:rPr>
      <w:rFonts w:ascii="Segoe UI" w:hAnsi="Segoe UI" w:cs="Segoe UI"/>
      <w:sz w:val="18"/>
      <w:szCs w:val="18"/>
    </w:rPr>
  </w:style>
  <w:style w:type="paragraph" w:styleId="FootnoteText">
    <w:name w:val="footnote text"/>
    <w:basedOn w:val="Normal"/>
    <w:link w:val="FootnoteTextChar"/>
    <w:uiPriority w:val="99"/>
    <w:semiHidden/>
    <w:unhideWhenUsed/>
    <w:rsid w:val="00C70F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FDA"/>
    <w:rPr>
      <w:sz w:val="20"/>
      <w:szCs w:val="20"/>
    </w:rPr>
  </w:style>
  <w:style w:type="character" w:styleId="FootnoteReference">
    <w:name w:val="footnote reference"/>
    <w:basedOn w:val="DefaultParagraphFont"/>
    <w:uiPriority w:val="99"/>
    <w:semiHidden/>
    <w:unhideWhenUsed/>
    <w:rsid w:val="00C7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55A9-57EB-44EC-891E-01469AAE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5134</Words>
  <Characters>29269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2021-03-30T07:16:00Z</cp:lastPrinted>
  <dcterms:created xsi:type="dcterms:W3CDTF">2021-04-01T08:15:00Z</dcterms:created>
  <dcterms:modified xsi:type="dcterms:W3CDTF">2021-04-01T08:15:00Z</dcterms:modified>
</cp:coreProperties>
</file>