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F3ABF" w14:textId="77777777" w:rsidR="00B94CB6" w:rsidRDefault="00B94CB6" w:rsidP="008C12DC">
      <w:pPr>
        <w:spacing w:after="0" w:line="360" w:lineRule="auto"/>
        <w:jc w:val="both"/>
        <w:rPr>
          <w:rFonts w:ascii="Times New Roman" w:hAnsi="Times New Roman" w:cs="Times New Roman"/>
          <w:sz w:val="24"/>
          <w:szCs w:val="24"/>
          <w:lang w:val="en-US"/>
        </w:rPr>
      </w:pPr>
    </w:p>
    <w:p w14:paraId="5537CB12" w14:textId="4E89585F" w:rsidR="00B94CB6" w:rsidRPr="00D10188" w:rsidRDefault="00B94CB6" w:rsidP="00B94CB6">
      <w:pPr>
        <w:pStyle w:val="NoSpacing"/>
        <w:jc w:val="both"/>
        <w:rPr>
          <w:b/>
          <w:szCs w:val="24"/>
        </w:rPr>
      </w:pPr>
      <w:r>
        <w:rPr>
          <w:b/>
          <w:szCs w:val="24"/>
        </w:rPr>
        <w:t xml:space="preserve">NICOZ DIAMOND INSURANCE LIMITED </w:t>
      </w:r>
    </w:p>
    <w:p w14:paraId="587663A7" w14:textId="77777777" w:rsidR="00B94CB6" w:rsidRPr="00D10188" w:rsidRDefault="00B94CB6" w:rsidP="00B94CB6">
      <w:pPr>
        <w:pStyle w:val="NoSpacing"/>
        <w:jc w:val="both"/>
        <w:rPr>
          <w:b/>
          <w:szCs w:val="24"/>
        </w:rPr>
      </w:pPr>
    </w:p>
    <w:p w14:paraId="50D9F002" w14:textId="77777777" w:rsidR="00B94CB6" w:rsidRPr="00D10188" w:rsidRDefault="00B94CB6" w:rsidP="00B94CB6">
      <w:pPr>
        <w:pStyle w:val="NoSpacing"/>
        <w:jc w:val="both"/>
        <w:rPr>
          <w:b/>
          <w:szCs w:val="24"/>
        </w:rPr>
      </w:pPr>
      <w:r w:rsidRPr="00D10188">
        <w:rPr>
          <w:b/>
          <w:szCs w:val="24"/>
        </w:rPr>
        <w:t>Versus</w:t>
      </w:r>
    </w:p>
    <w:p w14:paraId="53D95D9C" w14:textId="77777777" w:rsidR="00B94CB6" w:rsidRPr="00D10188" w:rsidRDefault="00B94CB6" w:rsidP="00B94CB6">
      <w:pPr>
        <w:pStyle w:val="NoSpacing"/>
        <w:jc w:val="both"/>
        <w:rPr>
          <w:b/>
          <w:szCs w:val="24"/>
        </w:rPr>
      </w:pPr>
    </w:p>
    <w:p w14:paraId="54E8FE31" w14:textId="464F7954" w:rsidR="00B94CB6" w:rsidRPr="00D10188" w:rsidRDefault="00B94CB6" w:rsidP="00B94CB6">
      <w:pPr>
        <w:pStyle w:val="NoSpacing"/>
        <w:jc w:val="both"/>
        <w:rPr>
          <w:b/>
          <w:szCs w:val="24"/>
        </w:rPr>
      </w:pPr>
      <w:r>
        <w:rPr>
          <w:b/>
          <w:szCs w:val="24"/>
        </w:rPr>
        <w:t xml:space="preserve">ZIMBABWE REVENUE AUTHORITY </w:t>
      </w:r>
    </w:p>
    <w:p w14:paraId="096C7373" w14:textId="5419A410" w:rsidR="00B94CB6" w:rsidRDefault="00B94CB6" w:rsidP="00B94CB6">
      <w:pPr>
        <w:pStyle w:val="NoSpacing"/>
        <w:jc w:val="both"/>
        <w:rPr>
          <w:b/>
          <w:szCs w:val="24"/>
        </w:rPr>
      </w:pPr>
    </w:p>
    <w:p w14:paraId="76B7EC9A" w14:textId="77777777" w:rsidR="00405A3C" w:rsidRPr="00D10188" w:rsidRDefault="00405A3C" w:rsidP="00B94CB6">
      <w:pPr>
        <w:pStyle w:val="NoSpacing"/>
        <w:jc w:val="both"/>
        <w:rPr>
          <w:b/>
          <w:szCs w:val="24"/>
        </w:rPr>
      </w:pPr>
    </w:p>
    <w:p w14:paraId="2095A77F" w14:textId="02E1AE02" w:rsidR="00B94CB6" w:rsidRPr="00D10188" w:rsidRDefault="00B94CB6" w:rsidP="00B94CB6">
      <w:pPr>
        <w:pStyle w:val="NoSpacing"/>
        <w:jc w:val="both"/>
        <w:rPr>
          <w:szCs w:val="24"/>
        </w:rPr>
      </w:pPr>
      <w:r w:rsidRPr="00D10188">
        <w:rPr>
          <w:szCs w:val="24"/>
        </w:rPr>
        <w:t>HIGH COURT OF ZIMBABWE</w:t>
      </w:r>
    </w:p>
    <w:p w14:paraId="284766C4" w14:textId="31B3CF3D" w:rsidR="00B94CB6" w:rsidRPr="00D10188" w:rsidRDefault="00B94CB6" w:rsidP="00B94CB6">
      <w:pPr>
        <w:pStyle w:val="NoSpacing"/>
        <w:jc w:val="both"/>
        <w:rPr>
          <w:szCs w:val="24"/>
        </w:rPr>
      </w:pPr>
      <w:r>
        <w:rPr>
          <w:szCs w:val="24"/>
        </w:rPr>
        <w:t>DUBE-BANDA</w:t>
      </w:r>
      <w:r w:rsidRPr="00D10188">
        <w:rPr>
          <w:szCs w:val="24"/>
        </w:rPr>
        <w:t xml:space="preserve"> J</w:t>
      </w:r>
    </w:p>
    <w:p w14:paraId="563E2673" w14:textId="523D0D13" w:rsidR="00B94CB6" w:rsidRPr="00D10188" w:rsidRDefault="00EE6639" w:rsidP="00B94CB6">
      <w:pPr>
        <w:pStyle w:val="NoSpacing"/>
        <w:jc w:val="both"/>
        <w:rPr>
          <w:szCs w:val="24"/>
        </w:rPr>
      </w:pPr>
      <w:r>
        <w:rPr>
          <w:szCs w:val="24"/>
        </w:rPr>
        <w:t xml:space="preserve">HARARE </w:t>
      </w:r>
      <w:r w:rsidR="002A496E">
        <w:rPr>
          <w:szCs w:val="24"/>
        </w:rPr>
        <w:t xml:space="preserve">12 March 2025 &amp; 1 October 2025 </w:t>
      </w:r>
    </w:p>
    <w:p w14:paraId="2955DAED" w14:textId="29D5906B" w:rsidR="00B94CB6" w:rsidRDefault="00B94CB6" w:rsidP="00B94CB6">
      <w:pPr>
        <w:pStyle w:val="NoSpacing"/>
        <w:jc w:val="both"/>
        <w:rPr>
          <w:szCs w:val="24"/>
        </w:rPr>
      </w:pPr>
    </w:p>
    <w:p w14:paraId="011233B0" w14:textId="77777777" w:rsidR="00405A3C" w:rsidRPr="00D10188" w:rsidRDefault="00405A3C" w:rsidP="00B94CB6">
      <w:pPr>
        <w:pStyle w:val="NoSpacing"/>
        <w:jc w:val="both"/>
        <w:rPr>
          <w:szCs w:val="24"/>
        </w:rPr>
      </w:pPr>
    </w:p>
    <w:p w14:paraId="39371D93" w14:textId="64895377" w:rsidR="002A496E" w:rsidRPr="00405A3C" w:rsidRDefault="00B94CB6" w:rsidP="00B94CB6">
      <w:pPr>
        <w:pStyle w:val="NoSpacing"/>
        <w:jc w:val="both"/>
        <w:rPr>
          <w:b/>
          <w:szCs w:val="24"/>
        </w:rPr>
      </w:pPr>
      <w:r>
        <w:rPr>
          <w:b/>
          <w:szCs w:val="24"/>
        </w:rPr>
        <w:t xml:space="preserve">Application for a </w:t>
      </w:r>
      <w:r w:rsidRPr="00B94CB6">
        <w:rPr>
          <w:b/>
          <w:i/>
          <w:iCs/>
          <w:szCs w:val="24"/>
        </w:rPr>
        <w:t>declaratur</w:t>
      </w:r>
      <w:r>
        <w:rPr>
          <w:b/>
          <w:szCs w:val="24"/>
        </w:rPr>
        <w:t xml:space="preserve"> </w:t>
      </w:r>
    </w:p>
    <w:p w14:paraId="4353C62A" w14:textId="06EE8CC4" w:rsidR="00B94CB6" w:rsidRPr="00D10188" w:rsidRDefault="002A496E" w:rsidP="00B94CB6">
      <w:pPr>
        <w:pStyle w:val="NoSpacing"/>
        <w:jc w:val="both"/>
        <w:rPr>
          <w:szCs w:val="24"/>
        </w:rPr>
      </w:pPr>
      <w:r w:rsidRPr="002A496E">
        <w:rPr>
          <w:i/>
          <w:iCs/>
          <w:szCs w:val="24"/>
        </w:rPr>
        <w:t xml:space="preserve">M. </w:t>
      </w:r>
      <w:r w:rsidR="009B792F">
        <w:rPr>
          <w:i/>
          <w:szCs w:val="24"/>
        </w:rPr>
        <w:t xml:space="preserve">Tshuma </w:t>
      </w:r>
      <w:r w:rsidR="00B94CB6" w:rsidRPr="00D10188">
        <w:rPr>
          <w:szCs w:val="24"/>
        </w:rPr>
        <w:t>for the applicant</w:t>
      </w:r>
    </w:p>
    <w:p w14:paraId="7FE61DE2" w14:textId="18DB4112" w:rsidR="00B94CB6" w:rsidRDefault="00EE6639" w:rsidP="00B94CB6">
      <w:pPr>
        <w:pStyle w:val="NoSpacing"/>
        <w:jc w:val="both"/>
        <w:rPr>
          <w:szCs w:val="24"/>
        </w:rPr>
      </w:pPr>
      <w:r>
        <w:rPr>
          <w:i/>
          <w:szCs w:val="24"/>
        </w:rPr>
        <w:t xml:space="preserve">S. </w:t>
      </w:r>
      <w:proofErr w:type="spellStart"/>
      <w:r w:rsidR="009B792F">
        <w:rPr>
          <w:i/>
          <w:szCs w:val="24"/>
        </w:rPr>
        <w:t>Bhebhe</w:t>
      </w:r>
      <w:proofErr w:type="spellEnd"/>
      <w:r w:rsidR="009B792F">
        <w:rPr>
          <w:i/>
          <w:szCs w:val="24"/>
        </w:rPr>
        <w:t xml:space="preserve"> </w:t>
      </w:r>
      <w:r w:rsidR="00B94CB6" w:rsidRPr="00D10188">
        <w:rPr>
          <w:szCs w:val="24"/>
        </w:rPr>
        <w:t>for the respondent</w:t>
      </w:r>
    </w:p>
    <w:p w14:paraId="2E5C00B2" w14:textId="77777777" w:rsidR="00405A3C" w:rsidRPr="00D10188" w:rsidRDefault="00405A3C" w:rsidP="00B94CB6">
      <w:pPr>
        <w:pStyle w:val="NoSpacing"/>
        <w:jc w:val="both"/>
        <w:rPr>
          <w:szCs w:val="24"/>
        </w:rPr>
      </w:pPr>
    </w:p>
    <w:p w14:paraId="25E08972" w14:textId="12D8DA5C" w:rsidR="00B94CB6" w:rsidRPr="008B154B" w:rsidRDefault="00B94CB6" w:rsidP="00B94CB6">
      <w:pPr>
        <w:spacing w:after="0" w:line="360" w:lineRule="auto"/>
        <w:jc w:val="both"/>
        <w:rPr>
          <w:rFonts w:ascii="Times New Roman" w:hAnsi="Times New Roman" w:cs="Times New Roman"/>
          <w:sz w:val="24"/>
          <w:szCs w:val="24"/>
          <w:lang w:val="en-US"/>
        </w:rPr>
      </w:pPr>
      <w:r w:rsidRPr="00D10188">
        <w:rPr>
          <w:szCs w:val="24"/>
        </w:rPr>
        <w:tab/>
      </w:r>
      <w:r w:rsidRPr="008B154B">
        <w:rPr>
          <w:rFonts w:ascii="Times New Roman" w:hAnsi="Times New Roman" w:cs="Times New Roman"/>
          <w:b/>
          <w:sz w:val="24"/>
          <w:szCs w:val="24"/>
        </w:rPr>
        <w:t>DUBE-BANDA J:</w:t>
      </w:r>
      <w:r w:rsidRPr="008B154B">
        <w:rPr>
          <w:rFonts w:ascii="Times New Roman" w:hAnsi="Times New Roman" w:cs="Times New Roman"/>
          <w:b/>
          <w:sz w:val="24"/>
          <w:szCs w:val="24"/>
        </w:rPr>
        <w:tab/>
      </w:r>
    </w:p>
    <w:p w14:paraId="15FB50FC" w14:textId="1C365F2E" w:rsidR="003749A6" w:rsidRPr="008B154B" w:rsidRDefault="008C12DC" w:rsidP="0008745D">
      <w:pPr>
        <w:spacing w:after="0" w:line="360" w:lineRule="auto"/>
        <w:ind w:firstLine="72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 xml:space="preserve">[1] The applicant is a duly registered company in terms </w:t>
      </w:r>
      <w:r w:rsidR="002A496E" w:rsidRPr="008B154B">
        <w:rPr>
          <w:rFonts w:ascii="Times New Roman" w:hAnsi="Times New Roman" w:cs="Times New Roman"/>
          <w:sz w:val="24"/>
          <w:szCs w:val="24"/>
          <w:lang w:val="en-US"/>
        </w:rPr>
        <w:t>of</w:t>
      </w:r>
      <w:r w:rsidRPr="008B154B">
        <w:rPr>
          <w:rFonts w:ascii="Times New Roman" w:hAnsi="Times New Roman" w:cs="Times New Roman"/>
          <w:sz w:val="24"/>
          <w:szCs w:val="24"/>
          <w:lang w:val="en-US"/>
        </w:rPr>
        <w:t xml:space="preserve"> the laws of Zimbabwe</w:t>
      </w:r>
      <w:r w:rsidR="00BD0D77" w:rsidRPr="008B154B">
        <w:rPr>
          <w:rFonts w:ascii="Times New Roman" w:hAnsi="Times New Roman" w:cs="Times New Roman"/>
          <w:sz w:val="24"/>
          <w:szCs w:val="24"/>
          <w:lang w:val="en-US"/>
        </w:rPr>
        <w:t>,</w:t>
      </w:r>
      <w:r w:rsidRPr="008B154B">
        <w:rPr>
          <w:rFonts w:ascii="Times New Roman" w:hAnsi="Times New Roman" w:cs="Times New Roman"/>
          <w:sz w:val="24"/>
          <w:szCs w:val="24"/>
          <w:lang w:val="en-US"/>
        </w:rPr>
        <w:t xml:space="preserve"> which provides insurance services. </w:t>
      </w:r>
      <w:r w:rsidR="00F1541C" w:rsidRPr="008B154B">
        <w:rPr>
          <w:rFonts w:ascii="Times New Roman" w:hAnsi="Times New Roman" w:cs="Times New Roman"/>
          <w:sz w:val="24"/>
          <w:szCs w:val="24"/>
          <w:lang w:val="en-US"/>
        </w:rPr>
        <w:t xml:space="preserve">The respondent is an administrative authority established in terms of the Revenue Authority Act </w:t>
      </w:r>
      <w:r w:rsidR="00F1541C" w:rsidRPr="008B154B">
        <w:rPr>
          <w:rFonts w:ascii="Times New Roman" w:hAnsi="Times New Roman" w:cs="Times New Roman"/>
          <w:i/>
          <w:sz w:val="24"/>
          <w:szCs w:val="24"/>
          <w:lang w:val="en-US"/>
        </w:rPr>
        <w:t>[Chapter 23:11]</w:t>
      </w:r>
      <w:r w:rsidR="00925162" w:rsidRPr="008B154B">
        <w:rPr>
          <w:rFonts w:ascii="Times New Roman" w:hAnsi="Times New Roman" w:cs="Times New Roman"/>
          <w:i/>
          <w:sz w:val="24"/>
          <w:szCs w:val="24"/>
          <w:lang w:val="en-US"/>
        </w:rPr>
        <w:t>,</w:t>
      </w:r>
      <w:r w:rsidR="00F1541C" w:rsidRPr="008B154B">
        <w:rPr>
          <w:rFonts w:ascii="Times New Roman" w:hAnsi="Times New Roman" w:cs="Times New Roman"/>
          <w:sz w:val="24"/>
          <w:szCs w:val="24"/>
          <w:lang w:val="en-US"/>
        </w:rPr>
        <w:t xml:space="preserve"> tasked </w:t>
      </w:r>
      <w:r w:rsidR="00F1541C" w:rsidRPr="008B154B">
        <w:rPr>
          <w:rFonts w:ascii="Times New Roman" w:hAnsi="Times New Roman" w:cs="Times New Roman"/>
          <w:i/>
          <w:iCs/>
          <w:sz w:val="24"/>
          <w:szCs w:val="24"/>
          <w:lang w:val="en-US"/>
        </w:rPr>
        <w:t xml:space="preserve">inter alia </w:t>
      </w:r>
      <w:r w:rsidR="00F1541C" w:rsidRPr="008B154B">
        <w:rPr>
          <w:rFonts w:ascii="Times New Roman" w:hAnsi="Times New Roman" w:cs="Times New Roman"/>
          <w:sz w:val="24"/>
          <w:szCs w:val="24"/>
          <w:lang w:val="en-US"/>
        </w:rPr>
        <w:t xml:space="preserve">with the administration and collection of revenues in terms of </w:t>
      </w:r>
      <w:r w:rsidR="002A496E" w:rsidRPr="008B154B">
        <w:rPr>
          <w:rFonts w:ascii="Times New Roman" w:hAnsi="Times New Roman" w:cs="Times New Roman"/>
          <w:sz w:val="24"/>
          <w:szCs w:val="24"/>
          <w:lang w:val="en-US"/>
        </w:rPr>
        <w:t xml:space="preserve">the </w:t>
      </w:r>
      <w:r w:rsidR="00F1541C" w:rsidRPr="008B154B">
        <w:rPr>
          <w:rFonts w:ascii="Times New Roman" w:hAnsi="Times New Roman" w:cs="Times New Roman"/>
          <w:sz w:val="24"/>
          <w:szCs w:val="24"/>
          <w:lang w:val="en-US"/>
        </w:rPr>
        <w:t xml:space="preserve">Income Tax Act </w:t>
      </w:r>
      <w:r w:rsidR="00F1541C" w:rsidRPr="005807EC">
        <w:rPr>
          <w:rFonts w:ascii="Times New Roman" w:hAnsi="Times New Roman" w:cs="Times New Roman"/>
          <w:i/>
          <w:sz w:val="24"/>
          <w:szCs w:val="24"/>
          <w:lang w:val="en-US"/>
        </w:rPr>
        <w:t>[Chapter 23:06]</w:t>
      </w:r>
      <w:r w:rsidR="00F1541C" w:rsidRPr="008B154B">
        <w:rPr>
          <w:rFonts w:ascii="Times New Roman" w:hAnsi="Times New Roman" w:cs="Times New Roman"/>
          <w:sz w:val="24"/>
          <w:szCs w:val="24"/>
          <w:lang w:val="en-US"/>
        </w:rPr>
        <w:t xml:space="preserve">; the Value Added Tax </w:t>
      </w:r>
      <w:r w:rsidR="00AB6B17" w:rsidRPr="008B154B">
        <w:rPr>
          <w:rFonts w:ascii="Times New Roman" w:hAnsi="Times New Roman" w:cs="Times New Roman"/>
          <w:sz w:val="24"/>
          <w:szCs w:val="24"/>
          <w:lang w:val="en-US"/>
        </w:rPr>
        <w:t xml:space="preserve">Act </w:t>
      </w:r>
      <w:r w:rsidR="00F1541C" w:rsidRPr="00B72827">
        <w:rPr>
          <w:rFonts w:ascii="Times New Roman" w:hAnsi="Times New Roman" w:cs="Times New Roman"/>
          <w:i/>
          <w:sz w:val="24"/>
          <w:szCs w:val="24"/>
          <w:lang w:val="en-US"/>
        </w:rPr>
        <w:t>[Chapter 23:12];</w:t>
      </w:r>
      <w:r w:rsidR="00F1541C" w:rsidRPr="008B154B">
        <w:rPr>
          <w:rFonts w:ascii="Times New Roman" w:hAnsi="Times New Roman" w:cs="Times New Roman"/>
          <w:sz w:val="24"/>
          <w:szCs w:val="24"/>
          <w:lang w:val="en-US"/>
        </w:rPr>
        <w:t xml:space="preserve"> and the Finance Act </w:t>
      </w:r>
      <w:r w:rsidR="00F1541C" w:rsidRPr="005807EC">
        <w:rPr>
          <w:rFonts w:ascii="Times New Roman" w:hAnsi="Times New Roman" w:cs="Times New Roman"/>
          <w:i/>
          <w:sz w:val="24"/>
          <w:szCs w:val="24"/>
          <w:lang w:val="en-US"/>
        </w:rPr>
        <w:t>[Chapter 23:04].</w:t>
      </w:r>
      <w:r w:rsidR="00F1541C" w:rsidRPr="008B154B">
        <w:rPr>
          <w:rFonts w:ascii="Times New Roman" w:hAnsi="Times New Roman" w:cs="Times New Roman"/>
          <w:sz w:val="24"/>
          <w:szCs w:val="24"/>
          <w:lang w:val="en-US"/>
        </w:rPr>
        <w:t xml:space="preserve"> </w:t>
      </w:r>
      <w:r w:rsidR="00865090" w:rsidRPr="008B154B">
        <w:rPr>
          <w:rFonts w:ascii="Times New Roman" w:hAnsi="Times New Roman" w:cs="Times New Roman"/>
          <w:sz w:val="24"/>
          <w:szCs w:val="24"/>
          <w:lang w:val="en-US"/>
        </w:rPr>
        <w:t>The applicant is</w:t>
      </w:r>
      <w:r w:rsidR="00F1541C" w:rsidRPr="008B154B">
        <w:rPr>
          <w:rFonts w:ascii="Times New Roman" w:hAnsi="Times New Roman" w:cs="Times New Roman"/>
          <w:sz w:val="24"/>
          <w:szCs w:val="24"/>
          <w:lang w:val="en-US"/>
        </w:rPr>
        <w:t xml:space="preserve"> a </w:t>
      </w:r>
      <w:r w:rsidR="00865090" w:rsidRPr="008B154B">
        <w:rPr>
          <w:rFonts w:ascii="Times New Roman" w:hAnsi="Times New Roman" w:cs="Times New Roman"/>
          <w:sz w:val="24"/>
          <w:szCs w:val="24"/>
          <w:lang w:val="en-US"/>
        </w:rPr>
        <w:t xml:space="preserve">taxpayer from whom the respondent collects income tax. </w:t>
      </w:r>
    </w:p>
    <w:p w14:paraId="30F01E23" w14:textId="6DC767F6" w:rsidR="00F1541C" w:rsidRPr="008B154B" w:rsidRDefault="008C12DC" w:rsidP="0008745D">
      <w:pPr>
        <w:spacing w:after="0" w:line="360" w:lineRule="auto"/>
        <w:ind w:firstLine="36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 xml:space="preserve">[2] </w:t>
      </w:r>
      <w:r w:rsidR="0061606A" w:rsidRPr="008B154B">
        <w:rPr>
          <w:rFonts w:ascii="Times New Roman" w:hAnsi="Times New Roman" w:cs="Times New Roman"/>
          <w:sz w:val="24"/>
          <w:szCs w:val="24"/>
          <w:lang w:val="en-US"/>
        </w:rPr>
        <w:t>T</w:t>
      </w:r>
      <w:r w:rsidR="00F1541C" w:rsidRPr="008B154B">
        <w:rPr>
          <w:rFonts w:ascii="Times New Roman" w:hAnsi="Times New Roman" w:cs="Times New Roman"/>
          <w:sz w:val="24"/>
          <w:szCs w:val="24"/>
          <w:lang w:val="en-US"/>
        </w:rPr>
        <w:t xml:space="preserve">he applicant seeks a </w:t>
      </w:r>
      <w:r w:rsidRPr="008B154B">
        <w:rPr>
          <w:rFonts w:ascii="Times New Roman" w:hAnsi="Times New Roman" w:cs="Times New Roman"/>
          <w:sz w:val="24"/>
          <w:szCs w:val="24"/>
          <w:lang w:val="en-US"/>
        </w:rPr>
        <w:t xml:space="preserve">declaratory order </w:t>
      </w:r>
      <w:r w:rsidR="00F1541C" w:rsidRPr="008B154B">
        <w:rPr>
          <w:rFonts w:ascii="Times New Roman" w:hAnsi="Times New Roman" w:cs="Times New Roman"/>
          <w:sz w:val="24"/>
          <w:szCs w:val="24"/>
          <w:lang w:val="en-US"/>
        </w:rPr>
        <w:t xml:space="preserve">to the effect that </w:t>
      </w:r>
      <w:r w:rsidR="0061606A" w:rsidRPr="008B154B">
        <w:rPr>
          <w:rFonts w:ascii="Times New Roman" w:hAnsi="Times New Roman" w:cs="Times New Roman"/>
          <w:sz w:val="24"/>
          <w:szCs w:val="24"/>
          <w:lang w:val="en-US"/>
        </w:rPr>
        <w:t xml:space="preserve">the </w:t>
      </w:r>
      <w:r w:rsidR="00925162" w:rsidRPr="008B154B">
        <w:rPr>
          <w:rFonts w:ascii="Times New Roman" w:hAnsi="Times New Roman" w:cs="Times New Roman"/>
          <w:sz w:val="24"/>
          <w:szCs w:val="24"/>
          <w:lang w:val="en-US"/>
        </w:rPr>
        <w:t xml:space="preserve">additional </w:t>
      </w:r>
      <w:r w:rsidR="0061606A" w:rsidRPr="008B154B">
        <w:rPr>
          <w:rFonts w:ascii="Times New Roman" w:hAnsi="Times New Roman" w:cs="Times New Roman"/>
          <w:sz w:val="24"/>
          <w:szCs w:val="24"/>
          <w:lang w:val="en-US"/>
        </w:rPr>
        <w:t xml:space="preserve">assessments issued by the respondent are unlawful and </w:t>
      </w:r>
      <w:r w:rsidR="0061606A" w:rsidRPr="008B154B">
        <w:rPr>
          <w:rFonts w:ascii="Times New Roman" w:hAnsi="Times New Roman" w:cs="Times New Roman"/>
          <w:i/>
          <w:iCs/>
          <w:sz w:val="24"/>
          <w:szCs w:val="24"/>
          <w:lang w:val="en-US"/>
        </w:rPr>
        <w:t>ultra vires</w:t>
      </w:r>
      <w:r w:rsidR="0061606A" w:rsidRPr="008B154B">
        <w:rPr>
          <w:rFonts w:ascii="Times New Roman" w:hAnsi="Times New Roman" w:cs="Times New Roman"/>
          <w:sz w:val="24"/>
          <w:szCs w:val="24"/>
          <w:lang w:val="en-US"/>
        </w:rPr>
        <w:t xml:space="preserve"> its powers. The order sought is </w:t>
      </w:r>
      <w:r w:rsidR="00F1541C" w:rsidRPr="008B154B">
        <w:rPr>
          <w:rFonts w:ascii="Times New Roman" w:hAnsi="Times New Roman" w:cs="Times New Roman"/>
          <w:sz w:val="24"/>
          <w:szCs w:val="24"/>
          <w:lang w:val="en-US"/>
        </w:rPr>
        <w:t xml:space="preserve">couched in the following terms: </w:t>
      </w:r>
    </w:p>
    <w:p w14:paraId="3379D033" w14:textId="3261DB97" w:rsidR="00F1541C" w:rsidRPr="008B154B" w:rsidRDefault="00F1541C" w:rsidP="00F1541C">
      <w:pPr>
        <w:pStyle w:val="ListParagraph"/>
        <w:numPr>
          <w:ilvl w:val="0"/>
          <w:numId w:val="1"/>
        </w:numPr>
        <w:spacing w:after="0" w:line="360" w:lineRule="auto"/>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The additional assessments issued on the applicant by the respondent on the 7</w:t>
      </w:r>
      <w:r w:rsidRPr="008B154B">
        <w:rPr>
          <w:rFonts w:ascii="Times New Roman" w:hAnsi="Times New Roman" w:cs="Times New Roman"/>
          <w:sz w:val="24"/>
          <w:szCs w:val="24"/>
          <w:vertAlign w:val="superscript"/>
          <w:lang w:val="en-US"/>
        </w:rPr>
        <w:t>th of</w:t>
      </w:r>
      <w:r w:rsidRPr="008B154B">
        <w:rPr>
          <w:rFonts w:ascii="Times New Roman" w:hAnsi="Times New Roman" w:cs="Times New Roman"/>
          <w:sz w:val="24"/>
          <w:szCs w:val="24"/>
          <w:lang w:val="en-US"/>
        </w:rPr>
        <w:t xml:space="preserve"> May 2024 be and </w:t>
      </w:r>
      <w:r w:rsidR="00925162" w:rsidRPr="008B154B">
        <w:rPr>
          <w:rFonts w:ascii="Times New Roman" w:hAnsi="Times New Roman" w:cs="Times New Roman"/>
          <w:sz w:val="24"/>
          <w:szCs w:val="24"/>
          <w:lang w:val="en-US"/>
        </w:rPr>
        <w:t xml:space="preserve">are </w:t>
      </w:r>
      <w:r w:rsidRPr="008B154B">
        <w:rPr>
          <w:rFonts w:ascii="Times New Roman" w:hAnsi="Times New Roman" w:cs="Times New Roman"/>
          <w:sz w:val="24"/>
          <w:szCs w:val="24"/>
          <w:lang w:val="en-US"/>
        </w:rPr>
        <w:t>hereby declared invalid and set aside.</w:t>
      </w:r>
    </w:p>
    <w:p w14:paraId="3E8A9902" w14:textId="428F9DF1" w:rsidR="009C5E4C" w:rsidRPr="008B154B" w:rsidRDefault="00F1541C" w:rsidP="009C5E4C">
      <w:pPr>
        <w:pStyle w:val="ListParagraph"/>
        <w:numPr>
          <w:ilvl w:val="0"/>
          <w:numId w:val="1"/>
        </w:numPr>
        <w:spacing w:after="0" w:line="360" w:lineRule="auto"/>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Costs of this application shall be borne by the respondent.</w:t>
      </w:r>
    </w:p>
    <w:p w14:paraId="2C16A047" w14:textId="4593F274" w:rsidR="009C5E4C" w:rsidRPr="008B154B" w:rsidRDefault="009C5E4C" w:rsidP="0008745D">
      <w:pPr>
        <w:spacing w:after="0" w:line="360" w:lineRule="auto"/>
        <w:ind w:firstLine="36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 xml:space="preserve">[3] The application is opposed. </w:t>
      </w:r>
    </w:p>
    <w:p w14:paraId="587E39FA" w14:textId="2479A684" w:rsidR="009C5E4C" w:rsidRPr="008B154B" w:rsidRDefault="009C5E4C" w:rsidP="007221AE">
      <w:pPr>
        <w:spacing w:after="0" w:line="360" w:lineRule="auto"/>
        <w:ind w:firstLine="360"/>
        <w:jc w:val="both"/>
        <w:rPr>
          <w:rFonts w:ascii="Times New Roman" w:hAnsi="Times New Roman" w:cs="Times New Roman"/>
          <w:b/>
          <w:bCs/>
          <w:sz w:val="24"/>
          <w:szCs w:val="24"/>
          <w:u w:val="single"/>
          <w:lang w:val="en-US"/>
        </w:rPr>
      </w:pPr>
      <w:r w:rsidRPr="008B154B">
        <w:rPr>
          <w:rFonts w:ascii="Times New Roman" w:hAnsi="Times New Roman" w:cs="Times New Roman"/>
          <w:b/>
          <w:bCs/>
          <w:sz w:val="24"/>
          <w:szCs w:val="24"/>
          <w:u w:val="single"/>
          <w:lang w:val="en-US"/>
        </w:rPr>
        <w:t>The factual background</w:t>
      </w:r>
    </w:p>
    <w:p w14:paraId="7C92C3F1" w14:textId="04FD5089" w:rsidR="00995B50" w:rsidRPr="008B154B" w:rsidRDefault="008077FD" w:rsidP="0008745D">
      <w:pPr>
        <w:spacing w:after="0" w:line="360" w:lineRule="auto"/>
        <w:ind w:firstLine="72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w:t>
      </w:r>
      <w:r w:rsidR="00323D4B" w:rsidRPr="008B154B">
        <w:rPr>
          <w:rFonts w:ascii="Times New Roman" w:hAnsi="Times New Roman" w:cs="Times New Roman"/>
          <w:sz w:val="24"/>
          <w:szCs w:val="24"/>
          <w:lang w:val="en-US"/>
        </w:rPr>
        <w:t>4</w:t>
      </w:r>
      <w:r w:rsidRPr="008B154B">
        <w:rPr>
          <w:rFonts w:ascii="Times New Roman" w:hAnsi="Times New Roman" w:cs="Times New Roman"/>
          <w:sz w:val="24"/>
          <w:szCs w:val="24"/>
          <w:lang w:val="en-US"/>
        </w:rPr>
        <w:t>] The factual background of this matter is the following. From 2023 to 2024</w:t>
      </w:r>
      <w:r w:rsidR="00AB6B17" w:rsidRPr="008B154B">
        <w:rPr>
          <w:rFonts w:ascii="Times New Roman" w:hAnsi="Times New Roman" w:cs="Times New Roman"/>
          <w:sz w:val="24"/>
          <w:szCs w:val="24"/>
          <w:lang w:val="en-US"/>
        </w:rPr>
        <w:t>,</w:t>
      </w:r>
      <w:r w:rsidRPr="008B154B">
        <w:rPr>
          <w:rFonts w:ascii="Times New Roman" w:hAnsi="Times New Roman" w:cs="Times New Roman"/>
          <w:sz w:val="24"/>
          <w:szCs w:val="24"/>
          <w:lang w:val="en-US"/>
        </w:rPr>
        <w:t xml:space="preserve"> the respondent investigated the applicant’s tax affairs for the period </w:t>
      </w:r>
      <w:r w:rsidR="00AB6B17" w:rsidRPr="008B154B">
        <w:rPr>
          <w:rFonts w:ascii="Times New Roman" w:hAnsi="Times New Roman" w:cs="Times New Roman"/>
          <w:sz w:val="24"/>
          <w:szCs w:val="24"/>
          <w:lang w:val="en-US"/>
        </w:rPr>
        <w:t xml:space="preserve">running from </w:t>
      </w:r>
      <w:r w:rsidRPr="008B154B">
        <w:rPr>
          <w:rFonts w:ascii="Times New Roman" w:hAnsi="Times New Roman" w:cs="Times New Roman"/>
          <w:sz w:val="24"/>
          <w:szCs w:val="24"/>
          <w:lang w:val="en-US"/>
        </w:rPr>
        <w:t xml:space="preserve">1 January 2020 to 31 August 2020. The respondent contends that it discovered that the applicant received foreign currency income in respect of gross premiums underwritten from January 2020 to December 2021. It is further contended that it was noted that the applicant did not account for </w:t>
      </w:r>
      <w:r w:rsidRPr="008B154B">
        <w:rPr>
          <w:rFonts w:ascii="Times New Roman" w:hAnsi="Times New Roman" w:cs="Times New Roman"/>
          <w:sz w:val="24"/>
          <w:szCs w:val="24"/>
          <w:lang w:val="en-US"/>
        </w:rPr>
        <w:lastRenderedPageBreak/>
        <w:t xml:space="preserve">the correct income tax in foreign currency for the period </w:t>
      </w:r>
      <w:r w:rsidR="007D2AC3" w:rsidRPr="008B154B">
        <w:rPr>
          <w:rFonts w:ascii="Times New Roman" w:hAnsi="Times New Roman" w:cs="Times New Roman"/>
          <w:sz w:val="24"/>
          <w:szCs w:val="24"/>
          <w:lang w:val="en-US"/>
        </w:rPr>
        <w:t xml:space="preserve">running from </w:t>
      </w:r>
      <w:r w:rsidRPr="008B154B">
        <w:rPr>
          <w:rFonts w:ascii="Times New Roman" w:hAnsi="Times New Roman" w:cs="Times New Roman"/>
          <w:sz w:val="24"/>
          <w:szCs w:val="24"/>
          <w:lang w:val="en-US"/>
        </w:rPr>
        <w:t xml:space="preserve">1 January to 31 December 2021. </w:t>
      </w:r>
      <w:r w:rsidR="000C0ECE" w:rsidRPr="008B154B">
        <w:rPr>
          <w:rFonts w:ascii="Times New Roman" w:hAnsi="Times New Roman" w:cs="Times New Roman"/>
          <w:sz w:val="24"/>
          <w:szCs w:val="24"/>
          <w:lang w:val="en-US"/>
        </w:rPr>
        <w:t>The following are the observations the respondent contends it made; that the applicant had improperly deducted canteen expenses from its income</w:t>
      </w:r>
      <w:r w:rsidR="00E03D3A" w:rsidRPr="008B154B">
        <w:rPr>
          <w:rFonts w:ascii="Times New Roman" w:hAnsi="Times New Roman" w:cs="Times New Roman"/>
          <w:sz w:val="24"/>
          <w:szCs w:val="24"/>
          <w:lang w:val="en-US"/>
        </w:rPr>
        <w:t>,</w:t>
      </w:r>
      <w:r w:rsidR="000C0ECE" w:rsidRPr="008B154B">
        <w:rPr>
          <w:rFonts w:ascii="Times New Roman" w:hAnsi="Times New Roman" w:cs="Times New Roman"/>
          <w:sz w:val="24"/>
          <w:szCs w:val="24"/>
          <w:lang w:val="en-US"/>
        </w:rPr>
        <w:t xml:space="preserve"> thereby reducing the amount of taxable income for the year 2020; that the applicant did not pay provisional tax in foreign currency on the due dates in 2020. As at 31 August 2021</w:t>
      </w:r>
      <w:r w:rsidR="00E03D3A" w:rsidRPr="008B154B">
        <w:rPr>
          <w:rFonts w:ascii="Times New Roman" w:hAnsi="Times New Roman" w:cs="Times New Roman"/>
          <w:sz w:val="24"/>
          <w:szCs w:val="24"/>
          <w:lang w:val="en-US"/>
        </w:rPr>
        <w:t>,</w:t>
      </w:r>
      <w:r w:rsidR="000C0ECE" w:rsidRPr="008B154B">
        <w:rPr>
          <w:rFonts w:ascii="Times New Roman" w:hAnsi="Times New Roman" w:cs="Times New Roman"/>
          <w:sz w:val="24"/>
          <w:szCs w:val="24"/>
          <w:lang w:val="en-US"/>
        </w:rPr>
        <w:t xml:space="preserve"> the applicant had paid tax in foreign currency in the sum of US$164,325.44. It is </w:t>
      </w:r>
      <w:r w:rsidR="00925162" w:rsidRPr="008B154B">
        <w:rPr>
          <w:rFonts w:ascii="Times New Roman" w:hAnsi="Times New Roman" w:cs="Times New Roman"/>
          <w:sz w:val="24"/>
          <w:szCs w:val="24"/>
          <w:lang w:val="en-US"/>
        </w:rPr>
        <w:t>contended</w:t>
      </w:r>
      <w:r w:rsidR="000C0ECE" w:rsidRPr="008B154B">
        <w:rPr>
          <w:rFonts w:ascii="Times New Roman" w:hAnsi="Times New Roman" w:cs="Times New Roman"/>
          <w:sz w:val="24"/>
          <w:szCs w:val="24"/>
          <w:lang w:val="en-US"/>
        </w:rPr>
        <w:t xml:space="preserve"> that for 2021, the applicant had improperly claimed depreciation costs on the right of use of assets as a deduction and this was disallowed. It had paid its provisional tax in foreign currency</w:t>
      </w:r>
      <w:r w:rsidR="00E03D3A" w:rsidRPr="008B154B">
        <w:rPr>
          <w:rFonts w:ascii="Times New Roman" w:hAnsi="Times New Roman" w:cs="Times New Roman"/>
          <w:sz w:val="24"/>
          <w:szCs w:val="24"/>
          <w:lang w:val="en-US"/>
        </w:rPr>
        <w:t>,</w:t>
      </w:r>
      <w:r w:rsidR="000C0ECE" w:rsidRPr="008B154B">
        <w:rPr>
          <w:rFonts w:ascii="Times New Roman" w:hAnsi="Times New Roman" w:cs="Times New Roman"/>
          <w:sz w:val="24"/>
          <w:szCs w:val="24"/>
          <w:lang w:val="en-US"/>
        </w:rPr>
        <w:t xml:space="preserve"> but at the end of the year</w:t>
      </w:r>
      <w:r w:rsidR="00E03D3A" w:rsidRPr="008B154B">
        <w:rPr>
          <w:rFonts w:ascii="Times New Roman" w:hAnsi="Times New Roman" w:cs="Times New Roman"/>
          <w:sz w:val="24"/>
          <w:szCs w:val="24"/>
          <w:lang w:val="en-US"/>
        </w:rPr>
        <w:t>,</w:t>
      </w:r>
      <w:r w:rsidR="000C0ECE" w:rsidRPr="008B154B">
        <w:rPr>
          <w:rFonts w:ascii="Times New Roman" w:hAnsi="Times New Roman" w:cs="Times New Roman"/>
          <w:sz w:val="24"/>
          <w:szCs w:val="24"/>
          <w:lang w:val="en-US"/>
        </w:rPr>
        <w:t xml:space="preserve"> the respondent noted that less tax had been paid for each quarter than was </w:t>
      </w:r>
      <w:r w:rsidR="00925162" w:rsidRPr="008B154B">
        <w:rPr>
          <w:rFonts w:ascii="Times New Roman" w:hAnsi="Times New Roman" w:cs="Times New Roman"/>
          <w:sz w:val="24"/>
          <w:szCs w:val="24"/>
          <w:lang w:val="en-US"/>
        </w:rPr>
        <w:t>due</w:t>
      </w:r>
      <w:r w:rsidR="000C0ECE" w:rsidRPr="008B154B">
        <w:rPr>
          <w:rFonts w:ascii="Times New Roman" w:hAnsi="Times New Roman" w:cs="Times New Roman"/>
          <w:sz w:val="24"/>
          <w:szCs w:val="24"/>
          <w:lang w:val="en-US"/>
        </w:rPr>
        <w:t xml:space="preserve">. </w:t>
      </w:r>
      <w:r w:rsidR="00995B50" w:rsidRPr="008B154B">
        <w:rPr>
          <w:rFonts w:ascii="Times New Roman" w:hAnsi="Times New Roman" w:cs="Times New Roman"/>
          <w:sz w:val="24"/>
          <w:szCs w:val="24"/>
          <w:lang w:val="en-US"/>
        </w:rPr>
        <w:t xml:space="preserve">The respondent further contends that the payment of less tax than was </w:t>
      </w:r>
      <w:r w:rsidR="00B04C8A" w:rsidRPr="008B154B">
        <w:rPr>
          <w:rFonts w:ascii="Times New Roman" w:hAnsi="Times New Roman" w:cs="Times New Roman"/>
          <w:sz w:val="24"/>
          <w:szCs w:val="24"/>
          <w:lang w:val="en-US"/>
        </w:rPr>
        <w:t>due</w:t>
      </w:r>
      <w:r w:rsidR="00995B50" w:rsidRPr="008B154B">
        <w:rPr>
          <w:rFonts w:ascii="Times New Roman" w:hAnsi="Times New Roman" w:cs="Times New Roman"/>
          <w:sz w:val="24"/>
          <w:szCs w:val="24"/>
          <w:lang w:val="en-US"/>
        </w:rPr>
        <w:t xml:space="preserve"> showed that there was an amount of taxable income in foreign currency that was not subjected to tax in foreign currency</w:t>
      </w:r>
      <w:r w:rsidR="00E03D3A" w:rsidRPr="008B154B">
        <w:rPr>
          <w:rFonts w:ascii="Times New Roman" w:hAnsi="Times New Roman" w:cs="Times New Roman"/>
          <w:sz w:val="24"/>
          <w:szCs w:val="24"/>
          <w:lang w:val="en-US"/>
        </w:rPr>
        <w:t>,</w:t>
      </w:r>
      <w:r w:rsidR="00995B50" w:rsidRPr="008B154B">
        <w:rPr>
          <w:rFonts w:ascii="Times New Roman" w:hAnsi="Times New Roman" w:cs="Times New Roman"/>
          <w:sz w:val="24"/>
          <w:szCs w:val="24"/>
          <w:lang w:val="en-US"/>
        </w:rPr>
        <w:t xml:space="preserve"> which would trigger the invocation of s 47 of the Income Tax Act. The respondent contends that as a result of its observations, i.e., of the non-subjection of amounts of foreign currency taxable income to tax in foreign currency, additional notices of assessments were supposed to be issued to the applicant</w:t>
      </w:r>
      <w:r w:rsidR="00B04C8A" w:rsidRPr="008B154B">
        <w:rPr>
          <w:rFonts w:ascii="Times New Roman" w:hAnsi="Times New Roman" w:cs="Times New Roman"/>
          <w:sz w:val="24"/>
          <w:szCs w:val="24"/>
          <w:lang w:val="en-US"/>
        </w:rPr>
        <w:t xml:space="preserve"> </w:t>
      </w:r>
      <w:r w:rsidR="00995B50" w:rsidRPr="008B154B">
        <w:rPr>
          <w:rFonts w:ascii="Times New Roman" w:hAnsi="Times New Roman" w:cs="Times New Roman"/>
          <w:sz w:val="24"/>
          <w:szCs w:val="24"/>
          <w:lang w:val="en-US"/>
        </w:rPr>
        <w:t xml:space="preserve">in terms of s 47 as read with 51 of the Income Tax </w:t>
      </w:r>
      <w:r w:rsidR="00B04C8A" w:rsidRPr="008B154B">
        <w:rPr>
          <w:rFonts w:ascii="Times New Roman" w:hAnsi="Times New Roman" w:cs="Times New Roman"/>
          <w:sz w:val="24"/>
          <w:szCs w:val="24"/>
          <w:lang w:val="en-US"/>
        </w:rPr>
        <w:t>A</w:t>
      </w:r>
      <w:r w:rsidR="00995B50" w:rsidRPr="008B154B">
        <w:rPr>
          <w:rFonts w:ascii="Times New Roman" w:hAnsi="Times New Roman" w:cs="Times New Roman"/>
          <w:sz w:val="24"/>
          <w:szCs w:val="24"/>
          <w:lang w:val="en-US"/>
        </w:rPr>
        <w:t xml:space="preserve">ct in order for the applicant to comply with the requirements of s 4A of the Finance Act. </w:t>
      </w:r>
      <w:r w:rsidR="003C7F6C" w:rsidRPr="008B154B">
        <w:rPr>
          <w:rFonts w:ascii="Times New Roman" w:hAnsi="Times New Roman" w:cs="Times New Roman"/>
          <w:sz w:val="24"/>
          <w:szCs w:val="24"/>
          <w:lang w:val="en-US"/>
        </w:rPr>
        <w:t>On 28 March 2024</w:t>
      </w:r>
      <w:r w:rsidR="00E03D3A" w:rsidRPr="008B154B">
        <w:rPr>
          <w:rFonts w:ascii="Times New Roman" w:hAnsi="Times New Roman" w:cs="Times New Roman"/>
          <w:sz w:val="24"/>
          <w:szCs w:val="24"/>
          <w:lang w:val="en-US"/>
        </w:rPr>
        <w:t>,</w:t>
      </w:r>
      <w:r w:rsidR="003C7F6C" w:rsidRPr="008B154B">
        <w:rPr>
          <w:rFonts w:ascii="Times New Roman" w:hAnsi="Times New Roman" w:cs="Times New Roman"/>
          <w:sz w:val="24"/>
          <w:szCs w:val="24"/>
          <w:lang w:val="en-US"/>
        </w:rPr>
        <w:t xml:space="preserve"> the respondent issued </w:t>
      </w:r>
      <w:r w:rsidR="00E03D3A" w:rsidRPr="008B154B">
        <w:rPr>
          <w:rFonts w:ascii="Times New Roman" w:hAnsi="Times New Roman" w:cs="Times New Roman"/>
          <w:sz w:val="24"/>
          <w:szCs w:val="24"/>
          <w:lang w:val="en-US"/>
        </w:rPr>
        <w:t>n</w:t>
      </w:r>
      <w:r w:rsidR="003C7F6C" w:rsidRPr="008B154B">
        <w:rPr>
          <w:rFonts w:ascii="Times New Roman" w:hAnsi="Times New Roman" w:cs="Times New Roman"/>
          <w:sz w:val="24"/>
          <w:szCs w:val="24"/>
          <w:lang w:val="en-US"/>
        </w:rPr>
        <w:t xml:space="preserve">otices of assessment number 5267 and 5268 </w:t>
      </w:r>
      <w:r w:rsidR="00B04C8A" w:rsidRPr="008B154B">
        <w:rPr>
          <w:rFonts w:ascii="Times New Roman" w:hAnsi="Times New Roman" w:cs="Times New Roman"/>
          <w:sz w:val="24"/>
          <w:szCs w:val="24"/>
          <w:lang w:val="en-US"/>
        </w:rPr>
        <w:t>for</w:t>
      </w:r>
      <w:r w:rsidR="003C7F6C" w:rsidRPr="008B154B">
        <w:rPr>
          <w:rFonts w:ascii="Times New Roman" w:hAnsi="Times New Roman" w:cs="Times New Roman"/>
          <w:sz w:val="24"/>
          <w:szCs w:val="24"/>
          <w:lang w:val="en-US"/>
        </w:rPr>
        <w:t xml:space="preserve"> what it considered the unpaid foreign currency taxes of US$82,495.37 and US$139,369.50 for 2020 and 2021</w:t>
      </w:r>
      <w:r w:rsidR="00E03D3A" w:rsidRPr="008B154B">
        <w:rPr>
          <w:rFonts w:ascii="Times New Roman" w:hAnsi="Times New Roman" w:cs="Times New Roman"/>
          <w:sz w:val="24"/>
          <w:szCs w:val="24"/>
          <w:lang w:val="en-US"/>
        </w:rPr>
        <w:t>,</w:t>
      </w:r>
      <w:r w:rsidR="003C7F6C" w:rsidRPr="008B154B">
        <w:rPr>
          <w:rFonts w:ascii="Times New Roman" w:hAnsi="Times New Roman" w:cs="Times New Roman"/>
          <w:sz w:val="24"/>
          <w:szCs w:val="24"/>
          <w:lang w:val="en-US"/>
        </w:rPr>
        <w:t xml:space="preserve"> respectively. The respondent wrote a letter to the applicant explaining the reasons for the assessments. </w:t>
      </w:r>
    </w:p>
    <w:p w14:paraId="389202FB" w14:textId="050758D0" w:rsidR="008077FD" w:rsidRPr="008B154B" w:rsidRDefault="003C7F6C" w:rsidP="0008745D">
      <w:pPr>
        <w:spacing w:after="0" w:line="360" w:lineRule="auto"/>
        <w:ind w:firstLine="72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w:t>
      </w:r>
      <w:r w:rsidR="00323D4B" w:rsidRPr="008B154B">
        <w:rPr>
          <w:rFonts w:ascii="Times New Roman" w:hAnsi="Times New Roman" w:cs="Times New Roman"/>
          <w:sz w:val="24"/>
          <w:szCs w:val="24"/>
          <w:lang w:val="en-US"/>
        </w:rPr>
        <w:t>5</w:t>
      </w:r>
      <w:r w:rsidRPr="008B154B">
        <w:rPr>
          <w:rFonts w:ascii="Times New Roman" w:hAnsi="Times New Roman" w:cs="Times New Roman"/>
          <w:sz w:val="24"/>
          <w:szCs w:val="24"/>
          <w:lang w:val="en-US"/>
        </w:rPr>
        <w:t>] In a letter dated 5 April 2024</w:t>
      </w:r>
      <w:r w:rsidR="00E03D3A" w:rsidRPr="008B154B">
        <w:rPr>
          <w:rFonts w:ascii="Times New Roman" w:hAnsi="Times New Roman" w:cs="Times New Roman"/>
          <w:sz w:val="24"/>
          <w:szCs w:val="24"/>
          <w:lang w:val="en-US"/>
        </w:rPr>
        <w:t>,</w:t>
      </w:r>
      <w:r w:rsidRPr="008B154B">
        <w:rPr>
          <w:rFonts w:ascii="Times New Roman" w:hAnsi="Times New Roman" w:cs="Times New Roman"/>
          <w:sz w:val="24"/>
          <w:szCs w:val="24"/>
          <w:lang w:val="en-US"/>
        </w:rPr>
        <w:t xml:space="preserve"> the applicant requested the respondent to align exchange rates used in the calculation of foreign currency tax due. The respondent noted that the applicant was charged </w:t>
      </w:r>
      <w:r w:rsidR="00F71C60" w:rsidRPr="008B154B">
        <w:rPr>
          <w:rFonts w:ascii="Times New Roman" w:hAnsi="Times New Roman" w:cs="Times New Roman"/>
          <w:sz w:val="24"/>
          <w:szCs w:val="24"/>
          <w:lang w:val="en-US"/>
        </w:rPr>
        <w:t xml:space="preserve">more tax than was due and adjusted the assessments by reducing the applicant’s tax liability. Adjusted notices of assessments were issued on 7 May 2024. The adjusted notices of assessment number Di203052024002204 for US$40,175.86 and Di207052024000843 for US$136,446.80 reduced the applicant’s tax liability. </w:t>
      </w:r>
    </w:p>
    <w:p w14:paraId="553F9F7A" w14:textId="7E211216" w:rsidR="00746FA6" w:rsidRPr="008B154B" w:rsidRDefault="00F71C60" w:rsidP="0008745D">
      <w:pPr>
        <w:spacing w:after="0" w:line="360" w:lineRule="auto"/>
        <w:ind w:firstLine="72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w:t>
      </w:r>
      <w:r w:rsidR="00323D4B" w:rsidRPr="008B154B">
        <w:rPr>
          <w:rFonts w:ascii="Times New Roman" w:hAnsi="Times New Roman" w:cs="Times New Roman"/>
          <w:sz w:val="24"/>
          <w:szCs w:val="24"/>
          <w:lang w:val="en-US"/>
        </w:rPr>
        <w:t>6</w:t>
      </w:r>
      <w:r w:rsidR="00284CFC" w:rsidRPr="008B154B">
        <w:rPr>
          <w:rFonts w:ascii="Times New Roman" w:hAnsi="Times New Roman" w:cs="Times New Roman"/>
          <w:sz w:val="24"/>
          <w:szCs w:val="24"/>
          <w:lang w:val="en-US"/>
        </w:rPr>
        <w:t>] On</w:t>
      </w:r>
      <w:r w:rsidRPr="008B154B">
        <w:rPr>
          <w:rFonts w:ascii="Times New Roman" w:hAnsi="Times New Roman" w:cs="Times New Roman"/>
          <w:sz w:val="24"/>
          <w:szCs w:val="24"/>
          <w:lang w:val="en-US"/>
        </w:rPr>
        <w:t xml:space="preserve"> 5 June 2024</w:t>
      </w:r>
      <w:r w:rsidR="00E03D3A" w:rsidRPr="008B154B">
        <w:rPr>
          <w:rFonts w:ascii="Times New Roman" w:hAnsi="Times New Roman" w:cs="Times New Roman"/>
          <w:sz w:val="24"/>
          <w:szCs w:val="24"/>
          <w:lang w:val="en-US"/>
        </w:rPr>
        <w:t>,</w:t>
      </w:r>
      <w:r w:rsidRPr="008B154B">
        <w:rPr>
          <w:rFonts w:ascii="Times New Roman" w:hAnsi="Times New Roman" w:cs="Times New Roman"/>
          <w:sz w:val="24"/>
          <w:szCs w:val="24"/>
          <w:lang w:val="en-US"/>
        </w:rPr>
        <w:t xml:space="preserve"> the applicant objected to the assessment, and the objection was disallowed in full on 16 August 2024.</w:t>
      </w:r>
      <w:r w:rsidR="00D73B2B" w:rsidRPr="008B154B">
        <w:rPr>
          <w:rFonts w:ascii="Times New Roman" w:hAnsi="Times New Roman" w:cs="Times New Roman"/>
          <w:sz w:val="24"/>
          <w:szCs w:val="24"/>
          <w:lang w:val="en-US"/>
        </w:rPr>
        <w:t xml:space="preserve"> </w:t>
      </w:r>
      <w:r w:rsidR="002D0D6E" w:rsidRPr="008B154B">
        <w:rPr>
          <w:rFonts w:ascii="Times New Roman" w:hAnsi="Times New Roman" w:cs="Times New Roman"/>
          <w:sz w:val="24"/>
          <w:szCs w:val="24"/>
          <w:lang w:val="en-US"/>
        </w:rPr>
        <w:t xml:space="preserve"> </w:t>
      </w:r>
      <w:r w:rsidR="00B04C8A" w:rsidRPr="008B154B">
        <w:rPr>
          <w:rFonts w:ascii="Times New Roman" w:hAnsi="Times New Roman" w:cs="Times New Roman"/>
          <w:sz w:val="24"/>
          <w:szCs w:val="24"/>
          <w:lang w:val="en-US"/>
        </w:rPr>
        <w:t>In summary</w:t>
      </w:r>
      <w:r w:rsidR="00837D3D" w:rsidRPr="008B154B">
        <w:rPr>
          <w:rFonts w:ascii="Times New Roman" w:hAnsi="Times New Roman" w:cs="Times New Roman"/>
          <w:sz w:val="24"/>
          <w:szCs w:val="24"/>
          <w:lang w:val="en-US"/>
        </w:rPr>
        <w:t>,</w:t>
      </w:r>
      <w:r w:rsidR="00B04C8A" w:rsidRPr="008B154B">
        <w:rPr>
          <w:rFonts w:ascii="Times New Roman" w:hAnsi="Times New Roman" w:cs="Times New Roman"/>
          <w:sz w:val="24"/>
          <w:szCs w:val="24"/>
          <w:lang w:val="en-US"/>
        </w:rPr>
        <w:t xml:space="preserve"> the </w:t>
      </w:r>
      <w:r w:rsidR="00746FA6" w:rsidRPr="008B154B">
        <w:rPr>
          <w:rFonts w:ascii="Times New Roman" w:hAnsi="Times New Roman" w:cs="Times New Roman"/>
          <w:sz w:val="24"/>
          <w:szCs w:val="24"/>
          <w:lang w:val="en-US"/>
        </w:rPr>
        <w:t>applicant’s case is that on 7 May 2024</w:t>
      </w:r>
      <w:r w:rsidR="00837D3D" w:rsidRPr="008B154B">
        <w:rPr>
          <w:rFonts w:ascii="Times New Roman" w:hAnsi="Times New Roman" w:cs="Times New Roman"/>
          <w:sz w:val="24"/>
          <w:szCs w:val="24"/>
          <w:lang w:val="en-US"/>
        </w:rPr>
        <w:t>,</w:t>
      </w:r>
      <w:r w:rsidR="00746FA6" w:rsidRPr="008B154B">
        <w:rPr>
          <w:rFonts w:ascii="Times New Roman" w:hAnsi="Times New Roman" w:cs="Times New Roman"/>
          <w:sz w:val="24"/>
          <w:szCs w:val="24"/>
          <w:lang w:val="en-US"/>
        </w:rPr>
        <w:t xml:space="preserve"> pursuant to a tax audit conducted for the period 1 January 2020 to 31 August 2023, the respondent issued additional assessments for unpaid income tax. The applicant contends that both the form and content of the assessment are incorrect, and in addition, that the respondent had no authority to issue the assessments in question. The applicant contends that assessments must state the provision on which they have been issued</w:t>
      </w:r>
      <w:r w:rsidR="00837D3D" w:rsidRPr="008B154B">
        <w:rPr>
          <w:rFonts w:ascii="Times New Roman" w:hAnsi="Times New Roman" w:cs="Times New Roman"/>
          <w:sz w:val="24"/>
          <w:szCs w:val="24"/>
          <w:lang w:val="en-US"/>
        </w:rPr>
        <w:t>. I</w:t>
      </w:r>
      <w:r w:rsidR="00B04C8A" w:rsidRPr="008B154B">
        <w:rPr>
          <w:rFonts w:ascii="Times New Roman" w:hAnsi="Times New Roman" w:cs="Times New Roman"/>
          <w:sz w:val="24"/>
          <w:szCs w:val="24"/>
          <w:lang w:val="en-US"/>
        </w:rPr>
        <w:t>t is contended that</w:t>
      </w:r>
      <w:r w:rsidR="00746FA6" w:rsidRPr="008B154B">
        <w:rPr>
          <w:rFonts w:ascii="Times New Roman" w:hAnsi="Times New Roman" w:cs="Times New Roman"/>
          <w:sz w:val="24"/>
          <w:szCs w:val="24"/>
          <w:lang w:val="en-US"/>
        </w:rPr>
        <w:t xml:space="preserve"> the </w:t>
      </w:r>
      <w:r w:rsidR="00746FA6" w:rsidRPr="008B154B">
        <w:rPr>
          <w:rFonts w:ascii="Times New Roman" w:hAnsi="Times New Roman" w:cs="Times New Roman"/>
          <w:sz w:val="24"/>
          <w:szCs w:val="24"/>
          <w:lang w:val="en-US"/>
        </w:rPr>
        <w:lastRenderedPageBreak/>
        <w:t xml:space="preserve">assessments subject to this matter do not indicate the provision in terms of which they have been issued and are unlawful in terms of the law. </w:t>
      </w:r>
    </w:p>
    <w:p w14:paraId="38B58FB0" w14:textId="1BF5AD91" w:rsidR="00746FA6" w:rsidRPr="008B154B" w:rsidRDefault="00746FA6" w:rsidP="0008745D">
      <w:pPr>
        <w:spacing w:after="0" w:line="360" w:lineRule="auto"/>
        <w:ind w:firstLine="72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 xml:space="preserve">[7] It is further contended that while s 47 of the Income Tax Act empowers the respondent to issue additional assessments, such additional assessments are issued in circumstances where </w:t>
      </w:r>
      <w:r w:rsidRPr="008B154B">
        <w:rPr>
          <w:rFonts w:ascii="Times New Roman" w:hAnsi="Times New Roman" w:cs="Times New Roman"/>
          <w:i/>
          <w:iCs/>
          <w:sz w:val="24"/>
          <w:szCs w:val="24"/>
          <w:lang w:val="en-US"/>
        </w:rPr>
        <w:t xml:space="preserve">inter alia </w:t>
      </w:r>
      <w:r w:rsidRPr="008B154B">
        <w:rPr>
          <w:rFonts w:ascii="Times New Roman" w:hAnsi="Times New Roman" w:cs="Times New Roman"/>
          <w:sz w:val="24"/>
          <w:szCs w:val="24"/>
          <w:lang w:val="en-US"/>
        </w:rPr>
        <w:t xml:space="preserve">an assessment has been made on a taxpayer, and </w:t>
      </w:r>
      <w:r w:rsidR="00B04C8A" w:rsidRPr="008B154B">
        <w:rPr>
          <w:rFonts w:ascii="Times New Roman" w:hAnsi="Times New Roman" w:cs="Times New Roman"/>
          <w:sz w:val="24"/>
          <w:szCs w:val="24"/>
          <w:lang w:val="en-US"/>
        </w:rPr>
        <w:t>it is</w:t>
      </w:r>
      <w:r w:rsidRPr="008B154B">
        <w:rPr>
          <w:rFonts w:ascii="Times New Roman" w:hAnsi="Times New Roman" w:cs="Times New Roman"/>
          <w:sz w:val="24"/>
          <w:szCs w:val="24"/>
          <w:lang w:val="en-US"/>
        </w:rPr>
        <w:t xml:space="preserve"> </w:t>
      </w:r>
      <w:r w:rsidR="00B04C8A" w:rsidRPr="008B154B">
        <w:rPr>
          <w:rFonts w:ascii="Times New Roman" w:hAnsi="Times New Roman" w:cs="Times New Roman"/>
          <w:sz w:val="24"/>
          <w:szCs w:val="24"/>
          <w:lang w:val="en-US"/>
        </w:rPr>
        <w:t xml:space="preserve">later </w:t>
      </w:r>
      <w:r w:rsidRPr="008B154B">
        <w:rPr>
          <w:rFonts w:ascii="Times New Roman" w:hAnsi="Times New Roman" w:cs="Times New Roman"/>
          <w:sz w:val="24"/>
          <w:szCs w:val="24"/>
          <w:lang w:val="en-US"/>
        </w:rPr>
        <w:t>consider</w:t>
      </w:r>
      <w:r w:rsidR="00B04C8A" w:rsidRPr="008B154B">
        <w:rPr>
          <w:rFonts w:ascii="Times New Roman" w:hAnsi="Times New Roman" w:cs="Times New Roman"/>
          <w:sz w:val="24"/>
          <w:szCs w:val="24"/>
          <w:lang w:val="en-US"/>
        </w:rPr>
        <w:t>ed</w:t>
      </w:r>
      <w:r w:rsidRPr="008B154B">
        <w:rPr>
          <w:rFonts w:ascii="Times New Roman" w:hAnsi="Times New Roman" w:cs="Times New Roman"/>
          <w:sz w:val="24"/>
          <w:szCs w:val="24"/>
          <w:lang w:val="en-US"/>
        </w:rPr>
        <w:t xml:space="preserve"> that an amount of taxable income which should have been charged to tax has not been charged or an amount which should have been taken into account, was not taken into account. It was averred that the assessments issued were for a period when the applicant had an obligation to file a single return, because the obligation to file two tax returns was introduced in the Finance Act (No. 8) of 2022, and did not have a retrospective effect. It was further averred that</w:t>
      </w:r>
      <w:r w:rsidR="00837D3D" w:rsidRPr="008B154B">
        <w:rPr>
          <w:rFonts w:ascii="Times New Roman" w:hAnsi="Times New Roman" w:cs="Times New Roman"/>
          <w:sz w:val="24"/>
          <w:szCs w:val="24"/>
          <w:lang w:val="en-US"/>
        </w:rPr>
        <w:t>,</w:t>
      </w:r>
      <w:r w:rsidRPr="008B154B">
        <w:rPr>
          <w:rFonts w:ascii="Times New Roman" w:hAnsi="Times New Roman" w:cs="Times New Roman"/>
          <w:sz w:val="24"/>
          <w:szCs w:val="24"/>
          <w:lang w:val="en-US"/>
        </w:rPr>
        <w:t xml:space="preserve"> as there was no foreign currency assessment to adjust, the respondent had no basis to issue </w:t>
      </w:r>
      <w:r w:rsidR="00B04C8A" w:rsidRPr="008B154B">
        <w:rPr>
          <w:rFonts w:ascii="Times New Roman" w:hAnsi="Times New Roman" w:cs="Times New Roman"/>
          <w:sz w:val="24"/>
          <w:szCs w:val="24"/>
          <w:lang w:val="en-US"/>
        </w:rPr>
        <w:t>an additional foreign currency</w:t>
      </w:r>
      <w:r w:rsidRPr="008B154B">
        <w:rPr>
          <w:rFonts w:ascii="Times New Roman" w:hAnsi="Times New Roman" w:cs="Times New Roman"/>
          <w:sz w:val="24"/>
          <w:szCs w:val="24"/>
          <w:lang w:val="en-US"/>
        </w:rPr>
        <w:t xml:space="preserve"> assessment.</w:t>
      </w:r>
      <w:r w:rsidR="00AF7AD2" w:rsidRPr="008B154B">
        <w:rPr>
          <w:rFonts w:ascii="Times New Roman" w:hAnsi="Times New Roman" w:cs="Times New Roman"/>
          <w:sz w:val="24"/>
          <w:szCs w:val="24"/>
          <w:lang w:val="en-US"/>
        </w:rPr>
        <w:t xml:space="preserve"> </w:t>
      </w:r>
      <w:r w:rsidRPr="008B154B">
        <w:rPr>
          <w:rFonts w:ascii="Times New Roman" w:hAnsi="Times New Roman" w:cs="Times New Roman"/>
          <w:sz w:val="24"/>
          <w:szCs w:val="24"/>
          <w:lang w:val="en-US"/>
        </w:rPr>
        <w:t>It is on th</w:t>
      </w:r>
      <w:r w:rsidR="00B04C8A" w:rsidRPr="008B154B">
        <w:rPr>
          <w:rFonts w:ascii="Times New Roman" w:hAnsi="Times New Roman" w:cs="Times New Roman"/>
          <w:sz w:val="24"/>
          <w:szCs w:val="24"/>
          <w:lang w:val="en-US"/>
        </w:rPr>
        <w:t xml:space="preserve">is background </w:t>
      </w:r>
      <w:r w:rsidRPr="008B154B">
        <w:rPr>
          <w:rFonts w:ascii="Times New Roman" w:hAnsi="Times New Roman" w:cs="Times New Roman"/>
          <w:sz w:val="24"/>
          <w:szCs w:val="24"/>
          <w:lang w:val="en-US"/>
        </w:rPr>
        <w:t xml:space="preserve">that the applicant launched this application seeking </w:t>
      </w:r>
      <w:r w:rsidR="00AF7AD2" w:rsidRPr="008B154B">
        <w:rPr>
          <w:rFonts w:ascii="Times New Roman" w:hAnsi="Times New Roman" w:cs="Times New Roman"/>
          <w:sz w:val="24"/>
          <w:szCs w:val="24"/>
          <w:lang w:val="en-US"/>
        </w:rPr>
        <w:t xml:space="preserve">an order </w:t>
      </w:r>
      <w:r w:rsidR="00B04C8A" w:rsidRPr="008B154B">
        <w:rPr>
          <w:rFonts w:ascii="Times New Roman" w:hAnsi="Times New Roman" w:cs="Times New Roman"/>
          <w:sz w:val="24"/>
          <w:szCs w:val="24"/>
          <w:lang w:val="en-US"/>
        </w:rPr>
        <w:t>quoted</w:t>
      </w:r>
      <w:r w:rsidR="00AF7AD2" w:rsidRPr="008B154B">
        <w:rPr>
          <w:rFonts w:ascii="Times New Roman" w:hAnsi="Times New Roman" w:cs="Times New Roman"/>
          <w:sz w:val="24"/>
          <w:szCs w:val="24"/>
          <w:lang w:val="en-US"/>
        </w:rPr>
        <w:t xml:space="preserve"> above. </w:t>
      </w:r>
    </w:p>
    <w:p w14:paraId="492E06B0" w14:textId="77777777" w:rsidR="00323D4B" w:rsidRPr="008B154B" w:rsidRDefault="00746FA6" w:rsidP="0008745D">
      <w:pPr>
        <w:spacing w:after="0" w:line="360" w:lineRule="auto"/>
        <w:ind w:firstLine="72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w:t>
      </w:r>
      <w:r w:rsidR="00323D4B" w:rsidRPr="008B154B">
        <w:rPr>
          <w:rFonts w:ascii="Times New Roman" w:hAnsi="Times New Roman" w:cs="Times New Roman"/>
          <w:sz w:val="24"/>
          <w:szCs w:val="24"/>
          <w:lang w:val="en-US"/>
        </w:rPr>
        <w:t>8</w:t>
      </w:r>
      <w:r w:rsidRPr="008B154B">
        <w:rPr>
          <w:rFonts w:ascii="Times New Roman" w:hAnsi="Times New Roman" w:cs="Times New Roman"/>
          <w:sz w:val="24"/>
          <w:szCs w:val="24"/>
          <w:lang w:val="en-US"/>
        </w:rPr>
        <w:t xml:space="preserve">] </w:t>
      </w:r>
      <w:r w:rsidR="002D0D6E" w:rsidRPr="008B154B">
        <w:rPr>
          <w:rFonts w:ascii="Times New Roman" w:hAnsi="Times New Roman" w:cs="Times New Roman"/>
          <w:sz w:val="24"/>
          <w:szCs w:val="24"/>
          <w:lang w:val="en-US"/>
        </w:rPr>
        <w:t>In its heads of argument, the respondent raised a preliminary objection that this matter should be referred to the Special Court for Income Tax Appeals. At the commencement of the hearing, this objection was abandoned.</w:t>
      </w:r>
      <w:r w:rsidR="00B45E8E" w:rsidRPr="008B154B">
        <w:rPr>
          <w:rFonts w:ascii="Times New Roman" w:hAnsi="Times New Roman" w:cs="Times New Roman"/>
          <w:sz w:val="24"/>
          <w:szCs w:val="24"/>
          <w:lang w:val="en-US"/>
        </w:rPr>
        <w:t xml:space="preserve"> </w:t>
      </w:r>
    </w:p>
    <w:p w14:paraId="15BF54C5" w14:textId="73E9C28F" w:rsidR="00DA0990" w:rsidRPr="008B154B" w:rsidRDefault="00323D4B" w:rsidP="0008745D">
      <w:pPr>
        <w:spacing w:after="0" w:line="360" w:lineRule="auto"/>
        <w:ind w:firstLine="72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 xml:space="preserve">[9] </w:t>
      </w:r>
      <w:r w:rsidR="00B45E8E" w:rsidRPr="008B154B">
        <w:rPr>
          <w:rFonts w:ascii="Times New Roman" w:hAnsi="Times New Roman" w:cs="Times New Roman"/>
          <w:sz w:val="24"/>
          <w:szCs w:val="24"/>
          <w:lang w:val="en-US"/>
        </w:rPr>
        <w:t xml:space="preserve">I now turn to the issues for determination. </w:t>
      </w:r>
    </w:p>
    <w:p w14:paraId="77E6C577" w14:textId="5DE2FEF5" w:rsidR="00301862" w:rsidRPr="008B154B" w:rsidRDefault="00D25A43" w:rsidP="008C12DC">
      <w:pPr>
        <w:spacing w:after="0" w:line="360" w:lineRule="auto"/>
        <w:jc w:val="both"/>
        <w:rPr>
          <w:rFonts w:ascii="Times New Roman" w:hAnsi="Times New Roman" w:cs="Times New Roman"/>
          <w:b/>
          <w:bCs/>
          <w:sz w:val="24"/>
          <w:szCs w:val="24"/>
          <w:u w:val="single"/>
          <w:lang w:val="en-US"/>
        </w:rPr>
      </w:pPr>
      <w:r w:rsidRPr="008B154B">
        <w:rPr>
          <w:rFonts w:ascii="Times New Roman" w:hAnsi="Times New Roman" w:cs="Times New Roman"/>
          <w:b/>
          <w:bCs/>
          <w:sz w:val="24"/>
          <w:szCs w:val="24"/>
          <w:u w:val="single"/>
          <w:lang w:val="en-US"/>
        </w:rPr>
        <w:t>A</w:t>
      </w:r>
      <w:r w:rsidR="00301862" w:rsidRPr="008B154B">
        <w:rPr>
          <w:rFonts w:ascii="Times New Roman" w:hAnsi="Times New Roman" w:cs="Times New Roman"/>
          <w:b/>
          <w:bCs/>
          <w:sz w:val="24"/>
          <w:szCs w:val="24"/>
          <w:u w:val="single"/>
          <w:lang w:val="en-US"/>
        </w:rPr>
        <w:t xml:space="preserve">ssessment </w:t>
      </w:r>
      <w:r w:rsidRPr="008B154B">
        <w:rPr>
          <w:rFonts w:ascii="Times New Roman" w:hAnsi="Times New Roman" w:cs="Times New Roman"/>
          <w:b/>
          <w:bCs/>
          <w:sz w:val="24"/>
          <w:szCs w:val="24"/>
          <w:u w:val="single"/>
          <w:lang w:val="en-US"/>
        </w:rPr>
        <w:t xml:space="preserve">v </w:t>
      </w:r>
      <w:r w:rsidR="00301862" w:rsidRPr="008B154B">
        <w:rPr>
          <w:rFonts w:ascii="Times New Roman" w:hAnsi="Times New Roman" w:cs="Times New Roman"/>
          <w:b/>
          <w:bCs/>
          <w:sz w:val="24"/>
          <w:szCs w:val="24"/>
          <w:u w:val="single"/>
          <w:lang w:val="en-US"/>
        </w:rPr>
        <w:t xml:space="preserve">notice of assessment </w:t>
      </w:r>
    </w:p>
    <w:p w14:paraId="4C6EA9D3" w14:textId="6B2866EC" w:rsidR="00301862" w:rsidRPr="008B154B" w:rsidRDefault="00AF7AD2" w:rsidP="0008745D">
      <w:pPr>
        <w:spacing w:after="0" w:line="360" w:lineRule="auto"/>
        <w:ind w:firstLine="72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 xml:space="preserve">[10] The first issue for determination is whether the relief sought is incompetent. </w:t>
      </w:r>
      <w:r w:rsidR="00A1693F" w:rsidRPr="008B154B">
        <w:rPr>
          <w:rFonts w:ascii="Times New Roman" w:hAnsi="Times New Roman" w:cs="Times New Roman"/>
          <w:sz w:val="24"/>
          <w:szCs w:val="24"/>
          <w:lang w:val="en-US"/>
        </w:rPr>
        <w:t>This issue must be dealt with</w:t>
      </w:r>
      <w:r w:rsidR="00A1693F" w:rsidRPr="008B154B">
        <w:rPr>
          <w:rFonts w:ascii="Times New Roman" w:hAnsi="Times New Roman" w:cs="Times New Roman"/>
          <w:i/>
          <w:iCs/>
          <w:sz w:val="24"/>
          <w:szCs w:val="24"/>
          <w:lang w:val="en-US"/>
        </w:rPr>
        <w:t xml:space="preserve"> in limine.</w:t>
      </w:r>
      <w:r w:rsidR="00A1693F" w:rsidRPr="008B154B">
        <w:rPr>
          <w:rFonts w:ascii="Times New Roman" w:hAnsi="Times New Roman" w:cs="Times New Roman"/>
          <w:sz w:val="24"/>
          <w:szCs w:val="24"/>
          <w:lang w:val="en-US"/>
        </w:rPr>
        <w:t xml:space="preserve"> This is so because it does not require the court to consider the merits of the matter. </w:t>
      </w:r>
      <w:r w:rsidR="001C7247" w:rsidRPr="008B154B">
        <w:rPr>
          <w:rFonts w:ascii="Times New Roman" w:hAnsi="Times New Roman" w:cs="Times New Roman"/>
          <w:sz w:val="24"/>
          <w:szCs w:val="24"/>
          <w:lang w:val="en-US"/>
        </w:rPr>
        <w:t>In this regard, the</w:t>
      </w:r>
      <w:r w:rsidR="00D240B0" w:rsidRPr="008B154B">
        <w:rPr>
          <w:rFonts w:ascii="Times New Roman" w:hAnsi="Times New Roman" w:cs="Times New Roman"/>
          <w:sz w:val="24"/>
          <w:szCs w:val="24"/>
          <w:lang w:val="en-US"/>
        </w:rPr>
        <w:t xml:space="preserve"> </w:t>
      </w:r>
      <w:r w:rsidR="00BE63E6" w:rsidRPr="008B154B">
        <w:rPr>
          <w:rFonts w:ascii="Times New Roman" w:hAnsi="Times New Roman" w:cs="Times New Roman"/>
          <w:sz w:val="24"/>
          <w:szCs w:val="24"/>
          <w:lang w:val="en-US"/>
        </w:rPr>
        <w:t>respondent</w:t>
      </w:r>
      <w:r w:rsidR="00D240B0" w:rsidRPr="008B154B">
        <w:rPr>
          <w:rFonts w:ascii="Times New Roman" w:hAnsi="Times New Roman" w:cs="Times New Roman"/>
          <w:sz w:val="24"/>
          <w:szCs w:val="24"/>
          <w:lang w:val="en-US"/>
        </w:rPr>
        <w:t>’s</w:t>
      </w:r>
      <w:r w:rsidR="00BE63E6" w:rsidRPr="008B154B">
        <w:rPr>
          <w:rFonts w:ascii="Times New Roman" w:hAnsi="Times New Roman" w:cs="Times New Roman"/>
          <w:sz w:val="24"/>
          <w:szCs w:val="24"/>
          <w:lang w:val="en-US"/>
        </w:rPr>
        <w:t xml:space="preserve"> conten</w:t>
      </w:r>
      <w:r w:rsidR="00D240B0" w:rsidRPr="008B154B">
        <w:rPr>
          <w:rFonts w:ascii="Times New Roman" w:hAnsi="Times New Roman" w:cs="Times New Roman"/>
          <w:sz w:val="24"/>
          <w:szCs w:val="24"/>
          <w:lang w:val="en-US"/>
        </w:rPr>
        <w:t>tion</w:t>
      </w:r>
      <w:r w:rsidR="00BE63E6" w:rsidRPr="008B154B">
        <w:rPr>
          <w:rFonts w:ascii="Times New Roman" w:hAnsi="Times New Roman" w:cs="Times New Roman"/>
          <w:sz w:val="24"/>
          <w:szCs w:val="24"/>
          <w:lang w:val="en-US"/>
        </w:rPr>
        <w:t xml:space="preserve"> </w:t>
      </w:r>
      <w:r w:rsidR="00A1693F" w:rsidRPr="008B154B">
        <w:rPr>
          <w:rFonts w:ascii="Times New Roman" w:hAnsi="Times New Roman" w:cs="Times New Roman"/>
          <w:sz w:val="24"/>
          <w:szCs w:val="24"/>
          <w:lang w:val="en-US"/>
        </w:rPr>
        <w:t xml:space="preserve">is </w:t>
      </w:r>
      <w:r w:rsidR="00BE63E6" w:rsidRPr="008B154B">
        <w:rPr>
          <w:rFonts w:ascii="Times New Roman" w:hAnsi="Times New Roman" w:cs="Times New Roman"/>
          <w:sz w:val="24"/>
          <w:szCs w:val="24"/>
          <w:lang w:val="en-US"/>
        </w:rPr>
        <w:t>that the relief sought in this application is incompetent, in that what was issued on 7 May 2024 are</w:t>
      </w:r>
      <w:r w:rsidR="00D240B0" w:rsidRPr="008B154B">
        <w:rPr>
          <w:rFonts w:ascii="Times New Roman" w:hAnsi="Times New Roman" w:cs="Times New Roman"/>
          <w:sz w:val="24"/>
          <w:szCs w:val="24"/>
          <w:lang w:val="en-US"/>
        </w:rPr>
        <w:t xml:space="preserve"> not assessments but</w:t>
      </w:r>
      <w:r w:rsidR="00BE63E6" w:rsidRPr="008B154B">
        <w:rPr>
          <w:rFonts w:ascii="Times New Roman" w:hAnsi="Times New Roman" w:cs="Times New Roman"/>
          <w:sz w:val="24"/>
          <w:szCs w:val="24"/>
          <w:lang w:val="en-US"/>
        </w:rPr>
        <w:t xml:space="preserve"> notices of assessment. </w:t>
      </w:r>
      <w:r w:rsidR="00323D4B" w:rsidRPr="008B154B">
        <w:rPr>
          <w:rFonts w:ascii="Times New Roman" w:hAnsi="Times New Roman" w:cs="Times New Roman"/>
          <w:sz w:val="24"/>
          <w:szCs w:val="24"/>
          <w:lang w:val="en-US"/>
        </w:rPr>
        <w:t>However, the</w:t>
      </w:r>
      <w:r w:rsidR="00EE6639" w:rsidRPr="008B154B">
        <w:rPr>
          <w:rFonts w:ascii="Times New Roman" w:hAnsi="Times New Roman" w:cs="Times New Roman"/>
          <w:sz w:val="24"/>
          <w:szCs w:val="24"/>
          <w:lang w:val="en-US"/>
        </w:rPr>
        <w:t xml:space="preserve"> applicant seeks that the additional assessments issued on the applicant by the respondent on the 7</w:t>
      </w:r>
      <w:r w:rsidR="00EE6639" w:rsidRPr="008B154B">
        <w:rPr>
          <w:rFonts w:ascii="Times New Roman" w:hAnsi="Times New Roman" w:cs="Times New Roman"/>
          <w:sz w:val="24"/>
          <w:szCs w:val="24"/>
          <w:vertAlign w:val="superscript"/>
          <w:lang w:val="en-US"/>
        </w:rPr>
        <w:t>th of</w:t>
      </w:r>
      <w:r w:rsidR="00EE6639" w:rsidRPr="008B154B">
        <w:rPr>
          <w:rFonts w:ascii="Times New Roman" w:hAnsi="Times New Roman" w:cs="Times New Roman"/>
          <w:sz w:val="24"/>
          <w:szCs w:val="24"/>
          <w:lang w:val="en-US"/>
        </w:rPr>
        <w:t xml:space="preserve"> May 2024 be declared invalid and set aside. </w:t>
      </w:r>
      <w:r w:rsidR="00BE63E6" w:rsidRPr="008B154B">
        <w:rPr>
          <w:rFonts w:ascii="Times New Roman" w:hAnsi="Times New Roman" w:cs="Times New Roman"/>
          <w:sz w:val="24"/>
          <w:szCs w:val="24"/>
          <w:lang w:val="en-US"/>
        </w:rPr>
        <w:t xml:space="preserve">The </w:t>
      </w:r>
      <w:r w:rsidR="00D240B0" w:rsidRPr="008B154B">
        <w:rPr>
          <w:rFonts w:ascii="Times New Roman" w:hAnsi="Times New Roman" w:cs="Times New Roman"/>
          <w:sz w:val="24"/>
          <w:szCs w:val="24"/>
          <w:lang w:val="en-US"/>
        </w:rPr>
        <w:t>substance</w:t>
      </w:r>
      <w:r w:rsidR="00BE63E6" w:rsidRPr="008B154B">
        <w:rPr>
          <w:rFonts w:ascii="Times New Roman" w:hAnsi="Times New Roman" w:cs="Times New Roman"/>
          <w:sz w:val="24"/>
          <w:szCs w:val="24"/>
          <w:lang w:val="en-US"/>
        </w:rPr>
        <w:t xml:space="preserve"> of this submission is that an assessment</w:t>
      </w:r>
      <w:r w:rsidR="00D240B0" w:rsidRPr="008B154B">
        <w:rPr>
          <w:rFonts w:ascii="Times New Roman" w:hAnsi="Times New Roman" w:cs="Times New Roman"/>
          <w:sz w:val="24"/>
          <w:szCs w:val="24"/>
          <w:lang w:val="en-US"/>
        </w:rPr>
        <w:t xml:space="preserve"> is an administrative process undertaken by the respondent. If the applicant seeks to challenge that administrative process, this must be pleaded in the founding affidavit</w:t>
      </w:r>
      <w:r w:rsidR="005C36F6" w:rsidRPr="008B154B">
        <w:rPr>
          <w:rFonts w:ascii="Times New Roman" w:hAnsi="Times New Roman" w:cs="Times New Roman"/>
          <w:sz w:val="24"/>
          <w:szCs w:val="24"/>
          <w:lang w:val="en-US"/>
        </w:rPr>
        <w:t xml:space="preserve">. </w:t>
      </w:r>
      <w:r w:rsidR="00BE63E6" w:rsidRPr="008B154B">
        <w:rPr>
          <w:rFonts w:ascii="Times New Roman" w:hAnsi="Times New Roman" w:cs="Times New Roman"/>
          <w:sz w:val="24"/>
          <w:szCs w:val="24"/>
          <w:lang w:val="en-US"/>
        </w:rPr>
        <w:t>It was submitted that what was issued on 7 May 2024 are notices of assessment</w:t>
      </w:r>
      <w:r w:rsidR="005577AB" w:rsidRPr="008B154B">
        <w:rPr>
          <w:rFonts w:ascii="Times New Roman" w:hAnsi="Times New Roman" w:cs="Times New Roman"/>
          <w:sz w:val="24"/>
          <w:szCs w:val="24"/>
          <w:lang w:val="en-US"/>
        </w:rPr>
        <w:t xml:space="preserve">, and to the extent that the applicant is seeking an order setting aside the assessment, as opposed to the notice of </w:t>
      </w:r>
      <w:r w:rsidR="00797253" w:rsidRPr="008B154B">
        <w:rPr>
          <w:rFonts w:ascii="Times New Roman" w:hAnsi="Times New Roman" w:cs="Times New Roman"/>
          <w:sz w:val="24"/>
          <w:szCs w:val="24"/>
          <w:lang w:val="en-US"/>
        </w:rPr>
        <w:t>assessment that</w:t>
      </w:r>
      <w:r w:rsidR="005577AB" w:rsidRPr="008B154B">
        <w:rPr>
          <w:rFonts w:ascii="Times New Roman" w:hAnsi="Times New Roman" w:cs="Times New Roman"/>
          <w:sz w:val="24"/>
          <w:szCs w:val="24"/>
          <w:lang w:val="en-US"/>
        </w:rPr>
        <w:t xml:space="preserve"> was issued to it, the relief sought is incompetent. </w:t>
      </w:r>
      <w:r w:rsidR="00797253" w:rsidRPr="008B154B">
        <w:rPr>
          <w:rFonts w:ascii="Times New Roman" w:hAnsi="Times New Roman" w:cs="Times New Roman"/>
          <w:sz w:val="24"/>
          <w:szCs w:val="24"/>
          <w:lang w:val="en-US"/>
        </w:rPr>
        <w:t>On the other hand, t</w:t>
      </w:r>
      <w:r w:rsidR="005577AB" w:rsidRPr="008B154B">
        <w:rPr>
          <w:rFonts w:ascii="Times New Roman" w:hAnsi="Times New Roman" w:cs="Times New Roman"/>
          <w:sz w:val="24"/>
          <w:szCs w:val="24"/>
          <w:lang w:val="en-US"/>
        </w:rPr>
        <w:t xml:space="preserve">he applicant </w:t>
      </w:r>
      <w:r w:rsidR="00323D4B" w:rsidRPr="008B154B">
        <w:rPr>
          <w:rFonts w:ascii="Times New Roman" w:hAnsi="Times New Roman" w:cs="Times New Roman"/>
          <w:sz w:val="24"/>
          <w:szCs w:val="24"/>
          <w:lang w:val="en-US"/>
        </w:rPr>
        <w:t>submitted</w:t>
      </w:r>
      <w:r w:rsidR="005577AB" w:rsidRPr="008B154B">
        <w:rPr>
          <w:rFonts w:ascii="Times New Roman" w:hAnsi="Times New Roman" w:cs="Times New Roman"/>
          <w:sz w:val="24"/>
          <w:szCs w:val="24"/>
          <w:lang w:val="en-US"/>
        </w:rPr>
        <w:t xml:space="preserve"> that there is no distinction between a notice of assessment and an assessment. </w:t>
      </w:r>
      <w:r w:rsidR="00323D4B" w:rsidRPr="008B154B">
        <w:rPr>
          <w:rFonts w:ascii="Times New Roman" w:hAnsi="Times New Roman" w:cs="Times New Roman"/>
          <w:sz w:val="24"/>
          <w:szCs w:val="24"/>
          <w:lang w:val="en-US"/>
        </w:rPr>
        <w:t xml:space="preserve">It was stated that a </w:t>
      </w:r>
      <w:r w:rsidR="005577AB" w:rsidRPr="008B154B">
        <w:rPr>
          <w:rFonts w:ascii="Times New Roman" w:hAnsi="Times New Roman" w:cs="Times New Roman"/>
          <w:sz w:val="24"/>
          <w:szCs w:val="24"/>
          <w:lang w:val="en-US"/>
        </w:rPr>
        <w:t>notice of assessment and an assessment are both documents, and a court will set aside an assessment that does not contain the requirements of the Act.</w:t>
      </w:r>
    </w:p>
    <w:p w14:paraId="24FDE33E" w14:textId="7E829938" w:rsidR="001509FD" w:rsidRPr="008B154B" w:rsidRDefault="00AF7AD2" w:rsidP="0008745D">
      <w:pPr>
        <w:spacing w:after="0" w:line="360" w:lineRule="auto"/>
        <w:ind w:firstLine="72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lastRenderedPageBreak/>
        <w:t xml:space="preserve">[11] </w:t>
      </w:r>
      <w:r w:rsidR="00323D4B" w:rsidRPr="008B154B">
        <w:rPr>
          <w:rFonts w:ascii="Times New Roman" w:hAnsi="Times New Roman" w:cs="Times New Roman"/>
          <w:sz w:val="24"/>
          <w:szCs w:val="24"/>
          <w:lang w:val="en-US"/>
        </w:rPr>
        <w:t xml:space="preserve">In determining this issue, it is imperative to start with </w:t>
      </w:r>
      <w:r w:rsidR="00797253" w:rsidRPr="008B154B">
        <w:rPr>
          <w:rFonts w:ascii="Times New Roman" w:hAnsi="Times New Roman" w:cs="Times New Roman"/>
          <w:sz w:val="24"/>
          <w:szCs w:val="24"/>
          <w:lang w:val="en-US"/>
        </w:rPr>
        <w:t>the reading of s 51(1) of the Income Tax Act</w:t>
      </w:r>
      <w:r w:rsidR="00323D4B" w:rsidRPr="008B154B">
        <w:rPr>
          <w:rFonts w:ascii="Times New Roman" w:hAnsi="Times New Roman" w:cs="Times New Roman"/>
          <w:sz w:val="24"/>
          <w:szCs w:val="24"/>
          <w:lang w:val="en-US"/>
        </w:rPr>
        <w:t>. This provision empowers</w:t>
      </w:r>
      <w:r w:rsidR="00797253" w:rsidRPr="008B154B">
        <w:rPr>
          <w:rFonts w:ascii="Times New Roman" w:hAnsi="Times New Roman" w:cs="Times New Roman"/>
          <w:sz w:val="24"/>
          <w:szCs w:val="24"/>
          <w:lang w:val="en-US"/>
        </w:rPr>
        <w:t xml:space="preserve"> the Commissioner </w:t>
      </w:r>
      <w:r w:rsidR="00837D3D" w:rsidRPr="008B154B">
        <w:rPr>
          <w:rFonts w:ascii="Times New Roman" w:hAnsi="Times New Roman" w:cs="Times New Roman"/>
          <w:sz w:val="24"/>
          <w:szCs w:val="24"/>
          <w:lang w:val="en-US"/>
        </w:rPr>
        <w:t xml:space="preserve">to </w:t>
      </w:r>
      <w:r w:rsidR="00797253" w:rsidRPr="008B154B">
        <w:rPr>
          <w:rFonts w:ascii="Times New Roman" w:hAnsi="Times New Roman" w:cs="Times New Roman"/>
          <w:sz w:val="24"/>
          <w:szCs w:val="24"/>
          <w:lang w:val="en-US"/>
        </w:rPr>
        <w:t xml:space="preserve">make an assessment, </w:t>
      </w:r>
      <w:r w:rsidR="00A819D6" w:rsidRPr="008B154B">
        <w:rPr>
          <w:rFonts w:ascii="Times New Roman" w:hAnsi="Times New Roman" w:cs="Times New Roman"/>
          <w:sz w:val="24"/>
          <w:szCs w:val="24"/>
          <w:lang w:val="en-US"/>
        </w:rPr>
        <w:t xml:space="preserve">and an assessment is defined in s 2 of the Act as “the determination by the Commissioner –(a) of any amount upon which any tax leviable under this Act is chargeable; or (b) of the credits to which a person is entitled in terms of the Charging Act; or (c) of any assessed loss ranking for deduction; and includes a self-assessment in terms of s 37A.” </w:t>
      </w:r>
      <w:r w:rsidR="001509FD" w:rsidRPr="008B154B">
        <w:rPr>
          <w:rFonts w:ascii="Times New Roman" w:hAnsi="Times New Roman" w:cs="Times New Roman"/>
          <w:sz w:val="24"/>
          <w:szCs w:val="24"/>
          <w:lang w:val="en-US"/>
        </w:rPr>
        <w:t xml:space="preserve">In </w:t>
      </w:r>
      <w:r w:rsidR="001509FD" w:rsidRPr="008B154B">
        <w:rPr>
          <w:rFonts w:ascii="Times New Roman" w:hAnsi="Times New Roman" w:cs="Times New Roman"/>
          <w:i/>
          <w:iCs/>
          <w:sz w:val="24"/>
          <w:szCs w:val="24"/>
          <w:lang w:val="en-US"/>
        </w:rPr>
        <w:t xml:space="preserve">Bailey v Commissioner </w:t>
      </w:r>
      <w:r w:rsidR="00837D3D" w:rsidRPr="008B154B">
        <w:rPr>
          <w:rFonts w:ascii="Times New Roman" w:hAnsi="Times New Roman" w:cs="Times New Roman"/>
          <w:i/>
          <w:iCs/>
          <w:sz w:val="24"/>
          <w:szCs w:val="24"/>
          <w:lang w:val="en-US"/>
        </w:rPr>
        <w:t>f</w:t>
      </w:r>
      <w:r w:rsidR="001509FD" w:rsidRPr="008B154B">
        <w:rPr>
          <w:rFonts w:ascii="Times New Roman" w:hAnsi="Times New Roman" w:cs="Times New Roman"/>
          <w:i/>
          <w:iCs/>
          <w:sz w:val="24"/>
          <w:szCs w:val="24"/>
          <w:lang w:val="en-US"/>
        </w:rPr>
        <w:t xml:space="preserve">or Inland Revenue </w:t>
      </w:r>
      <w:r w:rsidR="001509FD" w:rsidRPr="008B154B">
        <w:rPr>
          <w:rFonts w:ascii="Times New Roman" w:hAnsi="Times New Roman" w:cs="Times New Roman"/>
          <w:sz w:val="24"/>
          <w:szCs w:val="24"/>
          <w:lang w:val="en-US"/>
        </w:rPr>
        <w:t>1933 AD 204 at 226</w:t>
      </w:r>
      <w:r w:rsidR="00837D3D" w:rsidRPr="008B154B">
        <w:rPr>
          <w:rFonts w:ascii="Times New Roman" w:hAnsi="Times New Roman" w:cs="Times New Roman"/>
          <w:sz w:val="24"/>
          <w:szCs w:val="24"/>
          <w:lang w:val="en-US"/>
        </w:rPr>
        <w:t>,</w:t>
      </w:r>
      <w:r w:rsidR="001509FD" w:rsidRPr="008B154B">
        <w:rPr>
          <w:rFonts w:ascii="Times New Roman" w:hAnsi="Times New Roman" w:cs="Times New Roman"/>
          <w:sz w:val="24"/>
          <w:szCs w:val="24"/>
          <w:lang w:val="en-US"/>
        </w:rPr>
        <w:t xml:space="preserve"> the court said: </w:t>
      </w:r>
    </w:p>
    <w:p w14:paraId="15F958AE" w14:textId="0DCED151" w:rsidR="001509FD" w:rsidRPr="008B154B" w:rsidRDefault="001509FD" w:rsidP="002000B6">
      <w:pPr>
        <w:spacing w:after="0" w:line="240" w:lineRule="auto"/>
        <w:ind w:left="720"/>
        <w:jc w:val="both"/>
        <w:rPr>
          <w:rFonts w:ascii="Times New Roman" w:hAnsi="Times New Roman" w:cs="Times New Roman"/>
          <w:sz w:val="24"/>
          <w:szCs w:val="24"/>
          <w:lang w:val="en-US"/>
        </w:rPr>
      </w:pPr>
      <w:r w:rsidRPr="00301006">
        <w:rPr>
          <w:rFonts w:ascii="Times New Roman" w:hAnsi="Times New Roman" w:cs="Times New Roman"/>
          <w:i/>
          <w:sz w:val="24"/>
          <w:szCs w:val="24"/>
          <w:lang w:val="en-US"/>
        </w:rPr>
        <w:t xml:space="preserve">“And assessment as defined </w:t>
      </w:r>
      <w:r w:rsidRPr="00301006">
        <w:rPr>
          <w:rFonts w:ascii="Times New Roman" w:hAnsi="Times New Roman" w:cs="Times New Roman"/>
          <w:i/>
          <w:sz w:val="24"/>
          <w:szCs w:val="24"/>
          <w:u w:val="single"/>
          <w:lang w:val="en-US"/>
        </w:rPr>
        <w:t>means the process of determining</w:t>
      </w:r>
      <w:r w:rsidRPr="00301006">
        <w:rPr>
          <w:rFonts w:ascii="Times New Roman" w:hAnsi="Times New Roman" w:cs="Times New Roman"/>
          <w:i/>
          <w:sz w:val="24"/>
          <w:szCs w:val="24"/>
          <w:lang w:val="en-US"/>
        </w:rPr>
        <w:t xml:space="preserve"> the amount on which tax is chargeable, the determination of the taxable amount, or the loss as it may be …”</w:t>
      </w:r>
      <w:r w:rsidRPr="008B154B">
        <w:rPr>
          <w:rFonts w:ascii="Times New Roman" w:hAnsi="Times New Roman" w:cs="Times New Roman"/>
          <w:sz w:val="24"/>
          <w:szCs w:val="24"/>
          <w:lang w:val="en-US"/>
        </w:rPr>
        <w:t xml:space="preserve"> </w:t>
      </w:r>
      <w:r w:rsidR="00646A13" w:rsidRPr="008B154B">
        <w:rPr>
          <w:rFonts w:ascii="Times New Roman" w:hAnsi="Times New Roman" w:cs="Times New Roman"/>
          <w:sz w:val="24"/>
          <w:szCs w:val="24"/>
          <w:lang w:val="en-US"/>
        </w:rPr>
        <w:t xml:space="preserve">My emphasis. </w:t>
      </w:r>
    </w:p>
    <w:p w14:paraId="30FA4363" w14:textId="77777777" w:rsidR="00646A13" w:rsidRPr="008B154B" w:rsidRDefault="00646A13" w:rsidP="008C12DC">
      <w:pPr>
        <w:spacing w:after="0" w:line="360" w:lineRule="auto"/>
        <w:jc w:val="both"/>
        <w:rPr>
          <w:rFonts w:ascii="Times New Roman" w:hAnsi="Times New Roman" w:cs="Times New Roman"/>
          <w:sz w:val="24"/>
          <w:szCs w:val="24"/>
          <w:lang w:val="en-US"/>
        </w:rPr>
      </w:pPr>
    </w:p>
    <w:p w14:paraId="78A6426B" w14:textId="74589DC6" w:rsidR="005C36F6" w:rsidRPr="008B154B" w:rsidRDefault="007F5931" w:rsidP="0008745D">
      <w:pPr>
        <w:spacing w:after="0" w:line="360" w:lineRule="auto"/>
        <w:ind w:firstLine="720"/>
        <w:jc w:val="both"/>
        <w:rPr>
          <w:rFonts w:ascii="Times New Roman" w:hAnsi="Times New Roman" w:cs="Times New Roman"/>
          <w:sz w:val="24"/>
          <w:szCs w:val="24"/>
        </w:rPr>
      </w:pPr>
      <w:r w:rsidRPr="008B154B">
        <w:rPr>
          <w:rFonts w:ascii="Times New Roman" w:hAnsi="Times New Roman" w:cs="Times New Roman"/>
          <w:sz w:val="24"/>
          <w:szCs w:val="24"/>
        </w:rPr>
        <w:t>[1</w:t>
      </w:r>
      <w:r w:rsidR="00323D4B" w:rsidRPr="008B154B">
        <w:rPr>
          <w:rFonts w:ascii="Times New Roman" w:hAnsi="Times New Roman" w:cs="Times New Roman"/>
          <w:sz w:val="24"/>
          <w:szCs w:val="24"/>
        </w:rPr>
        <w:t>2</w:t>
      </w:r>
      <w:r w:rsidRPr="008B154B">
        <w:rPr>
          <w:rFonts w:ascii="Times New Roman" w:hAnsi="Times New Roman" w:cs="Times New Roman"/>
          <w:sz w:val="24"/>
          <w:szCs w:val="24"/>
        </w:rPr>
        <w:t xml:space="preserve">] </w:t>
      </w:r>
      <w:r w:rsidR="005C36F6" w:rsidRPr="008B154B">
        <w:rPr>
          <w:rFonts w:ascii="Times New Roman" w:hAnsi="Times New Roman" w:cs="Times New Roman"/>
          <w:sz w:val="24"/>
          <w:szCs w:val="24"/>
        </w:rPr>
        <w:t xml:space="preserve">In </w:t>
      </w:r>
      <w:r w:rsidR="005C36F6" w:rsidRPr="008B154B">
        <w:rPr>
          <w:rFonts w:ascii="Times New Roman" w:hAnsi="Times New Roman" w:cs="Times New Roman"/>
          <w:i/>
          <w:iCs/>
          <w:sz w:val="24"/>
          <w:szCs w:val="24"/>
        </w:rPr>
        <w:t>R v Deputy FC of T, ex parte Hooper</w:t>
      </w:r>
      <w:r w:rsidR="005C36F6" w:rsidRPr="008B154B">
        <w:rPr>
          <w:rFonts w:ascii="Times New Roman" w:hAnsi="Times New Roman" w:cs="Times New Roman"/>
          <w:sz w:val="24"/>
          <w:szCs w:val="24"/>
        </w:rPr>
        <w:t xml:space="preserve"> [1926] HCA 37 CLR 368 stated thus: </w:t>
      </w:r>
    </w:p>
    <w:p w14:paraId="05F1CDBA" w14:textId="5E12185A" w:rsidR="005C36F6" w:rsidRPr="00D93857" w:rsidRDefault="005C36F6" w:rsidP="002000B6">
      <w:pPr>
        <w:spacing w:after="0" w:line="240" w:lineRule="auto"/>
        <w:ind w:left="720"/>
        <w:jc w:val="both"/>
        <w:rPr>
          <w:rFonts w:ascii="Times New Roman" w:hAnsi="Times New Roman" w:cs="Times New Roman"/>
          <w:i/>
          <w:sz w:val="24"/>
          <w:szCs w:val="24"/>
        </w:rPr>
      </w:pPr>
      <w:r w:rsidRPr="00D93857">
        <w:rPr>
          <w:rFonts w:ascii="Times New Roman" w:hAnsi="Times New Roman" w:cs="Times New Roman"/>
          <w:i/>
          <w:sz w:val="24"/>
          <w:szCs w:val="24"/>
        </w:rPr>
        <w:t>“</w:t>
      </w:r>
      <w:r w:rsidR="00D93857" w:rsidRPr="00D93857">
        <w:rPr>
          <w:rFonts w:ascii="Times New Roman" w:hAnsi="Times New Roman" w:cs="Times New Roman"/>
          <w:i/>
          <w:sz w:val="24"/>
          <w:szCs w:val="24"/>
        </w:rPr>
        <w:t>A</w:t>
      </w:r>
      <w:r w:rsidR="00323D4B" w:rsidRPr="00D93857">
        <w:rPr>
          <w:rFonts w:ascii="Times New Roman" w:hAnsi="Times New Roman" w:cs="Times New Roman"/>
          <w:i/>
          <w:sz w:val="24"/>
          <w:szCs w:val="24"/>
        </w:rPr>
        <w:t>n</w:t>
      </w:r>
      <w:r w:rsidR="008F403D" w:rsidRPr="00D93857">
        <w:rPr>
          <w:rFonts w:ascii="Times New Roman" w:hAnsi="Times New Roman" w:cs="Times New Roman"/>
          <w:i/>
          <w:sz w:val="24"/>
          <w:szCs w:val="24"/>
        </w:rPr>
        <w:t xml:space="preserve"> ‘assessment’ is not a piece of paper; it is an official act or operation; it is the Commissioner’s ascertainment, on consideration of all relevant circumstances, including sometimes his own opinion, of the amount of tax chargeable to a given taxpayer.” </w:t>
      </w:r>
    </w:p>
    <w:p w14:paraId="0B44388C" w14:textId="77777777" w:rsidR="005C36F6" w:rsidRPr="008B154B" w:rsidRDefault="005C36F6" w:rsidP="008C12DC">
      <w:pPr>
        <w:spacing w:after="0" w:line="360" w:lineRule="auto"/>
        <w:jc w:val="both"/>
        <w:rPr>
          <w:rFonts w:ascii="Times New Roman" w:hAnsi="Times New Roman" w:cs="Times New Roman"/>
          <w:sz w:val="24"/>
          <w:szCs w:val="24"/>
        </w:rPr>
      </w:pPr>
    </w:p>
    <w:p w14:paraId="4D0CCB1F" w14:textId="430F682D" w:rsidR="00A32F8A" w:rsidRPr="008B154B" w:rsidRDefault="008F403D" w:rsidP="0008745D">
      <w:pPr>
        <w:spacing w:after="0" w:line="360" w:lineRule="auto"/>
        <w:ind w:firstLine="720"/>
        <w:jc w:val="both"/>
        <w:rPr>
          <w:rFonts w:ascii="Times New Roman" w:hAnsi="Times New Roman" w:cs="Times New Roman"/>
          <w:sz w:val="24"/>
          <w:szCs w:val="24"/>
          <w:lang w:val="en-US"/>
        </w:rPr>
      </w:pPr>
      <w:r w:rsidRPr="008B154B">
        <w:rPr>
          <w:rFonts w:ascii="Times New Roman" w:hAnsi="Times New Roman" w:cs="Times New Roman"/>
          <w:sz w:val="24"/>
          <w:szCs w:val="24"/>
          <w:lang w:val="en-US"/>
        </w:rPr>
        <w:t>[1</w:t>
      </w:r>
      <w:r w:rsidR="00323D4B" w:rsidRPr="008B154B">
        <w:rPr>
          <w:rFonts w:ascii="Times New Roman" w:hAnsi="Times New Roman" w:cs="Times New Roman"/>
          <w:sz w:val="24"/>
          <w:szCs w:val="24"/>
          <w:lang w:val="en-US"/>
        </w:rPr>
        <w:t>3</w:t>
      </w:r>
      <w:r w:rsidRPr="008B154B">
        <w:rPr>
          <w:rFonts w:ascii="Times New Roman" w:hAnsi="Times New Roman" w:cs="Times New Roman"/>
          <w:sz w:val="24"/>
          <w:szCs w:val="24"/>
          <w:lang w:val="en-US"/>
        </w:rPr>
        <w:t>] In summary, t</w:t>
      </w:r>
      <w:r w:rsidR="00646A13" w:rsidRPr="008B154B">
        <w:rPr>
          <w:rFonts w:ascii="Times New Roman" w:hAnsi="Times New Roman" w:cs="Times New Roman"/>
          <w:sz w:val="24"/>
          <w:szCs w:val="24"/>
          <w:lang w:val="en-US"/>
        </w:rPr>
        <w:t>herefore,</w:t>
      </w:r>
      <w:r w:rsidR="00A819D6" w:rsidRPr="008B154B">
        <w:rPr>
          <w:rFonts w:ascii="Times New Roman" w:hAnsi="Times New Roman" w:cs="Times New Roman"/>
          <w:sz w:val="24"/>
          <w:szCs w:val="24"/>
          <w:lang w:val="en-US"/>
        </w:rPr>
        <w:t xml:space="preserve"> </w:t>
      </w:r>
      <w:r w:rsidRPr="008B154B">
        <w:rPr>
          <w:rFonts w:ascii="Times New Roman" w:hAnsi="Times New Roman" w:cs="Times New Roman"/>
          <w:sz w:val="24"/>
          <w:szCs w:val="24"/>
          <w:lang w:val="en-US"/>
        </w:rPr>
        <w:t xml:space="preserve">in the reading of </w:t>
      </w:r>
      <w:r w:rsidR="00323D4B" w:rsidRPr="008B154B">
        <w:rPr>
          <w:rFonts w:ascii="Times New Roman" w:hAnsi="Times New Roman" w:cs="Times New Roman"/>
          <w:sz w:val="24"/>
          <w:szCs w:val="24"/>
          <w:lang w:val="en-US"/>
        </w:rPr>
        <w:t xml:space="preserve">s 2 of the </w:t>
      </w:r>
      <w:r w:rsidRPr="008B154B">
        <w:rPr>
          <w:rFonts w:ascii="Times New Roman" w:hAnsi="Times New Roman" w:cs="Times New Roman"/>
          <w:sz w:val="24"/>
          <w:szCs w:val="24"/>
          <w:lang w:val="en-US"/>
        </w:rPr>
        <w:t xml:space="preserve">Income Tax Act, an </w:t>
      </w:r>
      <w:r w:rsidR="00A819D6" w:rsidRPr="008B154B">
        <w:rPr>
          <w:rFonts w:ascii="Times New Roman" w:hAnsi="Times New Roman" w:cs="Times New Roman"/>
          <w:sz w:val="24"/>
          <w:szCs w:val="24"/>
          <w:lang w:val="en-US"/>
        </w:rPr>
        <w:t xml:space="preserve">assessment means </w:t>
      </w:r>
      <w:r w:rsidR="00323D4B" w:rsidRPr="008B154B">
        <w:rPr>
          <w:rFonts w:ascii="Times New Roman" w:hAnsi="Times New Roman" w:cs="Times New Roman"/>
          <w:i/>
          <w:iCs/>
          <w:sz w:val="24"/>
          <w:szCs w:val="24"/>
          <w:lang w:val="en-US"/>
        </w:rPr>
        <w:t xml:space="preserve">inter alia </w:t>
      </w:r>
      <w:r w:rsidR="00A819D6" w:rsidRPr="008B154B">
        <w:rPr>
          <w:rFonts w:ascii="Times New Roman" w:hAnsi="Times New Roman" w:cs="Times New Roman"/>
          <w:sz w:val="24"/>
          <w:szCs w:val="24"/>
          <w:lang w:val="en-US"/>
        </w:rPr>
        <w:t>the process of ascertaining the amount which tax is chargeable.</w:t>
      </w:r>
      <w:r w:rsidRPr="008B154B">
        <w:rPr>
          <w:rFonts w:ascii="Times New Roman" w:hAnsi="Times New Roman" w:cs="Times New Roman"/>
          <w:sz w:val="24"/>
          <w:szCs w:val="24"/>
          <w:lang w:val="en-US"/>
        </w:rPr>
        <w:t xml:space="preserve"> </w:t>
      </w:r>
      <w:r w:rsidR="00A819D6" w:rsidRPr="008B154B">
        <w:rPr>
          <w:rFonts w:ascii="Times New Roman" w:hAnsi="Times New Roman" w:cs="Times New Roman"/>
          <w:sz w:val="24"/>
          <w:szCs w:val="24"/>
          <w:lang w:val="en-US"/>
        </w:rPr>
        <w:t>It is in terms of s</w:t>
      </w:r>
      <w:r w:rsidR="00797253" w:rsidRPr="008B154B">
        <w:rPr>
          <w:rFonts w:ascii="Times New Roman" w:hAnsi="Times New Roman" w:cs="Times New Roman"/>
          <w:sz w:val="24"/>
          <w:szCs w:val="24"/>
          <w:lang w:val="en-US"/>
        </w:rPr>
        <w:t xml:space="preserve"> 51(2)</w:t>
      </w:r>
      <w:r w:rsidR="00A819D6" w:rsidRPr="008B154B">
        <w:rPr>
          <w:rFonts w:ascii="Times New Roman" w:hAnsi="Times New Roman" w:cs="Times New Roman"/>
          <w:sz w:val="24"/>
          <w:szCs w:val="24"/>
          <w:lang w:val="en-US"/>
        </w:rPr>
        <w:t xml:space="preserve"> that the Commissioner</w:t>
      </w:r>
      <w:r w:rsidR="00797253" w:rsidRPr="008B154B">
        <w:rPr>
          <w:rFonts w:ascii="Times New Roman" w:hAnsi="Times New Roman" w:cs="Times New Roman"/>
          <w:sz w:val="24"/>
          <w:szCs w:val="24"/>
          <w:lang w:val="en-US"/>
        </w:rPr>
        <w:t xml:space="preserve"> issues a notice of assessment and the amount of tax payable</w:t>
      </w:r>
      <w:r w:rsidRPr="008B154B">
        <w:rPr>
          <w:rFonts w:ascii="Times New Roman" w:hAnsi="Times New Roman" w:cs="Times New Roman"/>
          <w:sz w:val="24"/>
          <w:szCs w:val="24"/>
          <w:lang w:val="en-US"/>
        </w:rPr>
        <w:t xml:space="preserve"> and is </w:t>
      </w:r>
      <w:r w:rsidR="00797253" w:rsidRPr="008B154B">
        <w:rPr>
          <w:rFonts w:ascii="Times New Roman" w:hAnsi="Times New Roman" w:cs="Times New Roman"/>
          <w:sz w:val="24"/>
          <w:szCs w:val="24"/>
          <w:lang w:val="en-US"/>
        </w:rPr>
        <w:t>given to the taxpayer assessed. In addition, s 51(3)</w:t>
      </w:r>
      <w:r w:rsidR="00A32F8A" w:rsidRPr="008B154B">
        <w:rPr>
          <w:rFonts w:ascii="Times New Roman" w:hAnsi="Times New Roman" w:cs="Times New Roman"/>
          <w:sz w:val="24"/>
          <w:szCs w:val="24"/>
          <w:lang w:val="en-US"/>
        </w:rPr>
        <w:t xml:space="preserve"> provides that the notice of assessment shall</w:t>
      </w:r>
      <w:r w:rsidR="00797253" w:rsidRPr="008B154B">
        <w:rPr>
          <w:rFonts w:ascii="Times New Roman" w:hAnsi="Times New Roman" w:cs="Times New Roman"/>
          <w:sz w:val="24"/>
          <w:szCs w:val="24"/>
          <w:lang w:val="en-US"/>
        </w:rPr>
        <w:t xml:space="preserve"> </w:t>
      </w:r>
      <w:r w:rsidR="00FD43E8" w:rsidRPr="008B154B">
        <w:rPr>
          <w:rFonts w:ascii="Times New Roman" w:hAnsi="Times New Roman" w:cs="Times New Roman"/>
          <w:sz w:val="24"/>
          <w:szCs w:val="24"/>
          <w:lang w:val="en-US"/>
        </w:rPr>
        <w:t>inform</w:t>
      </w:r>
      <w:r w:rsidR="00797253" w:rsidRPr="008B154B">
        <w:rPr>
          <w:rFonts w:ascii="Times New Roman" w:hAnsi="Times New Roman" w:cs="Times New Roman"/>
          <w:sz w:val="24"/>
          <w:szCs w:val="24"/>
          <w:lang w:val="en-US"/>
        </w:rPr>
        <w:t xml:space="preserve"> the taxpayer </w:t>
      </w:r>
      <w:r w:rsidR="00A32F8A" w:rsidRPr="008B154B">
        <w:rPr>
          <w:rFonts w:ascii="Times New Roman" w:hAnsi="Times New Roman" w:cs="Times New Roman"/>
          <w:sz w:val="24"/>
          <w:szCs w:val="24"/>
          <w:lang w:val="en-US"/>
        </w:rPr>
        <w:t>of his or her procedural rights, i.e., that any objection to the assessment must be sent to the Commissioner within thirty days of the date of such notice.</w:t>
      </w:r>
    </w:p>
    <w:p w14:paraId="63FD3E56" w14:textId="10392577" w:rsidR="00071C80" w:rsidRPr="008B154B" w:rsidRDefault="007F5931" w:rsidP="0008745D">
      <w:pPr>
        <w:spacing w:after="0" w:line="360" w:lineRule="auto"/>
        <w:ind w:firstLine="720"/>
        <w:jc w:val="both"/>
        <w:rPr>
          <w:rFonts w:ascii="Times New Roman" w:hAnsi="Times New Roman" w:cs="Times New Roman"/>
          <w:sz w:val="24"/>
          <w:szCs w:val="24"/>
        </w:rPr>
      </w:pPr>
      <w:r w:rsidRPr="008B154B">
        <w:rPr>
          <w:rFonts w:ascii="Times New Roman" w:hAnsi="Times New Roman" w:cs="Times New Roman"/>
          <w:sz w:val="24"/>
          <w:szCs w:val="24"/>
          <w:lang w:val="en-US"/>
        </w:rPr>
        <w:t xml:space="preserve">[14] </w:t>
      </w:r>
      <w:r w:rsidR="00A32F8A" w:rsidRPr="008B154B">
        <w:rPr>
          <w:rFonts w:ascii="Times New Roman" w:hAnsi="Times New Roman" w:cs="Times New Roman"/>
          <w:sz w:val="24"/>
          <w:szCs w:val="24"/>
          <w:lang w:val="en-US"/>
        </w:rPr>
        <w:t xml:space="preserve">My understanding of the scheme of s 51 of the Income Tax Act is that it </w:t>
      </w:r>
      <w:r w:rsidR="00071C80" w:rsidRPr="008B154B">
        <w:rPr>
          <w:rFonts w:ascii="Times New Roman" w:hAnsi="Times New Roman" w:cs="Times New Roman"/>
          <w:sz w:val="24"/>
          <w:szCs w:val="24"/>
          <w:lang w:val="en-US"/>
        </w:rPr>
        <w:t>provides</w:t>
      </w:r>
      <w:r w:rsidR="00A32F8A" w:rsidRPr="008B154B">
        <w:rPr>
          <w:rFonts w:ascii="Times New Roman" w:hAnsi="Times New Roman" w:cs="Times New Roman"/>
          <w:sz w:val="24"/>
          <w:szCs w:val="24"/>
          <w:lang w:val="en-US"/>
        </w:rPr>
        <w:t xml:space="preserve"> first </w:t>
      </w:r>
      <w:r w:rsidR="00343DA5" w:rsidRPr="008B154B">
        <w:rPr>
          <w:rFonts w:ascii="Times New Roman" w:hAnsi="Times New Roman" w:cs="Times New Roman"/>
          <w:sz w:val="24"/>
          <w:szCs w:val="24"/>
          <w:lang w:val="en-US"/>
        </w:rPr>
        <w:t>th</w:t>
      </w:r>
      <w:r w:rsidR="00071C80" w:rsidRPr="008B154B">
        <w:rPr>
          <w:rFonts w:ascii="Times New Roman" w:hAnsi="Times New Roman" w:cs="Times New Roman"/>
          <w:sz w:val="24"/>
          <w:szCs w:val="24"/>
          <w:lang w:val="en-US"/>
        </w:rPr>
        <w:t>e process of</w:t>
      </w:r>
      <w:r w:rsidR="00A32F8A" w:rsidRPr="008B154B">
        <w:rPr>
          <w:rFonts w:ascii="Times New Roman" w:hAnsi="Times New Roman" w:cs="Times New Roman"/>
          <w:sz w:val="24"/>
          <w:szCs w:val="24"/>
          <w:lang w:val="en-US"/>
        </w:rPr>
        <w:t xml:space="preserve"> assessment, and</w:t>
      </w:r>
      <w:r w:rsidR="00071C80" w:rsidRPr="008B154B">
        <w:rPr>
          <w:rFonts w:ascii="Times New Roman" w:hAnsi="Times New Roman" w:cs="Times New Roman"/>
          <w:sz w:val="24"/>
          <w:szCs w:val="24"/>
          <w:lang w:val="en-US"/>
        </w:rPr>
        <w:t xml:space="preserve"> second</w:t>
      </w:r>
      <w:r w:rsidR="00343DA5" w:rsidRPr="008B154B">
        <w:rPr>
          <w:rFonts w:ascii="Times New Roman" w:hAnsi="Times New Roman" w:cs="Times New Roman"/>
          <w:sz w:val="24"/>
          <w:szCs w:val="24"/>
          <w:lang w:val="en-US"/>
        </w:rPr>
        <w:t xml:space="preserve"> </w:t>
      </w:r>
      <w:r w:rsidR="00071C80" w:rsidRPr="008B154B">
        <w:rPr>
          <w:rFonts w:ascii="Times New Roman" w:hAnsi="Times New Roman" w:cs="Times New Roman"/>
          <w:sz w:val="24"/>
          <w:szCs w:val="24"/>
          <w:lang w:val="en-US"/>
        </w:rPr>
        <w:t>the</w:t>
      </w:r>
      <w:r w:rsidR="00A32F8A" w:rsidRPr="008B154B">
        <w:rPr>
          <w:rFonts w:ascii="Times New Roman" w:hAnsi="Times New Roman" w:cs="Times New Roman"/>
          <w:sz w:val="24"/>
          <w:szCs w:val="24"/>
          <w:lang w:val="en-US"/>
        </w:rPr>
        <w:t xml:space="preserve"> issu</w:t>
      </w:r>
      <w:r w:rsidR="00071C80" w:rsidRPr="008B154B">
        <w:rPr>
          <w:rFonts w:ascii="Times New Roman" w:hAnsi="Times New Roman" w:cs="Times New Roman"/>
          <w:sz w:val="24"/>
          <w:szCs w:val="24"/>
          <w:lang w:val="en-US"/>
        </w:rPr>
        <w:t>ance of</w:t>
      </w:r>
      <w:r w:rsidR="00A32F8A" w:rsidRPr="008B154B">
        <w:rPr>
          <w:rFonts w:ascii="Times New Roman" w:hAnsi="Times New Roman" w:cs="Times New Roman"/>
          <w:sz w:val="24"/>
          <w:szCs w:val="24"/>
          <w:lang w:val="en-US"/>
        </w:rPr>
        <w:t xml:space="preserve"> a notice of assessment to the taxpayer. </w:t>
      </w:r>
      <w:r w:rsidR="00353ECE" w:rsidRPr="008B154B">
        <w:rPr>
          <w:rFonts w:ascii="Times New Roman" w:hAnsi="Times New Roman" w:cs="Times New Roman"/>
          <w:sz w:val="24"/>
          <w:szCs w:val="24"/>
          <w:lang w:val="en-US"/>
        </w:rPr>
        <w:t>These are two distinct and stand</w:t>
      </w:r>
      <w:r w:rsidR="00837D3D" w:rsidRPr="008B154B">
        <w:rPr>
          <w:rFonts w:ascii="Times New Roman" w:hAnsi="Times New Roman" w:cs="Times New Roman"/>
          <w:sz w:val="24"/>
          <w:szCs w:val="24"/>
          <w:lang w:val="en-US"/>
        </w:rPr>
        <w:t>-</w:t>
      </w:r>
      <w:r w:rsidR="00353ECE" w:rsidRPr="008B154B">
        <w:rPr>
          <w:rFonts w:ascii="Times New Roman" w:hAnsi="Times New Roman" w:cs="Times New Roman"/>
          <w:sz w:val="24"/>
          <w:szCs w:val="24"/>
          <w:lang w:val="en-US"/>
        </w:rPr>
        <w:t xml:space="preserve">alone processes. </w:t>
      </w:r>
      <w:r w:rsidR="00255A33" w:rsidRPr="008B154B">
        <w:rPr>
          <w:rFonts w:ascii="Times New Roman" w:hAnsi="Times New Roman" w:cs="Times New Roman"/>
          <w:sz w:val="24"/>
          <w:szCs w:val="24"/>
          <w:lang w:val="en-US"/>
        </w:rPr>
        <w:t>T</w:t>
      </w:r>
      <w:r w:rsidR="00255A33" w:rsidRPr="008B154B">
        <w:rPr>
          <w:rFonts w:ascii="Times New Roman" w:hAnsi="Times New Roman" w:cs="Times New Roman"/>
          <w:sz w:val="24"/>
          <w:szCs w:val="24"/>
        </w:rPr>
        <w:t>he notice of assessment is the medium through which an assessment outcome is communicated to the taxpayer. See</w:t>
      </w:r>
      <w:r w:rsidR="00255A33" w:rsidRPr="008B154B">
        <w:rPr>
          <w:rFonts w:ascii="Times New Roman" w:hAnsi="Times New Roman" w:cs="Times New Roman"/>
          <w:i/>
          <w:iCs/>
          <w:sz w:val="24"/>
          <w:szCs w:val="24"/>
        </w:rPr>
        <w:t xml:space="preserve"> JK Motors v Zimbabwe Revenue Authority</w:t>
      </w:r>
      <w:r w:rsidR="00255A33" w:rsidRPr="008B154B">
        <w:rPr>
          <w:rFonts w:ascii="Times New Roman" w:hAnsi="Times New Roman" w:cs="Times New Roman"/>
          <w:sz w:val="24"/>
          <w:szCs w:val="24"/>
        </w:rPr>
        <w:t xml:space="preserve"> HH-336/23. </w:t>
      </w:r>
      <w:r w:rsidR="001C739A" w:rsidRPr="008B154B">
        <w:rPr>
          <w:rFonts w:ascii="Times New Roman" w:hAnsi="Times New Roman" w:cs="Times New Roman"/>
          <w:sz w:val="24"/>
          <w:szCs w:val="24"/>
        </w:rPr>
        <w:t xml:space="preserve">The applicant’s contention that both an assessment and a notice of assessment are documents cannot </w:t>
      </w:r>
      <w:r w:rsidR="00353ECE" w:rsidRPr="008B154B">
        <w:rPr>
          <w:rFonts w:ascii="Times New Roman" w:hAnsi="Times New Roman" w:cs="Times New Roman"/>
          <w:sz w:val="24"/>
          <w:szCs w:val="24"/>
        </w:rPr>
        <w:t>be correct</w:t>
      </w:r>
      <w:r w:rsidR="001C739A" w:rsidRPr="008B154B">
        <w:rPr>
          <w:rFonts w:ascii="Times New Roman" w:hAnsi="Times New Roman" w:cs="Times New Roman"/>
          <w:sz w:val="24"/>
          <w:szCs w:val="24"/>
        </w:rPr>
        <w:t xml:space="preserve">. </w:t>
      </w:r>
      <w:r w:rsidR="00353ECE" w:rsidRPr="008B154B">
        <w:rPr>
          <w:rFonts w:ascii="Times New Roman" w:hAnsi="Times New Roman" w:cs="Times New Roman"/>
          <w:sz w:val="24"/>
          <w:szCs w:val="24"/>
        </w:rPr>
        <w:t xml:space="preserve">The applicant placed reliance on </w:t>
      </w:r>
      <w:r w:rsidR="00353ECE" w:rsidRPr="008B154B">
        <w:rPr>
          <w:rFonts w:ascii="Times New Roman" w:hAnsi="Times New Roman" w:cs="Times New Roman"/>
          <w:i/>
          <w:iCs/>
          <w:sz w:val="24"/>
          <w:szCs w:val="24"/>
        </w:rPr>
        <w:t>Nestle v ZIMRA</w:t>
      </w:r>
      <w:r w:rsidR="00353ECE" w:rsidRPr="008B154B">
        <w:rPr>
          <w:rFonts w:ascii="Times New Roman" w:hAnsi="Times New Roman" w:cs="Times New Roman"/>
          <w:sz w:val="24"/>
          <w:szCs w:val="24"/>
        </w:rPr>
        <w:t xml:space="preserve"> SC 148/21. This case is not authority for the proposition that </w:t>
      </w:r>
      <w:r w:rsidR="00B570CC" w:rsidRPr="008B154B">
        <w:rPr>
          <w:rFonts w:ascii="Times New Roman" w:hAnsi="Times New Roman" w:cs="Times New Roman"/>
          <w:sz w:val="24"/>
          <w:szCs w:val="24"/>
          <w:lang w:val="en-US"/>
        </w:rPr>
        <w:t xml:space="preserve">there is no distinction between a notice of assessment and an assessment. </w:t>
      </w:r>
      <w:r w:rsidR="001C739A" w:rsidRPr="008B154B">
        <w:rPr>
          <w:rFonts w:ascii="Times New Roman" w:hAnsi="Times New Roman" w:cs="Times New Roman"/>
          <w:sz w:val="24"/>
          <w:szCs w:val="24"/>
        </w:rPr>
        <w:t>A</w:t>
      </w:r>
      <w:r w:rsidR="00071C80" w:rsidRPr="008B154B">
        <w:rPr>
          <w:rFonts w:ascii="Times New Roman" w:hAnsi="Times New Roman" w:cs="Times New Roman"/>
          <w:sz w:val="24"/>
          <w:szCs w:val="24"/>
        </w:rPr>
        <w:t>n a</w:t>
      </w:r>
      <w:r w:rsidR="001C739A" w:rsidRPr="008B154B">
        <w:rPr>
          <w:rFonts w:ascii="Times New Roman" w:hAnsi="Times New Roman" w:cs="Times New Roman"/>
          <w:sz w:val="24"/>
          <w:szCs w:val="24"/>
        </w:rPr>
        <w:t xml:space="preserve">ssessment </w:t>
      </w:r>
      <w:r w:rsidR="00071C80" w:rsidRPr="008B154B">
        <w:rPr>
          <w:rFonts w:ascii="Times New Roman" w:hAnsi="Times New Roman" w:cs="Times New Roman"/>
          <w:sz w:val="24"/>
          <w:szCs w:val="24"/>
        </w:rPr>
        <w:t>is</w:t>
      </w:r>
      <w:r w:rsidR="001C739A" w:rsidRPr="008B154B">
        <w:rPr>
          <w:rFonts w:ascii="Times New Roman" w:hAnsi="Times New Roman" w:cs="Times New Roman"/>
          <w:sz w:val="24"/>
          <w:szCs w:val="24"/>
        </w:rPr>
        <w:t xml:space="preserve"> prepared in terms of s 51(1), while a notice of assessment is prepared in terms of s 51(2). </w:t>
      </w:r>
    </w:p>
    <w:p w14:paraId="7FFED188" w14:textId="32F388AA" w:rsidR="00EE7EBA" w:rsidRPr="008B154B" w:rsidRDefault="00071C80" w:rsidP="0008745D">
      <w:pPr>
        <w:spacing w:after="0" w:line="360" w:lineRule="auto"/>
        <w:ind w:firstLine="720"/>
        <w:jc w:val="both"/>
        <w:rPr>
          <w:rFonts w:ascii="Times New Roman" w:hAnsi="Times New Roman" w:cs="Times New Roman"/>
          <w:sz w:val="24"/>
          <w:szCs w:val="24"/>
        </w:rPr>
      </w:pPr>
      <w:r w:rsidRPr="008B154B">
        <w:rPr>
          <w:rFonts w:ascii="Times New Roman" w:hAnsi="Times New Roman" w:cs="Times New Roman"/>
          <w:sz w:val="24"/>
          <w:szCs w:val="24"/>
        </w:rPr>
        <w:t>[15]</w:t>
      </w:r>
      <w:r w:rsidR="00A003F2" w:rsidRPr="008B154B">
        <w:rPr>
          <w:rFonts w:ascii="Times New Roman" w:hAnsi="Times New Roman" w:cs="Times New Roman"/>
          <w:sz w:val="24"/>
          <w:szCs w:val="24"/>
        </w:rPr>
        <w:t xml:space="preserve"> The applicant’s case is clearly stated in paragraph 11 of the founding affidavit</w:t>
      </w:r>
      <w:r w:rsidR="00837D3D" w:rsidRPr="008B154B">
        <w:rPr>
          <w:rFonts w:ascii="Times New Roman" w:hAnsi="Times New Roman" w:cs="Times New Roman"/>
          <w:sz w:val="24"/>
          <w:szCs w:val="24"/>
        </w:rPr>
        <w:t>;</w:t>
      </w:r>
      <w:r w:rsidR="00A003F2" w:rsidRPr="008B154B">
        <w:rPr>
          <w:rFonts w:ascii="Times New Roman" w:hAnsi="Times New Roman" w:cs="Times New Roman"/>
          <w:sz w:val="24"/>
          <w:szCs w:val="24"/>
        </w:rPr>
        <w:t xml:space="preserve"> he avers that: “this is an application for a declaratory order to the effect that the assessments </w:t>
      </w:r>
      <w:r w:rsidR="00A003F2" w:rsidRPr="008B154B">
        <w:rPr>
          <w:rFonts w:ascii="Times New Roman" w:hAnsi="Times New Roman" w:cs="Times New Roman"/>
          <w:sz w:val="24"/>
          <w:szCs w:val="24"/>
        </w:rPr>
        <w:lastRenderedPageBreak/>
        <w:t xml:space="preserve">issued on the applicant by the respondent are unlawful and </w:t>
      </w:r>
      <w:r w:rsidR="00A003F2" w:rsidRPr="008B154B">
        <w:rPr>
          <w:rFonts w:ascii="Times New Roman" w:hAnsi="Times New Roman" w:cs="Times New Roman"/>
          <w:i/>
          <w:iCs/>
          <w:sz w:val="24"/>
          <w:szCs w:val="24"/>
        </w:rPr>
        <w:t>ultra vires</w:t>
      </w:r>
      <w:r w:rsidR="00A003F2" w:rsidRPr="008B154B">
        <w:rPr>
          <w:rFonts w:ascii="Times New Roman" w:hAnsi="Times New Roman" w:cs="Times New Roman"/>
          <w:sz w:val="24"/>
          <w:szCs w:val="24"/>
        </w:rPr>
        <w:t xml:space="preserve"> the powers of the respondent.” There is no mention of a notice of assessment</w:t>
      </w:r>
      <w:r w:rsidR="00837D3D" w:rsidRPr="008B154B">
        <w:rPr>
          <w:rFonts w:ascii="Times New Roman" w:hAnsi="Times New Roman" w:cs="Times New Roman"/>
          <w:sz w:val="24"/>
          <w:szCs w:val="24"/>
        </w:rPr>
        <w:t xml:space="preserve">; </w:t>
      </w:r>
      <w:r w:rsidR="00A003F2" w:rsidRPr="008B154B">
        <w:rPr>
          <w:rFonts w:ascii="Times New Roman" w:hAnsi="Times New Roman" w:cs="Times New Roman"/>
          <w:sz w:val="24"/>
          <w:szCs w:val="24"/>
        </w:rPr>
        <w:t xml:space="preserve">the mention of </w:t>
      </w:r>
      <w:r w:rsidR="004E7937" w:rsidRPr="008B154B">
        <w:rPr>
          <w:rFonts w:ascii="Times New Roman" w:hAnsi="Times New Roman" w:cs="Times New Roman"/>
          <w:sz w:val="24"/>
          <w:szCs w:val="24"/>
        </w:rPr>
        <w:t>it</w:t>
      </w:r>
      <w:r w:rsidR="00A003F2" w:rsidRPr="008B154B">
        <w:rPr>
          <w:rFonts w:ascii="Times New Roman" w:hAnsi="Times New Roman" w:cs="Times New Roman"/>
          <w:sz w:val="24"/>
          <w:szCs w:val="24"/>
        </w:rPr>
        <w:t xml:space="preserve"> appears </w:t>
      </w:r>
      <w:r w:rsidR="004E7937" w:rsidRPr="008B154B">
        <w:rPr>
          <w:rFonts w:ascii="Times New Roman" w:hAnsi="Times New Roman" w:cs="Times New Roman"/>
          <w:sz w:val="24"/>
          <w:szCs w:val="24"/>
        </w:rPr>
        <w:t xml:space="preserve">for the first time </w:t>
      </w:r>
      <w:r w:rsidR="00A003F2" w:rsidRPr="008B154B">
        <w:rPr>
          <w:rFonts w:ascii="Times New Roman" w:hAnsi="Times New Roman" w:cs="Times New Roman"/>
          <w:sz w:val="24"/>
          <w:szCs w:val="24"/>
        </w:rPr>
        <w:t xml:space="preserve">in the answering affidavit. </w:t>
      </w:r>
      <w:r w:rsidR="00EE7EBA" w:rsidRPr="008B154B">
        <w:rPr>
          <w:rFonts w:ascii="Times New Roman" w:hAnsi="Times New Roman" w:cs="Times New Roman"/>
          <w:sz w:val="24"/>
          <w:szCs w:val="24"/>
        </w:rPr>
        <w:t xml:space="preserve">It is trite that an application stands or falls on its founding affidavit. </w:t>
      </w:r>
      <w:r w:rsidR="00353ECE" w:rsidRPr="008B154B">
        <w:rPr>
          <w:rFonts w:ascii="Times New Roman" w:hAnsi="Times New Roman" w:cs="Times New Roman"/>
          <w:sz w:val="24"/>
          <w:szCs w:val="24"/>
        </w:rPr>
        <w:t>See</w:t>
      </w:r>
      <w:r w:rsidR="00B273D8" w:rsidRPr="008B154B">
        <w:rPr>
          <w:rFonts w:ascii="Times New Roman" w:hAnsi="Times New Roman" w:cs="Times New Roman"/>
          <w:i/>
          <w:sz w:val="24"/>
          <w:szCs w:val="24"/>
        </w:rPr>
        <w:t xml:space="preserve"> Muchini v Adams &amp; Ors</w:t>
      </w:r>
      <w:r w:rsidR="00B273D8" w:rsidRPr="008B154B">
        <w:rPr>
          <w:rFonts w:ascii="Times New Roman" w:hAnsi="Times New Roman" w:cs="Times New Roman"/>
          <w:sz w:val="24"/>
          <w:szCs w:val="24"/>
        </w:rPr>
        <w:t xml:space="preserve"> SC 47/13 at p 4. </w:t>
      </w:r>
      <w:r w:rsidR="00EE7EBA" w:rsidRPr="008B154B">
        <w:rPr>
          <w:rFonts w:ascii="Times New Roman" w:hAnsi="Times New Roman" w:cs="Times New Roman"/>
          <w:sz w:val="24"/>
          <w:szCs w:val="24"/>
        </w:rPr>
        <w:t xml:space="preserve">Therefore, whatever attempts </w:t>
      </w:r>
      <w:r w:rsidR="00B273D8" w:rsidRPr="008B154B">
        <w:rPr>
          <w:rFonts w:ascii="Times New Roman" w:hAnsi="Times New Roman" w:cs="Times New Roman"/>
          <w:sz w:val="24"/>
          <w:szCs w:val="24"/>
        </w:rPr>
        <w:t>are</w:t>
      </w:r>
      <w:r w:rsidR="00EE7EBA" w:rsidRPr="008B154B">
        <w:rPr>
          <w:rFonts w:ascii="Times New Roman" w:hAnsi="Times New Roman" w:cs="Times New Roman"/>
          <w:sz w:val="24"/>
          <w:szCs w:val="24"/>
        </w:rPr>
        <w:t xml:space="preserve"> made in the answering affidavit to refer </w:t>
      </w:r>
      <w:r w:rsidR="00837D3D" w:rsidRPr="008B154B">
        <w:rPr>
          <w:rFonts w:ascii="Times New Roman" w:hAnsi="Times New Roman" w:cs="Times New Roman"/>
          <w:sz w:val="24"/>
          <w:szCs w:val="24"/>
        </w:rPr>
        <w:t xml:space="preserve">to the </w:t>
      </w:r>
      <w:r w:rsidR="00EE7EBA" w:rsidRPr="008B154B">
        <w:rPr>
          <w:rFonts w:ascii="Times New Roman" w:hAnsi="Times New Roman" w:cs="Times New Roman"/>
          <w:sz w:val="24"/>
          <w:szCs w:val="24"/>
        </w:rPr>
        <w:t xml:space="preserve">notices of assessment are inconsequential. </w:t>
      </w:r>
    </w:p>
    <w:p w14:paraId="42A0ED5A" w14:textId="647574C0" w:rsidR="00E90630" w:rsidRPr="008B154B" w:rsidRDefault="00EE7EBA" w:rsidP="0008745D">
      <w:pPr>
        <w:spacing w:after="0" w:line="360" w:lineRule="auto"/>
        <w:ind w:firstLine="720"/>
        <w:jc w:val="both"/>
        <w:rPr>
          <w:rFonts w:ascii="Times New Roman" w:hAnsi="Times New Roman" w:cs="Times New Roman"/>
          <w:sz w:val="24"/>
          <w:szCs w:val="24"/>
        </w:rPr>
      </w:pPr>
      <w:r w:rsidRPr="008B154B">
        <w:rPr>
          <w:rFonts w:ascii="Times New Roman" w:hAnsi="Times New Roman" w:cs="Times New Roman"/>
          <w:sz w:val="24"/>
          <w:szCs w:val="24"/>
          <w:lang w:val="en-US"/>
        </w:rPr>
        <w:t xml:space="preserve">[16] </w:t>
      </w:r>
      <w:r w:rsidR="00071C80" w:rsidRPr="008B154B">
        <w:rPr>
          <w:rFonts w:ascii="Times New Roman" w:hAnsi="Times New Roman" w:cs="Times New Roman"/>
          <w:sz w:val="24"/>
          <w:szCs w:val="24"/>
        </w:rPr>
        <w:t xml:space="preserve">It is apparent that the applicant </w:t>
      </w:r>
      <w:r w:rsidR="00666571" w:rsidRPr="008B154B">
        <w:rPr>
          <w:rFonts w:ascii="Times New Roman" w:hAnsi="Times New Roman" w:cs="Times New Roman"/>
          <w:sz w:val="24"/>
          <w:szCs w:val="24"/>
        </w:rPr>
        <w:t>is</w:t>
      </w:r>
      <w:r w:rsidR="00071C80" w:rsidRPr="008B154B">
        <w:rPr>
          <w:rFonts w:ascii="Times New Roman" w:hAnsi="Times New Roman" w:cs="Times New Roman"/>
          <w:sz w:val="24"/>
          <w:szCs w:val="24"/>
        </w:rPr>
        <w:t xml:space="preserve"> conflat</w:t>
      </w:r>
      <w:r w:rsidR="00666571" w:rsidRPr="008B154B">
        <w:rPr>
          <w:rFonts w:ascii="Times New Roman" w:hAnsi="Times New Roman" w:cs="Times New Roman"/>
          <w:sz w:val="24"/>
          <w:szCs w:val="24"/>
        </w:rPr>
        <w:t>ing</w:t>
      </w:r>
      <w:r w:rsidR="00071C80" w:rsidRPr="008B154B">
        <w:rPr>
          <w:rFonts w:ascii="Times New Roman" w:hAnsi="Times New Roman" w:cs="Times New Roman"/>
          <w:sz w:val="24"/>
          <w:szCs w:val="24"/>
        </w:rPr>
        <w:t xml:space="preserve"> the process of assessment and the notice of assessment. The notice of assessment and the assessment are two distinct incidents. </w:t>
      </w:r>
      <w:r w:rsidR="001C739A" w:rsidRPr="008B154B">
        <w:rPr>
          <w:rFonts w:ascii="Times New Roman" w:hAnsi="Times New Roman" w:cs="Times New Roman"/>
          <w:sz w:val="24"/>
          <w:szCs w:val="24"/>
        </w:rPr>
        <w:t>The applicant’s case is predicated on the alleged unlawfulness of the assessments</w:t>
      </w:r>
      <w:r w:rsidR="007F7E30" w:rsidRPr="008B154B">
        <w:rPr>
          <w:rFonts w:ascii="Times New Roman" w:hAnsi="Times New Roman" w:cs="Times New Roman"/>
          <w:sz w:val="24"/>
          <w:szCs w:val="24"/>
        </w:rPr>
        <w:t>. A</w:t>
      </w:r>
      <w:r w:rsidR="00E90630" w:rsidRPr="008B154B">
        <w:rPr>
          <w:rFonts w:ascii="Times New Roman" w:hAnsi="Times New Roman" w:cs="Times New Roman"/>
          <w:sz w:val="24"/>
          <w:szCs w:val="24"/>
        </w:rPr>
        <w:t>n assessment is a</w:t>
      </w:r>
      <w:r w:rsidR="00764989" w:rsidRPr="008B154B">
        <w:rPr>
          <w:rFonts w:ascii="Times New Roman" w:hAnsi="Times New Roman" w:cs="Times New Roman"/>
          <w:sz w:val="24"/>
          <w:szCs w:val="24"/>
        </w:rPr>
        <w:t xml:space="preserve">n administrative </w:t>
      </w:r>
      <w:r w:rsidR="00E90630" w:rsidRPr="008B154B">
        <w:rPr>
          <w:rFonts w:ascii="Times New Roman" w:hAnsi="Times New Roman" w:cs="Times New Roman"/>
          <w:sz w:val="24"/>
          <w:szCs w:val="24"/>
        </w:rPr>
        <w:t>process</w:t>
      </w:r>
      <w:r w:rsidR="00837D3D" w:rsidRPr="008B154B">
        <w:rPr>
          <w:rFonts w:ascii="Times New Roman" w:hAnsi="Times New Roman" w:cs="Times New Roman"/>
          <w:sz w:val="24"/>
          <w:szCs w:val="24"/>
        </w:rPr>
        <w:t>,</w:t>
      </w:r>
      <w:r w:rsidR="00E90630" w:rsidRPr="008B154B">
        <w:rPr>
          <w:rFonts w:ascii="Times New Roman" w:hAnsi="Times New Roman" w:cs="Times New Roman"/>
          <w:sz w:val="24"/>
          <w:szCs w:val="24"/>
        </w:rPr>
        <w:t xml:space="preserve"> as opposed to a notice of assessment</w:t>
      </w:r>
      <w:r w:rsidR="00837D3D" w:rsidRPr="008B154B">
        <w:rPr>
          <w:rFonts w:ascii="Times New Roman" w:hAnsi="Times New Roman" w:cs="Times New Roman"/>
          <w:sz w:val="24"/>
          <w:szCs w:val="24"/>
        </w:rPr>
        <w:t>,</w:t>
      </w:r>
      <w:r w:rsidR="00E90630" w:rsidRPr="008B154B">
        <w:rPr>
          <w:rFonts w:ascii="Times New Roman" w:hAnsi="Times New Roman" w:cs="Times New Roman"/>
          <w:sz w:val="24"/>
          <w:szCs w:val="24"/>
        </w:rPr>
        <w:t xml:space="preserve"> which is a document.</w:t>
      </w:r>
      <w:r w:rsidR="00666571" w:rsidRPr="008B154B">
        <w:rPr>
          <w:rFonts w:ascii="Times New Roman" w:hAnsi="Times New Roman" w:cs="Times New Roman"/>
          <w:sz w:val="24"/>
          <w:szCs w:val="24"/>
        </w:rPr>
        <w:t xml:space="preserve"> As stated above, a notice of assessment is the medium through which an assessment outcome is communicated to the taxpayer.</w:t>
      </w:r>
      <w:r w:rsidR="00E90630" w:rsidRPr="008B154B">
        <w:rPr>
          <w:rFonts w:ascii="Times New Roman" w:hAnsi="Times New Roman" w:cs="Times New Roman"/>
          <w:sz w:val="24"/>
          <w:szCs w:val="24"/>
        </w:rPr>
        <w:t xml:space="preserve"> </w:t>
      </w:r>
      <w:r w:rsidR="00B57F87" w:rsidRPr="008B154B">
        <w:rPr>
          <w:rFonts w:ascii="Times New Roman" w:hAnsi="Times New Roman" w:cs="Times New Roman"/>
          <w:sz w:val="24"/>
          <w:szCs w:val="24"/>
        </w:rPr>
        <w:t>My thinking is that</w:t>
      </w:r>
      <w:r w:rsidR="00046D2F" w:rsidRPr="008B154B">
        <w:rPr>
          <w:rFonts w:ascii="Times New Roman" w:hAnsi="Times New Roman" w:cs="Times New Roman"/>
          <w:sz w:val="24"/>
          <w:szCs w:val="24"/>
        </w:rPr>
        <w:t xml:space="preserve"> a litigant aggrieved by the assessment</w:t>
      </w:r>
      <w:r w:rsidR="00837D3D" w:rsidRPr="008B154B">
        <w:rPr>
          <w:rFonts w:ascii="Times New Roman" w:hAnsi="Times New Roman" w:cs="Times New Roman"/>
          <w:sz w:val="24"/>
          <w:szCs w:val="24"/>
        </w:rPr>
        <w:t>,</w:t>
      </w:r>
      <w:r w:rsidR="00046D2F" w:rsidRPr="008B154B">
        <w:rPr>
          <w:rFonts w:ascii="Times New Roman" w:hAnsi="Times New Roman" w:cs="Times New Roman"/>
          <w:sz w:val="24"/>
          <w:szCs w:val="24"/>
        </w:rPr>
        <w:t xml:space="preserve"> i.e., the process</w:t>
      </w:r>
      <w:r w:rsidR="00666571" w:rsidRPr="008B154B">
        <w:rPr>
          <w:rFonts w:ascii="Times New Roman" w:hAnsi="Times New Roman" w:cs="Times New Roman"/>
          <w:sz w:val="24"/>
          <w:szCs w:val="24"/>
        </w:rPr>
        <w:t xml:space="preserve"> itself</w:t>
      </w:r>
      <w:r w:rsidR="00046D2F" w:rsidRPr="008B154B">
        <w:rPr>
          <w:rFonts w:ascii="Times New Roman" w:hAnsi="Times New Roman" w:cs="Times New Roman"/>
          <w:sz w:val="24"/>
          <w:szCs w:val="24"/>
        </w:rPr>
        <w:t>, cannot challeng</w:t>
      </w:r>
      <w:r w:rsidR="00B273D8" w:rsidRPr="008B154B">
        <w:rPr>
          <w:rFonts w:ascii="Times New Roman" w:hAnsi="Times New Roman" w:cs="Times New Roman"/>
          <w:sz w:val="24"/>
          <w:szCs w:val="24"/>
        </w:rPr>
        <w:t>e such process</w:t>
      </w:r>
      <w:r w:rsidR="00046D2F" w:rsidRPr="008B154B">
        <w:rPr>
          <w:rFonts w:ascii="Times New Roman" w:hAnsi="Times New Roman" w:cs="Times New Roman"/>
          <w:sz w:val="24"/>
          <w:szCs w:val="24"/>
        </w:rPr>
        <w:t xml:space="preserve"> through a </w:t>
      </w:r>
      <w:r w:rsidR="00046D2F" w:rsidRPr="008B154B">
        <w:rPr>
          <w:rFonts w:ascii="Times New Roman" w:hAnsi="Times New Roman" w:cs="Times New Roman"/>
          <w:i/>
          <w:iCs/>
          <w:sz w:val="24"/>
          <w:szCs w:val="24"/>
        </w:rPr>
        <w:t>declaratur</w:t>
      </w:r>
      <w:r w:rsidR="00046D2F" w:rsidRPr="008B154B">
        <w:rPr>
          <w:rFonts w:ascii="Times New Roman" w:hAnsi="Times New Roman" w:cs="Times New Roman"/>
          <w:sz w:val="24"/>
          <w:szCs w:val="24"/>
        </w:rPr>
        <w:t>, but a review</w:t>
      </w:r>
      <w:r w:rsidR="00B273D8" w:rsidRPr="008B154B">
        <w:rPr>
          <w:rFonts w:ascii="Times New Roman" w:hAnsi="Times New Roman" w:cs="Times New Roman"/>
          <w:sz w:val="24"/>
          <w:szCs w:val="24"/>
        </w:rPr>
        <w:t xml:space="preserve">. </w:t>
      </w:r>
      <w:r w:rsidR="000856CA" w:rsidRPr="008B154B">
        <w:rPr>
          <w:rFonts w:ascii="Times New Roman" w:hAnsi="Times New Roman" w:cs="Times New Roman"/>
          <w:sz w:val="24"/>
          <w:szCs w:val="24"/>
        </w:rPr>
        <w:t>It is so because in a review</w:t>
      </w:r>
      <w:r w:rsidR="00837D3D" w:rsidRPr="008B154B">
        <w:rPr>
          <w:rFonts w:ascii="Times New Roman" w:hAnsi="Times New Roman" w:cs="Times New Roman"/>
          <w:sz w:val="24"/>
          <w:szCs w:val="24"/>
        </w:rPr>
        <w:t>,</w:t>
      </w:r>
      <w:r w:rsidR="000856CA" w:rsidRPr="008B154B">
        <w:rPr>
          <w:rFonts w:ascii="Times New Roman" w:hAnsi="Times New Roman" w:cs="Times New Roman"/>
          <w:sz w:val="24"/>
          <w:szCs w:val="24"/>
        </w:rPr>
        <w:t xml:space="preserve"> the focus is on the process, and the way in which the decision-maker came to the challenged decision.  </w:t>
      </w:r>
      <w:r w:rsidR="00211AB3" w:rsidRPr="008B154B">
        <w:rPr>
          <w:rFonts w:ascii="Times New Roman" w:hAnsi="Times New Roman" w:cs="Times New Roman"/>
          <w:sz w:val="24"/>
          <w:szCs w:val="24"/>
        </w:rPr>
        <w:t xml:space="preserve">In </w:t>
      </w:r>
      <w:proofErr w:type="spellStart"/>
      <w:r w:rsidR="00211AB3" w:rsidRPr="008B154B">
        <w:rPr>
          <w:rFonts w:ascii="Times New Roman" w:hAnsi="Times New Roman" w:cs="Times New Roman"/>
          <w:sz w:val="24"/>
          <w:szCs w:val="24"/>
        </w:rPr>
        <w:t>Zvomatsayi</w:t>
      </w:r>
      <w:proofErr w:type="spellEnd"/>
      <w:r w:rsidR="00764989" w:rsidRPr="008B154B">
        <w:rPr>
          <w:rFonts w:ascii="Times New Roman" w:hAnsi="Times New Roman" w:cs="Times New Roman"/>
          <w:i/>
          <w:iCs/>
          <w:sz w:val="24"/>
          <w:szCs w:val="24"/>
        </w:rPr>
        <w:t xml:space="preserve"> &amp; </w:t>
      </w:r>
      <w:proofErr w:type="spellStart"/>
      <w:r w:rsidR="00764989" w:rsidRPr="008B154B">
        <w:rPr>
          <w:rFonts w:ascii="Times New Roman" w:hAnsi="Times New Roman" w:cs="Times New Roman"/>
          <w:i/>
          <w:iCs/>
          <w:sz w:val="24"/>
          <w:szCs w:val="24"/>
        </w:rPr>
        <w:t>Ors</w:t>
      </w:r>
      <w:proofErr w:type="spellEnd"/>
      <w:r w:rsidR="00764989" w:rsidRPr="008B154B">
        <w:rPr>
          <w:rFonts w:ascii="Times New Roman" w:hAnsi="Times New Roman" w:cs="Times New Roman"/>
          <w:i/>
          <w:iCs/>
          <w:sz w:val="24"/>
          <w:szCs w:val="24"/>
        </w:rPr>
        <w:t xml:space="preserve"> v </w:t>
      </w:r>
      <w:proofErr w:type="spellStart"/>
      <w:r w:rsidR="00764989" w:rsidRPr="008B154B">
        <w:rPr>
          <w:rFonts w:ascii="Times New Roman" w:hAnsi="Times New Roman" w:cs="Times New Roman"/>
          <w:i/>
          <w:iCs/>
          <w:sz w:val="24"/>
          <w:szCs w:val="24"/>
        </w:rPr>
        <w:t>Chitekwe</w:t>
      </w:r>
      <w:proofErr w:type="spellEnd"/>
      <w:r w:rsidR="00764989" w:rsidRPr="008B154B">
        <w:rPr>
          <w:rFonts w:ascii="Times New Roman" w:hAnsi="Times New Roman" w:cs="Times New Roman"/>
          <w:i/>
          <w:iCs/>
          <w:sz w:val="24"/>
          <w:szCs w:val="24"/>
        </w:rPr>
        <w:t xml:space="preserve"> No &amp; Anor </w:t>
      </w:r>
      <w:r w:rsidR="00764989" w:rsidRPr="008B154B">
        <w:rPr>
          <w:rFonts w:ascii="Times New Roman" w:hAnsi="Times New Roman" w:cs="Times New Roman"/>
          <w:sz w:val="24"/>
          <w:szCs w:val="24"/>
        </w:rPr>
        <w:t>2019 (3) ZLR 990 (H) at 996 B-C</w:t>
      </w:r>
      <w:r w:rsidR="00B04F21" w:rsidRPr="008B154B">
        <w:rPr>
          <w:rFonts w:ascii="Times New Roman" w:hAnsi="Times New Roman" w:cs="Times New Roman"/>
          <w:sz w:val="24"/>
          <w:szCs w:val="24"/>
        </w:rPr>
        <w:t>,</w:t>
      </w:r>
      <w:r w:rsidR="00B273D8" w:rsidRPr="008B154B">
        <w:rPr>
          <w:rFonts w:ascii="Times New Roman" w:hAnsi="Times New Roman" w:cs="Times New Roman"/>
          <w:sz w:val="24"/>
          <w:szCs w:val="24"/>
        </w:rPr>
        <w:t xml:space="preserve"> the court stated thus: </w:t>
      </w:r>
    </w:p>
    <w:p w14:paraId="79BB9BD8" w14:textId="024D54FE" w:rsidR="00B273D8" w:rsidRPr="008B154B" w:rsidRDefault="00B273D8" w:rsidP="00AC5E84">
      <w:pPr>
        <w:spacing w:after="0" w:line="240" w:lineRule="auto"/>
        <w:ind w:left="720"/>
        <w:jc w:val="both"/>
        <w:rPr>
          <w:rFonts w:ascii="Times New Roman" w:hAnsi="Times New Roman" w:cs="Times New Roman"/>
          <w:i/>
          <w:sz w:val="24"/>
          <w:szCs w:val="24"/>
        </w:rPr>
      </w:pPr>
      <w:r w:rsidRPr="008B154B">
        <w:rPr>
          <w:rFonts w:ascii="Times New Roman" w:hAnsi="Times New Roman" w:cs="Times New Roman"/>
          <w:sz w:val="24"/>
          <w:szCs w:val="24"/>
        </w:rPr>
        <w:t>“</w:t>
      </w:r>
      <w:r w:rsidRPr="008B154B">
        <w:rPr>
          <w:rFonts w:ascii="Times New Roman" w:hAnsi="Times New Roman" w:cs="Times New Roman"/>
          <w:i/>
          <w:sz w:val="24"/>
          <w:szCs w:val="24"/>
        </w:rPr>
        <w:t xml:space="preserve">A wrong procedure was used in this application. Litigants must take note that it is significant to use </w:t>
      </w:r>
      <w:r w:rsidR="000856CA" w:rsidRPr="008B154B">
        <w:rPr>
          <w:rFonts w:ascii="Times New Roman" w:hAnsi="Times New Roman" w:cs="Times New Roman"/>
          <w:i/>
          <w:sz w:val="24"/>
          <w:szCs w:val="24"/>
        </w:rPr>
        <w:t>the correct procedure in applications placed before</w:t>
      </w:r>
      <w:r w:rsidR="00837D3D" w:rsidRPr="008B154B">
        <w:rPr>
          <w:rFonts w:ascii="Times New Roman" w:hAnsi="Times New Roman" w:cs="Times New Roman"/>
          <w:i/>
          <w:sz w:val="24"/>
          <w:szCs w:val="24"/>
        </w:rPr>
        <w:t xml:space="preserve"> the</w:t>
      </w:r>
      <w:r w:rsidR="000856CA" w:rsidRPr="008B154B">
        <w:rPr>
          <w:rFonts w:ascii="Times New Roman" w:hAnsi="Times New Roman" w:cs="Times New Roman"/>
          <w:i/>
          <w:sz w:val="24"/>
          <w:szCs w:val="24"/>
        </w:rPr>
        <w:t xml:space="preserve"> court. If it is a declaratur</w:t>
      </w:r>
      <w:r w:rsidR="00B04F21" w:rsidRPr="008B154B">
        <w:rPr>
          <w:rFonts w:ascii="Times New Roman" w:hAnsi="Times New Roman" w:cs="Times New Roman"/>
          <w:i/>
          <w:sz w:val="24"/>
          <w:szCs w:val="24"/>
        </w:rPr>
        <w:t>,</w:t>
      </w:r>
      <w:r w:rsidR="000856CA" w:rsidRPr="008B154B">
        <w:rPr>
          <w:rFonts w:ascii="Times New Roman" w:hAnsi="Times New Roman" w:cs="Times New Roman"/>
          <w:i/>
          <w:sz w:val="24"/>
          <w:szCs w:val="24"/>
        </w:rPr>
        <w:t xml:space="preserve"> it must comply with the jurisdictional requirements of such an application</w:t>
      </w:r>
      <w:r w:rsidR="00B04F21" w:rsidRPr="008B154B">
        <w:rPr>
          <w:rFonts w:ascii="Times New Roman" w:hAnsi="Times New Roman" w:cs="Times New Roman"/>
          <w:i/>
          <w:sz w:val="24"/>
          <w:szCs w:val="24"/>
        </w:rPr>
        <w:t>,</w:t>
      </w:r>
      <w:r w:rsidR="000856CA" w:rsidRPr="008B154B">
        <w:rPr>
          <w:rFonts w:ascii="Times New Roman" w:hAnsi="Times New Roman" w:cs="Times New Roman"/>
          <w:i/>
          <w:sz w:val="24"/>
          <w:szCs w:val="24"/>
        </w:rPr>
        <w:t xml:space="preserve"> and the draft order must show that indeed it is a declaratur. If it is an application for review, it must show whether it is anchored on constitutional grounds, common law grounds</w:t>
      </w:r>
      <w:r w:rsidR="00B04F21" w:rsidRPr="008B154B">
        <w:rPr>
          <w:rFonts w:ascii="Times New Roman" w:hAnsi="Times New Roman" w:cs="Times New Roman"/>
          <w:i/>
          <w:sz w:val="24"/>
          <w:szCs w:val="24"/>
        </w:rPr>
        <w:t>,</w:t>
      </w:r>
      <w:r w:rsidR="000856CA" w:rsidRPr="008B154B">
        <w:rPr>
          <w:rFonts w:ascii="Times New Roman" w:hAnsi="Times New Roman" w:cs="Times New Roman"/>
          <w:i/>
          <w:sz w:val="24"/>
          <w:szCs w:val="24"/>
        </w:rPr>
        <w:t xml:space="preserve"> or the provisions of s 27 of the High Court Act. …… This procedure of filing an application for review and calling it a declaratur is incompetent and must not be done.”</w:t>
      </w:r>
    </w:p>
    <w:p w14:paraId="59A7EF6F" w14:textId="77777777" w:rsidR="000856CA" w:rsidRPr="008B154B" w:rsidRDefault="000856CA" w:rsidP="000856CA">
      <w:pPr>
        <w:spacing w:after="0" w:line="276" w:lineRule="auto"/>
        <w:ind w:left="720"/>
        <w:jc w:val="both"/>
        <w:rPr>
          <w:rFonts w:ascii="Times New Roman" w:hAnsi="Times New Roman" w:cs="Times New Roman"/>
          <w:sz w:val="24"/>
          <w:szCs w:val="24"/>
        </w:rPr>
      </w:pPr>
    </w:p>
    <w:p w14:paraId="3AE92BF2" w14:textId="2CCADF03" w:rsidR="00666571" w:rsidRPr="008B154B" w:rsidRDefault="007F7E30" w:rsidP="0008745D">
      <w:pPr>
        <w:spacing w:after="0" w:line="360" w:lineRule="auto"/>
        <w:ind w:firstLine="720"/>
        <w:jc w:val="both"/>
        <w:rPr>
          <w:rFonts w:ascii="Times New Roman" w:hAnsi="Times New Roman" w:cs="Times New Roman"/>
          <w:sz w:val="24"/>
          <w:szCs w:val="24"/>
        </w:rPr>
      </w:pPr>
      <w:r w:rsidRPr="008B154B">
        <w:rPr>
          <w:rFonts w:ascii="Times New Roman" w:hAnsi="Times New Roman" w:cs="Times New Roman"/>
          <w:sz w:val="24"/>
          <w:szCs w:val="24"/>
        </w:rPr>
        <w:t>[1</w:t>
      </w:r>
      <w:r w:rsidR="000856CA" w:rsidRPr="008B154B">
        <w:rPr>
          <w:rFonts w:ascii="Times New Roman" w:hAnsi="Times New Roman" w:cs="Times New Roman"/>
          <w:sz w:val="24"/>
          <w:szCs w:val="24"/>
        </w:rPr>
        <w:t>7</w:t>
      </w:r>
      <w:r w:rsidRPr="008B154B">
        <w:rPr>
          <w:rFonts w:ascii="Times New Roman" w:hAnsi="Times New Roman" w:cs="Times New Roman"/>
          <w:sz w:val="24"/>
          <w:szCs w:val="24"/>
        </w:rPr>
        <w:t xml:space="preserve">] </w:t>
      </w:r>
      <w:r w:rsidR="00BB6A2C" w:rsidRPr="008B154B">
        <w:rPr>
          <w:rFonts w:ascii="Times New Roman" w:hAnsi="Times New Roman" w:cs="Times New Roman"/>
          <w:sz w:val="24"/>
          <w:szCs w:val="24"/>
        </w:rPr>
        <w:t>The applicant seeks that t</w:t>
      </w:r>
      <w:r w:rsidR="00A1693F" w:rsidRPr="008B154B">
        <w:rPr>
          <w:rFonts w:ascii="Times New Roman" w:hAnsi="Times New Roman" w:cs="Times New Roman"/>
          <w:sz w:val="24"/>
          <w:szCs w:val="24"/>
          <w:lang w:val="en-US"/>
        </w:rPr>
        <w:t xml:space="preserve">he additional assessments issued on the applicant by the respondent </w:t>
      </w:r>
      <w:r w:rsidR="00BB6A2C" w:rsidRPr="008B154B">
        <w:rPr>
          <w:rFonts w:ascii="Times New Roman" w:hAnsi="Times New Roman" w:cs="Times New Roman"/>
          <w:sz w:val="24"/>
          <w:szCs w:val="24"/>
          <w:lang w:val="en-US"/>
        </w:rPr>
        <w:t>in</w:t>
      </w:r>
      <w:r w:rsidR="00A1693F" w:rsidRPr="008B154B">
        <w:rPr>
          <w:rFonts w:ascii="Times New Roman" w:hAnsi="Times New Roman" w:cs="Times New Roman"/>
          <w:sz w:val="24"/>
          <w:szCs w:val="24"/>
          <w:lang w:val="en-US"/>
        </w:rPr>
        <w:t xml:space="preserve"> May 2024 be declared invalid and set aside.</w:t>
      </w:r>
      <w:r w:rsidR="00BB6A2C" w:rsidRPr="008B154B">
        <w:rPr>
          <w:rFonts w:ascii="Times New Roman" w:hAnsi="Times New Roman" w:cs="Times New Roman"/>
          <w:sz w:val="24"/>
          <w:szCs w:val="24"/>
          <w:lang w:val="en-US"/>
        </w:rPr>
        <w:t xml:space="preserve"> The relief sought is incompetent. I</w:t>
      </w:r>
      <w:r w:rsidR="004A55A1" w:rsidRPr="008B154B">
        <w:rPr>
          <w:rFonts w:ascii="Times New Roman" w:hAnsi="Times New Roman" w:cs="Times New Roman"/>
          <w:sz w:val="24"/>
          <w:szCs w:val="24"/>
        </w:rPr>
        <w:t xml:space="preserve">n that it targets the assessment, not the notice of assessment. </w:t>
      </w:r>
      <w:r w:rsidR="00B65E08" w:rsidRPr="008B154B">
        <w:rPr>
          <w:rFonts w:ascii="Times New Roman" w:hAnsi="Times New Roman" w:cs="Times New Roman"/>
          <w:sz w:val="24"/>
          <w:szCs w:val="24"/>
        </w:rPr>
        <w:t>The relief sought is incompetent</w:t>
      </w:r>
      <w:r w:rsidR="00837D3D" w:rsidRPr="008B154B">
        <w:rPr>
          <w:rFonts w:ascii="Times New Roman" w:hAnsi="Times New Roman" w:cs="Times New Roman"/>
          <w:sz w:val="24"/>
          <w:szCs w:val="24"/>
        </w:rPr>
        <w:t>;</w:t>
      </w:r>
      <w:r w:rsidR="00700DD3" w:rsidRPr="008B154B">
        <w:rPr>
          <w:rFonts w:ascii="Times New Roman" w:hAnsi="Times New Roman" w:cs="Times New Roman"/>
          <w:sz w:val="24"/>
          <w:szCs w:val="24"/>
        </w:rPr>
        <w:t xml:space="preserve"> no matter the merits, it </w:t>
      </w:r>
      <w:r w:rsidR="00B65E08" w:rsidRPr="008B154B">
        <w:rPr>
          <w:rFonts w:ascii="Times New Roman" w:hAnsi="Times New Roman" w:cs="Times New Roman"/>
          <w:sz w:val="24"/>
          <w:szCs w:val="24"/>
        </w:rPr>
        <w:t>cannot be granted by this court</w:t>
      </w:r>
      <w:r w:rsidR="00700DD3" w:rsidRPr="008B154B">
        <w:rPr>
          <w:rFonts w:ascii="Times New Roman" w:hAnsi="Times New Roman" w:cs="Times New Roman"/>
          <w:sz w:val="24"/>
          <w:szCs w:val="24"/>
        </w:rPr>
        <w:t xml:space="preserve">. </w:t>
      </w:r>
      <w:r w:rsidR="00B65E08" w:rsidRPr="008B154B">
        <w:rPr>
          <w:rFonts w:ascii="Times New Roman" w:hAnsi="Times New Roman" w:cs="Times New Roman"/>
          <w:sz w:val="24"/>
          <w:szCs w:val="24"/>
        </w:rPr>
        <w:t xml:space="preserve"> </w:t>
      </w:r>
      <w:r w:rsidR="00700DD3" w:rsidRPr="008B154B">
        <w:rPr>
          <w:rFonts w:ascii="Times New Roman" w:hAnsi="Times New Roman" w:cs="Times New Roman"/>
          <w:sz w:val="24"/>
          <w:szCs w:val="24"/>
        </w:rPr>
        <w:t>I</w:t>
      </w:r>
      <w:r w:rsidR="00B65E08" w:rsidRPr="008B154B">
        <w:rPr>
          <w:rFonts w:ascii="Times New Roman" w:hAnsi="Times New Roman" w:cs="Times New Roman"/>
          <w:sz w:val="24"/>
          <w:szCs w:val="24"/>
        </w:rPr>
        <w:t>n the circumstances</w:t>
      </w:r>
      <w:r w:rsidR="00837D3D" w:rsidRPr="008B154B">
        <w:rPr>
          <w:rFonts w:ascii="Times New Roman" w:hAnsi="Times New Roman" w:cs="Times New Roman"/>
          <w:sz w:val="24"/>
          <w:szCs w:val="24"/>
        </w:rPr>
        <w:t>,</w:t>
      </w:r>
      <w:r w:rsidR="00B65E08" w:rsidRPr="008B154B">
        <w:rPr>
          <w:rFonts w:ascii="Times New Roman" w:hAnsi="Times New Roman" w:cs="Times New Roman"/>
          <w:sz w:val="24"/>
          <w:szCs w:val="24"/>
        </w:rPr>
        <w:t xml:space="preserve"> there will be no useful purpose </w:t>
      </w:r>
      <w:r w:rsidR="00837D3D" w:rsidRPr="008B154B">
        <w:rPr>
          <w:rFonts w:ascii="Times New Roman" w:hAnsi="Times New Roman" w:cs="Times New Roman"/>
          <w:sz w:val="24"/>
          <w:szCs w:val="24"/>
        </w:rPr>
        <w:t xml:space="preserve">in </w:t>
      </w:r>
      <w:r w:rsidR="00B65E08" w:rsidRPr="008B154B">
        <w:rPr>
          <w:rFonts w:ascii="Times New Roman" w:hAnsi="Times New Roman" w:cs="Times New Roman"/>
          <w:sz w:val="24"/>
          <w:szCs w:val="24"/>
        </w:rPr>
        <w:t>determin</w:t>
      </w:r>
      <w:r w:rsidR="00837D3D" w:rsidRPr="008B154B">
        <w:rPr>
          <w:rFonts w:ascii="Times New Roman" w:hAnsi="Times New Roman" w:cs="Times New Roman"/>
          <w:sz w:val="24"/>
          <w:szCs w:val="24"/>
        </w:rPr>
        <w:t>ing</w:t>
      </w:r>
      <w:r w:rsidR="00B65E08" w:rsidRPr="008B154B">
        <w:rPr>
          <w:rFonts w:ascii="Times New Roman" w:hAnsi="Times New Roman" w:cs="Times New Roman"/>
          <w:sz w:val="24"/>
          <w:szCs w:val="24"/>
        </w:rPr>
        <w:t xml:space="preserve"> the merits of this matter. In other words, a </w:t>
      </w:r>
      <w:r w:rsidR="008A44C9" w:rsidRPr="008B154B">
        <w:rPr>
          <w:rFonts w:ascii="Times New Roman" w:hAnsi="Times New Roman" w:cs="Times New Roman"/>
          <w:sz w:val="24"/>
          <w:szCs w:val="24"/>
        </w:rPr>
        <w:t xml:space="preserve">court cannot determine the merits of the matter when the relief sought itself is incompetent. </w:t>
      </w:r>
      <w:r w:rsidR="00A1693F" w:rsidRPr="008B154B">
        <w:rPr>
          <w:rFonts w:ascii="Times New Roman" w:hAnsi="Times New Roman" w:cs="Times New Roman"/>
          <w:sz w:val="24"/>
          <w:szCs w:val="24"/>
        </w:rPr>
        <w:t xml:space="preserve">I take the view that a court cannot restructure an outright incompetent order to make it competent. This would be making a case for the litigant. See </w:t>
      </w:r>
      <w:r w:rsidR="00A1693F" w:rsidRPr="008B154B">
        <w:rPr>
          <w:rFonts w:ascii="Times New Roman" w:hAnsi="Times New Roman" w:cs="Times New Roman"/>
          <w:i/>
          <w:iCs/>
          <w:sz w:val="24"/>
          <w:szCs w:val="24"/>
        </w:rPr>
        <w:t>Chiwenga v Mubaiwa</w:t>
      </w:r>
      <w:r w:rsidR="00A1693F" w:rsidRPr="008B154B">
        <w:rPr>
          <w:rFonts w:ascii="Times New Roman" w:hAnsi="Times New Roman" w:cs="Times New Roman"/>
          <w:sz w:val="24"/>
          <w:szCs w:val="24"/>
        </w:rPr>
        <w:t xml:space="preserve"> 2020 (1) ZLR 1360 (S) at 1368 B-C.  </w:t>
      </w:r>
      <w:r w:rsidR="00E73C75" w:rsidRPr="008B154B">
        <w:rPr>
          <w:rFonts w:ascii="Times New Roman" w:hAnsi="Times New Roman" w:cs="Times New Roman"/>
          <w:sz w:val="24"/>
          <w:szCs w:val="24"/>
        </w:rPr>
        <w:t xml:space="preserve">This is not elevating form over </w:t>
      </w:r>
      <w:r w:rsidR="00666571" w:rsidRPr="008B154B">
        <w:rPr>
          <w:rFonts w:ascii="Times New Roman" w:hAnsi="Times New Roman" w:cs="Times New Roman"/>
          <w:sz w:val="24"/>
          <w:szCs w:val="24"/>
        </w:rPr>
        <w:t>substance;</w:t>
      </w:r>
      <w:r w:rsidR="00E73C75" w:rsidRPr="008B154B">
        <w:rPr>
          <w:rFonts w:ascii="Times New Roman" w:hAnsi="Times New Roman" w:cs="Times New Roman"/>
          <w:sz w:val="24"/>
          <w:szCs w:val="24"/>
        </w:rPr>
        <w:t xml:space="preserve"> </w:t>
      </w:r>
      <w:r w:rsidR="00E94245" w:rsidRPr="008B154B">
        <w:rPr>
          <w:rFonts w:ascii="Times New Roman" w:hAnsi="Times New Roman" w:cs="Times New Roman"/>
          <w:sz w:val="24"/>
          <w:szCs w:val="24"/>
        </w:rPr>
        <w:t xml:space="preserve">it is the </w:t>
      </w:r>
      <w:r w:rsidR="00666571" w:rsidRPr="008B154B">
        <w:rPr>
          <w:rFonts w:ascii="Times New Roman" w:hAnsi="Times New Roman" w:cs="Times New Roman"/>
          <w:sz w:val="24"/>
          <w:szCs w:val="24"/>
        </w:rPr>
        <w:t xml:space="preserve">reaffirmation </w:t>
      </w:r>
      <w:r w:rsidR="00DB6A73" w:rsidRPr="008B154B">
        <w:rPr>
          <w:rFonts w:ascii="Times New Roman" w:hAnsi="Times New Roman" w:cs="Times New Roman"/>
          <w:sz w:val="24"/>
          <w:szCs w:val="24"/>
        </w:rPr>
        <w:t xml:space="preserve">of the position </w:t>
      </w:r>
      <w:r w:rsidR="00666571" w:rsidRPr="008B154B">
        <w:rPr>
          <w:rFonts w:ascii="Times New Roman" w:hAnsi="Times New Roman" w:cs="Times New Roman"/>
          <w:sz w:val="24"/>
          <w:szCs w:val="24"/>
        </w:rPr>
        <w:t xml:space="preserve">that a court cannot deal with the merits of </w:t>
      </w:r>
      <w:r w:rsidR="00837D3D" w:rsidRPr="008B154B">
        <w:rPr>
          <w:rFonts w:ascii="Times New Roman" w:hAnsi="Times New Roman" w:cs="Times New Roman"/>
          <w:sz w:val="24"/>
          <w:szCs w:val="24"/>
        </w:rPr>
        <w:t xml:space="preserve">an </w:t>
      </w:r>
      <w:r w:rsidR="00666571" w:rsidRPr="008B154B">
        <w:rPr>
          <w:rFonts w:ascii="Times New Roman" w:hAnsi="Times New Roman" w:cs="Times New Roman"/>
          <w:sz w:val="24"/>
          <w:szCs w:val="24"/>
        </w:rPr>
        <w:t xml:space="preserve">application whose </w:t>
      </w:r>
      <w:r w:rsidR="00DB6A73" w:rsidRPr="008B154B">
        <w:rPr>
          <w:rFonts w:ascii="Times New Roman" w:hAnsi="Times New Roman" w:cs="Times New Roman"/>
          <w:sz w:val="24"/>
          <w:szCs w:val="24"/>
        </w:rPr>
        <w:t xml:space="preserve">relief </w:t>
      </w:r>
      <w:r w:rsidR="00666571" w:rsidRPr="008B154B">
        <w:rPr>
          <w:rFonts w:ascii="Times New Roman" w:hAnsi="Times New Roman" w:cs="Times New Roman"/>
          <w:sz w:val="24"/>
          <w:szCs w:val="24"/>
        </w:rPr>
        <w:t xml:space="preserve">sought is incompetent. </w:t>
      </w:r>
      <w:r w:rsidR="00700DD3" w:rsidRPr="008B154B">
        <w:rPr>
          <w:rFonts w:ascii="Times New Roman" w:hAnsi="Times New Roman" w:cs="Times New Roman"/>
          <w:sz w:val="24"/>
          <w:szCs w:val="24"/>
        </w:rPr>
        <w:t xml:space="preserve">The respondent sought that this application be dismissed at this stage. I do not </w:t>
      </w:r>
      <w:r w:rsidR="00700DD3" w:rsidRPr="008B154B">
        <w:rPr>
          <w:rFonts w:ascii="Times New Roman" w:hAnsi="Times New Roman" w:cs="Times New Roman"/>
          <w:sz w:val="24"/>
          <w:szCs w:val="24"/>
        </w:rPr>
        <w:lastRenderedPageBreak/>
        <w:t xml:space="preserve">agree. My view is that a </w:t>
      </w:r>
      <w:r w:rsidR="00837D3D" w:rsidRPr="008B154B">
        <w:rPr>
          <w:rFonts w:ascii="Times New Roman" w:hAnsi="Times New Roman" w:cs="Times New Roman"/>
          <w:sz w:val="24"/>
          <w:szCs w:val="24"/>
        </w:rPr>
        <w:t xml:space="preserve">dismissal </w:t>
      </w:r>
      <w:r w:rsidR="00700DD3" w:rsidRPr="008B154B">
        <w:rPr>
          <w:rFonts w:ascii="Times New Roman" w:hAnsi="Times New Roman" w:cs="Times New Roman"/>
          <w:sz w:val="24"/>
          <w:szCs w:val="24"/>
        </w:rPr>
        <w:t>is merits</w:t>
      </w:r>
      <w:r w:rsidR="00837D3D" w:rsidRPr="008B154B">
        <w:rPr>
          <w:rFonts w:ascii="Times New Roman" w:hAnsi="Times New Roman" w:cs="Times New Roman"/>
          <w:sz w:val="24"/>
          <w:szCs w:val="24"/>
        </w:rPr>
        <w:t>-</w:t>
      </w:r>
      <w:r w:rsidR="00700DD3" w:rsidRPr="008B154B">
        <w:rPr>
          <w:rFonts w:ascii="Times New Roman" w:hAnsi="Times New Roman" w:cs="Times New Roman"/>
          <w:sz w:val="24"/>
          <w:szCs w:val="24"/>
        </w:rPr>
        <w:t xml:space="preserve">based, implying that the court has considered the merits of the matter and found that a case has not been made for the relief sought. This is not the case in </w:t>
      </w:r>
      <w:r w:rsidR="00700DD3" w:rsidRPr="008B154B">
        <w:rPr>
          <w:rFonts w:ascii="Times New Roman" w:hAnsi="Times New Roman" w:cs="Times New Roman"/>
          <w:i/>
          <w:iCs/>
          <w:sz w:val="24"/>
          <w:szCs w:val="24"/>
        </w:rPr>
        <w:t>casu</w:t>
      </w:r>
      <w:r w:rsidR="00700DD3" w:rsidRPr="008B154B">
        <w:rPr>
          <w:rFonts w:ascii="Times New Roman" w:hAnsi="Times New Roman" w:cs="Times New Roman"/>
          <w:sz w:val="24"/>
          <w:szCs w:val="24"/>
        </w:rPr>
        <w:t xml:space="preserve">. I have not considered the merits. I can only strike off the matter from the roll.  </w:t>
      </w:r>
    </w:p>
    <w:p w14:paraId="688FED16" w14:textId="50D61F58" w:rsidR="00046D2F" w:rsidRPr="008B154B" w:rsidRDefault="00E94245" w:rsidP="0008745D">
      <w:pPr>
        <w:spacing w:after="0" w:line="360" w:lineRule="auto"/>
        <w:ind w:firstLine="720"/>
        <w:jc w:val="both"/>
        <w:rPr>
          <w:rFonts w:ascii="Times New Roman" w:hAnsi="Times New Roman" w:cs="Times New Roman"/>
          <w:sz w:val="24"/>
          <w:szCs w:val="24"/>
        </w:rPr>
      </w:pPr>
      <w:r w:rsidRPr="008B154B">
        <w:rPr>
          <w:rFonts w:ascii="Times New Roman" w:hAnsi="Times New Roman" w:cs="Times New Roman"/>
          <w:sz w:val="24"/>
          <w:szCs w:val="24"/>
        </w:rPr>
        <w:t>[1</w:t>
      </w:r>
      <w:r w:rsidR="00A1693F" w:rsidRPr="008B154B">
        <w:rPr>
          <w:rFonts w:ascii="Times New Roman" w:hAnsi="Times New Roman" w:cs="Times New Roman"/>
          <w:sz w:val="24"/>
          <w:szCs w:val="24"/>
        </w:rPr>
        <w:t>8</w:t>
      </w:r>
      <w:r w:rsidRPr="008B154B">
        <w:rPr>
          <w:rFonts w:ascii="Times New Roman" w:hAnsi="Times New Roman" w:cs="Times New Roman"/>
          <w:sz w:val="24"/>
          <w:szCs w:val="24"/>
        </w:rPr>
        <w:t xml:space="preserve">] There remains to be considered the question of costs. No good grounds exist for a departure from the general rule that costs follow the event. The respondent is clearly entitled to </w:t>
      </w:r>
      <w:r w:rsidR="00BB6A2C" w:rsidRPr="008B154B">
        <w:rPr>
          <w:rFonts w:ascii="Times New Roman" w:hAnsi="Times New Roman" w:cs="Times New Roman"/>
          <w:sz w:val="24"/>
          <w:szCs w:val="24"/>
        </w:rPr>
        <w:t>its</w:t>
      </w:r>
      <w:r w:rsidRPr="008B154B">
        <w:rPr>
          <w:rFonts w:ascii="Times New Roman" w:hAnsi="Times New Roman" w:cs="Times New Roman"/>
          <w:sz w:val="24"/>
          <w:szCs w:val="24"/>
        </w:rPr>
        <w:t xml:space="preserve"> costs.</w:t>
      </w:r>
    </w:p>
    <w:p w14:paraId="07E6307D" w14:textId="533AAF81" w:rsidR="00046D2F" w:rsidRPr="008B154B" w:rsidRDefault="00046D2F" w:rsidP="0014223B">
      <w:pPr>
        <w:spacing w:after="0" w:line="360" w:lineRule="auto"/>
        <w:ind w:firstLine="720"/>
        <w:jc w:val="both"/>
        <w:rPr>
          <w:rFonts w:ascii="Times New Roman" w:hAnsi="Times New Roman" w:cs="Times New Roman"/>
          <w:sz w:val="24"/>
          <w:szCs w:val="24"/>
        </w:rPr>
      </w:pPr>
      <w:r w:rsidRPr="008B154B">
        <w:rPr>
          <w:rFonts w:ascii="Times New Roman" w:hAnsi="Times New Roman" w:cs="Times New Roman"/>
          <w:sz w:val="24"/>
          <w:szCs w:val="24"/>
        </w:rPr>
        <w:t xml:space="preserve">In the result, I make the following order: </w:t>
      </w:r>
    </w:p>
    <w:p w14:paraId="78FBB32E" w14:textId="35F66961" w:rsidR="00046D2F" w:rsidRPr="008B154B" w:rsidRDefault="00046D2F" w:rsidP="0014223B">
      <w:pPr>
        <w:spacing w:after="0" w:line="360" w:lineRule="auto"/>
        <w:ind w:firstLine="720"/>
        <w:jc w:val="both"/>
        <w:rPr>
          <w:rFonts w:ascii="Times New Roman" w:hAnsi="Times New Roman" w:cs="Times New Roman"/>
          <w:sz w:val="24"/>
          <w:szCs w:val="24"/>
        </w:rPr>
      </w:pPr>
      <w:r w:rsidRPr="008B154B">
        <w:rPr>
          <w:rFonts w:ascii="Times New Roman" w:hAnsi="Times New Roman" w:cs="Times New Roman"/>
          <w:sz w:val="24"/>
          <w:szCs w:val="24"/>
        </w:rPr>
        <w:t xml:space="preserve">This application is struck off the roll with costs because the relief sought is incompetent. </w:t>
      </w:r>
    </w:p>
    <w:p w14:paraId="25EE9639" w14:textId="77777777" w:rsidR="00046D2F" w:rsidRPr="008B154B" w:rsidRDefault="00046D2F" w:rsidP="00046D2F">
      <w:pPr>
        <w:spacing w:after="0" w:line="360" w:lineRule="auto"/>
        <w:jc w:val="both"/>
        <w:rPr>
          <w:rFonts w:ascii="Times New Roman" w:hAnsi="Times New Roman" w:cs="Times New Roman"/>
          <w:sz w:val="24"/>
          <w:szCs w:val="24"/>
        </w:rPr>
      </w:pPr>
    </w:p>
    <w:p w14:paraId="3789FE3B" w14:textId="77777777" w:rsidR="00046D2F" w:rsidRPr="008B154B" w:rsidRDefault="00046D2F" w:rsidP="00046D2F">
      <w:pPr>
        <w:spacing w:after="0" w:line="360" w:lineRule="auto"/>
        <w:jc w:val="both"/>
        <w:rPr>
          <w:rFonts w:ascii="Times New Roman" w:hAnsi="Times New Roman" w:cs="Times New Roman"/>
          <w:sz w:val="24"/>
          <w:szCs w:val="24"/>
        </w:rPr>
      </w:pPr>
    </w:p>
    <w:p w14:paraId="3108FED1" w14:textId="2D031B14" w:rsidR="008A44C9" w:rsidRPr="008B154B" w:rsidRDefault="008A44C9" w:rsidP="008A44C9">
      <w:pPr>
        <w:spacing w:after="0" w:line="360" w:lineRule="auto"/>
        <w:jc w:val="both"/>
        <w:rPr>
          <w:rFonts w:ascii="Times New Roman" w:hAnsi="Times New Roman" w:cs="Times New Roman"/>
          <w:sz w:val="24"/>
          <w:szCs w:val="24"/>
        </w:rPr>
      </w:pPr>
    </w:p>
    <w:p w14:paraId="60A79AD7" w14:textId="533FE58B" w:rsidR="008A44C9" w:rsidRPr="00984ACF" w:rsidRDefault="0054547F" w:rsidP="008A44C9">
      <w:pPr>
        <w:spacing w:after="0" w:line="360" w:lineRule="auto"/>
        <w:jc w:val="both"/>
        <w:rPr>
          <w:rFonts w:ascii="Times New Roman" w:hAnsi="Times New Roman" w:cs="Times New Roman"/>
          <w:b/>
          <w:sz w:val="24"/>
          <w:szCs w:val="24"/>
        </w:rPr>
      </w:pPr>
      <w:r w:rsidRPr="00984ACF">
        <w:rPr>
          <w:rFonts w:ascii="Times New Roman" w:hAnsi="Times New Roman" w:cs="Times New Roman"/>
          <w:b/>
          <w:sz w:val="24"/>
          <w:szCs w:val="24"/>
        </w:rPr>
        <w:t>DUBE –BANDA J</w:t>
      </w:r>
    </w:p>
    <w:p w14:paraId="5555F6C9" w14:textId="77777777" w:rsidR="00744AFF" w:rsidRPr="008B154B" w:rsidRDefault="00744AFF" w:rsidP="008A44C9">
      <w:pPr>
        <w:spacing w:after="0" w:line="360" w:lineRule="auto"/>
        <w:jc w:val="both"/>
        <w:rPr>
          <w:rFonts w:ascii="Times New Roman" w:hAnsi="Times New Roman" w:cs="Times New Roman"/>
          <w:sz w:val="24"/>
          <w:szCs w:val="24"/>
        </w:rPr>
      </w:pPr>
    </w:p>
    <w:p w14:paraId="0E1C35E1" w14:textId="19B44526" w:rsidR="00E94245" w:rsidRPr="008B154B" w:rsidRDefault="00E94245" w:rsidP="00E94245">
      <w:pPr>
        <w:spacing w:after="0" w:line="240" w:lineRule="auto"/>
        <w:jc w:val="both"/>
        <w:rPr>
          <w:rFonts w:ascii="Times New Roman" w:hAnsi="Times New Roman" w:cs="Times New Roman"/>
          <w:iCs/>
          <w:sz w:val="24"/>
          <w:szCs w:val="24"/>
        </w:rPr>
      </w:pPr>
      <w:r w:rsidRPr="008B154B">
        <w:rPr>
          <w:rFonts w:ascii="Times New Roman" w:hAnsi="Times New Roman" w:cs="Times New Roman"/>
          <w:i/>
          <w:sz w:val="24"/>
          <w:szCs w:val="24"/>
        </w:rPr>
        <w:t xml:space="preserve">Atherstone &amp; Cook, </w:t>
      </w:r>
      <w:r w:rsidR="00177415" w:rsidRPr="008B154B">
        <w:rPr>
          <w:rFonts w:ascii="Times New Roman" w:hAnsi="Times New Roman" w:cs="Times New Roman"/>
          <w:iCs/>
          <w:sz w:val="24"/>
          <w:szCs w:val="24"/>
        </w:rPr>
        <w:t>applicant’s</w:t>
      </w:r>
      <w:r w:rsidRPr="008B154B">
        <w:rPr>
          <w:rFonts w:ascii="Times New Roman" w:hAnsi="Times New Roman" w:cs="Times New Roman"/>
          <w:iCs/>
          <w:sz w:val="24"/>
          <w:szCs w:val="24"/>
        </w:rPr>
        <w:t xml:space="preserve"> legal practitioners </w:t>
      </w:r>
    </w:p>
    <w:p w14:paraId="2AFCE29B" w14:textId="4F3A480F" w:rsidR="008A44C9" w:rsidRPr="008B154B" w:rsidRDefault="00E94245" w:rsidP="00BB6A2C">
      <w:pPr>
        <w:spacing w:after="0" w:line="240" w:lineRule="auto"/>
        <w:jc w:val="both"/>
        <w:rPr>
          <w:rFonts w:ascii="Times New Roman" w:hAnsi="Times New Roman" w:cs="Times New Roman"/>
          <w:i/>
          <w:sz w:val="24"/>
          <w:szCs w:val="24"/>
        </w:rPr>
      </w:pPr>
      <w:r w:rsidRPr="008B154B">
        <w:rPr>
          <w:rFonts w:ascii="Times New Roman" w:hAnsi="Times New Roman" w:cs="Times New Roman"/>
          <w:i/>
          <w:sz w:val="24"/>
          <w:szCs w:val="24"/>
        </w:rPr>
        <w:t xml:space="preserve">ZIMRA Legal Services Division, </w:t>
      </w:r>
      <w:r w:rsidRPr="008B154B">
        <w:rPr>
          <w:rFonts w:ascii="Times New Roman" w:hAnsi="Times New Roman" w:cs="Times New Roman"/>
          <w:sz w:val="24"/>
          <w:szCs w:val="24"/>
        </w:rPr>
        <w:t>respondent’s legal practitioners</w:t>
      </w:r>
    </w:p>
    <w:sectPr w:rsidR="008A44C9" w:rsidRPr="008B154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1D14A" w14:textId="77777777" w:rsidR="00F74C62" w:rsidRDefault="00F74C62" w:rsidP="00CC4F23">
      <w:pPr>
        <w:spacing w:after="0" w:line="240" w:lineRule="auto"/>
      </w:pPr>
      <w:r>
        <w:separator/>
      </w:r>
    </w:p>
  </w:endnote>
  <w:endnote w:type="continuationSeparator" w:id="0">
    <w:p w14:paraId="7E55AB9A" w14:textId="77777777" w:rsidR="00F74C62" w:rsidRDefault="00F74C62" w:rsidP="00CC4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E8F6B" w14:textId="77777777" w:rsidR="004C30A9" w:rsidRDefault="004C3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9AEC2" w14:textId="77777777" w:rsidR="004C30A9" w:rsidRDefault="004C30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A6718" w14:textId="77777777" w:rsidR="004C30A9" w:rsidRDefault="004C3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87E38" w14:textId="77777777" w:rsidR="00F74C62" w:rsidRDefault="00F74C62" w:rsidP="00CC4F23">
      <w:pPr>
        <w:spacing w:after="0" w:line="240" w:lineRule="auto"/>
      </w:pPr>
      <w:r>
        <w:separator/>
      </w:r>
    </w:p>
  </w:footnote>
  <w:footnote w:type="continuationSeparator" w:id="0">
    <w:p w14:paraId="51761CCA" w14:textId="77777777" w:rsidR="00F74C62" w:rsidRDefault="00F74C62" w:rsidP="00CC4F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0A475" w14:textId="77777777" w:rsidR="004C30A9" w:rsidRDefault="004C30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088978"/>
      <w:docPartObj>
        <w:docPartGallery w:val="Page Numbers (Top of Page)"/>
        <w:docPartUnique/>
      </w:docPartObj>
    </w:sdtPr>
    <w:sdtEndPr>
      <w:rPr>
        <w:noProof/>
      </w:rPr>
    </w:sdtEndPr>
    <w:sdtContent>
      <w:p w14:paraId="1171DFC8" w14:textId="6B1A8AA0" w:rsidR="00CC4F23" w:rsidRDefault="00CC4F23">
        <w:pPr>
          <w:pStyle w:val="Header"/>
          <w:jc w:val="right"/>
          <w:rPr>
            <w:noProof/>
          </w:rPr>
        </w:pPr>
        <w:r>
          <w:fldChar w:fldCharType="begin"/>
        </w:r>
        <w:r>
          <w:instrText xml:space="preserve"> PAGE   \* MERGEFORMAT </w:instrText>
        </w:r>
        <w:r>
          <w:fldChar w:fldCharType="separate"/>
        </w:r>
        <w:r w:rsidR="004C30A9">
          <w:rPr>
            <w:noProof/>
          </w:rPr>
          <w:t>1</w:t>
        </w:r>
        <w:r>
          <w:rPr>
            <w:noProof/>
          </w:rPr>
          <w:fldChar w:fldCharType="end"/>
        </w:r>
      </w:p>
      <w:p w14:paraId="4D9F6769" w14:textId="77777777" w:rsidR="004C30A9" w:rsidRDefault="004C30A9" w:rsidP="004C30A9">
        <w:pPr>
          <w:pStyle w:val="Header"/>
          <w:jc w:val="right"/>
        </w:pPr>
        <w:r>
          <w:rPr>
            <w:noProof/>
          </w:rPr>
          <w:t>HH 585-25</w:t>
        </w:r>
      </w:p>
      <w:p w14:paraId="29CE158B" w14:textId="79EB6757" w:rsidR="00CC4F23" w:rsidRDefault="00CC4F23">
        <w:pPr>
          <w:pStyle w:val="Header"/>
          <w:jc w:val="right"/>
          <w:rPr>
            <w:noProof/>
          </w:rPr>
        </w:pPr>
        <w:bookmarkStart w:id="0" w:name="_GoBack"/>
        <w:bookmarkEnd w:id="0"/>
        <w:r>
          <w:rPr>
            <w:noProof/>
          </w:rPr>
          <w:t>HCH</w:t>
        </w:r>
        <w:r w:rsidR="00B31226">
          <w:rPr>
            <w:noProof/>
          </w:rPr>
          <w:t xml:space="preserve"> </w:t>
        </w:r>
        <w:r>
          <w:rPr>
            <w:noProof/>
          </w:rPr>
          <w:t>4023</w:t>
        </w:r>
        <w:r w:rsidR="00B31226">
          <w:rPr>
            <w:noProof/>
          </w:rPr>
          <w:t>-</w:t>
        </w:r>
        <w:r>
          <w:rPr>
            <w:noProof/>
          </w:rPr>
          <w:t>24</w:t>
        </w:r>
      </w:p>
    </w:sdtContent>
  </w:sdt>
  <w:p w14:paraId="037FB14D" w14:textId="77777777" w:rsidR="00CC4F23" w:rsidRDefault="00CC4F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B6A0D" w14:textId="77777777" w:rsidR="004C30A9" w:rsidRDefault="004C30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336E4"/>
    <w:multiLevelType w:val="hybridMultilevel"/>
    <w:tmpl w:val="2C007B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7BF5549"/>
    <w:multiLevelType w:val="hybridMultilevel"/>
    <w:tmpl w:val="2C007BA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90E49E0"/>
    <w:multiLevelType w:val="hybridMultilevel"/>
    <w:tmpl w:val="5C5CA2BC"/>
    <w:lvl w:ilvl="0" w:tplc="78606CCA">
      <w:start w:val="1"/>
      <w:numFmt w:val="decimal"/>
      <w:lvlText w:val="%1."/>
      <w:lvlJc w:val="left"/>
      <w:pPr>
        <w:ind w:left="502" w:hanging="360"/>
      </w:pPr>
      <w:rPr>
        <w:rFonts w:hint="default"/>
        <w:i w:val="0"/>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70774B78"/>
    <w:multiLevelType w:val="hybridMultilevel"/>
    <w:tmpl w:val="088AF012"/>
    <w:lvl w:ilvl="0" w:tplc="7F4C19F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9A910A1"/>
    <w:multiLevelType w:val="hybridMultilevel"/>
    <w:tmpl w:val="2C007B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DC"/>
    <w:rsid w:val="00035118"/>
    <w:rsid w:val="00046D2F"/>
    <w:rsid w:val="00071C80"/>
    <w:rsid w:val="000856CA"/>
    <w:rsid w:val="0008745D"/>
    <w:rsid w:val="000C0ECE"/>
    <w:rsid w:val="000F175A"/>
    <w:rsid w:val="0014223B"/>
    <w:rsid w:val="001509FD"/>
    <w:rsid w:val="00165A80"/>
    <w:rsid w:val="00177415"/>
    <w:rsid w:val="001876DF"/>
    <w:rsid w:val="001C7247"/>
    <w:rsid w:val="001C739A"/>
    <w:rsid w:val="002000B6"/>
    <w:rsid w:val="00211AB3"/>
    <w:rsid w:val="00255A33"/>
    <w:rsid w:val="002565E6"/>
    <w:rsid w:val="00284CFC"/>
    <w:rsid w:val="002A496E"/>
    <w:rsid w:val="002D0D6E"/>
    <w:rsid w:val="00301006"/>
    <w:rsid w:val="00301862"/>
    <w:rsid w:val="00323D4B"/>
    <w:rsid w:val="00343DA5"/>
    <w:rsid w:val="00353ECE"/>
    <w:rsid w:val="003749A6"/>
    <w:rsid w:val="003C7F6C"/>
    <w:rsid w:val="00405A3C"/>
    <w:rsid w:val="00450C06"/>
    <w:rsid w:val="004A55A1"/>
    <w:rsid w:val="004B14E6"/>
    <w:rsid w:val="004C30A9"/>
    <w:rsid w:val="004E7937"/>
    <w:rsid w:val="00516DA6"/>
    <w:rsid w:val="0054547F"/>
    <w:rsid w:val="00556C5D"/>
    <w:rsid w:val="005577AB"/>
    <w:rsid w:val="00573A80"/>
    <w:rsid w:val="005807EC"/>
    <w:rsid w:val="005C36F6"/>
    <w:rsid w:val="005D3109"/>
    <w:rsid w:val="0061606A"/>
    <w:rsid w:val="00640CF8"/>
    <w:rsid w:val="00646A13"/>
    <w:rsid w:val="00666571"/>
    <w:rsid w:val="006734B7"/>
    <w:rsid w:val="006B508A"/>
    <w:rsid w:val="00700DD3"/>
    <w:rsid w:val="007221AE"/>
    <w:rsid w:val="00744AFF"/>
    <w:rsid w:val="00746FA6"/>
    <w:rsid w:val="00761D9F"/>
    <w:rsid w:val="00764989"/>
    <w:rsid w:val="00787E16"/>
    <w:rsid w:val="00797253"/>
    <w:rsid w:val="007A2572"/>
    <w:rsid w:val="007D2AC3"/>
    <w:rsid w:val="007D7795"/>
    <w:rsid w:val="007F5931"/>
    <w:rsid w:val="007F7E30"/>
    <w:rsid w:val="008076D0"/>
    <w:rsid w:val="008077FD"/>
    <w:rsid w:val="00810213"/>
    <w:rsid w:val="00837D3D"/>
    <w:rsid w:val="00844DE5"/>
    <w:rsid w:val="00865090"/>
    <w:rsid w:val="008A44C9"/>
    <w:rsid w:val="008B154B"/>
    <w:rsid w:val="008C12DC"/>
    <w:rsid w:val="008F10B4"/>
    <w:rsid w:val="008F403D"/>
    <w:rsid w:val="00906AA9"/>
    <w:rsid w:val="00925162"/>
    <w:rsid w:val="00970BAA"/>
    <w:rsid w:val="00984ACF"/>
    <w:rsid w:val="00995B50"/>
    <w:rsid w:val="009B792F"/>
    <w:rsid w:val="009C5E4C"/>
    <w:rsid w:val="00A003F2"/>
    <w:rsid w:val="00A14C64"/>
    <w:rsid w:val="00A1693F"/>
    <w:rsid w:val="00A32F8A"/>
    <w:rsid w:val="00A62093"/>
    <w:rsid w:val="00A819D6"/>
    <w:rsid w:val="00AB6B17"/>
    <w:rsid w:val="00AC2BF3"/>
    <w:rsid w:val="00AC5E84"/>
    <w:rsid w:val="00AF7AD2"/>
    <w:rsid w:val="00B04C8A"/>
    <w:rsid w:val="00B04F21"/>
    <w:rsid w:val="00B243D2"/>
    <w:rsid w:val="00B273D8"/>
    <w:rsid w:val="00B31226"/>
    <w:rsid w:val="00B43F70"/>
    <w:rsid w:val="00B45E8E"/>
    <w:rsid w:val="00B570CC"/>
    <w:rsid w:val="00B57F87"/>
    <w:rsid w:val="00B65E08"/>
    <w:rsid w:val="00B70E16"/>
    <w:rsid w:val="00B72827"/>
    <w:rsid w:val="00B94CB6"/>
    <w:rsid w:val="00BB1096"/>
    <w:rsid w:val="00BB18CB"/>
    <w:rsid w:val="00BB5EAA"/>
    <w:rsid w:val="00BB6A2C"/>
    <w:rsid w:val="00BD0D77"/>
    <w:rsid w:val="00BD50E8"/>
    <w:rsid w:val="00BE63E6"/>
    <w:rsid w:val="00BE6773"/>
    <w:rsid w:val="00C271B7"/>
    <w:rsid w:val="00C31F35"/>
    <w:rsid w:val="00C32478"/>
    <w:rsid w:val="00CC4F23"/>
    <w:rsid w:val="00D240B0"/>
    <w:rsid w:val="00D25A43"/>
    <w:rsid w:val="00D73B2B"/>
    <w:rsid w:val="00D93857"/>
    <w:rsid w:val="00DA0990"/>
    <w:rsid w:val="00DB6A73"/>
    <w:rsid w:val="00DE3ECC"/>
    <w:rsid w:val="00DF097B"/>
    <w:rsid w:val="00E03D3A"/>
    <w:rsid w:val="00E315FC"/>
    <w:rsid w:val="00E51F9C"/>
    <w:rsid w:val="00E56F42"/>
    <w:rsid w:val="00E73C75"/>
    <w:rsid w:val="00E90630"/>
    <w:rsid w:val="00E93729"/>
    <w:rsid w:val="00E94245"/>
    <w:rsid w:val="00EE6639"/>
    <w:rsid w:val="00EE7EBA"/>
    <w:rsid w:val="00F1541C"/>
    <w:rsid w:val="00F71C60"/>
    <w:rsid w:val="00F74C62"/>
    <w:rsid w:val="00FD43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88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1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2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2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2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2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2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2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DC"/>
    <w:rPr>
      <w:rFonts w:eastAsiaTheme="majorEastAsia" w:cstheme="majorBidi"/>
      <w:color w:val="272727" w:themeColor="text1" w:themeTint="D8"/>
    </w:rPr>
  </w:style>
  <w:style w:type="paragraph" w:styleId="Title">
    <w:name w:val="Title"/>
    <w:basedOn w:val="Normal"/>
    <w:next w:val="Normal"/>
    <w:link w:val="TitleChar"/>
    <w:uiPriority w:val="10"/>
    <w:qFormat/>
    <w:rsid w:val="008C1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DC"/>
    <w:pPr>
      <w:spacing w:before="160"/>
      <w:jc w:val="center"/>
    </w:pPr>
    <w:rPr>
      <w:i/>
      <w:iCs/>
      <w:color w:val="404040" w:themeColor="text1" w:themeTint="BF"/>
    </w:rPr>
  </w:style>
  <w:style w:type="character" w:customStyle="1" w:styleId="QuoteChar">
    <w:name w:val="Quote Char"/>
    <w:basedOn w:val="DefaultParagraphFont"/>
    <w:link w:val="Quote"/>
    <w:uiPriority w:val="29"/>
    <w:rsid w:val="008C12DC"/>
    <w:rPr>
      <w:i/>
      <w:iCs/>
      <w:color w:val="404040" w:themeColor="text1" w:themeTint="BF"/>
    </w:rPr>
  </w:style>
  <w:style w:type="paragraph" w:styleId="ListParagraph">
    <w:name w:val="List Paragraph"/>
    <w:basedOn w:val="Normal"/>
    <w:uiPriority w:val="34"/>
    <w:qFormat/>
    <w:rsid w:val="008C12DC"/>
    <w:pPr>
      <w:ind w:left="720"/>
      <w:contextualSpacing/>
    </w:pPr>
  </w:style>
  <w:style w:type="character" w:styleId="IntenseEmphasis">
    <w:name w:val="Intense Emphasis"/>
    <w:basedOn w:val="DefaultParagraphFont"/>
    <w:uiPriority w:val="21"/>
    <w:qFormat/>
    <w:rsid w:val="008C12DC"/>
    <w:rPr>
      <w:i/>
      <w:iCs/>
      <w:color w:val="2F5496" w:themeColor="accent1" w:themeShade="BF"/>
    </w:rPr>
  </w:style>
  <w:style w:type="paragraph" w:styleId="IntenseQuote">
    <w:name w:val="Intense Quote"/>
    <w:basedOn w:val="Normal"/>
    <w:next w:val="Normal"/>
    <w:link w:val="IntenseQuoteChar"/>
    <w:uiPriority w:val="30"/>
    <w:qFormat/>
    <w:rsid w:val="008C1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2DC"/>
    <w:rPr>
      <w:i/>
      <w:iCs/>
      <w:color w:val="2F5496" w:themeColor="accent1" w:themeShade="BF"/>
    </w:rPr>
  </w:style>
  <w:style w:type="character" w:styleId="IntenseReference">
    <w:name w:val="Intense Reference"/>
    <w:basedOn w:val="DefaultParagraphFont"/>
    <w:uiPriority w:val="32"/>
    <w:qFormat/>
    <w:rsid w:val="008C12DC"/>
    <w:rPr>
      <w:b/>
      <w:bCs/>
      <w:smallCaps/>
      <w:color w:val="2F5496" w:themeColor="accent1" w:themeShade="BF"/>
      <w:spacing w:val="5"/>
    </w:rPr>
  </w:style>
  <w:style w:type="paragraph" w:styleId="NoSpacing">
    <w:name w:val="No Spacing"/>
    <w:uiPriority w:val="1"/>
    <w:qFormat/>
    <w:rsid w:val="00B94CB6"/>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CC4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F23"/>
  </w:style>
  <w:style w:type="paragraph" w:styleId="Footer">
    <w:name w:val="footer"/>
    <w:basedOn w:val="Normal"/>
    <w:link w:val="FooterChar"/>
    <w:uiPriority w:val="99"/>
    <w:unhideWhenUsed/>
    <w:rsid w:val="00CC4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F23"/>
  </w:style>
  <w:style w:type="paragraph" w:styleId="BalloonText">
    <w:name w:val="Balloon Text"/>
    <w:basedOn w:val="Normal"/>
    <w:link w:val="BalloonTextChar"/>
    <w:uiPriority w:val="99"/>
    <w:semiHidden/>
    <w:unhideWhenUsed/>
    <w:rsid w:val="00545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4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12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12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12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12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12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12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2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2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2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2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12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12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12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12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12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2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2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2DC"/>
    <w:rPr>
      <w:rFonts w:eastAsiaTheme="majorEastAsia" w:cstheme="majorBidi"/>
      <w:color w:val="272727" w:themeColor="text1" w:themeTint="D8"/>
    </w:rPr>
  </w:style>
  <w:style w:type="paragraph" w:styleId="Title">
    <w:name w:val="Title"/>
    <w:basedOn w:val="Normal"/>
    <w:next w:val="Normal"/>
    <w:link w:val="TitleChar"/>
    <w:uiPriority w:val="10"/>
    <w:qFormat/>
    <w:rsid w:val="008C12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2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2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2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2DC"/>
    <w:pPr>
      <w:spacing w:before="160"/>
      <w:jc w:val="center"/>
    </w:pPr>
    <w:rPr>
      <w:i/>
      <w:iCs/>
      <w:color w:val="404040" w:themeColor="text1" w:themeTint="BF"/>
    </w:rPr>
  </w:style>
  <w:style w:type="character" w:customStyle="1" w:styleId="QuoteChar">
    <w:name w:val="Quote Char"/>
    <w:basedOn w:val="DefaultParagraphFont"/>
    <w:link w:val="Quote"/>
    <w:uiPriority w:val="29"/>
    <w:rsid w:val="008C12DC"/>
    <w:rPr>
      <w:i/>
      <w:iCs/>
      <w:color w:val="404040" w:themeColor="text1" w:themeTint="BF"/>
    </w:rPr>
  </w:style>
  <w:style w:type="paragraph" w:styleId="ListParagraph">
    <w:name w:val="List Paragraph"/>
    <w:basedOn w:val="Normal"/>
    <w:uiPriority w:val="34"/>
    <w:qFormat/>
    <w:rsid w:val="008C12DC"/>
    <w:pPr>
      <w:ind w:left="720"/>
      <w:contextualSpacing/>
    </w:pPr>
  </w:style>
  <w:style w:type="character" w:styleId="IntenseEmphasis">
    <w:name w:val="Intense Emphasis"/>
    <w:basedOn w:val="DefaultParagraphFont"/>
    <w:uiPriority w:val="21"/>
    <w:qFormat/>
    <w:rsid w:val="008C12DC"/>
    <w:rPr>
      <w:i/>
      <w:iCs/>
      <w:color w:val="2F5496" w:themeColor="accent1" w:themeShade="BF"/>
    </w:rPr>
  </w:style>
  <w:style w:type="paragraph" w:styleId="IntenseQuote">
    <w:name w:val="Intense Quote"/>
    <w:basedOn w:val="Normal"/>
    <w:next w:val="Normal"/>
    <w:link w:val="IntenseQuoteChar"/>
    <w:uiPriority w:val="30"/>
    <w:qFormat/>
    <w:rsid w:val="008C12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12DC"/>
    <w:rPr>
      <w:i/>
      <w:iCs/>
      <w:color w:val="2F5496" w:themeColor="accent1" w:themeShade="BF"/>
    </w:rPr>
  </w:style>
  <w:style w:type="character" w:styleId="IntenseReference">
    <w:name w:val="Intense Reference"/>
    <w:basedOn w:val="DefaultParagraphFont"/>
    <w:uiPriority w:val="32"/>
    <w:qFormat/>
    <w:rsid w:val="008C12DC"/>
    <w:rPr>
      <w:b/>
      <w:bCs/>
      <w:smallCaps/>
      <w:color w:val="2F5496" w:themeColor="accent1" w:themeShade="BF"/>
      <w:spacing w:val="5"/>
    </w:rPr>
  </w:style>
  <w:style w:type="paragraph" w:styleId="NoSpacing">
    <w:name w:val="No Spacing"/>
    <w:uiPriority w:val="1"/>
    <w:qFormat/>
    <w:rsid w:val="00B94CB6"/>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CC4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F23"/>
  </w:style>
  <w:style w:type="paragraph" w:styleId="Footer">
    <w:name w:val="footer"/>
    <w:basedOn w:val="Normal"/>
    <w:link w:val="FooterChar"/>
    <w:uiPriority w:val="99"/>
    <w:unhideWhenUsed/>
    <w:rsid w:val="00CC4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F23"/>
  </w:style>
  <w:style w:type="paragraph" w:styleId="BalloonText">
    <w:name w:val="Balloon Text"/>
    <w:basedOn w:val="Normal"/>
    <w:link w:val="BalloonTextChar"/>
    <w:uiPriority w:val="99"/>
    <w:semiHidden/>
    <w:unhideWhenUsed/>
    <w:rsid w:val="00545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4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Dube-Banda</dc:creator>
  <cp:lastModifiedBy>User</cp:lastModifiedBy>
  <cp:revision>3</cp:revision>
  <cp:lastPrinted>2025-10-01T13:05:00Z</cp:lastPrinted>
  <dcterms:created xsi:type="dcterms:W3CDTF">2025-10-31T09:42:00Z</dcterms:created>
  <dcterms:modified xsi:type="dcterms:W3CDTF">2025-10-31T09:43:00Z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f545a26d-2119-4b46-b609-303461467335</vt:lpwstr>
  </property>
</Properties>
</file>