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B31BB" w14:textId="77777777" w:rsidR="005A51F4" w:rsidRPr="00A75071" w:rsidRDefault="00783D83" w:rsidP="006664A8">
      <w:pPr>
        <w:spacing w:after="0" w:line="24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NETONE CELLULAR</w:t>
      </w:r>
    </w:p>
    <w:p w14:paraId="1B6F9F5D" w14:textId="7E6BA662" w:rsidR="00783D83" w:rsidRPr="00A75071" w:rsidRDefault="006664A8" w:rsidP="006664A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783D83" w:rsidRPr="00A75071">
        <w:rPr>
          <w:rFonts w:ascii="Times New Roman" w:hAnsi="Times New Roman" w:cs="Times New Roman"/>
          <w:sz w:val="24"/>
          <w:szCs w:val="24"/>
          <w:lang w:val="en-US"/>
        </w:rPr>
        <w:t>ersus</w:t>
      </w:r>
    </w:p>
    <w:p w14:paraId="244170C1" w14:textId="77777777" w:rsidR="00783D83" w:rsidRPr="00A75071" w:rsidRDefault="00783D83" w:rsidP="006664A8">
      <w:pPr>
        <w:spacing w:after="0" w:line="24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REWARD KANGAI</w:t>
      </w:r>
    </w:p>
    <w:p w14:paraId="7D8F57E7" w14:textId="0D0320AB" w:rsidR="00783D83" w:rsidRDefault="00783D83" w:rsidP="006664A8">
      <w:pPr>
        <w:spacing w:after="0" w:line="240" w:lineRule="auto"/>
        <w:jc w:val="both"/>
        <w:rPr>
          <w:rFonts w:ascii="Times New Roman" w:hAnsi="Times New Roman" w:cs="Times New Roman"/>
          <w:sz w:val="24"/>
          <w:szCs w:val="24"/>
          <w:lang w:val="en-US"/>
        </w:rPr>
      </w:pPr>
    </w:p>
    <w:p w14:paraId="4C08EACB" w14:textId="77777777" w:rsidR="006664A8" w:rsidRPr="00A75071" w:rsidRDefault="006664A8" w:rsidP="006664A8">
      <w:pPr>
        <w:spacing w:after="0" w:line="240" w:lineRule="auto"/>
        <w:jc w:val="both"/>
        <w:rPr>
          <w:rFonts w:ascii="Times New Roman" w:hAnsi="Times New Roman" w:cs="Times New Roman"/>
          <w:sz w:val="24"/>
          <w:szCs w:val="24"/>
          <w:lang w:val="en-US"/>
        </w:rPr>
      </w:pPr>
    </w:p>
    <w:p w14:paraId="7F2C372B" w14:textId="77777777" w:rsidR="00783D83" w:rsidRPr="00A75071" w:rsidRDefault="00783D83" w:rsidP="0016401D">
      <w:pPr>
        <w:spacing w:after="0" w:line="24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HIGH COURT OF ZIMBABWE</w:t>
      </w:r>
    </w:p>
    <w:p w14:paraId="5E4D6F5F" w14:textId="77777777" w:rsidR="00783D83" w:rsidRPr="00A75071" w:rsidRDefault="00783D83" w:rsidP="0016401D">
      <w:pPr>
        <w:spacing w:after="0" w:line="24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MUZOFA J</w:t>
      </w:r>
    </w:p>
    <w:p w14:paraId="5BB66800" w14:textId="6CD9AA13" w:rsidR="00783D83" w:rsidRDefault="00783D83" w:rsidP="0016401D">
      <w:pPr>
        <w:tabs>
          <w:tab w:val="left" w:pos="2160"/>
        </w:tabs>
        <w:spacing w:after="0" w:line="24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HARARE</w:t>
      </w:r>
      <w:r w:rsidR="0016401D" w:rsidRPr="00A75071">
        <w:rPr>
          <w:rFonts w:ascii="Times New Roman" w:hAnsi="Times New Roman" w:cs="Times New Roman"/>
          <w:sz w:val="24"/>
          <w:szCs w:val="24"/>
          <w:lang w:val="en-US"/>
        </w:rPr>
        <w:t>, 29 September 2021</w:t>
      </w:r>
      <w:r w:rsidR="0013593F">
        <w:rPr>
          <w:rFonts w:ascii="Times New Roman" w:hAnsi="Times New Roman" w:cs="Times New Roman"/>
          <w:sz w:val="24"/>
          <w:szCs w:val="24"/>
          <w:lang w:val="en-US"/>
        </w:rPr>
        <w:t xml:space="preserve"> &amp; 16</w:t>
      </w:r>
      <w:r w:rsidR="00E54B48" w:rsidRPr="00A75071">
        <w:rPr>
          <w:rFonts w:ascii="Times New Roman" w:hAnsi="Times New Roman" w:cs="Times New Roman"/>
          <w:sz w:val="24"/>
          <w:szCs w:val="24"/>
          <w:lang w:val="en-US"/>
        </w:rPr>
        <w:t xml:space="preserve"> February 2022</w:t>
      </w:r>
      <w:r w:rsidRPr="00A75071">
        <w:rPr>
          <w:rFonts w:ascii="Times New Roman" w:hAnsi="Times New Roman" w:cs="Times New Roman"/>
          <w:sz w:val="24"/>
          <w:szCs w:val="24"/>
          <w:lang w:val="en-US"/>
        </w:rPr>
        <w:tab/>
      </w:r>
    </w:p>
    <w:p w14:paraId="0B3F8DDE" w14:textId="56D913A0" w:rsidR="00146F5A" w:rsidRDefault="00146F5A" w:rsidP="0016401D">
      <w:pPr>
        <w:tabs>
          <w:tab w:val="left" w:pos="2160"/>
        </w:tabs>
        <w:spacing w:after="0" w:line="240" w:lineRule="auto"/>
        <w:jc w:val="both"/>
        <w:rPr>
          <w:rFonts w:ascii="Times New Roman" w:hAnsi="Times New Roman" w:cs="Times New Roman"/>
          <w:sz w:val="24"/>
          <w:szCs w:val="24"/>
          <w:lang w:val="en-US"/>
        </w:rPr>
      </w:pPr>
    </w:p>
    <w:p w14:paraId="60D2C3CE" w14:textId="77777777" w:rsidR="006664A8" w:rsidRDefault="006664A8" w:rsidP="0016401D">
      <w:pPr>
        <w:tabs>
          <w:tab w:val="left" w:pos="2160"/>
        </w:tabs>
        <w:spacing w:after="0" w:line="240" w:lineRule="auto"/>
        <w:jc w:val="both"/>
        <w:rPr>
          <w:rFonts w:ascii="Times New Roman" w:hAnsi="Times New Roman" w:cs="Times New Roman"/>
          <w:sz w:val="24"/>
          <w:szCs w:val="24"/>
          <w:lang w:val="en-US"/>
        </w:rPr>
      </w:pPr>
    </w:p>
    <w:p w14:paraId="40C727F8" w14:textId="77777777" w:rsidR="00146F5A" w:rsidRPr="00A75071" w:rsidRDefault="00146F5A" w:rsidP="00146F5A">
      <w:pPr>
        <w:tabs>
          <w:tab w:val="left" w:pos="2160"/>
        </w:tabs>
        <w:spacing w:line="240" w:lineRule="auto"/>
        <w:jc w:val="both"/>
        <w:rPr>
          <w:rFonts w:ascii="Times New Roman" w:hAnsi="Times New Roman" w:cs="Times New Roman"/>
          <w:b/>
          <w:sz w:val="24"/>
          <w:szCs w:val="24"/>
          <w:lang w:val="en-US"/>
        </w:rPr>
      </w:pPr>
      <w:r w:rsidRPr="00A75071">
        <w:rPr>
          <w:rFonts w:ascii="Times New Roman" w:hAnsi="Times New Roman" w:cs="Times New Roman"/>
          <w:b/>
          <w:sz w:val="24"/>
          <w:szCs w:val="24"/>
          <w:lang w:val="en-US"/>
        </w:rPr>
        <w:t>Civil Trial – Special Case</w:t>
      </w:r>
    </w:p>
    <w:p w14:paraId="2032327A" w14:textId="77777777" w:rsidR="00146F5A" w:rsidRPr="00A75071" w:rsidRDefault="00146F5A" w:rsidP="0016401D">
      <w:pPr>
        <w:tabs>
          <w:tab w:val="left" w:pos="2160"/>
        </w:tabs>
        <w:spacing w:after="0" w:line="240" w:lineRule="auto"/>
        <w:jc w:val="both"/>
        <w:rPr>
          <w:rFonts w:ascii="Times New Roman" w:hAnsi="Times New Roman" w:cs="Times New Roman"/>
          <w:sz w:val="24"/>
          <w:szCs w:val="24"/>
          <w:lang w:val="en-US"/>
        </w:rPr>
      </w:pPr>
    </w:p>
    <w:p w14:paraId="7FC0B5B1" w14:textId="77777777" w:rsidR="00783D83" w:rsidRPr="00A75071" w:rsidRDefault="00783D83" w:rsidP="00783D83">
      <w:pPr>
        <w:tabs>
          <w:tab w:val="left" w:pos="2160"/>
        </w:tabs>
        <w:spacing w:line="240" w:lineRule="auto"/>
        <w:jc w:val="both"/>
        <w:rPr>
          <w:rFonts w:ascii="Times New Roman" w:hAnsi="Times New Roman" w:cs="Times New Roman"/>
          <w:sz w:val="24"/>
          <w:szCs w:val="24"/>
          <w:lang w:val="en-US"/>
        </w:rPr>
      </w:pPr>
    </w:p>
    <w:p w14:paraId="1F074482" w14:textId="7AE0E046" w:rsidR="00783D83" w:rsidRPr="00A75071" w:rsidRDefault="00783D83" w:rsidP="00E22F49">
      <w:pPr>
        <w:tabs>
          <w:tab w:val="left" w:pos="2160"/>
        </w:tabs>
        <w:spacing w:after="0" w:line="240" w:lineRule="auto"/>
        <w:jc w:val="both"/>
        <w:rPr>
          <w:rFonts w:ascii="Times New Roman" w:hAnsi="Times New Roman" w:cs="Times New Roman"/>
          <w:iCs/>
          <w:sz w:val="24"/>
          <w:szCs w:val="24"/>
          <w:lang w:val="en-US"/>
        </w:rPr>
      </w:pPr>
      <w:r w:rsidRPr="00A75071">
        <w:rPr>
          <w:rFonts w:ascii="Times New Roman" w:hAnsi="Times New Roman" w:cs="Times New Roman"/>
          <w:i/>
          <w:sz w:val="24"/>
          <w:szCs w:val="24"/>
          <w:lang w:val="en-US"/>
        </w:rPr>
        <w:t>E T Matinenga with A Chimhofu</w:t>
      </w:r>
      <w:r w:rsidR="006664A8">
        <w:rPr>
          <w:rFonts w:ascii="Times New Roman" w:hAnsi="Times New Roman" w:cs="Times New Roman"/>
          <w:i/>
          <w:sz w:val="24"/>
          <w:szCs w:val="24"/>
          <w:lang w:val="en-US"/>
        </w:rPr>
        <w:t>,</w:t>
      </w:r>
      <w:r w:rsidRPr="00A75071">
        <w:rPr>
          <w:rFonts w:ascii="Times New Roman" w:hAnsi="Times New Roman" w:cs="Times New Roman"/>
          <w:i/>
          <w:sz w:val="24"/>
          <w:szCs w:val="24"/>
          <w:lang w:val="en-US"/>
        </w:rPr>
        <w:t xml:space="preserve"> </w:t>
      </w:r>
      <w:r w:rsidRPr="00A75071">
        <w:rPr>
          <w:rFonts w:ascii="Times New Roman" w:hAnsi="Times New Roman" w:cs="Times New Roman"/>
          <w:iCs/>
          <w:sz w:val="24"/>
          <w:szCs w:val="24"/>
          <w:lang w:val="en-US"/>
        </w:rPr>
        <w:t>for the plaintiff</w:t>
      </w:r>
    </w:p>
    <w:p w14:paraId="74DBF6C8" w14:textId="713E0146" w:rsidR="00783D83" w:rsidRPr="00A75071" w:rsidRDefault="00783D83" w:rsidP="00E22F49">
      <w:pPr>
        <w:tabs>
          <w:tab w:val="left" w:pos="2160"/>
        </w:tabs>
        <w:spacing w:after="0" w:line="240" w:lineRule="auto"/>
        <w:jc w:val="both"/>
        <w:rPr>
          <w:rFonts w:ascii="Times New Roman" w:hAnsi="Times New Roman" w:cs="Times New Roman"/>
          <w:iCs/>
          <w:sz w:val="24"/>
          <w:szCs w:val="24"/>
          <w:lang w:val="en-US"/>
        </w:rPr>
      </w:pPr>
      <w:r w:rsidRPr="00A75071">
        <w:rPr>
          <w:rFonts w:ascii="Times New Roman" w:hAnsi="Times New Roman" w:cs="Times New Roman"/>
          <w:i/>
          <w:sz w:val="24"/>
          <w:szCs w:val="24"/>
          <w:lang w:val="en-US"/>
        </w:rPr>
        <w:t>T Biti</w:t>
      </w:r>
      <w:r w:rsidR="006664A8">
        <w:rPr>
          <w:rFonts w:ascii="Times New Roman" w:hAnsi="Times New Roman" w:cs="Times New Roman"/>
          <w:iCs/>
          <w:sz w:val="24"/>
          <w:szCs w:val="24"/>
          <w:lang w:val="en-US"/>
        </w:rPr>
        <w:t xml:space="preserve">, </w:t>
      </w:r>
      <w:bookmarkStart w:id="0" w:name="_GoBack"/>
      <w:bookmarkEnd w:id="0"/>
      <w:r w:rsidRPr="00A75071">
        <w:rPr>
          <w:rFonts w:ascii="Times New Roman" w:hAnsi="Times New Roman" w:cs="Times New Roman"/>
          <w:iCs/>
          <w:sz w:val="24"/>
          <w:szCs w:val="24"/>
          <w:lang w:val="en-US"/>
        </w:rPr>
        <w:t>for the defendant</w:t>
      </w:r>
    </w:p>
    <w:p w14:paraId="6C37FCD9" w14:textId="6646D4DF" w:rsidR="00BC4F52" w:rsidRPr="00A75071" w:rsidRDefault="00BC4F52" w:rsidP="00783D83">
      <w:pPr>
        <w:tabs>
          <w:tab w:val="left" w:pos="2160"/>
        </w:tabs>
        <w:spacing w:line="240" w:lineRule="auto"/>
        <w:jc w:val="both"/>
        <w:rPr>
          <w:rFonts w:ascii="Times New Roman" w:hAnsi="Times New Roman" w:cs="Times New Roman"/>
          <w:b/>
          <w:sz w:val="24"/>
          <w:szCs w:val="24"/>
          <w:lang w:val="en-US"/>
        </w:rPr>
      </w:pPr>
    </w:p>
    <w:p w14:paraId="25DAFF33" w14:textId="5ABC62AA" w:rsidR="00802D02"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b/>
          <w:sz w:val="24"/>
          <w:szCs w:val="24"/>
          <w:lang w:val="en-US"/>
        </w:rPr>
        <w:t xml:space="preserve">          </w:t>
      </w:r>
      <w:r w:rsidR="00783D83" w:rsidRPr="006664A8">
        <w:rPr>
          <w:rFonts w:ascii="Times New Roman" w:hAnsi="Times New Roman" w:cs="Times New Roman"/>
          <w:sz w:val="24"/>
          <w:szCs w:val="24"/>
          <w:lang w:val="en-US"/>
        </w:rPr>
        <w:t>MUZOFA J</w:t>
      </w:r>
      <w:r w:rsidR="00783D83" w:rsidRPr="00A75071">
        <w:rPr>
          <w:rFonts w:ascii="Times New Roman" w:hAnsi="Times New Roman" w:cs="Times New Roman"/>
          <w:sz w:val="24"/>
          <w:szCs w:val="24"/>
          <w:lang w:val="en-US"/>
        </w:rPr>
        <w:t>: The defendant</w:t>
      </w:r>
      <w:r w:rsidR="00BC4F52" w:rsidRPr="00A75071">
        <w:rPr>
          <w:rFonts w:ascii="Times New Roman" w:hAnsi="Times New Roman" w:cs="Times New Roman"/>
          <w:sz w:val="24"/>
          <w:szCs w:val="24"/>
          <w:lang w:val="en-US"/>
        </w:rPr>
        <w:t xml:space="preserve"> was employed by the plaintiff as its Chief Executive Officer.</w:t>
      </w:r>
      <w:r w:rsidR="00783D83" w:rsidRPr="00A75071">
        <w:rPr>
          <w:rFonts w:ascii="Times New Roman" w:hAnsi="Times New Roman" w:cs="Times New Roman"/>
          <w:sz w:val="24"/>
          <w:szCs w:val="24"/>
          <w:lang w:val="en-US"/>
        </w:rPr>
        <w:t xml:space="preserve"> As part of his employment benefits, he was granted occupation of a property known as </w:t>
      </w:r>
      <w:r w:rsidR="00BC4F52" w:rsidRPr="00A75071">
        <w:rPr>
          <w:rFonts w:ascii="Times New Roman" w:hAnsi="Times New Roman" w:cs="Times New Roman"/>
          <w:sz w:val="24"/>
          <w:szCs w:val="24"/>
          <w:lang w:val="en-US"/>
        </w:rPr>
        <w:t>number</w:t>
      </w:r>
      <w:r w:rsidR="00783D83" w:rsidRPr="00A75071">
        <w:rPr>
          <w:rFonts w:ascii="Times New Roman" w:hAnsi="Times New Roman" w:cs="Times New Roman"/>
          <w:sz w:val="24"/>
          <w:szCs w:val="24"/>
          <w:lang w:val="en-US"/>
        </w:rPr>
        <w:t xml:space="preserve"> 31 Shottery Road, Greystone Park, Harare. The defendant’s contract of employment was terminated in June 2017. </w:t>
      </w:r>
      <w:r w:rsidR="00BC4F52" w:rsidRPr="00A75071">
        <w:rPr>
          <w:rFonts w:ascii="Times New Roman" w:hAnsi="Times New Roman" w:cs="Times New Roman"/>
          <w:sz w:val="24"/>
          <w:szCs w:val="24"/>
          <w:lang w:val="en-US"/>
        </w:rPr>
        <w:t>Thereafter</w:t>
      </w:r>
      <w:r w:rsidR="00783D83" w:rsidRPr="00A75071">
        <w:rPr>
          <w:rFonts w:ascii="Times New Roman" w:hAnsi="Times New Roman" w:cs="Times New Roman"/>
          <w:sz w:val="24"/>
          <w:szCs w:val="24"/>
          <w:lang w:val="en-US"/>
        </w:rPr>
        <w:t xml:space="preserve"> parties have been in and out of court regarding the legality of the termination. To date the issue has not been</w:t>
      </w:r>
      <w:r w:rsidR="00BC4F52" w:rsidRPr="00A75071">
        <w:rPr>
          <w:rFonts w:ascii="Times New Roman" w:hAnsi="Times New Roman" w:cs="Times New Roman"/>
          <w:sz w:val="24"/>
          <w:szCs w:val="24"/>
          <w:lang w:val="en-US"/>
        </w:rPr>
        <w:t xml:space="preserve"> finally </w:t>
      </w:r>
      <w:r w:rsidR="00783D83" w:rsidRPr="00A75071">
        <w:rPr>
          <w:rFonts w:ascii="Times New Roman" w:hAnsi="Times New Roman" w:cs="Times New Roman"/>
          <w:sz w:val="24"/>
          <w:szCs w:val="24"/>
          <w:lang w:val="en-US"/>
        </w:rPr>
        <w:t>determined. Upon termination of the employment contract, the plaintiff sued out summons against the defendant for ejectment, holding over damages including interest thereon</w:t>
      </w:r>
      <w:r w:rsidR="00802D02" w:rsidRPr="00A75071">
        <w:rPr>
          <w:rFonts w:ascii="Times New Roman" w:hAnsi="Times New Roman" w:cs="Times New Roman"/>
          <w:sz w:val="24"/>
          <w:szCs w:val="24"/>
          <w:lang w:val="en-US"/>
        </w:rPr>
        <w:t xml:space="preserve"> and costs of suit on a higher scale. </w:t>
      </w:r>
    </w:p>
    <w:p w14:paraId="5D7D1A52" w14:textId="2FEC1DDE" w:rsidR="00783D83"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802D02" w:rsidRPr="00A75071">
        <w:rPr>
          <w:rFonts w:ascii="Times New Roman" w:hAnsi="Times New Roman" w:cs="Times New Roman"/>
          <w:sz w:val="24"/>
          <w:szCs w:val="24"/>
          <w:lang w:val="en-US"/>
        </w:rPr>
        <w:t xml:space="preserve">The defendant opposed the claim </w:t>
      </w:r>
      <w:r w:rsidR="00BC4F52" w:rsidRPr="00A75071">
        <w:rPr>
          <w:rFonts w:ascii="Times New Roman" w:hAnsi="Times New Roman" w:cs="Times New Roman"/>
          <w:sz w:val="24"/>
          <w:szCs w:val="24"/>
          <w:lang w:val="en-US"/>
        </w:rPr>
        <w:t>and</w:t>
      </w:r>
      <w:r w:rsidR="00802D02" w:rsidRPr="00A75071">
        <w:rPr>
          <w:rFonts w:ascii="Times New Roman" w:hAnsi="Times New Roman" w:cs="Times New Roman"/>
          <w:sz w:val="24"/>
          <w:szCs w:val="24"/>
          <w:lang w:val="en-US"/>
        </w:rPr>
        <w:t xml:space="preserve"> filed a plea in abatement and a counterclaim claiming damages arising out </w:t>
      </w:r>
      <w:r w:rsidR="00BC4F52" w:rsidRPr="00A75071">
        <w:rPr>
          <w:rFonts w:ascii="Times New Roman" w:hAnsi="Times New Roman" w:cs="Times New Roman"/>
          <w:sz w:val="24"/>
          <w:szCs w:val="24"/>
          <w:lang w:val="en-US"/>
        </w:rPr>
        <w:t xml:space="preserve">of some </w:t>
      </w:r>
      <w:r w:rsidR="00802D02" w:rsidRPr="00A75071">
        <w:rPr>
          <w:rFonts w:ascii="Times New Roman" w:hAnsi="Times New Roman" w:cs="Times New Roman"/>
          <w:sz w:val="24"/>
          <w:szCs w:val="24"/>
          <w:lang w:val="en-US"/>
        </w:rPr>
        <w:t>alleged defamatory statements published by one Alex Marufu an employee of the plaintiff</w:t>
      </w:r>
      <w:r w:rsidR="0041628B" w:rsidRPr="00A75071">
        <w:rPr>
          <w:rFonts w:ascii="Times New Roman" w:hAnsi="Times New Roman" w:cs="Times New Roman"/>
          <w:sz w:val="24"/>
          <w:szCs w:val="24"/>
          <w:lang w:val="en-US"/>
        </w:rPr>
        <w:t>. The plea was filed</w:t>
      </w:r>
      <w:r w:rsidR="00124F9A" w:rsidRPr="00A75071">
        <w:rPr>
          <w:rFonts w:ascii="Times New Roman" w:hAnsi="Times New Roman" w:cs="Times New Roman"/>
          <w:sz w:val="24"/>
          <w:szCs w:val="24"/>
          <w:lang w:val="en-US"/>
        </w:rPr>
        <w:t xml:space="preserve"> in November 2017. A month later in December 2017 the defendant pleaded over on the merits. His defence is two pronged. </w:t>
      </w:r>
      <w:r w:rsidR="00076282" w:rsidRPr="00A75071">
        <w:rPr>
          <w:rFonts w:ascii="Times New Roman" w:hAnsi="Times New Roman" w:cs="Times New Roman"/>
          <w:sz w:val="24"/>
          <w:szCs w:val="24"/>
          <w:lang w:val="en-US"/>
        </w:rPr>
        <w:t>Firstly,</w:t>
      </w:r>
      <w:r w:rsidR="00124F9A" w:rsidRPr="00A75071">
        <w:rPr>
          <w:rFonts w:ascii="Times New Roman" w:hAnsi="Times New Roman" w:cs="Times New Roman"/>
          <w:sz w:val="24"/>
          <w:szCs w:val="24"/>
          <w:lang w:val="en-US"/>
        </w:rPr>
        <w:t xml:space="preserve"> he stated that he was entitled to some housing allowance. He was not paid such therefore he has fully paid for the house and claims transfer. I comment that this prayer is not even part of his </w:t>
      </w:r>
      <w:r w:rsidR="00076282" w:rsidRPr="00A75071">
        <w:rPr>
          <w:rFonts w:ascii="Times New Roman" w:hAnsi="Times New Roman" w:cs="Times New Roman"/>
          <w:sz w:val="24"/>
          <w:szCs w:val="24"/>
          <w:lang w:val="en-US"/>
        </w:rPr>
        <w:t>counterclaim. Secondly,</w:t>
      </w:r>
      <w:r w:rsidR="00124F9A" w:rsidRPr="00A75071">
        <w:rPr>
          <w:rFonts w:ascii="Times New Roman" w:hAnsi="Times New Roman" w:cs="Times New Roman"/>
          <w:sz w:val="24"/>
          <w:szCs w:val="24"/>
          <w:lang w:val="en-US"/>
        </w:rPr>
        <w:t xml:space="preserve"> he said </w:t>
      </w:r>
      <w:r w:rsidR="00076282" w:rsidRPr="00A75071">
        <w:rPr>
          <w:rFonts w:ascii="Times New Roman" w:hAnsi="Times New Roman" w:cs="Times New Roman"/>
          <w:sz w:val="24"/>
          <w:szCs w:val="24"/>
          <w:lang w:val="en-US"/>
        </w:rPr>
        <w:t xml:space="preserve">the termination of his contract was </w:t>
      </w:r>
      <w:r w:rsidR="0041628B" w:rsidRPr="00A75071">
        <w:rPr>
          <w:rFonts w:ascii="Times New Roman" w:hAnsi="Times New Roman" w:cs="Times New Roman"/>
          <w:sz w:val="24"/>
          <w:szCs w:val="24"/>
          <w:lang w:val="en-US"/>
        </w:rPr>
        <w:t xml:space="preserve">unlawful, he has </w:t>
      </w:r>
      <w:r w:rsidR="00076282" w:rsidRPr="00A75071">
        <w:rPr>
          <w:rFonts w:ascii="Times New Roman" w:hAnsi="Times New Roman" w:cs="Times New Roman"/>
          <w:sz w:val="24"/>
          <w:szCs w:val="24"/>
          <w:lang w:val="en-US"/>
        </w:rPr>
        <w:t>challenged it. He is therefore entitled to remain in occupation.</w:t>
      </w:r>
      <w:r w:rsidR="00824C2C" w:rsidRPr="00A75071">
        <w:rPr>
          <w:rFonts w:ascii="Times New Roman" w:hAnsi="Times New Roman" w:cs="Times New Roman"/>
          <w:sz w:val="24"/>
          <w:szCs w:val="24"/>
          <w:lang w:val="en-US"/>
        </w:rPr>
        <w:t xml:space="preserve"> In due course the defendant filed a notice to amend the counter claim. </w:t>
      </w:r>
      <w:r w:rsidR="00E54B48" w:rsidRPr="00A75071">
        <w:rPr>
          <w:rFonts w:ascii="Times New Roman" w:hAnsi="Times New Roman" w:cs="Times New Roman"/>
          <w:sz w:val="24"/>
          <w:szCs w:val="24"/>
          <w:lang w:val="en-US"/>
        </w:rPr>
        <w:t>In the amended claim the defendant challenges his termination and claims damages f</w:t>
      </w:r>
      <w:r w:rsidR="0041628B" w:rsidRPr="00A75071">
        <w:rPr>
          <w:rFonts w:ascii="Times New Roman" w:hAnsi="Times New Roman" w:cs="Times New Roman"/>
          <w:sz w:val="24"/>
          <w:szCs w:val="24"/>
          <w:lang w:val="en-US"/>
        </w:rPr>
        <w:t xml:space="preserve">or </w:t>
      </w:r>
      <w:r w:rsidR="00E54B48" w:rsidRPr="00A75071">
        <w:rPr>
          <w:rFonts w:ascii="Times New Roman" w:hAnsi="Times New Roman" w:cs="Times New Roman"/>
          <w:sz w:val="24"/>
          <w:szCs w:val="24"/>
          <w:lang w:val="en-US"/>
        </w:rPr>
        <w:t>the unlawful termination.</w:t>
      </w:r>
    </w:p>
    <w:p w14:paraId="63FD6241" w14:textId="7AA95BC1" w:rsidR="00FE2B62" w:rsidRPr="00A75071" w:rsidRDefault="00076282" w:rsidP="0007628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ab/>
      </w:r>
      <w:r w:rsidR="00E22F49" w:rsidRPr="00A75071">
        <w:rPr>
          <w:rFonts w:ascii="Times New Roman" w:hAnsi="Times New Roman" w:cs="Times New Roman"/>
          <w:sz w:val="24"/>
          <w:szCs w:val="24"/>
          <w:lang w:val="en-US"/>
        </w:rPr>
        <w:t xml:space="preserve"> </w:t>
      </w:r>
      <w:r w:rsidR="00AE0429" w:rsidRPr="00A75071">
        <w:rPr>
          <w:rFonts w:ascii="Times New Roman" w:hAnsi="Times New Roman" w:cs="Times New Roman"/>
          <w:sz w:val="24"/>
          <w:szCs w:val="24"/>
          <w:lang w:val="en-US"/>
        </w:rPr>
        <w:t xml:space="preserve">When the matter was set down for hearing, I invited </w:t>
      </w:r>
      <w:r w:rsidRPr="00A75071">
        <w:rPr>
          <w:rFonts w:ascii="Times New Roman" w:hAnsi="Times New Roman" w:cs="Times New Roman"/>
          <w:sz w:val="24"/>
          <w:szCs w:val="24"/>
          <w:lang w:val="en-US"/>
        </w:rPr>
        <w:t xml:space="preserve">the </w:t>
      </w:r>
      <w:r w:rsidR="00AE0429" w:rsidRPr="00A75071">
        <w:rPr>
          <w:rFonts w:ascii="Times New Roman" w:hAnsi="Times New Roman" w:cs="Times New Roman"/>
          <w:sz w:val="24"/>
          <w:szCs w:val="24"/>
          <w:lang w:val="en-US"/>
        </w:rPr>
        <w:t>parties fo</w:t>
      </w:r>
      <w:r w:rsidRPr="00A75071">
        <w:rPr>
          <w:rFonts w:ascii="Times New Roman" w:hAnsi="Times New Roman" w:cs="Times New Roman"/>
          <w:sz w:val="24"/>
          <w:szCs w:val="24"/>
          <w:lang w:val="en-US"/>
        </w:rPr>
        <w:t>r</w:t>
      </w:r>
      <w:r w:rsidR="00AE0429" w:rsidRPr="00A75071">
        <w:rPr>
          <w:rFonts w:ascii="Times New Roman" w:hAnsi="Times New Roman" w:cs="Times New Roman"/>
          <w:sz w:val="24"/>
          <w:szCs w:val="24"/>
          <w:lang w:val="en-US"/>
        </w:rPr>
        <w:t xml:space="preserve"> case management, bearing in mind the number of cases pending in the Courts between the parties. </w:t>
      </w:r>
      <w:r w:rsidR="00D74A50" w:rsidRPr="00A75071">
        <w:rPr>
          <w:rFonts w:ascii="Times New Roman" w:hAnsi="Times New Roman" w:cs="Times New Roman"/>
          <w:sz w:val="24"/>
          <w:szCs w:val="24"/>
          <w:lang w:val="en-US"/>
        </w:rPr>
        <w:t xml:space="preserve">Parties eventually agreed to proceed by way of a </w:t>
      </w:r>
      <w:r w:rsidR="00E54B48" w:rsidRPr="00A75071">
        <w:rPr>
          <w:rFonts w:ascii="Times New Roman" w:hAnsi="Times New Roman" w:cs="Times New Roman"/>
          <w:sz w:val="24"/>
          <w:szCs w:val="24"/>
          <w:lang w:val="en-US"/>
        </w:rPr>
        <w:t xml:space="preserve">special </w:t>
      </w:r>
      <w:r w:rsidR="00D74A50" w:rsidRPr="00A75071">
        <w:rPr>
          <w:rFonts w:ascii="Times New Roman" w:hAnsi="Times New Roman" w:cs="Times New Roman"/>
          <w:sz w:val="24"/>
          <w:szCs w:val="24"/>
          <w:lang w:val="en-US"/>
        </w:rPr>
        <w:t>case</w:t>
      </w:r>
      <w:r w:rsidR="00E54B48" w:rsidRPr="00A75071">
        <w:rPr>
          <w:rFonts w:ascii="Times New Roman" w:hAnsi="Times New Roman" w:cs="Times New Roman"/>
          <w:sz w:val="24"/>
          <w:szCs w:val="24"/>
          <w:lang w:val="en-US"/>
        </w:rPr>
        <w:t xml:space="preserve"> in terms of </w:t>
      </w:r>
      <w:r w:rsidR="00074C7C" w:rsidRPr="00A75071">
        <w:rPr>
          <w:rFonts w:ascii="Times New Roman" w:hAnsi="Times New Roman" w:cs="Times New Roman"/>
          <w:sz w:val="24"/>
          <w:szCs w:val="24"/>
          <w:lang w:val="en-US"/>
        </w:rPr>
        <w:t xml:space="preserve">r52 of the High Court </w:t>
      </w:r>
      <w:r w:rsidR="00074C7C" w:rsidRPr="00A75071">
        <w:rPr>
          <w:rFonts w:ascii="Times New Roman" w:hAnsi="Times New Roman" w:cs="Times New Roman"/>
          <w:sz w:val="24"/>
          <w:szCs w:val="24"/>
          <w:lang w:val="en-US"/>
        </w:rPr>
        <w:lastRenderedPageBreak/>
        <w:t>Rules,</w:t>
      </w:r>
      <w:r w:rsidRPr="00A75071">
        <w:rPr>
          <w:rFonts w:ascii="Times New Roman" w:hAnsi="Times New Roman" w:cs="Times New Roman"/>
          <w:sz w:val="24"/>
          <w:szCs w:val="24"/>
          <w:lang w:val="en-US"/>
        </w:rPr>
        <w:t xml:space="preserve">2021. </w:t>
      </w:r>
      <w:r w:rsidR="0041628B" w:rsidRPr="00A75071">
        <w:rPr>
          <w:rFonts w:ascii="Times New Roman" w:hAnsi="Times New Roman" w:cs="Times New Roman"/>
          <w:sz w:val="24"/>
          <w:szCs w:val="24"/>
          <w:lang w:val="en-US"/>
        </w:rPr>
        <w:t>The issues</w:t>
      </w:r>
      <w:r w:rsidR="00D74A50" w:rsidRPr="00A75071">
        <w:rPr>
          <w:rFonts w:ascii="Times New Roman" w:hAnsi="Times New Roman" w:cs="Times New Roman"/>
          <w:sz w:val="24"/>
          <w:szCs w:val="24"/>
          <w:lang w:val="en-US"/>
        </w:rPr>
        <w:t xml:space="preserve"> referred for determination are set out in Part 6 of the statement ,which l summarize as follows,</w:t>
      </w:r>
    </w:p>
    <w:p w14:paraId="4FBE6D58" w14:textId="428A6AA9" w:rsidR="00D02F7C" w:rsidRPr="00A75071" w:rsidRDefault="00FE2B62" w:rsidP="00D74A50">
      <w:pPr>
        <w:tabs>
          <w:tab w:val="left" w:pos="2160"/>
        </w:tabs>
        <w:spacing w:line="360" w:lineRule="auto"/>
        <w:ind w:left="360"/>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6.1 Preliminary </w:t>
      </w:r>
    </w:p>
    <w:p w14:paraId="72FB8490" w14:textId="5BE3E287" w:rsidR="00D74A50" w:rsidRPr="00A75071" w:rsidRDefault="00FE2B62" w:rsidP="00D74A50">
      <w:pPr>
        <w:tabs>
          <w:tab w:val="left" w:pos="2160"/>
        </w:tabs>
        <w:spacing w:line="360" w:lineRule="auto"/>
        <w:ind w:left="360"/>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Whether these proceedings must be stayed pending the determination of the </w:t>
      </w:r>
      <w:r w:rsidR="00AB2AD9" w:rsidRPr="00A75071">
        <w:rPr>
          <w:rFonts w:ascii="Times New Roman" w:hAnsi="Times New Roman" w:cs="Times New Roman"/>
          <w:sz w:val="24"/>
          <w:szCs w:val="24"/>
          <w:lang w:val="en-US"/>
        </w:rPr>
        <w:t>application under HC 4580/21</w:t>
      </w:r>
    </w:p>
    <w:p w14:paraId="5775AF8B" w14:textId="64302065" w:rsidR="00D02F7C" w:rsidRPr="00A75071" w:rsidRDefault="00D02F7C" w:rsidP="00DB4012">
      <w:pPr>
        <w:tabs>
          <w:tab w:val="left" w:pos="2160"/>
        </w:tabs>
        <w:spacing w:line="360" w:lineRule="auto"/>
        <w:ind w:left="360"/>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6.</w:t>
      </w:r>
      <w:r w:rsidR="00AB2AD9" w:rsidRPr="00A75071">
        <w:rPr>
          <w:rFonts w:ascii="Times New Roman" w:hAnsi="Times New Roman" w:cs="Times New Roman"/>
          <w:sz w:val="24"/>
          <w:szCs w:val="24"/>
          <w:lang w:val="en-US"/>
        </w:rPr>
        <w:t>2</w:t>
      </w:r>
      <w:r w:rsidRPr="00A75071">
        <w:rPr>
          <w:rFonts w:ascii="Times New Roman" w:hAnsi="Times New Roman" w:cs="Times New Roman"/>
          <w:sz w:val="24"/>
          <w:szCs w:val="24"/>
          <w:lang w:val="en-US"/>
        </w:rPr>
        <w:t xml:space="preserve"> Substantively</w:t>
      </w:r>
    </w:p>
    <w:p w14:paraId="58DC5AE2" w14:textId="77777777" w:rsidR="00D02F7C" w:rsidRPr="00A75071" w:rsidRDefault="00D02F7C"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The effect of the judgement under HH428/</w:t>
      </w:r>
      <w:r w:rsidR="00D41C19" w:rsidRPr="00A75071">
        <w:rPr>
          <w:rFonts w:ascii="Times New Roman" w:hAnsi="Times New Roman" w:cs="Times New Roman"/>
          <w:sz w:val="24"/>
          <w:szCs w:val="24"/>
          <w:lang w:val="en-US"/>
        </w:rPr>
        <w:t>21 on the defendant’s defence and counterclaim</w:t>
      </w:r>
    </w:p>
    <w:p w14:paraId="189785D1" w14:textId="77777777" w:rsidR="00D41C19" w:rsidRPr="00A75071" w:rsidRDefault="00D41C19"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The legal status of the ruling by the labour officer T Sakarombe and its effect on the defendant’s defence to the main claim</w:t>
      </w:r>
    </w:p>
    <w:p w14:paraId="07F5641E" w14:textId="3289409D" w:rsidR="00D41C19" w:rsidRPr="00A75071" w:rsidRDefault="00D41C19"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Whether</w:t>
      </w:r>
      <w:r w:rsidR="00AB2AD9" w:rsidRPr="00A75071">
        <w:rPr>
          <w:rFonts w:ascii="Times New Roman" w:hAnsi="Times New Roman" w:cs="Times New Roman"/>
          <w:sz w:val="24"/>
          <w:szCs w:val="24"/>
          <w:lang w:val="en-US"/>
        </w:rPr>
        <w:t xml:space="preserve"> a</w:t>
      </w:r>
      <w:r w:rsidRPr="00A75071">
        <w:rPr>
          <w:rFonts w:ascii="Times New Roman" w:hAnsi="Times New Roman" w:cs="Times New Roman"/>
          <w:sz w:val="24"/>
          <w:szCs w:val="24"/>
          <w:lang w:val="en-US"/>
        </w:rPr>
        <w:t xml:space="preserve"> labour officer’s ruling creates any legal rights before confirmation by the Labour Court</w:t>
      </w:r>
    </w:p>
    <w:p w14:paraId="6C0E876C" w14:textId="2040DC32" w:rsidR="00D41C19" w:rsidRPr="00A75071" w:rsidRDefault="00D41C19"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Whether or not the defendant has</w:t>
      </w:r>
      <w:r w:rsidR="00AB2AD9" w:rsidRPr="00A75071">
        <w:rPr>
          <w:rFonts w:ascii="Times New Roman" w:hAnsi="Times New Roman" w:cs="Times New Roman"/>
          <w:sz w:val="24"/>
          <w:szCs w:val="24"/>
          <w:lang w:val="en-US"/>
        </w:rPr>
        <w:t xml:space="preserve"> a</w:t>
      </w:r>
      <w:r w:rsidRPr="00A75071">
        <w:rPr>
          <w:rFonts w:ascii="Times New Roman" w:hAnsi="Times New Roman" w:cs="Times New Roman"/>
          <w:sz w:val="24"/>
          <w:szCs w:val="24"/>
          <w:lang w:val="en-US"/>
        </w:rPr>
        <w:t xml:space="preserve"> lien over the plaintiff’s property</w:t>
      </w:r>
    </w:p>
    <w:p w14:paraId="046E20BE" w14:textId="77777777" w:rsidR="00D41C19" w:rsidRPr="00A75071" w:rsidRDefault="00D41C19"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Whether or not the defendant is liable to the plaintiff for holding over damages</w:t>
      </w:r>
    </w:p>
    <w:p w14:paraId="0FEAB8B9" w14:textId="77777777" w:rsidR="00D41C19" w:rsidRPr="00A75071" w:rsidRDefault="00D41C19" w:rsidP="00DB4012">
      <w:pPr>
        <w:pStyle w:val="ListParagraph"/>
        <w:numPr>
          <w:ilvl w:val="0"/>
          <w:numId w:val="3"/>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Whether or not a dismissed employee</w:t>
      </w:r>
      <w:r w:rsidR="00665C31" w:rsidRPr="00A75071">
        <w:rPr>
          <w:rFonts w:ascii="Times New Roman" w:hAnsi="Times New Roman" w:cs="Times New Roman"/>
          <w:sz w:val="24"/>
          <w:szCs w:val="24"/>
          <w:lang w:val="en-US"/>
        </w:rPr>
        <w:t xml:space="preserve"> </w:t>
      </w:r>
      <w:r w:rsidRPr="00A75071">
        <w:rPr>
          <w:rFonts w:ascii="Times New Roman" w:hAnsi="Times New Roman" w:cs="Times New Roman"/>
          <w:sz w:val="24"/>
          <w:szCs w:val="24"/>
          <w:lang w:val="en-US"/>
        </w:rPr>
        <w:t>is entitled at law to withhold the employer’s property while challenging termination of his employment.</w:t>
      </w:r>
    </w:p>
    <w:p w14:paraId="0082221D" w14:textId="4F30EA41" w:rsidR="00A75071" w:rsidRPr="00A75071" w:rsidRDefault="00E22F49" w:rsidP="00DF11E0">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D41C19" w:rsidRPr="00A75071">
        <w:rPr>
          <w:rFonts w:ascii="Times New Roman" w:hAnsi="Times New Roman" w:cs="Times New Roman"/>
          <w:sz w:val="24"/>
          <w:szCs w:val="24"/>
          <w:lang w:val="en-US"/>
        </w:rPr>
        <w:t>From the agreed issues for determination, it is apparent that parties did not include the substantive issue</w:t>
      </w:r>
      <w:r w:rsidR="00074C7C" w:rsidRPr="00A75071">
        <w:rPr>
          <w:rFonts w:ascii="Times New Roman" w:hAnsi="Times New Roman" w:cs="Times New Roman"/>
          <w:sz w:val="24"/>
          <w:szCs w:val="24"/>
          <w:lang w:val="en-US"/>
        </w:rPr>
        <w:t xml:space="preserve">s </w:t>
      </w:r>
      <w:r w:rsidR="00AD1E91">
        <w:rPr>
          <w:rFonts w:ascii="Times New Roman" w:hAnsi="Times New Roman" w:cs="Times New Roman"/>
          <w:sz w:val="24"/>
          <w:szCs w:val="24"/>
          <w:lang w:val="en-US"/>
        </w:rPr>
        <w:t>on</w:t>
      </w:r>
      <w:r w:rsidR="00074C7C" w:rsidRPr="00A75071">
        <w:rPr>
          <w:rFonts w:ascii="Times New Roman" w:hAnsi="Times New Roman" w:cs="Times New Roman"/>
          <w:sz w:val="24"/>
          <w:szCs w:val="24"/>
          <w:lang w:val="en-US"/>
        </w:rPr>
        <w:t xml:space="preserve"> the quantification of</w:t>
      </w:r>
      <w:r w:rsidR="00D41C19" w:rsidRPr="00A75071">
        <w:rPr>
          <w:rFonts w:ascii="Times New Roman" w:hAnsi="Times New Roman" w:cs="Times New Roman"/>
          <w:sz w:val="24"/>
          <w:szCs w:val="24"/>
          <w:lang w:val="en-US"/>
        </w:rPr>
        <w:t xml:space="preserve"> the holding over damages and the counterclaim</w:t>
      </w:r>
      <w:r w:rsidR="00074C7C" w:rsidRPr="00A75071">
        <w:rPr>
          <w:rFonts w:ascii="Times New Roman" w:hAnsi="Times New Roman" w:cs="Times New Roman"/>
          <w:sz w:val="24"/>
          <w:szCs w:val="24"/>
          <w:lang w:val="en-US"/>
        </w:rPr>
        <w:t>s</w:t>
      </w:r>
      <w:r w:rsidR="00D41C19" w:rsidRPr="00A75071">
        <w:rPr>
          <w:rFonts w:ascii="Times New Roman" w:hAnsi="Times New Roman" w:cs="Times New Roman"/>
          <w:sz w:val="24"/>
          <w:szCs w:val="24"/>
          <w:lang w:val="en-US"/>
        </w:rPr>
        <w:t xml:space="preserve">. In my view this is because </w:t>
      </w:r>
      <w:r w:rsidR="00074C7C" w:rsidRPr="00A75071">
        <w:rPr>
          <w:rFonts w:ascii="Times New Roman" w:hAnsi="Times New Roman" w:cs="Times New Roman"/>
          <w:sz w:val="24"/>
          <w:szCs w:val="24"/>
          <w:lang w:val="en-US"/>
        </w:rPr>
        <w:t>quantification</w:t>
      </w:r>
      <w:r w:rsidR="00076282" w:rsidRPr="00A75071">
        <w:rPr>
          <w:rFonts w:ascii="Times New Roman" w:hAnsi="Times New Roman" w:cs="Times New Roman"/>
          <w:sz w:val="24"/>
          <w:szCs w:val="24"/>
          <w:lang w:val="en-US"/>
        </w:rPr>
        <w:t xml:space="preserve"> of</w:t>
      </w:r>
      <w:r w:rsidR="00074C7C" w:rsidRPr="00A75071">
        <w:rPr>
          <w:rFonts w:ascii="Times New Roman" w:hAnsi="Times New Roman" w:cs="Times New Roman"/>
          <w:sz w:val="24"/>
          <w:szCs w:val="24"/>
          <w:lang w:val="en-US"/>
        </w:rPr>
        <w:t xml:space="preserve"> damages</w:t>
      </w:r>
      <w:r w:rsidR="00D41C19" w:rsidRPr="00A75071">
        <w:rPr>
          <w:rFonts w:ascii="Times New Roman" w:hAnsi="Times New Roman" w:cs="Times New Roman"/>
          <w:sz w:val="24"/>
          <w:szCs w:val="24"/>
          <w:lang w:val="en-US"/>
        </w:rPr>
        <w:t xml:space="preserve"> </w:t>
      </w:r>
      <w:r w:rsidR="00074C7C" w:rsidRPr="00A75071">
        <w:rPr>
          <w:rFonts w:ascii="Times New Roman" w:hAnsi="Times New Roman" w:cs="Times New Roman"/>
          <w:sz w:val="24"/>
          <w:szCs w:val="24"/>
          <w:lang w:val="en-US"/>
        </w:rPr>
        <w:t>i</w:t>
      </w:r>
      <w:r w:rsidR="00D41C19" w:rsidRPr="00A75071">
        <w:rPr>
          <w:rFonts w:ascii="Times New Roman" w:hAnsi="Times New Roman" w:cs="Times New Roman"/>
          <w:sz w:val="24"/>
          <w:szCs w:val="24"/>
          <w:lang w:val="en-US"/>
        </w:rPr>
        <w:t xml:space="preserve">s </w:t>
      </w:r>
      <w:r w:rsidR="004F0A73" w:rsidRPr="00A75071">
        <w:rPr>
          <w:rFonts w:ascii="Times New Roman" w:hAnsi="Times New Roman" w:cs="Times New Roman"/>
          <w:sz w:val="24"/>
          <w:szCs w:val="24"/>
          <w:lang w:val="en-US"/>
        </w:rPr>
        <w:t xml:space="preserve">a matter of evidence. The quantum must always be proved. </w:t>
      </w:r>
      <w:r w:rsidR="00A75071" w:rsidRPr="00A75071">
        <w:rPr>
          <w:rFonts w:ascii="Times New Roman" w:hAnsi="Times New Roman" w:cs="Times New Roman"/>
          <w:sz w:val="24"/>
          <w:szCs w:val="24"/>
          <w:lang w:val="en-US"/>
        </w:rPr>
        <w:t xml:space="preserve">These issues must be referred for trial. This is within the contemplation of the </w:t>
      </w:r>
      <w:r w:rsidR="00AD1E91" w:rsidRPr="00A75071">
        <w:rPr>
          <w:rFonts w:ascii="Times New Roman" w:hAnsi="Times New Roman" w:cs="Times New Roman"/>
          <w:sz w:val="24"/>
          <w:szCs w:val="24"/>
          <w:lang w:val="en-US"/>
        </w:rPr>
        <w:t xml:space="preserve">Rules. </w:t>
      </w:r>
      <w:r w:rsidR="00A75071" w:rsidRPr="00A75071">
        <w:rPr>
          <w:rFonts w:ascii="Times New Roman" w:hAnsi="Times New Roman" w:cs="Times New Roman"/>
          <w:sz w:val="24"/>
          <w:szCs w:val="24"/>
          <w:lang w:val="en-US"/>
        </w:rPr>
        <w:t>In terms of r</w:t>
      </w:r>
      <w:r w:rsidR="00DF11E0" w:rsidRPr="00A75071">
        <w:rPr>
          <w:rFonts w:ascii="Times New Roman" w:hAnsi="Times New Roman" w:cs="Times New Roman"/>
          <w:sz w:val="24"/>
          <w:szCs w:val="24"/>
          <w:lang w:val="en-US"/>
        </w:rPr>
        <w:t xml:space="preserve">152 (9) the </w:t>
      </w:r>
      <w:r w:rsidR="00AD1E91">
        <w:rPr>
          <w:rFonts w:ascii="Times New Roman" w:hAnsi="Times New Roman" w:cs="Times New Roman"/>
          <w:sz w:val="24"/>
          <w:szCs w:val="24"/>
          <w:lang w:val="en-US"/>
        </w:rPr>
        <w:t xml:space="preserve">court on giving its judgement </w:t>
      </w:r>
      <w:r w:rsidR="00AD1E91" w:rsidRPr="00A75071">
        <w:rPr>
          <w:rFonts w:ascii="Times New Roman" w:hAnsi="Times New Roman" w:cs="Times New Roman"/>
          <w:sz w:val="24"/>
          <w:szCs w:val="24"/>
          <w:lang w:val="en-US"/>
        </w:rPr>
        <w:t>may</w:t>
      </w:r>
      <w:r w:rsidR="00DF11E0" w:rsidRPr="00A75071">
        <w:rPr>
          <w:rFonts w:ascii="Times New Roman" w:hAnsi="Times New Roman" w:cs="Times New Roman"/>
          <w:sz w:val="24"/>
          <w:szCs w:val="24"/>
          <w:lang w:val="en-US"/>
        </w:rPr>
        <w:t xml:space="preserve"> give “</w:t>
      </w:r>
      <w:r w:rsidR="00DF11E0" w:rsidRPr="00AD1E91">
        <w:rPr>
          <w:rFonts w:ascii="Times New Roman" w:hAnsi="Times New Roman" w:cs="Times New Roman"/>
          <w:i/>
          <w:sz w:val="24"/>
          <w:szCs w:val="24"/>
          <w:lang w:val="en-US"/>
        </w:rPr>
        <w:t>any direction with regard to the hearing of any other issues in the proceedings which may be necessary f</w:t>
      </w:r>
      <w:r w:rsidR="00AD1E91" w:rsidRPr="00AD1E91">
        <w:rPr>
          <w:rFonts w:ascii="Times New Roman" w:hAnsi="Times New Roman" w:cs="Times New Roman"/>
          <w:i/>
          <w:sz w:val="24"/>
          <w:szCs w:val="24"/>
          <w:lang w:val="en-US"/>
        </w:rPr>
        <w:t>or the final disposal thereof</w:t>
      </w:r>
      <w:r w:rsidR="00AD1E91">
        <w:rPr>
          <w:rFonts w:ascii="Times New Roman" w:hAnsi="Times New Roman" w:cs="Times New Roman"/>
          <w:sz w:val="24"/>
          <w:szCs w:val="24"/>
          <w:lang w:val="en-US"/>
        </w:rPr>
        <w:t>”. I</w:t>
      </w:r>
      <w:r w:rsidR="00DF11E0" w:rsidRPr="00A75071">
        <w:rPr>
          <w:rFonts w:ascii="Times New Roman" w:hAnsi="Times New Roman" w:cs="Times New Roman"/>
          <w:sz w:val="24"/>
          <w:szCs w:val="24"/>
          <w:lang w:val="en-US"/>
        </w:rPr>
        <w:t xml:space="preserve">n terms of that rule it is possible to dispose of some issues </w:t>
      </w:r>
      <w:r w:rsidR="00AD1E91">
        <w:rPr>
          <w:rFonts w:ascii="Times New Roman" w:hAnsi="Times New Roman" w:cs="Times New Roman"/>
          <w:sz w:val="24"/>
          <w:szCs w:val="24"/>
          <w:lang w:val="en-US"/>
        </w:rPr>
        <w:t>and refer other issues to trial for determination. This approach is the most practical herein.</w:t>
      </w:r>
    </w:p>
    <w:p w14:paraId="2C522A99" w14:textId="628832BD" w:rsidR="00DF11E0" w:rsidRPr="00A75071" w:rsidRDefault="00AD1E91" w:rsidP="00DF11E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11E0" w:rsidRPr="00A75071">
        <w:rPr>
          <w:rFonts w:ascii="Times New Roman" w:hAnsi="Times New Roman" w:cs="Times New Roman"/>
          <w:sz w:val="24"/>
          <w:szCs w:val="24"/>
          <w:lang w:val="en-US"/>
        </w:rPr>
        <w:t>The Court cannot decide on the quantum of the holding over damages in a special case. It must be resolved on oral evidence. For practical purposes even if the parties referred the Court to deal with the defendant’s liability for holding over damages. I prefer that the issue be dealt with compositely with the other issues.</w:t>
      </w:r>
    </w:p>
    <w:p w14:paraId="7D6F64B8" w14:textId="1203A498" w:rsidR="00DF11E0" w:rsidRPr="00A75071" w:rsidRDefault="00DF11E0" w:rsidP="00DB4012">
      <w:pPr>
        <w:tabs>
          <w:tab w:val="left" w:pos="2160"/>
        </w:tabs>
        <w:spacing w:line="360" w:lineRule="auto"/>
        <w:jc w:val="both"/>
        <w:rPr>
          <w:rFonts w:ascii="Times New Roman" w:hAnsi="Times New Roman" w:cs="Times New Roman"/>
          <w:sz w:val="32"/>
          <w:szCs w:val="32"/>
          <w:lang w:val="en-US"/>
        </w:rPr>
      </w:pPr>
      <w:r w:rsidRPr="00DF11E0">
        <w:rPr>
          <w:rFonts w:ascii="Times New Roman" w:hAnsi="Times New Roman" w:cs="Times New Roman"/>
          <w:sz w:val="24"/>
          <w:szCs w:val="24"/>
          <w:lang w:val="en-US"/>
        </w:rPr>
        <w:t xml:space="preserve">       In respect of the counterclaim, besides that the parties were mum on it, it is apparent that it is a claim for damages. Without makin</w:t>
      </w:r>
      <w:r w:rsidR="00C27D87">
        <w:rPr>
          <w:rFonts w:ascii="Times New Roman" w:hAnsi="Times New Roman" w:cs="Times New Roman"/>
          <w:sz w:val="24"/>
          <w:szCs w:val="24"/>
          <w:lang w:val="en-US"/>
        </w:rPr>
        <w:t>g a substantive pronunciation on</w:t>
      </w:r>
      <w:r w:rsidRPr="00DF11E0">
        <w:rPr>
          <w:rFonts w:ascii="Times New Roman" w:hAnsi="Times New Roman" w:cs="Times New Roman"/>
          <w:sz w:val="24"/>
          <w:szCs w:val="24"/>
          <w:lang w:val="en-US"/>
        </w:rPr>
        <w:t xml:space="preserve"> it, it is doubtful that </w:t>
      </w:r>
      <w:r w:rsidRPr="00DF11E0">
        <w:rPr>
          <w:rFonts w:ascii="Times New Roman" w:hAnsi="Times New Roman" w:cs="Times New Roman"/>
          <w:sz w:val="24"/>
          <w:szCs w:val="24"/>
          <w:lang w:val="en-US"/>
        </w:rPr>
        <w:lastRenderedPageBreak/>
        <w:t xml:space="preserve">the respondent’s counterclaim </w:t>
      </w:r>
      <w:r w:rsidR="006B0B99">
        <w:rPr>
          <w:rFonts w:ascii="Times New Roman" w:hAnsi="Times New Roman" w:cs="Times New Roman"/>
          <w:sz w:val="24"/>
          <w:szCs w:val="24"/>
          <w:lang w:val="en-US"/>
        </w:rPr>
        <w:t>would</w:t>
      </w:r>
      <w:r w:rsidRPr="00DF11E0">
        <w:rPr>
          <w:rFonts w:ascii="Times New Roman" w:hAnsi="Times New Roman" w:cs="Times New Roman"/>
          <w:sz w:val="24"/>
          <w:szCs w:val="24"/>
          <w:lang w:val="en-US"/>
        </w:rPr>
        <w:t xml:space="preserve"> succeed. Firstly this is a matter arising from </w:t>
      </w:r>
      <w:r w:rsidR="006B0B99" w:rsidRPr="00DF11E0">
        <w:rPr>
          <w:rFonts w:ascii="Times New Roman" w:hAnsi="Times New Roman" w:cs="Times New Roman"/>
          <w:sz w:val="24"/>
          <w:szCs w:val="24"/>
          <w:lang w:val="en-US"/>
        </w:rPr>
        <w:t>the termination</w:t>
      </w:r>
      <w:r w:rsidRPr="00DF11E0">
        <w:rPr>
          <w:rFonts w:ascii="Times New Roman" w:hAnsi="Times New Roman" w:cs="Times New Roman"/>
          <w:sz w:val="24"/>
          <w:szCs w:val="24"/>
          <w:lang w:val="en-US"/>
        </w:rPr>
        <w:t xml:space="preserve"> of </w:t>
      </w:r>
      <w:r w:rsidR="006B0B99" w:rsidRPr="00DF11E0">
        <w:rPr>
          <w:rFonts w:ascii="Times New Roman" w:hAnsi="Times New Roman" w:cs="Times New Roman"/>
          <w:sz w:val="24"/>
          <w:szCs w:val="24"/>
          <w:lang w:val="en-US"/>
        </w:rPr>
        <w:t xml:space="preserve">defendant’s </w:t>
      </w:r>
      <w:r w:rsidR="006B0B99">
        <w:rPr>
          <w:rFonts w:ascii="Times New Roman" w:hAnsi="Times New Roman" w:cs="Times New Roman"/>
          <w:sz w:val="24"/>
          <w:szCs w:val="24"/>
          <w:lang w:val="en-US"/>
        </w:rPr>
        <w:t>contract of employment</w:t>
      </w:r>
      <w:r w:rsidRPr="00DF11E0">
        <w:rPr>
          <w:rFonts w:ascii="Times New Roman" w:hAnsi="Times New Roman" w:cs="Times New Roman"/>
          <w:sz w:val="24"/>
          <w:szCs w:val="24"/>
          <w:lang w:val="en-US"/>
        </w:rPr>
        <w:t xml:space="preserve">. The dispute was referred to a labour office and it is </w:t>
      </w:r>
      <w:r w:rsidR="00747C9A">
        <w:rPr>
          <w:rFonts w:ascii="Times New Roman" w:hAnsi="Times New Roman" w:cs="Times New Roman"/>
          <w:sz w:val="24"/>
          <w:szCs w:val="24"/>
          <w:lang w:val="en-US"/>
        </w:rPr>
        <w:t>still to be resolved confirmed by the Labour Court</w:t>
      </w:r>
      <w:r w:rsidRPr="00DF11E0">
        <w:rPr>
          <w:rFonts w:ascii="Times New Roman" w:hAnsi="Times New Roman" w:cs="Times New Roman"/>
          <w:sz w:val="24"/>
          <w:szCs w:val="24"/>
          <w:lang w:val="en-US"/>
        </w:rPr>
        <w:t>. In addition the approach of our courts is that labour matter</w:t>
      </w:r>
      <w:r w:rsidR="00792588">
        <w:rPr>
          <w:rFonts w:ascii="Times New Roman" w:hAnsi="Times New Roman" w:cs="Times New Roman"/>
          <w:sz w:val="24"/>
          <w:szCs w:val="24"/>
          <w:lang w:val="en-US"/>
        </w:rPr>
        <w:t>s</w:t>
      </w:r>
      <w:r w:rsidRPr="00DF11E0">
        <w:rPr>
          <w:rFonts w:ascii="Times New Roman" w:hAnsi="Times New Roman" w:cs="Times New Roman"/>
          <w:sz w:val="24"/>
          <w:szCs w:val="24"/>
          <w:lang w:val="en-US"/>
        </w:rPr>
        <w:t xml:space="preserve"> must be heard before the </w:t>
      </w:r>
      <w:r w:rsidR="00747C9A" w:rsidRPr="00DF11E0">
        <w:rPr>
          <w:rFonts w:ascii="Times New Roman" w:hAnsi="Times New Roman" w:cs="Times New Roman"/>
          <w:sz w:val="24"/>
          <w:szCs w:val="24"/>
          <w:lang w:val="en-US"/>
        </w:rPr>
        <w:t>Labour Court</w:t>
      </w:r>
      <w:r w:rsidRPr="00DF11E0">
        <w:rPr>
          <w:rFonts w:ascii="Times New Roman" w:hAnsi="Times New Roman" w:cs="Times New Roman"/>
          <w:sz w:val="24"/>
          <w:szCs w:val="24"/>
          <w:lang w:val="en-US"/>
        </w:rPr>
        <w:t xml:space="preserve">. It is a special court whose made is to deal with employment disputes. The same reasoning on the claim for determination applies. The claim cannot be disposed in a special case. The court will refer to trial the claims for damages. </w:t>
      </w:r>
    </w:p>
    <w:p w14:paraId="3C548492" w14:textId="13E166C4" w:rsidR="0089585F" w:rsidRPr="00A75071" w:rsidRDefault="00074C7C" w:rsidP="00DB4012">
      <w:pPr>
        <w:tabs>
          <w:tab w:val="left" w:pos="2160"/>
        </w:tabs>
        <w:spacing w:line="360" w:lineRule="auto"/>
        <w:jc w:val="both"/>
        <w:rPr>
          <w:rFonts w:ascii="Times New Roman" w:hAnsi="Times New Roman" w:cs="Times New Roman"/>
          <w:sz w:val="24"/>
          <w:szCs w:val="24"/>
          <w:u w:val="single"/>
          <w:lang w:val="en-US"/>
        </w:rPr>
      </w:pPr>
      <w:r w:rsidRPr="00A75071">
        <w:rPr>
          <w:rFonts w:ascii="Times New Roman" w:hAnsi="Times New Roman" w:cs="Times New Roman"/>
          <w:sz w:val="24"/>
          <w:szCs w:val="24"/>
          <w:u w:val="single"/>
          <w:lang w:val="en-US"/>
        </w:rPr>
        <w:t>Background</w:t>
      </w:r>
    </w:p>
    <w:p w14:paraId="116EA9C9" w14:textId="569A0261" w:rsidR="0089585F"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074C7C" w:rsidRPr="00A75071">
        <w:rPr>
          <w:rFonts w:ascii="Times New Roman" w:hAnsi="Times New Roman" w:cs="Times New Roman"/>
          <w:sz w:val="24"/>
          <w:szCs w:val="24"/>
          <w:lang w:val="en-US"/>
        </w:rPr>
        <w:t xml:space="preserve">The background to this case is necessary to put the </w:t>
      </w:r>
      <w:r w:rsidR="00076282" w:rsidRPr="00A75071">
        <w:rPr>
          <w:rFonts w:ascii="Times New Roman" w:hAnsi="Times New Roman" w:cs="Times New Roman"/>
          <w:sz w:val="24"/>
          <w:szCs w:val="24"/>
          <w:lang w:val="en-US"/>
        </w:rPr>
        <w:t>claims</w:t>
      </w:r>
      <w:r w:rsidR="00074C7C" w:rsidRPr="00A75071">
        <w:rPr>
          <w:rFonts w:ascii="Times New Roman" w:hAnsi="Times New Roman" w:cs="Times New Roman"/>
          <w:sz w:val="24"/>
          <w:szCs w:val="24"/>
          <w:lang w:val="en-US"/>
        </w:rPr>
        <w:t xml:space="preserve"> into perspective. </w:t>
      </w:r>
      <w:r w:rsidR="00076282" w:rsidRPr="00A75071">
        <w:rPr>
          <w:rFonts w:ascii="Times New Roman" w:hAnsi="Times New Roman" w:cs="Times New Roman"/>
          <w:sz w:val="24"/>
          <w:szCs w:val="24"/>
          <w:lang w:val="en-US"/>
        </w:rPr>
        <w:t xml:space="preserve">After the </w:t>
      </w:r>
      <w:r w:rsidR="00755B1C" w:rsidRPr="00A75071">
        <w:rPr>
          <w:rFonts w:ascii="Times New Roman" w:hAnsi="Times New Roman" w:cs="Times New Roman"/>
          <w:sz w:val="24"/>
          <w:szCs w:val="24"/>
          <w:lang w:val="en-US"/>
        </w:rPr>
        <w:t>plaintiff sued out summ</w:t>
      </w:r>
      <w:r w:rsidR="0089585F" w:rsidRPr="00A75071">
        <w:rPr>
          <w:rFonts w:ascii="Times New Roman" w:hAnsi="Times New Roman" w:cs="Times New Roman"/>
          <w:sz w:val="24"/>
          <w:szCs w:val="24"/>
          <w:lang w:val="en-US"/>
        </w:rPr>
        <w:t>ons for eviction</w:t>
      </w:r>
      <w:r w:rsidR="00076282" w:rsidRPr="00A75071">
        <w:rPr>
          <w:rFonts w:ascii="Times New Roman" w:hAnsi="Times New Roman" w:cs="Times New Roman"/>
          <w:sz w:val="24"/>
          <w:szCs w:val="24"/>
          <w:lang w:val="en-US"/>
        </w:rPr>
        <w:t>,</w:t>
      </w:r>
      <w:r w:rsidR="0089585F" w:rsidRPr="00A75071">
        <w:rPr>
          <w:rFonts w:ascii="Times New Roman" w:hAnsi="Times New Roman" w:cs="Times New Roman"/>
          <w:sz w:val="24"/>
          <w:szCs w:val="24"/>
          <w:lang w:val="en-US"/>
        </w:rPr>
        <w:t xml:space="preserve"> the defendant filed a plea in abatement</w:t>
      </w:r>
      <w:r w:rsidR="00755B1C" w:rsidRPr="00A75071">
        <w:rPr>
          <w:rFonts w:ascii="Times New Roman" w:hAnsi="Times New Roman" w:cs="Times New Roman"/>
          <w:sz w:val="24"/>
          <w:szCs w:val="24"/>
          <w:lang w:val="en-US"/>
        </w:rPr>
        <w:t xml:space="preserve"> for stay of the proceedings</w:t>
      </w:r>
      <w:r w:rsidR="00B93817" w:rsidRPr="00A75071">
        <w:rPr>
          <w:rFonts w:ascii="Times New Roman" w:hAnsi="Times New Roman" w:cs="Times New Roman"/>
          <w:sz w:val="24"/>
          <w:szCs w:val="24"/>
          <w:lang w:val="en-US"/>
        </w:rPr>
        <w:t xml:space="preserve"> pending determination of two cases in the High Court under HC 10400/16 and another only identified as </w:t>
      </w:r>
      <w:r w:rsidR="004C5256" w:rsidRPr="00A75071">
        <w:rPr>
          <w:rFonts w:ascii="Times New Roman" w:hAnsi="Times New Roman" w:cs="Times New Roman"/>
          <w:sz w:val="24"/>
          <w:szCs w:val="24"/>
          <w:lang w:val="en-US"/>
        </w:rPr>
        <w:t>HC11003 and resolution</w:t>
      </w:r>
      <w:r w:rsidR="00B93817" w:rsidRPr="00A75071">
        <w:rPr>
          <w:rFonts w:ascii="Times New Roman" w:hAnsi="Times New Roman" w:cs="Times New Roman"/>
          <w:sz w:val="24"/>
          <w:szCs w:val="24"/>
          <w:lang w:val="en-US"/>
        </w:rPr>
        <w:t xml:space="preserve"> of a labour dispute before a labour officer T. Sakarombe.</w:t>
      </w:r>
      <w:r w:rsidR="004C5256" w:rsidRPr="00A75071">
        <w:rPr>
          <w:rFonts w:ascii="Times New Roman" w:hAnsi="Times New Roman" w:cs="Times New Roman"/>
          <w:sz w:val="24"/>
          <w:szCs w:val="24"/>
          <w:lang w:val="en-US"/>
        </w:rPr>
        <w:t xml:space="preserve"> After the termination of his employment, the defendant had referred the dispute to a labour officer.</w:t>
      </w:r>
      <w:r w:rsidR="00B93817" w:rsidRPr="00A75071">
        <w:rPr>
          <w:rFonts w:ascii="Times New Roman" w:hAnsi="Times New Roman" w:cs="Times New Roman"/>
          <w:sz w:val="24"/>
          <w:szCs w:val="24"/>
          <w:lang w:val="en-US"/>
        </w:rPr>
        <w:t xml:space="preserve"> </w:t>
      </w:r>
    </w:p>
    <w:p w14:paraId="5D744834" w14:textId="21F3DA06" w:rsidR="00B93817" w:rsidRPr="00A75071" w:rsidRDefault="0002528F"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3817" w:rsidRPr="00A75071">
        <w:rPr>
          <w:rFonts w:ascii="Times New Roman" w:hAnsi="Times New Roman" w:cs="Times New Roman"/>
          <w:sz w:val="24"/>
          <w:szCs w:val="24"/>
          <w:lang w:val="en-US"/>
        </w:rPr>
        <w:t>Before the matters were disposed</w:t>
      </w:r>
      <w:r w:rsidR="004C5256" w:rsidRPr="00A75071">
        <w:rPr>
          <w:rFonts w:ascii="Times New Roman" w:hAnsi="Times New Roman" w:cs="Times New Roman"/>
          <w:sz w:val="24"/>
          <w:szCs w:val="24"/>
          <w:lang w:val="en-US"/>
        </w:rPr>
        <w:t>, the defendant</w:t>
      </w:r>
      <w:r w:rsidR="00B93817" w:rsidRPr="00A75071">
        <w:rPr>
          <w:rFonts w:ascii="Times New Roman" w:hAnsi="Times New Roman" w:cs="Times New Roman"/>
          <w:sz w:val="24"/>
          <w:szCs w:val="24"/>
          <w:lang w:val="en-US"/>
        </w:rPr>
        <w:t xml:space="preserve"> </w:t>
      </w:r>
      <w:r w:rsidR="004C5256" w:rsidRPr="00A75071">
        <w:rPr>
          <w:rFonts w:ascii="Times New Roman" w:hAnsi="Times New Roman" w:cs="Times New Roman"/>
          <w:sz w:val="24"/>
          <w:szCs w:val="24"/>
          <w:lang w:val="en-US"/>
        </w:rPr>
        <w:t>pleaded over</w:t>
      </w:r>
      <w:r w:rsidR="00B93817" w:rsidRPr="00A75071">
        <w:rPr>
          <w:rFonts w:ascii="Times New Roman" w:hAnsi="Times New Roman" w:cs="Times New Roman"/>
          <w:sz w:val="24"/>
          <w:szCs w:val="24"/>
          <w:lang w:val="en-US"/>
        </w:rPr>
        <w:t xml:space="preserve"> </w:t>
      </w:r>
      <w:r w:rsidR="00712ABC">
        <w:rPr>
          <w:rFonts w:ascii="Times New Roman" w:hAnsi="Times New Roman" w:cs="Times New Roman"/>
          <w:sz w:val="24"/>
          <w:szCs w:val="24"/>
          <w:lang w:val="en-US"/>
        </w:rPr>
        <w:t xml:space="preserve">on </w:t>
      </w:r>
      <w:r w:rsidR="00B93817" w:rsidRPr="00A75071">
        <w:rPr>
          <w:rFonts w:ascii="Times New Roman" w:hAnsi="Times New Roman" w:cs="Times New Roman"/>
          <w:sz w:val="24"/>
          <w:szCs w:val="24"/>
          <w:lang w:val="en-US"/>
        </w:rPr>
        <w:t xml:space="preserve">the merits and filed a counterclaim as stated before. </w:t>
      </w:r>
    </w:p>
    <w:p w14:paraId="5102D7F8" w14:textId="5E4279F4" w:rsidR="00B93817"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665C31" w:rsidRPr="00A75071">
        <w:rPr>
          <w:rFonts w:ascii="Times New Roman" w:hAnsi="Times New Roman" w:cs="Times New Roman"/>
          <w:sz w:val="24"/>
          <w:szCs w:val="24"/>
          <w:lang w:val="en-US"/>
        </w:rPr>
        <w:t>On 5 September 2019 the</w:t>
      </w:r>
      <w:r w:rsidR="00B93817" w:rsidRPr="00A75071">
        <w:rPr>
          <w:rFonts w:ascii="Times New Roman" w:hAnsi="Times New Roman" w:cs="Times New Roman"/>
          <w:sz w:val="24"/>
          <w:szCs w:val="24"/>
          <w:lang w:val="en-US"/>
        </w:rPr>
        <w:t xml:space="preserve"> defendant sued the plaintiff jointly with others for defamation under HC 7395/19. </w:t>
      </w:r>
      <w:r w:rsidR="004C5256" w:rsidRPr="00A75071">
        <w:rPr>
          <w:rFonts w:ascii="Times New Roman" w:hAnsi="Times New Roman" w:cs="Times New Roman"/>
          <w:sz w:val="24"/>
          <w:szCs w:val="24"/>
          <w:lang w:val="en-US"/>
        </w:rPr>
        <w:t>The plaintiff (defendant in that matter) applied for the dismissal of the matter for being frivolous and vexatious</w:t>
      </w:r>
      <w:r w:rsidR="00076282" w:rsidRPr="00A75071">
        <w:rPr>
          <w:rFonts w:ascii="Times New Roman" w:hAnsi="Times New Roman" w:cs="Times New Roman"/>
          <w:sz w:val="24"/>
          <w:szCs w:val="24"/>
          <w:lang w:val="en-US"/>
        </w:rPr>
        <w:t xml:space="preserve"> under</w:t>
      </w:r>
      <w:r w:rsidR="00B93817" w:rsidRPr="00A75071">
        <w:rPr>
          <w:rFonts w:ascii="Times New Roman" w:hAnsi="Times New Roman" w:cs="Times New Roman"/>
          <w:sz w:val="24"/>
          <w:szCs w:val="24"/>
          <w:lang w:val="en-US"/>
        </w:rPr>
        <w:t xml:space="preserve"> HC6150/20. The matter was heard before my brother J</w:t>
      </w:r>
      <w:r w:rsidR="004C5256" w:rsidRPr="00A75071">
        <w:rPr>
          <w:rFonts w:ascii="Times New Roman" w:hAnsi="Times New Roman" w:cs="Times New Roman"/>
          <w:sz w:val="24"/>
          <w:szCs w:val="24"/>
          <w:lang w:val="en-US"/>
        </w:rPr>
        <w:t>UDGE</w:t>
      </w:r>
      <w:r w:rsidR="00B93817" w:rsidRPr="00A75071">
        <w:rPr>
          <w:rFonts w:ascii="Times New Roman" w:hAnsi="Times New Roman" w:cs="Times New Roman"/>
          <w:sz w:val="24"/>
          <w:szCs w:val="24"/>
          <w:lang w:val="en-US"/>
        </w:rPr>
        <w:t xml:space="preserve"> MANGOTA who dismissed the defendant’s </w:t>
      </w:r>
      <w:r w:rsidR="00712ABC" w:rsidRPr="00A75071">
        <w:rPr>
          <w:rFonts w:ascii="Times New Roman" w:hAnsi="Times New Roman" w:cs="Times New Roman"/>
          <w:sz w:val="24"/>
          <w:szCs w:val="24"/>
          <w:lang w:val="en-US"/>
        </w:rPr>
        <w:t>claim in</w:t>
      </w:r>
      <w:r w:rsidR="00B93817" w:rsidRPr="00A75071">
        <w:rPr>
          <w:rFonts w:ascii="Times New Roman" w:hAnsi="Times New Roman" w:cs="Times New Roman"/>
          <w:sz w:val="24"/>
          <w:szCs w:val="24"/>
          <w:lang w:val="en-US"/>
        </w:rPr>
        <w:t xml:space="preserve"> judgement</w:t>
      </w:r>
      <w:r w:rsidR="000504C1" w:rsidRPr="00A75071">
        <w:rPr>
          <w:rFonts w:ascii="Times New Roman" w:hAnsi="Times New Roman" w:cs="Times New Roman"/>
          <w:sz w:val="24"/>
          <w:szCs w:val="24"/>
          <w:lang w:val="en-US"/>
        </w:rPr>
        <w:t xml:space="preserve"> number</w:t>
      </w:r>
      <w:r w:rsidR="00B93817" w:rsidRPr="00A75071">
        <w:rPr>
          <w:rFonts w:ascii="Times New Roman" w:hAnsi="Times New Roman" w:cs="Times New Roman"/>
          <w:sz w:val="24"/>
          <w:szCs w:val="24"/>
          <w:lang w:val="en-US"/>
        </w:rPr>
        <w:t xml:space="preserve"> HH 428/21. The defendant</w:t>
      </w:r>
      <w:r w:rsidR="00C243C1" w:rsidRPr="00A75071">
        <w:rPr>
          <w:rFonts w:ascii="Times New Roman" w:hAnsi="Times New Roman" w:cs="Times New Roman"/>
          <w:sz w:val="24"/>
          <w:szCs w:val="24"/>
          <w:lang w:val="en-US"/>
        </w:rPr>
        <w:t xml:space="preserve"> has since appealed the decision.</w:t>
      </w:r>
    </w:p>
    <w:p w14:paraId="75242034" w14:textId="4B5150E6" w:rsidR="00C243C1" w:rsidRPr="00A75071" w:rsidRDefault="00712ABC"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243C1" w:rsidRPr="00A75071">
        <w:rPr>
          <w:rFonts w:ascii="Times New Roman" w:hAnsi="Times New Roman" w:cs="Times New Roman"/>
          <w:sz w:val="24"/>
          <w:szCs w:val="24"/>
          <w:lang w:val="en-US"/>
        </w:rPr>
        <w:t xml:space="preserve">Meanwhile </w:t>
      </w:r>
      <w:r w:rsidR="004C5256" w:rsidRPr="00A75071">
        <w:rPr>
          <w:rFonts w:ascii="Times New Roman" w:hAnsi="Times New Roman" w:cs="Times New Roman"/>
          <w:sz w:val="24"/>
          <w:szCs w:val="24"/>
          <w:lang w:val="en-US"/>
        </w:rPr>
        <w:t xml:space="preserve">the matter referred to a labour officer was determined and </w:t>
      </w:r>
      <w:r w:rsidR="00C243C1" w:rsidRPr="00A75071">
        <w:rPr>
          <w:rFonts w:ascii="Times New Roman" w:hAnsi="Times New Roman" w:cs="Times New Roman"/>
          <w:sz w:val="24"/>
          <w:szCs w:val="24"/>
          <w:lang w:val="en-US"/>
        </w:rPr>
        <w:t>T. Sakarombe made a ruling which was handed down on 23 May 2018. The ruling is in favour of the defendant (I will revert to the substantive findings in the ruling later in the judgement if necessary).</w:t>
      </w:r>
    </w:p>
    <w:p w14:paraId="05F4664D" w14:textId="76F0F0F4" w:rsidR="00C243C1"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C243C1" w:rsidRPr="00A75071">
        <w:rPr>
          <w:rFonts w:ascii="Times New Roman" w:hAnsi="Times New Roman" w:cs="Times New Roman"/>
          <w:sz w:val="24"/>
          <w:szCs w:val="24"/>
          <w:lang w:val="en-US"/>
        </w:rPr>
        <w:t>In terms of s93 (5a) of the Labour Act [Chapter 28:01] where a labour officer makes a ruling, he/she shall</w:t>
      </w:r>
      <w:r w:rsidR="00C56F46" w:rsidRPr="00A75071">
        <w:rPr>
          <w:rFonts w:ascii="Times New Roman" w:hAnsi="Times New Roman" w:cs="Times New Roman"/>
          <w:sz w:val="24"/>
          <w:szCs w:val="24"/>
          <w:lang w:val="en-US"/>
        </w:rPr>
        <w:t xml:space="preserve"> as soon as practicable make an application for the confirmation of the ruling before the Labour Court. Having handed down the ruling in May 2018,</w:t>
      </w:r>
      <w:r w:rsidR="00D2309A" w:rsidRPr="00A75071">
        <w:rPr>
          <w:rFonts w:ascii="Times New Roman" w:hAnsi="Times New Roman" w:cs="Times New Roman"/>
          <w:sz w:val="24"/>
          <w:szCs w:val="24"/>
          <w:lang w:val="en-US"/>
        </w:rPr>
        <w:t xml:space="preserve"> the labour officer failed to file the application with the Labour Court within thirty </w:t>
      </w:r>
      <w:r w:rsidR="00DF2449" w:rsidRPr="00A75071">
        <w:rPr>
          <w:rFonts w:ascii="Times New Roman" w:hAnsi="Times New Roman" w:cs="Times New Roman"/>
          <w:sz w:val="24"/>
          <w:szCs w:val="24"/>
          <w:lang w:val="en-US"/>
        </w:rPr>
        <w:t>days prescribed</w:t>
      </w:r>
      <w:r w:rsidR="00D2309A" w:rsidRPr="00A75071">
        <w:rPr>
          <w:rFonts w:ascii="Times New Roman" w:hAnsi="Times New Roman" w:cs="Times New Roman"/>
          <w:sz w:val="24"/>
          <w:szCs w:val="24"/>
          <w:lang w:val="en-US"/>
        </w:rPr>
        <w:t xml:space="preserve"> in the Labour Court Rules</w:t>
      </w:r>
      <w:r w:rsidR="00DF2449" w:rsidRPr="00A75071">
        <w:rPr>
          <w:rStyle w:val="FootnoteReference"/>
          <w:rFonts w:ascii="Times New Roman" w:hAnsi="Times New Roman" w:cs="Times New Roman"/>
          <w:sz w:val="24"/>
          <w:szCs w:val="24"/>
          <w:lang w:val="en-US"/>
        </w:rPr>
        <w:footnoteReference w:id="1"/>
      </w:r>
      <w:r w:rsidR="00DF2449" w:rsidRPr="00A75071">
        <w:rPr>
          <w:rFonts w:ascii="Times New Roman" w:hAnsi="Times New Roman" w:cs="Times New Roman"/>
          <w:sz w:val="24"/>
          <w:szCs w:val="24"/>
          <w:lang w:val="en-US"/>
        </w:rPr>
        <w:t>.</w:t>
      </w:r>
      <w:r w:rsidR="00C56F46" w:rsidRPr="00A75071">
        <w:rPr>
          <w:rFonts w:ascii="Times New Roman" w:hAnsi="Times New Roman" w:cs="Times New Roman"/>
          <w:sz w:val="24"/>
          <w:szCs w:val="24"/>
          <w:lang w:val="en-US"/>
        </w:rPr>
        <w:t xml:space="preserve"> </w:t>
      </w:r>
      <w:r w:rsidR="00DF2449" w:rsidRPr="00A75071">
        <w:rPr>
          <w:rFonts w:ascii="Times New Roman" w:hAnsi="Times New Roman" w:cs="Times New Roman"/>
          <w:sz w:val="24"/>
          <w:szCs w:val="24"/>
          <w:lang w:val="en-US"/>
        </w:rPr>
        <w:t>As a</w:t>
      </w:r>
      <w:r w:rsidR="00C56F46" w:rsidRPr="00A75071">
        <w:rPr>
          <w:rFonts w:ascii="Times New Roman" w:hAnsi="Times New Roman" w:cs="Times New Roman"/>
          <w:sz w:val="24"/>
          <w:szCs w:val="24"/>
          <w:lang w:val="en-US"/>
        </w:rPr>
        <w:t xml:space="preserve"> </w:t>
      </w:r>
      <w:r w:rsidR="00100531" w:rsidRPr="00A75071">
        <w:rPr>
          <w:rFonts w:ascii="Times New Roman" w:hAnsi="Times New Roman" w:cs="Times New Roman"/>
          <w:sz w:val="24"/>
          <w:szCs w:val="24"/>
          <w:lang w:val="en-US"/>
        </w:rPr>
        <w:t>result,</w:t>
      </w:r>
      <w:r w:rsidR="00C56F46" w:rsidRPr="00A75071">
        <w:rPr>
          <w:rFonts w:ascii="Times New Roman" w:hAnsi="Times New Roman" w:cs="Times New Roman"/>
          <w:sz w:val="24"/>
          <w:szCs w:val="24"/>
          <w:lang w:val="en-US"/>
        </w:rPr>
        <w:t xml:space="preserve"> on 26 June 2019 an application for condonation for the late filing of an </w:t>
      </w:r>
      <w:r w:rsidR="00C56F46" w:rsidRPr="00A75071">
        <w:rPr>
          <w:rFonts w:ascii="Times New Roman" w:hAnsi="Times New Roman" w:cs="Times New Roman"/>
          <w:sz w:val="24"/>
          <w:szCs w:val="24"/>
          <w:lang w:val="en-US"/>
        </w:rPr>
        <w:lastRenderedPageBreak/>
        <w:t>application for confirmation of the ruling was filed under LC/H/APP/413/19. For so</w:t>
      </w:r>
      <w:r w:rsidR="00946BD3">
        <w:rPr>
          <w:rFonts w:ascii="Times New Roman" w:hAnsi="Times New Roman" w:cs="Times New Roman"/>
          <w:sz w:val="24"/>
          <w:szCs w:val="24"/>
          <w:lang w:val="en-US"/>
        </w:rPr>
        <w:t>me reasons privy to the Labour O</w:t>
      </w:r>
      <w:r w:rsidR="00C56F46" w:rsidRPr="00A75071">
        <w:rPr>
          <w:rFonts w:ascii="Times New Roman" w:hAnsi="Times New Roman" w:cs="Times New Roman"/>
          <w:sz w:val="24"/>
          <w:szCs w:val="24"/>
          <w:lang w:val="en-US"/>
        </w:rPr>
        <w:t>fficer and probably the defendant the application was withdrawn on 10 September 2020.</w:t>
      </w:r>
    </w:p>
    <w:p w14:paraId="0C0551BF" w14:textId="28DDAAC8" w:rsidR="00C56F46"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A44B41" w:rsidRPr="00A75071">
        <w:rPr>
          <w:rFonts w:ascii="Times New Roman" w:hAnsi="Times New Roman" w:cs="Times New Roman"/>
          <w:sz w:val="24"/>
          <w:szCs w:val="24"/>
          <w:lang w:val="en-US"/>
        </w:rPr>
        <w:t xml:space="preserve"> </w:t>
      </w:r>
      <w:r w:rsidR="00946BD3">
        <w:rPr>
          <w:rFonts w:ascii="Times New Roman" w:hAnsi="Times New Roman" w:cs="Times New Roman"/>
          <w:sz w:val="24"/>
          <w:szCs w:val="24"/>
          <w:lang w:val="en-US"/>
        </w:rPr>
        <w:t>The Labour O</w:t>
      </w:r>
      <w:r w:rsidR="00C56F46" w:rsidRPr="00A75071">
        <w:rPr>
          <w:rFonts w:ascii="Times New Roman" w:hAnsi="Times New Roman" w:cs="Times New Roman"/>
          <w:sz w:val="24"/>
          <w:szCs w:val="24"/>
          <w:lang w:val="en-US"/>
        </w:rPr>
        <w:t>fficer’s ruling therefore remains unconfirmed.</w:t>
      </w:r>
    </w:p>
    <w:p w14:paraId="3F03769C" w14:textId="19E916A7" w:rsidR="00DF2449"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5334B5" w:rsidRPr="00A75071">
        <w:rPr>
          <w:rFonts w:ascii="Times New Roman" w:hAnsi="Times New Roman" w:cs="Times New Roman"/>
          <w:sz w:val="24"/>
          <w:szCs w:val="24"/>
          <w:lang w:val="en-US"/>
        </w:rPr>
        <w:t>Almost one year later, on the 9</w:t>
      </w:r>
      <w:r w:rsidR="005334B5" w:rsidRPr="00A75071">
        <w:rPr>
          <w:rFonts w:ascii="Times New Roman" w:hAnsi="Times New Roman" w:cs="Times New Roman"/>
          <w:sz w:val="24"/>
          <w:szCs w:val="24"/>
          <w:vertAlign w:val="superscript"/>
          <w:lang w:val="en-US"/>
        </w:rPr>
        <w:t>th</w:t>
      </w:r>
      <w:r w:rsidR="005334B5" w:rsidRPr="00A75071">
        <w:rPr>
          <w:rFonts w:ascii="Times New Roman" w:hAnsi="Times New Roman" w:cs="Times New Roman"/>
          <w:sz w:val="24"/>
          <w:szCs w:val="24"/>
          <w:lang w:val="en-US"/>
        </w:rPr>
        <w:t xml:space="preserve"> of September 2021 the defendant filed a constitutional application under</w:t>
      </w:r>
      <w:r w:rsidR="00A44B41" w:rsidRPr="00A75071">
        <w:rPr>
          <w:rFonts w:ascii="Times New Roman" w:hAnsi="Times New Roman" w:cs="Times New Roman"/>
          <w:sz w:val="24"/>
          <w:szCs w:val="24"/>
          <w:lang w:val="en-US"/>
        </w:rPr>
        <w:t xml:space="preserve"> </w:t>
      </w:r>
      <w:r w:rsidR="005334B5" w:rsidRPr="00A75071">
        <w:rPr>
          <w:rFonts w:ascii="Times New Roman" w:hAnsi="Times New Roman" w:cs="Times New Roman"/>
          <w:sz w:val="24"/>
          <w:szCs w:val="24"/>
          <w:lang w:val="en-US"/>
        </w:rPr>
        <w:t>HC4580/21</w:t>
      </w:r>
      <w:r w:rsidR="004C5256" w:rsidRPr="00A75071">
        <w:rPr>
          <w:rFonts w:ascii="Times New Roman" w:hAnsi="Times New Roman" w:cs="Times New Roman"/>
          <w:sz w:val="24"/>
          <w:szCs w:val="24"/>
          <w:lang w:val="en-US"/>
        </w:rPr>
        <w:t xml:space="preserve"> in terms of which he seeks a declaration that s93 (5a) and (5b) of the Labour Act is unconstitutional and that he be granted leave to file an application for confirmation of the labour officer’s ruling before the Labour Court.</w:t>
      </w:r>
      <w:r w:rsidR="005334B5" w:rsidRPr="00A75071">
        <w:rPr>
          <w:rFonts w:ascii="Times New Roman" w:hAnsi="Times New Roman" w:cs="Times New Roman"/>
          <w:sz w:val="24"/>
          <w:szCs w:val="24"/>
          <w:lang w:val="en-US"/>
        </w:rPr>
        <w:t xml:space="preserve"> The matter is still pending</w:t>
      </w:r>
      <w:r w:rsidR="004C5256" w:rsidRPr="00A75071">
        <w:rPr>
          <w:rFonts w:ascii="Times New Roman" w:hAnsi="Times New Roman" w:cs="Times New Roman"/>
          <w:sz w:val="24"/>
          <w:szCs w:val="24"/>
          <w:lang w:val="en-US"/>
        </w:rPr>
        <w:t>.</w:t>
      </w:r>
      <w:r w:rsidR="005334B5" w:rsidRPr="00A75071">
        <w:rPr>
          <w:rFonts w:ascii="Times New Roman" w:hAnsi="Times New Roman" w:cs="Times New Roman"/>
          <w:sz w:val="24"/>
          <w:szCs w:val="24"/>
          <w:lang w:val="en-US"/>
        </w:rPr>
        <w:t xml:space="preserve"> I must highlight that the constitutional application was</w:t>
      </w:r>
      <w:r w:rsidR="00AC64EF" w:rsidRPr="00A75071">
        <w:rPr>
          <w:rFonts w:ascii="Times New Roman" w:hAnsi="Times New Roman" w:cs="Times New Roman"/>
          <w:sz w:val="24"/>
          <w:szCs w:val="24"/>
          <w:lang w:val="en-US"/>
        </w:rPr>
        <w:t xml:space="preserve"> filed</w:t>
      </w:r>
      <w:r w:rsidR="000064D9">
        <w:rPr>
          <w:rFonts w:ascii="Times New Roman" w:hAnsi="Times New Roman" w:cs="Times New Roman"/>
          <w:sz w:val="24"/>
          <w:szCs w:val="24"/>
          <w:lang w:val="en-US"/>
        </w:rPr>
        <w:t xml:space="preserve"> after this matter was</w:t>
      </w:r>
      <w:r w:rsidR="005334B5" w:rsidRPr="00A75071">
        <w:rPr>
          <w:rFonts w:ascii="Times New Roman" w:hAnsi="Times New Roman" w:cs="Times New Roman"/>
          <w:sz w:val="24"/>
          <w:szCs w:val="24"/>
          <w:lang w:val="en-US"/>
        </w:rPr>
        <w:t xml:space="preserve"> set down for hearing.</w:t>
      </w:r>
    </w:p>
    <w:p w14:paraId="431DC196" w14:textId="6A2898EC" w:rsidR="005334B5" w:rsidRPr="00A75071" w:rsidRDefault="00946BD3"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F2449" w:rsidRPr="00A75071">
        <w:rPr>
          <w:rFonts w:ascii="Times New Roman" w:hAnsi="Times New Roman" w:cs="Times New Roman"/>
          <w:sz w:val="24"/>
          <w:szCs w:val="24"/>
          <w:lang w:val="en-US"/>
        </w:rPr>
        <w:t>The plea in abatement fell away as at the time this matter was set down both matters had been determined.</w:t>
      </w:r>
      <w:r w:rsidR="005334B5" w:rsidRPr="00A75071">
        <w:rPr>
          <w:rFonts w:ascii="Times New Roman" w:hAnsi="Times New Roman" w:cs="Times New Roman"/>
          <w:sz w:val="24"/>
          <w:szCs w:val="24"/>
          <w:lang w:val="en-US"/>
        </w:rPr>
        <w:t xml:space="preserve"> </w:t>
      </w:r>
    </w:p>
    <w:p w14:paraId="67986FFB" w14:textId="46C3B46D" w:rsidR="005334B5"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A44B41" w:rsidRPr="00A75071">
        <w:rPr>
          <w:rFonts w:ascii="Times New Roman" w:hAnsi="Times New Roman" w:cs="Times New Roman"/>
          <w:sz w:val="24"/>
          <w:szCs w:val="24"/>
          <w:lang w:val="en-US"/>
        </w:rPr>
        <w:t xml:space="preserve"> </w:t>
      </w:r>
      <w:r w:rsidRPr="00A75071">
        <w:rPr>
          <w:rFonts w:ascii="Times New Roman" w:hAnsi="Times New Roman" w:cs="Times New Roman"/>
          <w:sz w:val="24"/>
          <w:szCs w:val="24"/>
          <w:lang w:val="en-US"/>
        </w:rPr>
        <w:t xml:space="preserve"> </w:t>
      </w:r>
      <w:r w:rsidR="00911E26">
        <w:rPr>
          <w:rFonts w:ascii="Times New Roman" w:hAnsi="Times New Roman" w:cs="Times New Roman"/>
          <w:sz w:val="24"/>
          <w:szCs w:val="24"/>
          <w:lang w:val="en-US"/>
        </w:rPr>
        <w:t xml:space="preserve">  </w:t>
      </w:r>
      <w:r w:rsidR="005334B5" w:rsidRPr="00A75071">
        <w:rPr>
          <w:rFonts w:ascii="Times New Roman" w:hAnsi="Times New Roman" w:cs="Times New Roman"/>
          <w:sz w:val="24"/>
          <w:szCs w:val="24"/>
          <w:lang w:val="en-US"/>
        </w:rPr>
        <w:t>H</w:t>
      </w:r>
      <w:r w:rsidR="00FD054A" w:rsidRPr="00A75071">
        <w:rPr>
          <w:rFonts w:ascii="Times New Roman" w:hAnsi="Times New Roman" w:cs="Times New Roman"/>
          <w:sz w:val="24"/>
          <w:szCs w:val="24"/>
          <w:lang w:val="en-US"/>
        </w:rPr>
        <w:t>a</w:t>
      </w:r>
      <w:r w:rsidR="005334B5" w:rsidRPr="00A75071">
        <w:rPr>
          <w:rFonts w:ascii="Times New Roman" w:hAnsi="Times New Roman" w:cs="Times New Roman"/>
          <w:sz w:val="24"/>
          <w:szCs w:val="24"/>
          <w:lang w:val="en-US"/>
        </w:rPr>
        <w:t>ving set out the background I proceed to deal with referred issues</w:t>
      </w:r>
      <w:r w:rsidR="000504C1" w:rsidRPr="00A75071">
        <w:rPr>
          <w:rFonts w:ascii="Times New Roman" w:hAnsi="Times New Roman" w:cs="Times New Roman"/>
          <w:sz w:val="24"/>
          <w:szCs w:val="24"/>
          <w:lang w:val="en-US"/>
        </w:rPr>
        <w:t>.</w:t>
      </w:r>
    </w:p>
    <w:p w14:paraId="5E0CDDE1" w14:textId="209468FE" w:rsidR="005334B5"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A44B41" w:rsidRPr="00A75071">
        <w:rPr>
          <w:rFonts w:ascii="Times New Roman" w:hAnsi="Times New Roman" w:cs="Times New Roman"/>
          <w:sz w:val="24"/>
          <w:szCs w:val="24"/>
          <w:lang w:val="en-US"/>
        </w:rPr>
        <w:t xml:space="preserve">  </w:t>
      </w:r>
      <w:r w:rsidR="00911E26">
        <w:rPr>
          <w:rFonts w:ascii="Times New Roman" w:hAnsi="Times New Roman" w:cs="Times New Roman"/>
          <w:sz w:val="24"/>
          <w:szCs w:val="24"/>
          <w:lang w:val="en-US"/>
        </w:rPr>
        <w:t xml:space="preserve">  </w:t>
      </w:r>
      <w:r w:rsidR="005334B5" w:rsidRPr="00A75071">
        <w:rPr>
          <w:rFonts w:ascii="Times New Roman" w:hAnsi="Times New Roman" w:cs="Times New Roman"/>
          <w:sz w:val="24"/>
          <w:szCs w:val="24"/>
          <w:lang w:val="en-US"/>
        </w:rPr>
        <w:t>Stay of proceedings</w:t>
      </w:r>
    </w:p>
    <w:p w14:paraId="1E63369D" w14:textId="735F93F4" w:rsidR="003B0958"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9A780B" w:rsidRPr="00A75071">
        <w:rPr>
          <w:rFonts w:ascii="Times New Roman" w:hAnsi="Times New Roman" w:cs="Times New Roman"/>
          <w:sz w:val="24"/>
          <w:szCs w:val="24"/>
          <w:lang w:val="en-US"/>
        </w:rPr>
        <w:t xml:space="preserve">The defendant’s submissions are that it is in the interests of justice and equity that this matter be stayed pending the determination of the constitutional challenge. The labour officer’s ruling ordered that the defendant be paid </w:t>
      </w:r>
      <w:r w:rsidR="002D0C4E" w:rsidRPr="00A75071">
        <w:rPr>
          <w:rFonts w:ascii="Times New Roman" w:hAnsi="Times New Roman" w:cs="Times New Roman"/>
          <w:sz w:val="24"/>
          <w:szCs w:val="24"/>
          <w:lang w:val="en-US"/>
        </w:rPr>
        <w:t>a</w:t>
      </w:r>
      <w:r w:rsidR="009A780B" w:rsidRPr="00A75071">
        <w:rPr>
          <w:rFonts w:ascii="Times New Roman" w:hAnsi="Times New Roman" w:cs="Times New Roman"/>
          <w:sz w:val="24"/>
          <w:szCs w:val="24"/>
          <w:lang w:val="en-US"/>
        </w:rPr>
        <w:t xml:space="preserve">n early release package in terms of the plaintiff’s Human Resources Policy </w:t>
      </w:r>
      <w:r w:rsidR="002D0C4E" w:rsidRPr="00A75071">
        <w:rPr>
          <w:rFonts w:ascii="Times New Roman" w:hAnsi="Times New Roman" w:cs="Times New Roman"/>
          <w:sz w:val="24"/>
          <w:szCs w:val="24"/>
          <w:lang w:val="en-US"/>
        </w:rPr>
        <w:t>Handbook</w:t>
      </w:r>
      <w:r w:rsidR="009A780B" w:rsidRPr="00A75071">
        <w:rPr>
          <w:rFonts w:ascii="Times New Roman" w:hAnsi="Times New Roman" w:cs="Times New Roman"/>
          <w:sz w:val="24"/>
          <w:szCs w:val="24"/>
          <w:lang w:val="en-US"/>
        </w:rPr>
        <w:t xml:space="preserve"> of November 2006. The award </w:t>
      </w:r>
      <w:r w:rsidR="002D0C4E" w:rsidRPr="00A75071">
        <w:rPr>
          <w:rFonts w:ascii="Times New Roman" w:hAnsi="Times New Roman" w:cs="Times New Roman"/>
          <w:sz w:val="24"/>
          <w:szCs w:val="24"/>
          <w:lang w:val="en-US"/>
        </w:rPr>
        <w:t>must</w:t>
      </w:r>
      <w:r w:rsidR="009A780B" w:rsidRPr="00A75071">
        <w:rPr>
          <w:rFonts w:ascii="Times New Roman" w:hAnsi="Times New Roman" w:cs="Times New Roman"/>
          <w:sz w:val="24"/>
          <w:szCs w:val="24"/>
          <w:lang w:val="en-US"/>
        </w:rPr>
        <w:t xml:space="preserve"> be registered for enforcement purposes leading to payment. The defendant is </w:t>
      </w:r>
      <w:r w:rsidR="00D83C63" w:rsidRPr="00A75071">
        <w:rPr>
          <w:rFonts w:ascii="Times New Roman" w:hAnsi="Times New Roman" w:cs="Times New Roman"/>
          <w:sz w:val="24"/>
          <w:szCs w:val="24"/>
          <w:lang w:val="en-US"/>
        </w:rPr>
        <w:t xml:space="preserve">owed therefore he is protected from </w:t>
      </w:r>
      <w:r w:rsidR="00DF2449" w:rsidRPr="00A75071">
        <w:rPr>
          <w:rFonts w:ascii="Times New Roman" w:hAnsi="Times New Roman" w:cs="Times New Roman"/>
          <w:sz w:val="24"/>
          <w:szCs w:val="24"/>
          <w:lang w:val="en-US"/>
        </w:rPr>
        <w:t>ejectment. A debtor – creditor relationship now exists between the parties.</w:t>
      </w:r>
      <w:r w:rsidR="00D83C63" w:rsidRPr="00A75071">
        <w:rPr>
          <w:rFonts w:ascii="Times New Roman" w:hAnsi="Times New Roman" w:cs="Times New Roman"/>
          <w:sz w:val="24"/>
          <w:szCs w:val="24"/>
          <w:lang w:val="en-US"/>
        </w:rPr>
        <w:t xml:space="preserve"> The Constitutional application does not seek to create any substantive </w:t>
      </w:r>
      <w:r w:rsidR="0070056F" w:rsidRPr="00A75071">
        <w:rPr>
          <w:rFonts w:ascii="Times New Roman" w:hAnsi="Times New Roman" w:cs="Times New Roman"/>
          <w:sz w:val="24"/>
          <w:szCs w:val="24"/>
          <w:lang w:val="en-US"/>
        </w:rPr>
        <w:t>rights;</w:t>
      </w:r>
      <w:r w:rsidR="00D83C63" w:rsidRPr="00A75071">
        <w:rPr>
          <w:rFonts w:ascii="Times New Roman" w:hAnsi="Times New Roman" w:cs="Times New Roman"/>
          <w:sz w:val="24"/>
          <w:szCs w:val="24"/>
          <w:lang w:val="en-US"/>
        </w:rPr>
        <w:t xml:space="preserve"> the defendant already has them</w:t>
      </w:r>
      <w:r w:rsidR="00772E52" w:rsidRPr="00A75071">
        <w:rPr>
          <w:rFonts w:ascii="Times New Roman" w:hAnsi="Times New Roman" w:cs="Times New Roman"/>
          <w:sz w:val="24"/>
          <w:szCs w:val="24"/>
          <w:lang w:val="en-US"/>
        </w:rPr>
        <w:t>. The constitutional application seeks to create a procedural enforcement mechanism for the realization of the substantive rights</w:t>
      </w:r>
      <w:r w:rsidR="003B0958" w:rsidRPr="00A75071">
        <w:rPr>
          <w:rFonts w:ascii="Times New Roman" w:hAnsi="Times New Roman" w:cs="Times New Roman"/>
          <w:sz w:val="24"/>
          <w:szCs w:val="24"/>
          <w:lang w:val="en-US"/>
        </w:rPr>
        <w:t xml:space="preserve"> already held. A stay of proceedings will ensure that rights are not irretrievably lost. The defendant’s rights have been pronou</w:t>
      </w:r>
      <w:r w:rsidR="00DF7970" w:rsidRPr="00A75071">
        <w:rPr>
          <w:rFonts w:ascii="Times New Roman" w:hAnsi="Times New Roman" w:cs="Times New Roman"/>
          <w:sz w:val="24"/>
          <w:szCs w:val="24"/>
          <w:lang w:val="en-US"/>
        </w:rPr>
        <w:t>nced and the plaintif</w:t>
      </w:r>
      <w:r w:rsidR="003B0958" w:rsidRPr="00A75071">
        <w:rPr>
          <w:rFonts w:ascii="Times New Roman" w:hAnsi="Times New Roman" w:cs="Times New Roman"/>
          <w:sz w:val="24"/>
          <w:szCs w:val="24"/>
          <w:lang w:val="en-US"/>
        </w:rPr>
        <w:t>f’s rights are yet to be determined. In the event the defendant is ejected he will lose his lien</w:t>
      </w:r>
      <w:r w:rsidR="00AC64EF" w:rsidRPr="00A75071">
        <w:rPr>
          <w:rStyle w:val="FootnoteReference"/>
          <w:rFonts w:ascii="Times New Roman" w:hAnsi="Times New Roman" w:cs="Times New Roman"/>
          <w:sz w:val="24"/>
          <w:szCs w:val="24"/>
          <w:lang w:val="en-US"/>
        </w:rPr>
        <w:footnoteReference w:id="2"/>
      </w:r>
      <w:r w:rsidR="003B0958" w:rsidRPr="00A75071">
        <w:rPr>
          <w:rFonts w:ascii="Times New Roman" w:hAnsi="Times New Roman" w:cs="Times New Roman"/>
          <w:sz w:val="24"/>
          <w:szCs w:val="24"/>
          <w:lang w:val="en-US"/>
        </w:rPr>
        <w:t xml:space="preserve">. </w:t>
      </w:r>
      <w:r w:rsidR="00017E48" w:rsidRPr="00A75071">
        <w:rPr>
          <w:rFonts w:ascii="Times New Roman" w:hAnsi="Times New Roman" w:cs="Times New Roman"/>
          <w:sz w:val="24"/>
          <w:szCs w:val="24"/>
          <w:lang w:val="en-US"/>
        </w:rPr>
        <w:t xml:space="preserve">I </w:t>
      </w:r>
      <w:r w:rsidR="00100531" w:rsidRPr="00A75071">
        <w:rPr>
          <w:rFonts w:ascii="Times New Roman" w:hAnsi="Times New Roman" w:cs="Times New Roman"/>
          <w:sz w:val="24"/>
          <w:szCs w:val="24"/>
          <w:lang w:val="en-US"/>
        </w:rPr>
        <w:t>was referred</w:t>
      </w:r>
      <w:r w:rsidR="00017E48" w:rsidRPr="00A75071">
        <w:rPr>
          <w:rFonts w:ascii="Times New Roman" w:hAnsi="Times New Roman" w:cs="Times New Roman"/>
          <w:sz w:val="24"/>
          <w:szCs w:val="24"/>
          <w:lang w:val="en-US"/>
        </w:rPr>
        <w:t xml:space="preserve"> to </w:t>
      </w:r>
      <w:r w:rsidR="00AC64EF" w:rsidRPr="00A75071">
        <w:rPr>
          <w:rFonts w:ascii="Times New Roman" w:hAnsi="Times New Roman" w:cs="Times New Roman"/>
          <w:sz w:val="24"/>
          <w:szCs w:val="24"/>
          <w:lang w:val="en-US"/>
        </w:rPr>
        <w:t xml:space="preserve">authorities where it was held that </w:t>
      </w:r>
      <w:r w:rsidR="00017E48" w:rsidRPr="00A75071">
        <w:rPr>
          <w:rFonts w:ascii="Times New Roman" w:hAnsi="Times New Roman" w:cs="Times New Roman"/>
          <w:sz w:val="24"/>
          <w:szCs w:val="24"/>
          <w:lang w:val="en-US"/>
        </w:rPr>
        <w:t>a stay of proceedings will be granted where real and substantial justice demands that it be so granted</w:t>
      </w:r>
      <w:r w:rsidR="00AC64EF" w:rsidRPr="00A75071">
        <w:rPr>
          <w:rStyle w:val="FootnoteReference"/>
          <w:rFonts w:ascii="Times New Roman" w:hAnsi="Times New Roman" w:cs="Times New Roman"/>
          <w:sz w:val="24"/>
          <w:szCs w:val="24"/>
          <w:lang w:val="en-US"/>
        </w:rPr>
        <w:footnoteReference w:id="3"/>
      </w:r>
      <w:r w:rsidR="00017E48" w:rsidRPr="00A75071">
        <w:rPr>
          <w:rFonts w:ascii="Times New Roman" w:hAnsi="Times New Roman" w:cs="Times New Roman"/>
          <w:sz w:val="24"/>
          <w:szCs w:val="24"/>
          <w:lang w:val="en-US"/>
        </w:rPr>
        <w:t>. Further to that it was submitted that</w:t>
      </w:r>
      <w:r w:rsidR="00AC64EF" w:rsidRPr="00A75071">
        <w:rPr>
          <w:rFonts w:ascii="Times New Roman" w:hAnsi="Times New Roman" w:cs="Times New Roman"/>
          <w:sz w:val="24"/>
          <w:szCs w:val="24"/>
          <w:lang w:val="en-US"/>
        </w:rPr>
        <w:t xml:space="preserve"> the</w:t>
      </w:r>
      <w:r w:rsidR="00017E48" w:rsidRPr="00A75071">
        <w:rPr>
          <w:rFonts w:ascii="Times New Roman" w:hAnsi="Times New Roman" w:cs="Times New Roman"/>
          <w:sz w:val="24"/>
          <w:szCs w:val="24"/>
          <w:lang w:val="en-US"/>
        </w:rPr>
        <w:t xml:space="preserve"> plaintiff</w:t>
      </w:r>
      <w:r w:rsidR="00DF7970" w:rsidRPr="00A75071">
        <w:rPr>
          <w:rFonts w:ascii="Times New Roman" w:hAnsi="Times New Roman" w:cs="Times New Roman"/>
          <w:sz w:val="24"/>
          <w:szCs w:val="24"/>
          <w:lang w:val="en-US"/>
        </w:rPr>
        <w:t xml:space="preserve"> has not shown that it will suffer irreparable harm should a stay be granted.</w:t>
      </w:r>
    </w:p>
    <w:p w14:paraId="1E67C66D" w14:textId="6ABF4AB7" w:rsidR="006B56A1" w:rsidRPr="00895424" w:rsidRDefault="00E22F49" w:rsidP="00DB4012">
      <w:pPr>
        <w:tabs>
          <w:tab w:val="left" w:pos="2160"/>
        </w:tabs>
        <w:spacing w:line="360" w:lineRule="auto"/>
        <w:jc w:val="both"/>
        <w:rPr>
          <w:rFonts w:ascii="Times New Roman" w:hAnsi="Times New Roman" w:cs="Times New Roman"/>
          <w:b/>
          <w:bCs/>
          <w:sz w:val="24"/>
          <w:szCs w:val="24"/>
          <w:lang w:val="en-US"/>
        </w:rPr>
      </w:pPr>
      <w:r w:rsidRPr="00A75071">
        <w:rPr>
          <w:rFonts w:ascii="Times New Roman" w:hAnsi="Times New Roman" w:cs="Times New Roman"/>
          <w:sz w:val="24"/>
          <w:szCs w:val="24"/>
          <w:lang w:val="en-US"/>
        </w:rPr>
        <w:lastRenderedPageBreak/>
        <w:t xml:space="preserve">        </w:t>
      </w:r>
      <w:r w:rsidR="00DF7970" w:rsidRPr="00A75071">
        <w:rPr>
          <w:rFonts w:ascii="Times New Roman" w:hAnsi="Times New Roman" w:cs="Times New Roman"/>
          <w:sz w:val="24"/>
          <w:szCs w:val="24"/>
          <w:lang w:val="en-US"/>
        </w:rPr>
        <w:t xml:space="preserve">The plaintiff resisted the relief sought. The plaintiff took </w:t>
      </w:r>
      <w:r w:rsidR="002D0C4E" w:rsidRPr="00A75071">
        <w:rPr>
          <w:rFonts w:ascii="Times New Roman" w:hAnsi="Times New Roman" w:cs="Times New Roman"/>
          <w:sz w:val="24"/>
          <w:szCs w:val="24"/>
          <w:lang w:val="en-US"/>
        </w:rPr>
        <w:t>several</w:t>
      </w:r>
      <w:r w:rsidR="00DF7970" w:rsidRPr="00A75071">
        <w:rPr>
          <w:rFonts w:ascii="Times New Roman" w:hAnsi="Times New Roman" w:cs="Times New Roman"/>
          <w:sz w:val="24"/>
          <w:szCs w:val="24"/>
          <w:lang w:val="en-US"/>
        </w:rPr>
        <w:t xml:space="preserve"> issues</w:t>
      </w:r>
      <w:r w:rsidR="002355F9" w:rsidRPr="00A75071">
        <w:rPr>
          <w:rFonts w:ascii="Times New Roman" w:hAnsi="Times New Roman" w:cs="Times New Roman"/>
          <w:sz w:val="24"/>
          <w:szCs w:val="24"/>
          <w:lang w:val="en-US"/>
        </w:rPr>
        <w:t xml:space="preserve"> that</w:t>
      </w:r>
      <w:r w:rsidR="00DF2449" w:rsidRPr="00A75071">
        <w:rPr>
          <w:rFonts w:ascii="Times New Roman" w:hAnsi="Times New Roman" w:cs="Times New Roman"/>
          <w:sz w:val="24"/>
          <w:szCs w:val="24"/>
          <w:lang w:val="en-US"/>
        </w:rPr>
        <w:t xml:space="preserve"> in the pleadings the defendant does not seek the stay </w:t>
      </w:r>
      <w:r w:rsidR="00AA6289" w:rsidRPr="00A75071">
        <w:rPr>
          <w:rFonts w:ascii="Times New Roman" w:hAnsi="Times New Roman" w:cs="Times New Roman"/>
          <w:sz w:val="24"/>
          <w:szCs w:val="24"/>
          <w:lang w:val="en-US"/>
        </w:rPr>
        <w:t xml:space="preserve"> of these proceedings pending determination of the constitutional question</w:t>
      </w:r>
      <w:r w:rsidR="002355F9" w:rsidRPr="00A75071">
        <w:rPr>
          <w:rFonts w:ascii="Times New Roman" w:hAnsi="Times New Roman" w:cs="Times New Roman"/>
          <w:sz w:val="24"/>
          <w:szCs w:val="24"/>
          <w:lang w:val="en-US"/>
        </w:rPr>
        <w:t>, that</w:t>
      </w:r>
      <w:r w:rsidR="00AC64EF" w:rsidRPr="00A75071">
        <w:rPr>
          <w:rFonts w:ascii="Times New Roman" w:hAnsi="Times New Roman" w:cs="Times New Roman"/>
          <w:sz w:val="24"/>
          <w:szCs w:val="24"/>
          <w:lang w:val="en-US"/>
        </w:rPr>
        <w:t xml:space="preserve"> the</w:t>
      </w:r>
      <w:r w:rsidR="002355F9" w:rsidRPr="00A75071">
        <w:rPr>
          <w:rFonts w:ascii="Times New Roman" w:hAnsi="Times New Roman" w:cs="Times New Roman"/>
          <w:sz w:val="24"/>
          <w:szCs w:val="24"/>
          <w:lang w:val="en-US"/>
        </w:rPr>
        <w:t xml:space="preserve"> application has no merit as the question has already been answered</w:t>
      </w:r>
      <w:r w:rsidR="00DF2449" w:rsidRPr="00A75071">
        <w:rPr>
          <w:rFonts w:ascii="Times New Roman" w:hAnsi="Times New Roman" w:cs="Times New Roman"/>
          <w:sz w:val="24"/>
          <w:szCs w:val="24"/>
          <w:lang w:val="en-US"/>
        </w:rPr>
        <w:t xml:space="preserve"> in </w:t>
      </w:r>
      <w:r w:rsidR="00DF2449" w:rsidRPr="00A75071">
        <w:rPr>
          <w:rFonts w:ascii="Times New Roman" w:hAnsi="Times New Roman" w:cs="Times New Roman"/>
          <w:b/>
          <w:bCs/>
          <w:sz w:val="24"/>
          <w:szCs w:val="24"/>
          <w:lang w:val="en-US"/>
        </w:rPr>
        <w:t>the Iso</w:t>
      </w:r>
      <w:r w:rsidR="002355F9" w:rsidRPr="00A75071">
        <w:rPr>
          <w:rFonts w:ascii="Times New Roman" w:hAnsi="Times New Roman" w:cs="Times New Roman"/>
          <w:b/>
          <w:bCs/>
          <w:sz w:val="24"/>
          <w:szCs w:val="24"/>
          <w:lang w:val="en-US"/>
        </w:rPr>
        <w:t>quant</w:t>
      </w:r>
      <w:r w:rsidR="00895424">
        <w:rPr>
          <w:rFonts w:ascii="Times New Roman" w:hAnsi="Times New Roman" w:cs="Times New Roman"/>
          <w:b/>
          <w:bCs/>
          <w:sz w:val="24"/>
          <w:szCs w:val="24"/>
          <w:vertAlign w:val="superscript"/>
          <w:lang w:val="en-US"/>
        </w:rPr>
        <w:t>2</w:t>
      </w:r>
      <w:r w:rsidR="00895424">
        <w:rPr>
          <w:rFonts w:ascii="Times New Roman" w:hAnsi="Times New Roman" w:cs="Times New Roman"/>
          <w:b/>
          <w:bCs/>
          <w:sz w:val="24"/>
          <w:szCs w:val="24"/>
          <w:lang w:val="en-US"/>
        </w:rPr>
        <w:t xml:space="preserve"> </w:t>
      </w:r>
      <w:r w:rsidR="00DF2449" w:rsidRPr="00A75071">
        <w:rPr>
          <w:rFonts w:ascii="Times New Roman" w:hAnsi="Times New Roman" w:cs="Times New Roman"/>
          <w:b/>
          <w:bCs/>
          <w:sz w:val="24"/>
          <w:szCs w:val="24"/>
          <w:lang w:val="en-US"/>
        </w:rPr>
        <w:t>matter</w:t>
      </w:r>
      <w:r w:rsidR="00DF2449" w:rsidRPr="00A75071">
        <w:rPr>
          <w:rFonts w:ascii="Times New Roman" w:hAnsi="Times New Roman" w:cs="Times New Roman"/>
          <w:sz w:val="24"/>
          <w:szCs w:val="24"/>
          <w:lang w:val="en-US"/>
        </w:rPr>
        <w:t xml:space="preserve"> </w:t>
      </w:r>
      <w:r w:rsidR="002355F9" w:rsidRPr="00A75071">
        <w:rPr>
          <w:rFonts w:ascii="Times New Roman" w:hAnsi="Times New Roman" w:cs="Times New Roman"/>
          <w:sz w:val="24"/>
          <w:szCs w:val="24"/>
          <w:lang w:val="en-US"/>
        </w:rPr>
        <w:t>, that the defendant must have proceeded by way of s175</w:t>
      </w:r>
      <w:r w:rsidR="00100531" w:rsidRPr="00A75071">
        <w:rPr>
          <w:rFonts w:ascii="Times New Roman" w:hAnsi="Times New Roman" w:cs="Times New Roman"/>
          <w:sz w:val="24"/>
          <w:szCs w:val="24"/>
          <w:lang w:val="en-US"/>
        </w:rPr>
        <w:t xml:space="preserve"> (4)</w:t>
      </w:r>
      <w:r w:rsidR="002355F9" w:rsidRPr="00A75071">
        <w:rPr>
          <w:rFonts w:ascii="Times New Roman" w:hAnsi="Times New Roman" w:cs="Times New Roman"/>
          <w:sz w:val="24"/>
          <w:szCs w:val="24"/>
          <w:lang w:val="en-US"/>
        </w:rPr>
        <w:t xml:space="preserve"> of the Constitution for a referral instead of making a s85 application , that the application has no merit it was filed </w:t>
      </w:r>
      <w:r w:rsidR="006B56A1" w:rsidRPr="00A75071">
        <w:rPr>
          <w:rFonts w:ascii="Times New Roman" w:hAnsi="Times New Roman" w:cs="Times New Roman"/>
          <w:sz w:val="24"/>
          <w:szCs w:val="24"/>
          <w:lang w:val="en-US"/>
        </w:rPr>
        <w:t xml:space="preserve"> three days before the trial date to frustrate and vex </w:t>
      </w:r>
      <w:r w:rsidR="00DF2449" w:rsidRPr="00A75071">
        <w:rPr>
          <w:rFonts w:ascii="Times New Roman" w:hAnsi="Times New Roman" w:cs="Times New Roman"/>
          <w:sz w:val="24"/>
          <w:szCs w:val="24"/>
          <w:lang w:val="en-US"/>
        </w:rPr>
        <w:t xml:space="preserve"> the plaintiff.</w:t>
      </w:r>
      <w:r w:rsidR="006B56A1" w:rsidRPr="00A75071">
        <w:rPr>
          <w:rFonts w:ascii="Times New Roman" w:hAnsi="Times New Roman" w:cs="Times New Roman"/>
          <w:sz w:val="24"/>
          <w:szCs w:val="24"/>
          <w:lang w:val="en-US"/>
        </w:rPr>
        <w:t xml:space="preserve"> </w:t>
      </w:r>
      <w:r w:rsidR="00984830" w:rsidRPr="00A75071">
        <w:rPr>
          <w:rFonts w:ascii="Times New Roman" w:hAnsi="Times New Roman" w:cs="Times New Roman"/>
          <w:sz w:val="24"/>
          <w:szCs w:val="24"/>
          <w:lang w:val="en-US"/>
        </w:rPr>
        <w:t>Finally,</w:t>
      </w:r>
      <w:r w:rsidR="006B56A1" w:rsidRPr="00A75071">
        <w:rPr>
          <w:rFonts w:ascii="Times New Roman" w:hAnsi="Times New Roman" w:cs="Times New Roman"/>
          <w:sz w:val="24"/>
          <w:szCs w:val="24"/>
          <w:lang w:val="en-US"/>
        </w:rPr>
        <w:t xml:space="preserve"> that the defendant could have enforced his rights by way of an application to compel registration some three years ago in 2018.</w:t>
      </w:r>
    </w:p>
    <w:p w14:paraId="7A9D863C" w14:textId="78B3408C" w:rsidR="00984830" w:rsidRPr="00A75071" w:rsidRDefault="0071728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00531" w:rsidRPr="00A75071">
        <w:rPr>
          <w:rFonts w:ascii="Times New Roman" w:hAnsi="Times New Roman" w:cs="Times New Roman"/>
          <w:sz w:val="24"/>
          <w:szCs w:val="24"/>
          <w:lang w:val="en-US"/>
        </w:rPr>
        <w:t>Generally s</w:t>
      </w:r>
      <w:r w:rsidR="00335485" w:rsidRPr="00A75071">
        <w:rPr>
          <w:rFonts w:ascii="Times New Roman" w:hAnsi="Times New Roman" w:cs="Times New Roman"/>
          <w:sz w:val="24"/>
          <w:szCs w:val="24"/>
          <w:lang w:val="en-US"/>
        </w:rPr>
        <w:t xml:space="preserve">uperior courts have inherent jurisdiction to stay proceedings in certain circumstances where it is the interest of justice to do </w:t>
      </w:r>
      <w:r w:rsidR="008D5680" w:rsidRPr="00A75071">
        <w:rPr>
          <w:rFonts w:ascii="Times New Roman" w:hAnsi="Times New Roman" w:cs="Times New Roman"/>
          <w:sz w:val="24"/>
          <w:szCs w:val="24"/>
          <w:lang w:val="en-US"/>
        </w:rPr>
        <w:t xml:space="preserve">so. The power to do so is exercised sparingly for courts are open to </w:t>
      </w:r>
      <w:r w:rsidR="00100531" w:rsidRPr="00A75071">
        <w:rPr>
          <w:rFonts w:ascii="Times New Roman" w:hAnsi="Times New Roman" w:cs="Times New Roman"/>
          <w:sz w:val="24"/>
          <w:szCs w:val="24"/>
          <w:lang w:val="en-US"/>
        </w:rPr>
        <w:t>all</w:t>
      </w:r>
      <w:r>
        <w:rPr>
          <w:rFonts w:ascii="Times New Roman" w:hAnsi="Times New Roman" w:cs="Times New Roman"/>
          <w:sz w:val="24"/>
          <w:szCs w:val="24"/>
          <w:lang w:val="en-US"/>
        </w:rPr>
        <w:t>,</w:t>
      </w:r>
      <w:r w:rsidR="00DF2449" w:rsidRPr="00A75071">
        <w:rPr>
          <w:rFonts w:ascii="Times New Roman" w:hAnsi="Times New Roman" w:cs="Times New Roman"/>
          <w:sz w:val="24"/>
          <w:szCs w:val="24"/>
          <w:lang w:val="en-US"/>
        </w:rPr>
        <w:t xml:space="preserve"> </w:t>
      </w:r>
      <w:r w:rsidR="008D5680" w:rsidRPr="00A75071">
        <w:rPr>
          <w:rFonts w:ascii="Times New Roman" w:hAnsi="Times New Roman" w:cs="Times New Roman"/>
          <w:sz w:val="24"/>
          <w:szCs w:val="24"/>
          <w:lang w:val="en-US"/>
        </w:rPr>
        <w:t>every litigate has a right to prosecute their case. Proceedings maybe stayed where they are frivolous and vexatious, where they may result in an injustice or an embarrassment to one or the other of the parties</w:t>
      </w:r>
      <w:r w:rsidR="00DE645B" w:rsidRPr="00A75071">
        <w:rPr>
          <w:rStyle w:val="FootnoteReference"/>
          <w:rFonts w:ascii="Times New Roman" w:hAnsi="Times New Roman" w:cs="Times New Roman"/>
          <w:sz w:val="24"/>
          <w:szCs w:val="24"/>
          <w:lang w:val="en-US"/>
        </w:rPr>
        <w:footnoteReference w:id="4"/>
      </w:r>
      <w:r w:rsidR="008D5680" w:rsidRPr="00A75071">
        <w:rPr>
          <w:rFonts w:ascii="Times New Roman" w:hAnsi="Times New Roman" w:cs="Times New Roman"/>
          <w:sz w:val="24"/>
          <w:szCs w:val="24"/>
          <w:lang w:val="en-US"/>
        </w:rPr>
        <w:t xml:space="preserve">. </w:t>
      </w:r>
    </w:p>
    <w:p w14:paraId="22FDC3F2" w14:textId="5DAC3ADD" w:rsidR="003E0878" w:rsidRPr="00A75071" w:rsidRDefault="0071728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C50AD" w:rsidRPr="00A75071">
        <w:rPr>
          <w:rFonts w:ascii="Times New Roman" w:hAnsi="Times New Roman" w:cs="Times New Roman"/>
          <w:sz w:val="24"/>
          <w:szCs w:val="24"/>
          <w:lang w:val="en-US"/>
        </w:rPr>
        <w:t xml:space="preserve">The crisp issue for determination is whether it </w:t>
      </w:r>
      <w:r w:rsidR="00AC64EF" w:rsidRPr="00A75071">
        <w:rPr>
          <w:rFonts w:ascii="Times New Roman" w:hAnsi="Times New Roman" w:cs="Times New Roman"/>
          <w:sz w:val="24"/>
          <w:szCs w:val="24"/>
          <w:lang w:val="en-US"/>
        </w:rPr>
        <w:t xml:space="preserve">is in </w:t>
      </w:r>
      <w:r w:rsidR="00DC50AD" w:rsidRPr="00A75071">
        <w:rPr>
          <w:rFonts w:ascii="Times New Roman" w:hAnsi="Times New Roman" w:cs="Times New Roman"/>
          <w:sz w:val="24"/>
          <w:szCs w:val="24"/>
          <w:lang w:val="en-US"/>
        </w:rPr>
        <w:t>the interest of justice and equity to stay these proceedings pending the determination of the constitutional application. In the constitutional application the defendant seeks a declaration that s</w:t>
      </w:r>
      <w:r w:rsidR="003E0878" w:rsidRPr="00A75071">
        <w:rPr>
          <w:rFonts w:ascii="Times New Roman" w:hAnsi="Times New Roman" w:cs="Times New Roman"/>
          <w:sz w:val="24"/>
          <w:szCs w:val="24"/>
          <w:lang w:val="en-US"/>
        </w:rPr>
        <w:t>93 (5a) and ss (5</w:t>
      </w:r>
      <w:r w:rsidR="00AC64EF" w:rsidRPr="00A75071">
        <w:rPr>
          <w:rFonts w:ascii="Times New Roman" w:hAnsi="Times New Roman" w:cs="Times New Roman"/>
          <w:sz w:val="24"/>
          <w:szCs w:val="24"/>
          <w:lang w:val="en-US"/>
        </w:rPr>
        <w:t xml:space="preserve">b) of the Act </w:t>
      </w:r>
      <w:r w:rsidR="003E0878" w:rsidRPr="00A75071">
        <w:rPr>
          <w:rFonts w:ascii="Times New Roman" w:hAnsi="Times New Roman" w:cs="Times New Roman"/>
          <w:sz w:val="24"/>
          <w:szCs w:val="24"/>
          <w:lang w:val="en-US"/>
        </w:rPr>
        <w:t>is unconstitutional and that leave be granted to</w:t>
      </w:r>
      <w:r w:rsidR="00AC64EF" w:rsidRPr="00A75071">
        <w:rPr>
          <w:rFonts w:ascii="Times New Roman" w:hAnsi="Times New Roman" w:cs="Times New Roman"/>
          <w:sz w:val="24"/>
          <w:szCs w:val="24"/>
          <w:lang w:val="en-US"/>
        </w:rPr>
        <w:t xml:space="preserve"> him</w:t>
      </w:r>
      <w:r w:rsidR="003E0878" w:rsidRPr="00A75071">
        <w:rPr>
          <w:rFonts w:ascii="Times New Roman" w:hAnsi="Times New Roman" w:cs="Times New Roman"/>
          <w:sz w:val="24"/>
          <w:szCs w:val="24"/>
          <w:lang w:val="en-US"/>
        </w:rPr>
        <w:t xml:space="preserve"> to apply for the registration of the labour officer’s ruling.</w:t>
      </w:r>
    </w:p>
    <w:p w14:paraId="054A87BE" w14:textId="1FCD25BF" w:rsidR="003E0878" w:rsidRPr="00A75071" w:rsidRDefault="0071728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E0878" w:rsidRPr="00A75071">
        <w:rPr>
          <w:rFonts w:ascii="Times New Roman" w:hAnsi="Times New Roman" w:cs="Times New Roman"/>
          <w:sz w:val="24"/>
          <w:szCs w:val="24"/>
          <w:lang w:val="en-US"/>
        </w:rPr>
        <w:t>The basis upon which stay of proceedings is made is based on</w:t>
      </w:r>
      <w:r w:rsidR="00AC64EF" w:rsidRPr="00A75071">
        <w:rPr>
          <w:rFonts w:ascii="Times New Roman" w:hAnsi="Times New Roman" w:cs="Times New Roman"/>
          <w:sz w:val="24"/>
          <w:szCs w:val="24"/>
          <w:lang w:val="en-US"/>
        </w:rPr>
        <w:t xml:space="preserve"> a</w:t>
      </w:r>
      <w:r w:rsidR="003E0878" w:rsidRPr="00A75071">
        <w:rPr>
          <w:rFonts w:ascii="Times New Roman" w:hAnsi="Times New Roman" w:cs="Times New Roman"/>
          <w:sz w:val="24"/>
          <w:szCs w:val="24"/>
          <w:lang w:val="en-US"/>
        </w:rPr>
        <w:t xml:space="preserve"> misconception of the law on the status of a labour officer’s ruling and the rights that arise therefrom. </w:t>
      </w:r>
      <w:r w:rsidR="00DF2449" w:rsidRPr="00A75071">
        <w:rPr>
          <w:rFonts w:ascii="Times New Roman" w:hAnsi="Times New Roman" w:cs="Times New Roman"/>
          <w:sz w:val="24"/>
          <w:szCs w:val="24"/>
          <w:lang w:val="en-US"/>
        </w:rPr>
        <w:t xml:space="preserve">It is also based on a misconception of the substance of a lien as a </w:t>
      </w:r>
      <w:r w:rsidR="00B82B1D" w:rsidRPr="00A75071">
        <w:rPr>
          <w:rFonts w:ascii="Times New Roman" w:hAnsi="Times New Roman" w:cs="Times New Roman"/>
          <w:sz w:val="24"/>
          <w:szCs w:val="24"/>
          <w:lang w:val="en-US"/>
        </w:rPr>
        <w:t>defence. The defendant holds no rights arising from the labour officer’s ruling. Similarly, he has no lien. The full reasons for my findings shall be set out later in the judgment as these are issues referred for determination by the parties.</w:t>
      </w:r>
    </w:p>
    <w:p w14:paraId="0FFC214B" w14:textId="77777777" w:rsidR="00A87475" w:rsidRDefault="00A87475" w:rsidP="00DB4012">
      <w:pPr>
        <w:tabs>
          <w:tab w:val="left" w:pos="2160"/>
        </w:tabs>
        <w:spacing w:line="360" w:lineRule="auto"/>
        <w:jc w:val="both"/>
        <w:rPr>
          <w:rFonts w:ascii="Times New Roman" w:hAnsi="Times New Roman" w:cs="Times New Roman"/>
          <w:sz w:val="24"/>
          <w:szCs w:val="24"/>
          <w:lang w:val="en-US"/>
        </w:rPr>
      </w:pPr>
    </w:p>
    <w:p w14:paraId="1CF55EBD" w14:textId="05043C75" w:rsidR="00741F40" w:rsidRPr="00A75071" w:rsidRDefault="00A8747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1F40" w:rsidRPr="00A75071">
        <w:rPr>
          <w:rFonts w:ascii="Times New Roman" w:hAnsi="Times New Roman" w:cs="Times New Roman"/>
          <w:sz w:val="24"/>
          <w:szCs w:val="24"/>
          <w:lang w:val="en-US"/>
        </w:rPr>
        <w:t xml:space="preserve"> I shall address some of the issues raised in opposing the stay of proceedings. </w:t>
      </w:r>
    </w:p>
    <w:p w14:paraId="04F6943D" w14:textId="0020CA79" w:rsidR="00741F40" w:rsidRPr="00A75071" w:rsidRDefault="00A8747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1F40" w:rsidRPr="00A75071">
        <w:rPr>
          <w:rFonts w:ascii="Times New Roman" w:hAnsi="Times New Roman" w:cs="Times New Roman"/>
          <w:sz w:val="24"/>
          <w:szCs w:val="24"/>
          <w:lang w:val="en-US"/>
        </w:rPr>
        <w:t xml:space="preserve">That the applicant did not seek the relief in its counter </w:t>
      </w:r>
      <w:r w:rsidR="00100531" w:rsidRPr="00A75071">
        <w:rPr>
          <w:rFonts w:ascii="Times New Roman" w:hAnsi="Times New Roman" w:cs="Times New Roman"/>
          <w:sz w:val="24"/>
          <w:szCs w:val="24"/>
          <w:lang w:val="en-US"/>
        </w:rPr>
        <w:t>claim, can</w:t>
      </w:r>
      <w:r w:rsidR="00741F40" w:rsidRPr="00A75071">
        <w:rPr>
          <w:rFonts w:ascii="Times New Roman" w:hAnsi="Times New Roman" w:cs="Times New Roman"/>
          <w:sz w:val="24"/>
          <w:szCs w:val="24"/>
          <w:lang w:val="en-US"/>
        </w:rPr>
        <w:t xml:space="preserve"> be answered by reverting</w:t>
      </w:r>
      <w:r w:rsidR="0049541E" w:rsidRPr="00A75071">
        <w:rPr>
          <w:rFonts w:ascii="Times New Roman" w:hAnsi="Times New Roman" w:cs="Times New Roman"/>
          <w:sz w:val="24"/>
          <w:szCs w:val="24"/>
          <w:lang w:val="en-US"/>
        </w:rPr>
        <w:t xml:space="preserve"> to</w:t>
      </w:r>
      <w:r w:rsidR="00741F40" w:rsidRPr="00A75071">
        <w:rPr>
          <w:rFonts w:ascii="Times New Roman" w:hAnsi="Times New Roman" w:cs="Times New Roman"/>
          <w:sz w:val="24"/>
          <w:szCs w:val="24"/>
          <w:lang w:val="en-US"/>
        </w:rPr>
        <w:t xml:space="preserve"> what is a special case and how the court must proceed.</w:t>
      </w:r>
    </w:p>
    <w:p w14:paraId="1B7EA6C5" w14:textId="464FCB13" w:rsidR="00F87C96" w:rsidRPr="00A75071" w:rsidRDefault="00A87475"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F87C96" w:rsidRPr="00A75071">
        <w:rPr>
          <w:rFonts w:ascii="Times New Roman" w:hAnsi="Times New Roman" w:cs="Times New Roman"/>
          <w:sz w:val="24"/>
          <w:szCs w:val="24"/>
          <w:lang w:val="en-US"/>
        </w:rPr>
        <w:t xml:space="preserve">A special case is provided for in </w:t>
      </w:r>
      <w:r w:rsidR="00F87C96" w:rsidRPr="00A75071">
        <w:rPr>
          <w:rFonts w:ascii="Times New Roman" w:hAnsi="Times New Roman" w:cs="Times New Roman"/>
          <w:iCs/>
          <w:sz w:val="24"/>
          <w:szCs w:val="24"/>
          <w:lang w:val="en-US"/>
        </w:rPr>
        <w:t xml:space="preserve">r52 </w:t>
      </w:r>
      <w:r w:rsidR="00B82B1D" w:rsidRPr="00A75071">
        <w:rPr>
          <w:rFonts w:ascii="Times New Roman" w:hAnsi="Times New Roman" w:cs="Times New Roman"/>
          <w:iCs/>
          <w:sz w:val="24"/>
          <w:szCs w:val="24"/>
          <w:lang w:val="en-US"/>
        </w:rPr>
        <w:t xml:space="preserve"> of the </w:t>
      </w:r>
      <w:r w:rsidR="00F87C96" w:rsidRPr="00A75071">
        <w:rPr>
          <w:rFonts w:ascii="Times New Roman" w:hAnsi="Times New Roman" w:cs="Times New Roman"/>
          <w:iCs/>
          <w:sz w:val="24"/>
          <w:szCs w:val="24"/>
          <w:lang w:val="en-US"/>
        </w:rPr>
        <w:t>Rules</w:t>
      </w:r>
      <w:r w:rsidR="00F87C96" w:rsidRPr="00A75071">
        <w:rPr>
          <w:rFonts w:ascii="Times New Roman" w:hAnsi="Times New Roman" w:cs="Times New Roman"/>
          <w:sz w:val="24"/>
          <w:szCs w:val="24"/>
          <w:lang w:val="en-US"/>
        </w:rPr>
        <w:t xml:space="preserve">. It is a written statement of agreed facts done by the parties to a trial action for the court’s decision on points of law. The court need not hear further evidence on the facts. The </w:t>
      </w:r>
      <w:r w:rsidR="00665C31" w:rsidRPr="00A75071">
        <w:rPr>
          <w:rFonts w:ascii="Times New Roman" w:hAnsi="Times New Roman" w:cs="Times New Roman"/>
          <w:i/>
          <w:sz w:val="24"/>
          <w:szCs w:val="24"/>
          <w:lang w:val="en-US"/>
        </w:rPr>
        <w:t xml:space="preserve">Kunonga v </w:t>
      </w:r>
      <w:r w:rsidR="00F87C96" w:rsidRPr="00A75071">
        <w:rPr>
          <w:rFonts w:ascii="Times New Roman" w:hAnsi="Times New Roman" w:cs="Times New Roman"/>
          <w:i/>
          <w:sz w:val="24"/>
          <w:szCs w:val="24"/>
          <w:lang w:val="en-US"/>
        </w:rPr>
        <w:t xml:space="preserve">The Church of the Province of Central Africa </w:t>
      </w:r>
      <w:r w:rsidR="00F87C96" w:rsidRPr="00A75071">
        <w:rPr>
          <w:rFonts w:ascii="Times New Roman" w:hAnsi="Times New Roman" w:cs="Times New Roman"/>
          <w:sz w:val="24"/>
          <w:szCs w:val="24"/>
          <w:lang w:val="en-US"/>
        </w:rPr>
        <w:t>SC 25/17 case is authority that the court cannot delve into the correctness or otherwise of the facts in dealing with a special case. Neither party can seek to reopen the agreed factual position or to contradict such position.</w:t>
      </w:r>
    </w:p>
    <w:p w14:paraId="64D08BC3" w14:textId="2D268D8F" w:rsidR="002C36C7" w:rsidRPr="00A75071" w:rsidRDefault="00E22F49"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F87C96" w:rsidRPr="00A75071">
        <w:rPr>
          <w:rFonts w:ascii="Times New Roman" w:hAnsi="Times New Roman" w:cs="Times New Roman"/>
          <w:sz w:val="24"/>
          <w:szCs w:val="24"/>
          <w:lang w:val="en-US"/>
        </w:rPr>
        <w:t xml:space="preserve">In </w:t>
      </w:r>
      <w:r w:rsidR="00F87C96" w:rsidRPr="00A75071">
        <w:rPr>
          <w:rFonts w:ascii="Times New Roman" w:hAnsi="Times New Roman" w:cs="Times New Roman"/>
          <w:i/>
          <w:sz w:val="24"/>
          <w:szCs w:val="24"/>
          <w:lang w:val="en-US"/>
        </w:rPr>
        <w:t>Future Murimi &amp; Anor</w:t>
      </w:r>
      <w:r w:rsidR="002C36C7" w:rsidRPr="00A75071">
        <w:rPr>
          <w:rFonts w:ascii="Times New Roman" w:hAnsi="Times New Roman" w:cs="Times New Roman"/>
          <w:i/>
          <w:sz w:val="24"/>
          <w:szCs w:val="24"/>
          <w:lang w:val="en-US"/>
        </w:rPr>
        <w:t xml:space="preserve"> v Leathout Investments </w:t>
      </w:r>
      <w:r w:rsidR="002C36C7" w:rsidRPr="00A75071">
        <w:rPr>
          <w:rFonts w:ascii="Times New Roman" w:hAnsi="Times New Roman" w:cs="Times New Roman"/>
          <w:sz w:val="24"/>
          <w:szCs w:val="24"/>
          <w:lang w:val="en-US"/>
        </w:rPr>
        <w:t>HH  798/17 the court incisively dealt with the proper approach in dealing with a special case. Although the court was faced with a chamber application for directions in a special case</w:t>
      </w:r>
      <w:r w:rsidR="00B82B1D" w:rsidRPr="00A75071">
        <w:rPr>
          <w:rFonts w:ascii="Times New Roman" w:hAnsi="Times New Roman" w:cs="Times New Roman"/>
          <w:sz w:val="24"/>
          <w:szCs w:val="24"/>
          <w:lang w:val="en-US"/>
        </w:rPr>
        <w:t>,</w:t>
      </w:r>
      <w:r w:rsidR="002C36C7" w:rsidRPr="00A75071">
        <w:rPr>
          <w:rFonts w:ascii="Times New Roman" w:hAnsi="Times New Roman" w:cs="Times New Roman"/>
          <w:sz w:val="24"/>
          <w:szCs w:val="24"/>
          <w:lang w:val="en-US"/>
        </w:rPr>
        <w:t xml:space="preserve"> it laid down the applicable law. </w:t>
      </w:r>
      <w:r w:rsidRPr="00A75071">
        <w:rPr>
          <w:rFonts w:ascii="Times New Roman" w:hAnsi="Times New Roman" w:cs="Times New Roman"/>
          <w:sz w:val="24"/>
          <w:szCs w:val="24"/>
          <w:lang w:val="en-US"/>
        </w:rPr>
        <w:t>Where pertinent</w:t>
      </w:r>
      <w:r w:rsidR="002C36C7" w:rsidRPr="00A75071">
        <w:rPr>
          <w:rFonts w:ascii="Times New Roman" w:hAnsi="Times New Roman" w:cs="Times New Roman"/>
          <w:sz w:val="24"/>
          <w:szCs w:val="24"/>
          <w:lang w:val="en-US"/>
        </w:rPr>
        <w:t xml:space="preserve"> issues </w:t>
      </w:r>
      <w:r w:rsidR="00B82B1D" w:rsidRPr="00A75071">
        <w:rPr>
          <w:rFonts w:ascii="Times New Roman" w:hAnsi="Times New Roman" w:cs="Times New Roman"/>
          <w:sz w:val="24"/>
          <w:szCs w:val="24"/>
          <w:lang w:val="en-US"/>
        </w:rPr>
        <w:t>are</w:t>
      </w:r>
      <w:r w:rsidR="002C36C7" w:rsidRPr="00A75071">
        <w:rPr>
          <w:rFonts w:ascii="Times New Roman" w:hAnsi="Times New Roman" w:cs="Times New Roman"/>
          <w:sz w:val="24"/>
          <w:szCs w:val="24"/>
          <w:lang w:val="en-US"/>
        </w:rPr>
        <w:t xml:space="preserve"> not canvassed by the parties in the agreed statement of facts which in the court’s view have a bearing on the issues for determination</w:t>
      </w:r>
      <w:r w:rsidR="00B82B1D" w:rsidRPr="00A75071">
        <w:rPr>
          <w:rFonts w:ascii="Times New Roman" w:hAnsi="Times New Roman" w:cs="Times New Roman"/>
          <w:sz w:val="24"/>
          <w:szCs w:val="24"/>
          <w:lang w:val="en-US"/>
        </w:rPr>
        <w:t>, t</w:t>
      </w:r>
      <w:r w:rsidR="002C36C7" w:rsidRPr="00A75071">
        <w:rPr>
          <w:rFonts w:ascii="Times New Roman" w:hAnsi="Times New Roman" w:cs="Times New Roman"/>
          <w:sz w:val="24"/>
          <w:szCs w:val="24"/>
          <w:lang w:val="en-US"/>
        </w:rPr>
        <w:t>he court is at large to make an appropriate</w:t>
      </w:r>
      <w:r w:rsidR="00B4363A" w:rsidRPr="00A75071">
        <w:rPr>
          <w:rFonts w:ascii="Times New Roman" w:hAnsi="Times New Roman" w:cs="Times New Roman"/>
          <w:sz w:val="24"/>
          <w:szCs w:val="24"/>
          <w:lang w:val="en-US"/>
        </w:rPr>
        <w:t xml:space="preserve"> order for parties to address the issue. The court in the M</w:t>
      </w:r>
      <w:r w:rsidR="002C36C7" w:rsidRPr="00A75071">
        <w:rPr>
          <w:rFonts w:ascii="Times New Roman" w:hAnsi="Times New Roman" w:cs="Times New Roman"/>
          <w:i/>
          <w:sz w:val="24"/>
          <w:szCs w:val="24"/>
          <w:lang w:val="en-US"/>
        </w:rPr>
        <w:t xml:space="preserve">urimi </w:t>
      </w:r>
      <w:r w:rsidR="00335485" w:rsidRPr="00A75071">
        <w:rPr>
          <w:rFonts w:ascii="Times New Roman" w:hAnsi="Times New Roman" w:cs="Times New Roman"/>
          <w:i/>
          <w:sz w:val="24"/>
          <w:szCs w:val="24"/>
          <w:lang w:val="en-US"/>
        </w:rPr>
        <w:t>case (</w:t>
      </w:r>
      <w:r w:rsidR="00B82B1D" w:rsidRPr="00A75071">
        <w:rPr>
          <w:rFonts w:ascii="Times New Roman" w:hAnsi="Times New Roman" w:cs="Times New Roman"/>
          <w:i/>
          <w:sz w:val="24"/>
          <w:szCs w:val="24"/>
          <w:lang w:val="en-US"/>
        </w:rPr>
        <w:t xml:space="preserve">supra) </w:t>
      </w:r>
      <w:r w:rsidR="00B82B1D" w:rsidRPr="00A75071">
        <w:rPr>
          <w:rFonts w:ascii="Times New Roman" w:hAnsi="Times New Roman" w:cs="Times New Roman"/>
          <w:sz w:val="24"/>
          <w:szCs w:val="24"/>
          <w:lang w:val="en-US"/>
        </w:rPr>
        <w:t>referred</w:t>
      </w:r>
      <w:r w:rsidR="002C36C7" w:rsidRPr="00A75071">
        <w:rPr>
          <w:rFonts w:ascii="Times New Roman" w:hAnsi="Times New Roman" w:cs="Times New Roman"/>
          <w:sz w:val="24"/>
          <w:szCs w:val="24"/>
          <w:lang w:val="en-US"/>
        </w:rPr>
        <w:t xml:space="preserve"> to the case of </w:t>
      </w:r>
      <w:r w:rsidR="002C36C7" w:rsidRPr="00A75071">
        <w:rPr>
          <w:rFonts w:ascii="Times New Roman" w:hAnsi="Times New Roman" w:cs="Times New Roman"/>
          <w:i/>
          <w:sz w:val="24"/>
          <w:szCs w:val="24"/>
          <w:lang w:val="en-US"/>
        </w:rPr>
        <w:t xml:space="preserve">Bungu &amp; Anor v Makorudze &amp; Anor </w:t>
      </w:r>
      <w:r w:rsidR="002C36C7" w:rsidRPr="00A75071">
        <w:rPr>
          <w:rFonts w:ascii="Times New Roman" w:hAnsi="Times New Roman" w:cs="Times New Roman"/>
          <w:sz w:val="24"/>
          <w:szCs w:val="24"/>
          <w:lang w:val="en-US"/>
        </w:rPr>
        <w:t>SC</w:t>
      </w:r>
      <w:r w:rsidR="002C36C7" w:rsidRPr="00A75071">
        <w:rPr>
          <w:rFonts w:ascii="Times New Roman" w:hAnsi="Times New Roman" w:cs="Times New Roman"/>
          <w:b/>
          <w:sz w:val="24"/>
          <w:szCs w:val="24"/>
          <w:lang w:val="en-US"/>
        </w:rPr>
        <w:t xml:space="preserve"> </w:t>
      </w:r>
      <w:r w:rsidR="00DA4871" w:rsidRPr="00A75071">
        <w:rPr>
          <w:rFonts w:ascii="Times New Roman" w:hAnsi="Times New Roman" w:cs="Times New Roman"/>
          <w:sz w:val="24"/>
          <w:szCs w:val="24"/>
          <w:lang w:val="en-US"/>
        </w:rPr>
        <w:t>39/15 where the Supreme Court remitted a case heard as a special case</w:t>
      </w:r>
      <w:r w:rsidR="00B4363A" w:rsidRPr="00A75071">
        <w:rPr>
          <w:rFonts w:ascii="Times New Roman" w:hAnsi="Times New Roman" w:cs="Times New Roman"/>
          <w:sz w:val="24"/>
          <w:szCs w:val="24"/>
          <w:lang w:val="en-US"/>
        </w:rPr>
        <w:t xml:space="preserve"> for the court to consider pertinent issues that arose in the case.</w:t>
      </w:r>
    </w:p>
    <w:p w14:paraId="2F8E9A86" w14:textId="5900C8CC" w:rsidR="00DA4871" w:rsidRPr="00A75071" w:rsidRDefault="00A87475" w:rsidP="00741F4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4363A" w:rsidRPr="00A75071">
        <w:rPr>
          <w:rFonts w:ascii="Times New Roman" w:hAnsi="Times New Roman" w:cs="Times New Roman"/>
          <w:sz w:val="24"/>
          <w:szCs w:val="24"/>
          <w:lang w:val="en-US"/>
        </w:rPr>
        <w:t xml:space="preserve">In this </w:t>
      </w:r>
      <w:r w:rsidR="00335485" w:rsidRPr="00A75071">
        <w:rPr>
          <w:rFonts w:ascii="Times New Roman" w:hAnsi="Times New Roman" w:cs="Times New Roman"/>
          <w:sz w:val="24"/>
          <w:szCs w:val="24"/>
          <w:lang w:val="en-US"/>
        </w:rPr>
        <w:t>case, although</w:t>
      </w:r>
      <w:r w:rsidR="00B4363A" w:rsidRPr="00A75071">
        <w:rPr>
          <w:rFonts w:ascii="Times New Roman" w:hAnsi="Times New Roman" w:cs="Times New Roman"/>
          <w:sz w:val="24"/>
          <w:szCs w:val="24"/>
          <w:lang w:val="en-US"/>
        </w:rPr>
        <w:t xml:space="preserve"> the defendant did not seek the stay of proceedings in its counter claim, the court can still determine on the issue as it is relevant in the determination of the real issues between the parties. </w:t>
      </w:r>
      <w:r w:rsidR="00741F40" w:rsidRPr="00A75071">
        <w:rPr>
          <w:rFonts w:ascii="Times New Roman" w:hAnsi="Times New Roman" w:cs="Times New Roman"/>
          <w:sz w:val="24"/>
          <w:szCs w:val="24"/>
          <w:lang w:val="en-US"/>
        </w:rPr>
        <w:t xml:space="preserve">The parties have agreed to refer the issue for determination. The plaintiff cannot resile from the statement of agreed facts and seek to challenge that it initially consented to be </w:t>
      </w:r>
      <w:r w:rsidR="0049541E" w:rsidRPr="00A75071">
        <w:rPr>
          <w:rFonts w:ascii="Times New Roman" w:hAnsi="Times New Roman" w:cs="Times New Roman"/>
          <w:sz w:val="24"/>
          <w:szCs w:val="24"/>
          <w:lang w:val="en-US"/>
        </w:rPr>
        <w:t>determined. The</w:t>
      </w:r>
      <w:r w:rsidR="00487EF6" w:rsidRPr="00A75071">
        <w:rPr>
          <w:rFonts w:ascii="Times New Roman" w:hAnsi="Times New Roman" w:cs="Times New Roman"/>
          <w:sz w:val="24"/>
          <w:szCs w:val="24"/>
          <w:lang w:val="en-US"/>
        </w:rPr>
        <w:t xml:space="preserve"> issue taken is of no moment.</w:t>
      </w:r>
    </w:p>
    <w:p w14:paraId="697F54CB" w14:textId="45FE41E7" w:rsidR="00487EF6" w:rsidRPr="00A75071" w:rsidRDefault="00A87475" w:rsidP="00741F4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7EF6" w:rsidRPr="00A75071">
        <w:rPr>
          <w:rFonts w:ascii="Times New Roman" w:hAnsi="Times New Roman" w:cs="Times New Roman"/>
          <w:sz w:val="24"/>
          <w:szCs w:val="24"/>
          <w:lang w:val="en-US"/>
        </w:rPr>
        <w:t>The second issue is that the constitutional issues have already been determined. This is incorrect. There have indeed been</w:t>
      </w:r>
      <w:r w:rsidR="0049541E" w:rsidRPr="00A75071">
        <w:rPr>
          <w:rFonts w:ascii="Times New Roman" w:hAnsi="Times New Roman" w:cs="Times New Roman"/>
          <w:sz w:val="24"/>
          <w:szCs w:val="24"/>
          <w:lang w:val="en-US"/>
        </w:rPr>
        <w:t xml:space="preserve"> </w:t>
      </w:r>
      <w:r w:rsidR="00487EF6" w:rsidRPr="00A75071">
        <w:rPr>
          <w:rFonts w:ascii="Times New Roman" w:hAnsi="Times New Roman" w:cs="Times New Roman"/>
          <w:sz w:val="24"/>
          <w:szCs w:val="24"/>
          <w:lang w:val="en-US"/>
        </w:rPr>
        <w:t>several concerted efforts to challenge the constitutionality of s93 (5a) and (5b) of the Act. Two matters come to mind where an attempt was made but the Constitutional Court found the applications improperly before it</w:t>
      </w:r>
      <w:r w:rsidR="00487EF6" w:rsidRPr="00A75071">
        <w:rPr>
          <w:rStyle w:val="FootnoteReference"/>
          <w:rFonts w:ascii="Times New Roman" w:hAnsi="Times New Roman" w:cs="Times New Roman"/>
          <w:sz w:val="24"/>
          <w:szCs w:val="24"/>
          <w:lang w:val="en-US"/>
        </w:rPr>
        <w:footnoteReference w:id="5"/>
      </w:r>
      <w:r>
        <w:rPr>
          <w:rFonts w:ascii="Times New Roman" w:hAnsi="Times New Roman" w:cs="Times New Roman"/>
          <w:sz w:val="24"/>
          <w:szCs w:val="24"/>
          <w:lang w:val="en-US"/>
        </w:rPr>
        <w:t xml:space="preserve">.In those cases the court made obiter </w:t>
      </w:r>
      <w:r w:rsidR="00487EF6" w:rsidRPr="00A75071">
        <w:rPr>
          <w:rFonts w:ascii="Times New Roman" w:hAnsi="Times New Roman" w:cs="Times New Roman"/>
          <w:sz w:val="24"/>
          <w:szCs w:val="24"/>
          <w:lang w:val="en-US"/>
        </w:rPr>
        <w:t xml:space="preserve">statements in relation to the </w:t>
      </w:r>
      <w:r w:rsidR="0049541E" w:rsidRPr="00A75071">
        <w:rPr>
          <w:rFonts w:ascii="Times New Roman" w:hAnsi="Times New Roman" w:cs="Times New Roman"/>
          <w:sz w:val="24"/>
          <w:szCs w:val="24"/>
          <w:lang w:val="en-US"/>
        </w:rPr>
        <w:t>sections,</w:t>
      </w:r>
      <w:r w:rsidR="00487EF6" w:rsidRPr="00A75071">
        <w:rPr>
          <w:rFonts w:ascii="Times New Roman" w:hAnsi="Times New Roman" w:cs="Times New Roman"/>
          <w:sz w:val="24"/>
          <w:szCs w:val="24"/>
          <w:lang w:val="en-US"/>
        </w:rPr>
        <w:t xml:space="preserve"> but no substantive order was made on the constitutionality of s93(5a) and (5b) of the Act. It would be</w:t>
      </w:r>
      <w:r w:rsidR="0049541E" w:rsidRPr="00A75071">
        <w:rPr>
          <w:rFonts w:ascii="Times New Roman" w:hAnsi="Times New Roman" w:cs="Times New Roman"/>
          <w:sz w:val="24"/>
          <w:szCs w:val="24"/>
          <w:lang w:val="en-US"/>
        </w:rPr>
        <w:t xml:space="preserve"> a</w:t>
      </w:r>
      <w:r w:rsidR="00487EF6" w:rsidRPr="00A75071">
        <w:rPr>
          <w:rFonts w:ascii="Times New Roman" w:hAnsi="Times New Roman" w:cs="Times New Roman"/>
          <w:sz w:val="24"/>
          <w:szCs w:val="24"/>
          <w:lang w:val="en-US"/>
        </w:rPr>
        <w:t xml:space="preserve"> travesty of justice to make a finding that a constitutional issue was determined in obiter state</w:t>
      </w:r>
      <w:r w:rsidR="0049541E" w:rsidRPr="00A75071">
        <w:rPr>
          <w:rFonts w:ascii="Times New Roman" w:hAnsi="Times New Roman" w:cs="Times New Roman"/>
          <w:sz w:val="24"/>
          <w:szCs w:val="24"/>
          <w:lang w:val="en-US"/>
        </w:rPr>
        <w:t>ments</w:t>
      </w:r>
      <w:r w:rsidR="00487EF6" w:rsidRPr="00A75071">
        <w:rPr>
          <w:rFonts w:ascii="Times New Roman" w:hAnsi="Times New Roman" w:cs="Times New Roman"/>
          <w:sz w:val="24"/>
          <w:szCs w:val="24"/>
          <w:lang w:val="en-US"/>
        </w:rPr>
        <w:t xml:space="preserve"> of the court. It is my finding that the issue raised by the defendant has not yet been determined.</w:t>
      </w:r>
    </w:p>
    <w:p w14:paraId="1764C929" w14:textId="54ADA02A" w:rsidR="00C60C77" w:rsidRPr="00A75071" w:rsidRDefault="00A87475" w:rsidP="00741F4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87EF6" w:rsidRPr="00A75071">
        <w:rPr>
          <w:rFonts w:ascii="Times New Roman" w:hAnsi="Times New Roman" w:cs="Times New Roman"/>
          <w:sz w:val="24"/>
          <w:szCs w:val="24"/>
          <w:lang w:val="en-US"/>
        </w:rPr>
        <w:t xml:space="preserve">I turn to consider the equities of this </w:t>
      </w:r>
      <w:r w:rsidR="0049541E" w:rsidRPr="00A75071">
        <w:rPr>
          <w:rFonts w:ascii="Times New Roman" w:hAnsi="Times New Roman" w:cs="Times New Roman"/>
          <w:sz w:val="24"/>
          <w:szCs w:val="24"/>
          <w:lang w:val="en-US"/>
        </w:rPr>
        <w:t>case. The</w:t>
      </w:r>
      <w:r w:rsidR="00487EF6" w:rsidRPr="00A75071">
        <w:rPr>
          <w:rFonts w:ascii="Times New Roman" w:hAnsi="Times New Roman" w:cs="Times New Roman"/>
          <w:sz w:val="24"/>
          <w:szCs w:val="24"/>
          <w:lang w:val="en-US"/>
        </w:rPr>
        <w:t xml:space="preserve"> defendant has indeed challenged his </w:t>
      </w:r>
      <w:r w:rsidR="0049541E" w:rsidRPr="00A75071">
        <w:rPr>
          <w:rFonts w:ascii="Times New Roman" w:hAnsi="Times New Roman" w:cs="Times New Roman"/>
          <w:sz w:val="24"/>
          <w:szCs w:val="24"/>
          <w:lang w:val="en-US"/>
        </w:rPr>
        <w:t>termination. A</w:t>
      </w:r>
      <w:r w:rsidR="00487EF6" w:rsidRPr="00A75071">
        <w:rPr>
          <w:rFonts w:ascii="Times New Roman" w:hAnsi="Times New Roman" w:cs="Times New Roman"/>
          <w:sz w:val="24"/>
          <w:szCs w:val="24"/>
          <w:lang w:val="en-US"/>
        </w:rPr>
        <w:t xml:space="preserve"> draft ruling was made in 2018.From then on to the time of writing the judgment the draft ruling has not been confirmed. In essence no rights accrue to the </w:t>
      </w:r>
      <w:r w:rsidR="0049541E" w:rsidRPr="00A75071">
        <w:rPr>
          <w:rFonts w:ascii="Times New Roman" w:hAnsi="Times New Roman" w:cs="Times New Roman"/>
          <w:sz w:val="24"/>
          <w:szCs w:val="24"/>
          <w:lang w:val="en-US"/>
        </w:rPr>
        <w:t>defendant. The</w:t>
      </w:r>
      <w:r w:rsidR="002B4C74" w:rsidRPr="00A75071">
        <w:rPr>
          <w:rFonts w:ascii="Times New Roman" w:hAnsi="Times New Roman" w:cs="Times New Roman"/>
          <w:sz w:val="24"/>
          <w:szCs w:val="24"/>
          <w:lang w:val="en-US"/>
        </w:rPr>
        <w:t xml:space="preserve"> </w:t>
      </w:r>
      <w:r w:rsidR="002B4C74" w:rsidRPr="00A75071">
        <w:rPr>
          <w:rFonts w:ascii="Times New Roman" w:hAnsi="Times New Roman" w:cs="Times New Roman"/>
          <w:sz w:val="24"/>
          <w:szCs w:val="24"/>
          <w:lang w:val="en-US"/>
        </w:rPr>
        <w:lastRenderedPageBreak/>
        <w:t xml:space="preserve">defendant did not diligently protect his </w:t>
      </w:r>
      <w:r w:rsidR="0049541E" w:rsidRPr="00A75071">
        <w:rPr>
          <w:rFonts w:ascii="Times New Roman" w:hAnsi="Times New Roman" w:cs="Times New Roman"/>
          <w:sz w:val="24"/>
          <w:szCs w:val="24"/>
          <w:lang w:val="en-US"/>
        </w:rPr>
        <w:t>rights. It</w:t>
      </w:r>
      <w:r w:rsidR="002B4C74" w:rsidRPr="00A75071">
        <w:rPr>
          <w:rFonts w:ascii="Times New Roman" w:hAnsi="Times New Roman" w:cs="Times New Roman"/>
          <w:sz w:val="24"/>
          <w:szCs w:val="24"/>
          <w:lang w:val="en-US"/>
        </w:rPr>
        <w:t xml:space="preserve"> was open to him to compel the labour officer to apply for confirmation by way of a</w:t>
      </w:r>
      <w:r w:rsidR="00B82B1D" w:rsidRPr="00A75071">
        <w:rPr>
          <w:rFonts w:ascii="Times New Roman" w:hAnsi="Times New Roman" w:cs="Times New Roman"/>
          <w:sz w:val="24"/>
          <w:szCs w:val="24"/>
          <w:lang w:val="en-US"/>
        </w:rPr>
        <w:t>n application.</w:t>
      </w:r>
      <w:r w:rsidR="0049541E" w:rsidRPr="00A75071">
        <w:rPr>
          <w:rFonts w:ascii="Times New Roman" w:hAnsi="Times New Roman" w:cs="Times New Roman"/>
          <w:sz w:val="24"/>
          <w:szCs w:val="24"/>
          <w:lang w:val="en-US"/>
        </w:rPr>
        <w:t xml:space="preserve"> </w:t>
      </w:r>
    </w:p>
    <w:p w14:paraId="06AF7F80" w14:textId="64DAC085" w:rsidR="00FF5BA1" w:rsidRPr="00A75071" w:rsidRDefault="00A87475" w:rsidP="00741F4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9541E" w:rsidRPr="00A75071">
        <w:rPr>
          <w:rFonts w:ascii="Times New Roman" w:hAnsi="Times New Roman" w:cs="Times New Roman"/>
          <w:sz w:val="24"/>
          <w:szCs w:val="24"/>
          <w:lang w:val="en-US"/>
        </w:rPr>
        <w:t>In</w:t>
      </w:r>
      <w:r w:rsidR="002B4C74" w:rsidRPr="00A75071">
        <w:rPr>
          <w:rFonts w:ascii="Times New Roman" w:hAnsi="Times New Roman" w:cs="Times New Roman"/>
          <w:sz w:val="24"/>
          <w:szCs w:val="24"/>
          <w:lang w:val="en-US"/>
        </w:rPr>
        <w:t xml:space="preserve"> my view the defendant stands to benefit from the continued occupation</w:t>
      </w:r>
      <w:r w:rsidR="00C60C77" w:rsidRPr="00A75071">
        <w:rPr>
          <w:rFonts w:ascii="Times New Roman" w:hAnsi="Times New Roman" w:cs="Times New Roman"/>
          <w:sz w:val="24"/>
          <w:szCs w:val="24"/>
          <w:lang w:val="en-US"/>
        </w:rPr>
        <w:t xml:space="preserve"> of the property</w:t>
      </w:r>
      <w:r w:rsidR="002B4C74" w:rsidRPr="00A75071">
        <w:rPr>
          <w:rFonts w:ascii="Times New Roman" w:hAnsi="Times New Roman" w:cs="Times New Roman"/>
          <w:sz w:val="24"/>
          <w:szCs w:val="24"/>
          <w:lang w:val="en-US"/>
        </w:rPr>
        <w:t xml:space="preserve"> as a result it is to his adva</w:t>
      </w:r>
      <w:r w:rsidR="00C60C77" w:rsidRPr="00A75071">
        <w:rPr>
          <w:rFonts w:ascii="Times New Roman" w:hAnsi="Times New Roman" w:cs="Times New Roman"/>
          <w:sz w:val="24"/>
          <w:szCs w:val="24"/>
          <w:lang w:val="en-US"/>
        </w:rPr>
        <w:t>ntage</w:t>
      </w:r>
      <w:r w:rsidR="002B4C74" w:rsidRPr="00A75071">
        <w:rPr>
          <w:rFonts w:ascii="Times New Roman" w:hAnsi="Times New Roman" w:cs="Times New Roman"/>
          <w:sz w:val="24"/>
          <w:szCs w:val="24"/>
          <w:lang w:val="en-US"/>
        </w:rPr>
        <w:t xml:space="preserve"> to have this matter continuously held in abeyance to the prejudice of the plaintiff. I say this because when the plaintiff sued out summons the defendant filed a plea in abatement that the proceedings be stayed pending determination of pending matters. Meanwhile no cogent processes for the confirmation of the labour officer’s ruling</w:t>
      </w:r>
      <w:r w:rsidR="00C60C77" w:rsidRPr="00A75071">
        <w:rPr>
          <w:rFonts w:ascii="Times New Roman" w:hAnsi="Times New Roman" w:cs="Times New Roman"/>
          <w:sz w:val="24"/>
          <w:szCs w:val="24"/>
          <w:lang w:val="en-US"/>
        </w:rPr>
        <w:t xml:space="preserve"> were taking place</w:t>
      </w:r>
      <w:r w:rsidR="002B4C74" w:rsidRPr="00A75071">
        <w:rPr>
          <w:rFonts w:ascii="Times New Roman" w:hAnsi="Times New Roman" w:cs="Times New Roman"/>
          <w:sz w:val="24"/>
          <w:szCs w:val="24"/>
          <w:lang w:val="en-US"/>
        </w:rPr>
        <w:t xml:space="preserve">. Even after the application for condonation was withdrawn in the presence of his legal </w:t>
      </w:r>
      <w:r w:rsidR="004444E3">
        <w:rPr>
          <w:rFonts w:ascii="Times New Roman" w:hAnsi="Times New Roman" w:cs="Times New Roman"/>
          <w:sz w:val="24"/>
          <w:szCs w:val="24"/>
          <w:lang w:val="en-US"/>
        </w:rPr>
        <w:t>representatives, t</w:t>
      </w:r>
      <w:r w:rsidR="002B4C74" w:rsidRPr="00A75071">
        <w:rPr>
          <w:rFonts w:ascii="Times New Roman" w:hAnsi="Times New Roman" w:cs="Times New Roman"/>
          <w:sz w:val="24"/>
          <w:szCs w:val="24"/>
          <w:lang w:val="en-US"/>
        </w:rPr>
        <w:t xml:space="preserve">he defendant did nothing about the </w:t>
      </w:r>
      <w:r w:rsidR="00C60C77" w:rsidRPr="00A75071">
        <w:rPr>
          <w:rFonts w:ascii="Times New Roman" w:hAnsi="Times New Roman" w:cs="Times New Roman"/>
          <w:sz w:val="24"/>
          <w:szCs w:val="24"/>
          <w:lang w:val="en-US"/>
        </w:rPr>
        <w:t>matter. The</w:t>
      </w:r>
      <w:r w:rsidR="002B4C74" w:rsidRPr="00A75071">
        <w:rPr>
          <w:rFonts w:ascii="Times New Roman" w:hAnsi="Times New Roman" w:cs="Times New Roman"/>
          <w:sz w:val="24"/>
          <w:szCs w:val="24"/>
          <w:lang w:val="en-US"/>
        </w:rPr>
        <w:t xml:space="preserve"> defendant was content with the state of </w:t>
      </w:r>
      <w:r w:rsidR="00C60C77" w:rsidRPr="00A75071">
        <w:rPr>
          <w:rFonts w:ascii="Times New Roman" w:hAnsi="Times New Roman" w:cs="Times New Roman"/>
          <w:sz w:val="24"/>
          <w:szCs w:val="24"/>
          <w:lang w:val="en-US"/>
        </w:rPr>
        <w:t>affairs.</w:t>
      </w:r>
      <w:r w:rsidR="002B4C74" w:rsidRPr="00A75071">
        <w:rPr>
          <w:rFonts w:ascii="Times New Roman" w:hAnsi="Times New Roman" w:cs="Times New Roman"/>
          <w:sz w:val="24"/>
          <w:szCs w:val="24"/>
          <w:lang w:val="en-US"/>
        </w:rPr>
        <w:t xml:space="preserve"> It is disquieting </w:t>
      </w:r>
      <w:r w:rsidR="00FF5BA1" w:rsidRPr="00A75071">
        <w:rPr>
          <w:rFonts w:ascii="Times New Roman" w:hAnsi="Times New Roman" w:cs="Times New Roman"/>
          <w:sz w:val="24"/>
          <w:szCs w:val="24"/>
          <w:lang w:val="en-US"/>
        </w:rPr>
        <w:t>that,</w:t>
      </w:r>
      <w:r w:rsidR="002B4C74" w:rsidRPr="00A75071">
        <w:rPr>
          <w:rFonts w:ascii="Times New Roman" w:hAnsi="Times New Roman" w:cs="Times New Roman"/>
          <w:sz w:val="24"/>
          <w:szCs w:val="24"/>
          <w:lang w:val="en-US"/>
        </w:rPr>
        <w:t xml:space="preserve"> it is only when this matter was set down for trial that the constitutional application was file</w:t>
      </w:r>
      <w:r w:rsidR="00FF5BA1" w:rsidRPr="00A75071">
        <w:rPr>
          <w:rFonts w:ascii="Times New Roman" w:hAnsi="Times New Roman" w:cs="Times New Roman"/>
          <w:sz w:val="24"/>
          <w:szCs w:val="24"/>
          <w:lang w:val="en-US"/>
        </w:rPr>
        <w:t>d ,s</w:t>
      </w:r>
      <w:r w:rsidR="002B4C74" w:rsidRPr="00A75071">
        <w:rPr>
          <w:rFonts w:ascii="Times New Roman" w:hAnsi="Times New Roman" w:cs="Times New Roman"/>
          <w:sz w:val="24"/>
          <w:szCs w:val="24"/>
          <w:lang w:val="en-US"/>
        </w:rPr>
        <w:t xml:space="preserve">ome three days before the trial. </w:t>
      </w:r>
    </w:p>
    <w:p w14:paraId="062713C3" w14:textId="480E9FF2" w:rsidR="00487EF6" w:rsidRPr="00A75071" w:rsidRDefault="004444E3" w:rsidP="00741F40">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B4C74" w:rsidRPr="00A75071">
        <w:rPr>
          <w:rFonts w:ascii="Times New Roman" w:hAnsi="Times New Roman" w:cs="Times New Roman"/>
          <w:sz w:val="24"/>
          <w:szCs w:val="24"/>
          <w:lang w:val="en-US"/>
        </w:rPr>
        <w:t>I agree with the submissions made for the plaintiff</w:t>
      </w:r>
      <w:r w:rsidR="00FF5BA1" w:rsidRPr="00A75071">
        <w:rPr>
          <w:rFonts w:ascii="Times New Roman" w:hAnsi="Times New Roman" w:cs="Times New Roman"/>
          <w:sz w:val="24"/>
          <w:szCs w:val="24"/>
          <w:lang w:val="en-US"/>
        </w:rPr>
        <w:t>,</w:t>
      </w:r>
      <w:r w:rsidR="002B4C74" w:rsidRPr="00A75071">
        <w:rPr>
          <w:rFonts w:ascii="Times New Roman" w:hAnsi="Times New Roman" w:cs="Times New Roman"/>
          <w:sz w:val="24"/>
          <w:szCs w:val="24"/>
          <w:lang w:val="en-US"/>
        </w:rPr>
        <w:t xml:space="preserve"> the </w:t>
      </w:r>
      <w:r w:rsidR="00FF5BA1" w:rsidRPr="00A75071">
        <w:rPr>
          <w:rFonts w:ascii="Times New Roman" w:hAnsi="Times New Roman" w:cs="Times New Roman"/>
          <w:sz w:val="24"/>
          <w:szCs w:val="24"/>
          <w:lang w:val="en-US"/>
        </w:rPr>
        <w:t xml:space="preserve">constitutional </w:t>
      </w:r>
      <w:r w:rsidR="002B4C74" w:rsidRPr="00A75071">
        <w:rPr>
          <w:rFonts w:ascii="Times New Roman" w:hAnsi="Times New Roman" w:cs="Times New Roman"/>
          <w:sz w:val="24"/>
          <w:szCs w:val="24"/>
          <w:lang w:val="en-US"/>
        </w:rPr>
        <w:t xml:space="preserve">application is meant to frustrate the plaintiff’s case. </w:t>
      </w:r>
      <w:r w:rsidR="008E08BD" w:rsidRPr="00A75071">
        <w:rPr>
          <w:rFonts w:ascii="Times New Roman" w:hAnsi="Times New Roman" w:cs="Times New Roman"/>
          <w:sz w:val="24"/>
          <w:szCs w:val="24"/>
          <w:lang w:val="en-US"/>
        </w:rPr>
        <w:t>The court cannot turn a blind eye to the reality that the defendant continues to benefit from his continued occupation of the property to the prejudice of the plaintiff. He obviously stands to benefit from the delays in the finalization of this matter.</w:t>
      </w:r>
    </w:p>
    <w:p w14:paraId="655CFBEC" w14:textId="47AB6C96" w:rsidR="0004575D" w:rsidRPr="00A75071" w:rsidRDefault="004444E3" w:rsidP="00DF11E0">
      <w:pPr>
        <w:tabs>
          <w:tab w:val="left" w:pos="2160"/>
        </w:tabs>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00100531" w:rsidRPr="00A75071">
        <w:rPr>
          <w:rFonts w:ascii="Times New Roman" w:hAnsi="Times New Roman" w:cs="Times New Roman"/>
          <w:sz w:val="24"/>
          <w:szCs w:val="24"/>
          <w:lang w:val="en-US"/>
        </w:rPr>
        <w:t>J</w:t>
      </w:r>
      <w:r w:rsidR="008E08BD" w:rsidRPr="00A75071">
        <w:rPr>
          <w:rFonts w:ascii="Times New Roman" w:hAnsi="Times New Roman" w:cs="Times New Roman"/>
          <w:sz w:val="24"/>
          <w:szCs w:val="24"/>
          <w:lang w:val="en-US"/>
        </w:rPr>
        <w:t xml:space="preserve">ustice must be practical and aim at finality. In this case the constitutional court application will not </w:t>
      </w:r>
      <w:r w:rsidR="00C60C77" w:rsidRPr="00A75071">
        <w:rPr>
          <w:rFonts w:ascii="Times New Roman" w:hAnsi="Times New Roman" w:cs="Times New Roman"/>
          <w:sz w:val="24"/>
          <w:szCs w:val="24"/>
          <w:lang w:val="en-US"/>
        </w:rPr>
        <w:t>better</w:t>
      </w:r>
      <w:r w:rsidR="008E08BD" w:rsidRPr="00A75071">
        <w:rPr>
          <w:rFonts w:ascii="Times New Roman" w:hAnsi="Times New Roman" w:cs="Times New Roman"/>
          <w:sz w:val="24"/>
          <w:szCs w:val="24"/>
          <w:lang w:val="en-US"/>
        </w:rPr>
        <w:t xml:space="preserve"> the defendant’s</w:t>
      </w:r>
      <w:r w:rsidR="00C60C77" w:rsidRPr="00A75071">
        <w:rPr>
          <w:rFonts w:ascii="Times New Roman" w:hAnsi="Times New Roman" w:cs="Times New Roman"/>
          <w:sz w:val="24"/>
          <w:szCs w:val="24"/>
          <w:lang w:val="en-US"/>
        </w:rPr>
        <w:t xml:space="preserve"> counter claim in anyway.</w:t>
      </w:r>
      <w:r w:rsidR="008E08BD" w:rsidRPr="00A75071">
        <w:rPr>
          <w:rFonts w:ascii="Times New Roman" w:hAnsi="Times New Roman" w:cs="Times New Roman"/>
          <w:sz w:val="24"/>
          <w:szCs w:val="24"/>
          <w:lang w:val="en-US"/>
        </w:rPr>
        <w:t xml:space="preserve"> The constitutional </w:t>
      </w:r>
      <w:r w:rsidR="00C60C77" w:rsidRPr="00A75071">
        <w:rPr>
          <w:rFonts w:ascii="Times New Roman" w:hAnsi="Times New Roman" w:cs="Times New Roman"/>
          <w:sz w:val="24"/>
          <w:szCs w:val="24"/>
          <w:lang w:val="en-US"/>
        </w:rPr>
        <w:t xml:space="preserve">application is still to be successfully prosecuted. Even if the defendant succeeds, it remains a </w:t>
      </w:r>
      <w:r w:rsidR="00100531" w:rsidRPr="00A75071">
        <w:rPr>
          <w:rFonts w:ascii="Times New Roman" w:hAnsi="Times New Roman" w:cs="Times New Roman"/>
          <w:sz w:val="24"/>
          <w:szCs w:val="24"/>
          <w:lang w:val="en-US"/>
        </w:rPr>
        <w:t xml:space="preserve">suspended </w:t>
      </w:r>
      <w:r w:rsidR="00C60C77" w:rsidRPr="00A75071">
        <w:rPr>
          <w:rFonts w:ascii="Times New Roman" w:hAnsi="Times New Roman" w:cs="Times New Roman"/>
          <w:sz w:val="24"/>
          <w:szCs w:val="24"/>
          <w:lang w:val="en-US"/>
        </w:rPr>
        <w:t xml:space="preserve">declaration </w:t>
      </w:r>
      <w:r w:rsidR="00100531" w:rsidRPr="00A75071">
        <w:rPr>
          <w:rFonts w:ascii="Times New Roman" w:hAnsi="Times New Roman" w:cs="Times New Roman"/>
          <w:sz w:val="24"/>
          <w:szCs w:val="24"/>
          <w:lang w:val="en-US"/>
        </w:rPr>
        <w:t>until it is confirmed</w:t>
      </w:r>
      <w:r w:rsidR="008E08BD" w:rsidRPr="00A75071">
        <w:rPr>
          <w:rFonts w:ascii="Times New Roman" w:hAnsi="Times New Roman" w:cs="Times New Roman"/>
          <w:sz w:val="24"/>
          <w:szCs w:val="24"/>
          <w:lang w:val="en-US"/>
        </w:rPr>
        <w:t xml:space="preserve"> by the Constitutional Court. Thereafter the defendant has to approach the </w:t>
      </w:r>
      <w:r w:rsidR="00C60C77" w:rsidRPr="00A75071">
        <w:rPr>
          <w:rFonts w:ascii="Times New Roman" w:hAnsi="Times New Roman" w:cs="Times New Roman"/>
          <w:sz w:val="24"/>
          <w:szCs w:val="24"/>
          <w:lang w:val="en-US"/>
        </w:rPr>
        <w:t>L</w:t>
      </w:r>
      <w:r w:rsidR="008E08BD" w:rsidRPr="00A75071">
        <w:rPr>
          <w:rFonts w:ascii="Times New Roman" w:hAnsi="Times New Roman" w:cs="Times New Roman"/>
          <w:sz w:val="24"/>
          <w:szCs w:val="24"/>
          <w:lang w:val="en-US"/>
        </w:rPr>
        <w:t>abour Court fo</w:t>
      </w:r>
      <w:r w:rsidR="00DF11E0" w:rsidRPr="00A75071">
        <w:rPr>
          <w:rFonts w:ascii="Times New Roman" w:hAnsi="Times New Roman" w:cs="Times New Roman"/>
          <w:sz w:val="24"/>
          <w:szCs w:val="24"/>
          <w:lang w:val="en-US"/>
        </w:rPr>
        <w:t>r confirmation</w:t>
      </w:r>
      <w:r w:rsidR="00100531" w:rsidRPr="00A75071">
        <w:rPr>
          <w:rStyle w:val="FootnoteReference"/>
          <w:rFonts w:ascii="Times New Roman" w:hAnsi="Times New Roman" w:cs="Times New Roman"/>
          <w:sz w:val="24"/>
          <w:szCs w:val="24"/>
          <w:lang w:val="en-US"/>
        </w:rPr>
        <w:footnoteReference w:id="6"/>
      </w:r>
      <w:r w:rsidR="00DF11E0" w:rsidRPr="00A75071">
        <w:rPr>
          <w:rFonts w:ascii="Times New Roman" w:hAnsi="Times New Roman" w:cs="Times New Roman"/>
          <w:sz w:val="24"/>
          <w:szCs w:val="24"/>
          <w:lang w:val="en-US"/>
        </w:rPr>
        <w:t xml:space="preserve">. </w:t>
      </w:r>
      <w:r w:rsidR="00E22F49" w:rsidRPr="00A75071">
        <w:rPr>
          <w:rFonts w:ascii="Times New Roman" w:hAnsi="Times New Roman" w:cs="Times New Roman"/>
          <w:b/>
          <w:bCs/>
          <w:sz w:val="24"/>
          <w:szCs w:val="24"/>
          <w:lang w:val="en-US"/>
        </w:rPr>
        <w:t xml:space="preserve">       </w:t>
      </w:r>
    </w:p>
    <w:p w14:paraId="4E272913" w14:textId="22DAFFE5" w:rsidR="00DF11E0" w:rsidRPr="00A75071" w:rsidRDefault="00980005" w:rsidP="00DF11E0">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E22F49" w:rsidRPr="00A75071">
        <w:rPr>
          <w:rFonts w:ascii="Times New Roman" w:hAnsi="Times New Roman" w:cs="Times New Roman"/>
          <w:sz w:val="24"/>
          <w:szCs w:val="24"/>
          <w:lang w:val="en-US"/>
        </w:rPr>
        <w:t xml:space="preserve">   </w:t>
      </w:r>
      <w:r w:rsidR="00C6183F" w:rsidRPr="00A75071">
        <w:rPr>
          <w:rFonts w:ascii="Times New Roman" w:hAnsi="Times New Roman" w:cs="Times New Roman"/>
          <w:sz w:val="24"/>
          <w:szCs w:val="24"/>
          <w:lang w:val="en-US"/>
        </w:rPr>
        <w:t xml:space="preserve"> The constitutional application has no effect on the claim for eviction. Even if s93 is declared unconstitutional. That will not give the defendant any right. Moreso even if the defendant would apply for confirmation of the labour officer’s ruling </w:t>
      </w:r>
      <w:r w:rsidR="00DF11E0" w:rsidRPr="00A75071">
        <w:rPr>
          <w:rFonts w:ascii="Times New Roman" w:hAnsi="Times New Roman" w:cs="Times New Roman"/>
          <w:sz w:val="24"/>
          <w:szCs w:val="24"/>
          <w:lang w:val="en-US"/>
        </w:rPr>
        <w:t>confirmation of the ruling is subject to the court’s findings.</w:t>
      </w:r>
      <w:r w:rsidR="00C6183F" w:rsidRPr="00A75071">
        <w:rPr>
          <w:rFonts w:ascii="Times New Roman" w:hAnsi="Times New Roman" w:cs="Times New Roman"/>
          <w:sz w:val="24"/>
          <w:szCs w:val="24"/>
          <w:lang w:val="en-US"/>
        </w:rPr>
        <w:t xml:space="preserve"> Confirmation proceedings are not</w:t>
      </w:r>
      <w:r w:rsidR="004501C7">
        <w:rPr>
          <w:rFonts w:ascii="Times New Roman" w:hAnsi="Times New Roman" w:cs="Times New Roman"/>
          <w:sz w:val="24"/>
          <w:szCs w:val="24"/>
          <w:lang w:val="en-US"/>
        </w:rPr>
        <w:t xml:space="preserve"> a</w:t>
      </w:r>
      <w:r w:rsidR="00C6183F" w:rsidRPr="00A75071">
        <w:rPr>
          <w:rFonts w:ascii="Times New Roman" w:hAnsi="Times New Roman" w:cs="Times New Roman"/>
          <w:sz w:val="24"/>
          <w:szCs w:val="24"/>
          <w:lang w:val="en-US"/>
        </w:rPr>
        <w:t xml:space="preserve"> rubberstamping process, the </w:t>
      </w:r>
      <w:r w:rsidR="004501C7" w:rsidRPr="00A75071">
        <w:rPr>
          <w:rFonts w:ascii="Times New Roman" w:hAnsi="Times New Roman" w:cs="Times New Roman"/>
          <w:sz w:val="24"/>
          <w:szCs w:val="24"/>
          <w:lang w:val="en-US"/>
        </w:rPr>
        <w:t xml:space="preserve">Labour Court </w:t>
      </w:r>
      <w:r w:rsidR="00C6183F" w:rsidRPr="00A75071">
        <w:rPr>
          <w:rFonts w:ascii="Times New Roman" w:hAnsi="Times New Roman" w:cs="Times New Roman"/>
          <w:sz w:val="24"/>
          <w:szCs w:val="24"/>
          <w:lang w:val="en-US"/>
        </w:rPr>
        <w:t xml:space="preserve">conducts a hearing. In the final even if the </w:t>
      </w:r>
      <w:r w:rsidR="004501C7" w:rsidRPr="00A75071">
        <w:rPr>
          <w:rFonts w:ascii="Times New Roman" w:hAnsi="Times New Roman" w:cs="Times New Roman"/>
          <w:sz w:val="24"/>
          <w:szCs w:val="24"/>
          <w:lang w:val="en-US"/>
        </w:rPr>
        <w:t xml:space="preserve">Labour Court </w:t>
      </w:r>
      <w:r w:rsidR="00C6183F" w:rsidRPr="00A75071">
        <w:rPr>
          <w:rFonts w:ascii="Times New Roman" w:hAnsi="Times New Roman" w:cs="Times New Roman"/>
          <w:sz w:val="24"/>
          <w:szCs w:val="24"/>
          <w:lang w:val="en-US"/>
        </w:rPr>
        <w:t xml:space="preserve">confirms the labour officer’s ruling that does not amount </w:t>
      </w:r>
      <w:r w:rsidR="004501C7" w:rsidRPr="00A75071">
        <w:rPr>
          <w:rFonts w:ascii="Times New Roman" w:hAnsi="Times New Roman" w:cs="Times New Roman"/>
          <w:sz w:val="24"/>
          <w:szCs w:val="24"/>
          <w:lang w:val="en-US"/>
        </w:rPr>
        <w:t>to a</w:t>
      </w:r>
      <w:r w:rsidR="00DF11E0" w:rsidRPr="00A75071">
        <w:rPr>
          <w:rFonts w:ascii="Times New Roman" w:hAnsi="Times New Roman" w:cs="Times New Roman"/>
          <w:sz w:val="24"/>
          <w:szCs w:val="24"/>
          <w:lang w:val="en-US"/>
        </w:rPr>
        <w:t xml:space="preserve"> </w:t>
      </w:r>
      <w:r w:rsidR="00C6183F" w:rsidRPr="00A75071">
        <w:rPr>
          <w:rFonts w:ascii="Times New Roman" w:hAnsi="Times New Roman" w:cs="Times New Roman"/>
          <w:sz w:val="24"/>
          <w:szCs w:val="24"/>
          <w:lang w:val="en-US"/>
        </w:rPr>
        <w:t>lien.</w:t>
      </w:r>
    </w:p>
    <w:p w14:paraId="25F3A29F" w14:textId="44AC6BDE" w:rsidR="00DF11E0" w:rsidRPr="00A75071" w:rsidRDefault="00C9496C"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3C1FB8">
        <w:rPr>
          <w:rFonts w:ascii="Times New Roman" w:hAnsi="Times New Roman" w:cs="Times New Roman"/>
          <w:sz w:val="24"/>
          <w:szCs w:val="24"/>
          <w:lang w:val="en-US"/>
        </w:rPr>
        <w:t xml:space="preserve"> </w:t>
      </w:r>
      <w:r w:rsidR="00DF11E0" w:rsidRPr="00A75071">
        <w:rPr>
          <w:rFonts w:ascii="Times New Roman" w:hAnsi="Times New Roman" w:cs="Times New Roman"/>
          <w:sz w:val="24"/>
          <w:szCs w:val="24"/>
          <w:lang w:val="en-US"/>
        </w:rPr>
        <w:t xml:space="preserve">These proceedings cannot be stayed based on some multilayered proceedings whose outcomes are uncertain. It is in the interest of finality to litigation and equity that the matter </w:t>
      </w:r>
      <w:r w:rsidR="003C1FB8">
        <w:rPr>
          <w:rFonts w:ascii="Times New Roman" w:hAnsi="Times New Roman" w:cs="Times New Roman"/>
          <w:sz w:val="24"/>
          <w:szCs w:val="24"/>
          <w:lang w:val="en-US"/>
        </w:rPr>
        <w:t>must proceed</w:t>
      </w:r>
      <w:r w:rsidR="00DF11E0" w:rsidRPr="00A75071">
        <w:rPr>
          <w:rFonts w:ascii="Times New Roman" w:hAnsi="Times New Roman" w:cs="Times New Roman"/>
          <w:sz w:val="24"/>
          <w:szCs w:val="24"/>
          <w:lang w:val="en-US"/>
        </w:rPr>
        <w:t>.</w:t>
      </w:r>
    </w:p>
    <w:p w14:paraId="3A133477" w14:textId="6DBD365E" w:rsidR="004A02EF" w:rsidRPr="00A75071" w:rsidRDefault="009076CC"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     </w:t>
      </w:r>
      <w:r w:rsidR="00E22F49" w:rsidRPr="00A75071">
        <w:rPr>
          <w:rFonts w:ascii="Times New Roman" w:hAnsi="Times New Roman" w:cs="Times New Roman"/>
          <w:sz w:val="24"/>
          <w:szCs w:val="24"/>
          <w:lang w:val="en-US"/>
        </w:rPr>
        <w:t xml:space="preserve"> </w:t>
      </w:r>
      <w:r w:rsidR="004A02EF" w:rsidRPr="00A75071">
        <w:rPr>
          <w:rFonts w:ascii="Times New Roman" w:hAnsi="Times New Roman" w:cs="Times New Roman"/>
          <w:sz w:val="24"/>
          <w:szCs w:val="24"/>
          <w:lang w:val="en-US"/>
        </w:rPr>
        <w:t>I deal with the issues referred for determination.</w:t>
      </w:r>
    </w:p>
    <w:p w14:paraId="3686859D" w14:textId="74D038E7" w:rsidR="00E42664" w:rsidRPr="00A75071" w:rsidRDefault="009076CC" w:rsidP="00DB4012">
      <w:pPr>
        <w:tabs>
          <w:tab w:val="left" w:pos="2160"/>
        </w:tabs>
        <w:spacing w:line="360" w:lineRule="auto"/>
        <w:jc w:val="both"/>
        <w:rPr>
          <w:rFonts w:ascii="Times New Roman" w:hAnsi="Times New Roman" w:cs="Times New Roman"/>
          <w:sz w:val="24"/>
          <w:szCs w:val="24"/>
          <w:u w:val="single"/>
          <w:lang w:val="en-US"/>
        </w:rPr>
      </w:pPr>
      <w:r w:rsidRPr="00A75071">
        <w:rPr>
          <w:rFonts w:ascii="Times New Roman" w:hAnsi="Times New Roman" w:cs="Times New Roman"/>
          <w:sz w:val="24"/>
          <w:szCs w:val="24"/>
          <w:lang w:val="en-US"/>
        </w:rPr>
        <w:t xml:space="preserve">       </w:t>
      </w:r>
      <w:r w:rsidR="004A02EF" w:rsidRPr="00A75071">
        <w:rPr>
          <w:rFonts w:ascii="Times New Roman" w:hAnsi="Times New Roman" w:cs="Times New Roman"/>
          <w:sz w:val="24"/>
          <w:szCs w:val="24"/>
          <w:u w:val="single"/>
          <w:lang w:val="en-US"/>
        </w:rPr>
        <w:t xml:space="preserve">The effect </w:t>
      </w:r>
      <w:r w:rsidR="008E08BD" w:rsidRPr="00A75071">
        <w:rPr>
          <w:rFonts w:ascii="Times New Roman" w:hAnsi="Times New Roman" w:cs="Times New Roman"/>
          <w:sz w:val="24"/>
          <w:szCs w:val="24"/>
          <w:u w:val="single"/>
          <w:lang w:val="en-US"/>
        </w:rPr>
        <w:t>of</w:t>
      </w:r>
      <w:r w:rsidR="00BA6974" w:rsidRPr="00A75071">
        <w:rPr>
          <w:rFonts w:ascii="Times New Roman" w:hAnsi="Times New Roman" w:cs="Times New Roman"/>
          <w:sz w:val="24"/>
          <w:szCs w:val="24"/>
          <w:u w:val="single"/>
          <w:lang w:val="en-US"/>
        </w:rPr>
        <w:t xml:space="preserve"> JUSTICE MANGOTA’s judgment under </w:t>
      </w:r>
      <w:r w:rsidR="004A02EF" w:rsidRPr="00A75071">
        <w:rPr>
          <w:rFonts w:ascii="Times New Roman" w:hAnsi="Times New Roman" w:cs="Times New Roman"/>
          <w:sz w:val="24"/>
          <w:szCs w:val="24"/>
          <w:u w:val="single"/>
          <w:lang w:val="en-US"/>
        </w:rPr>
        <w:t xml:space="preserve">HH428/21 on the defendant’s defence and counter </w:t>
      </w:r>
      <w:r w:rsidR="006F4E71" w:rsidRPr="00A75071">
        <w:rPr>
          <w:rFonts w:ascii="Times New Roman" w:hAnsi="Times New Roman" w:cs="Times New Roman"/>
          <w:sz w:val="24"/>
          <w:szCs w:val="24"/>
          <w:u w:val="single"/>
          <w:lang w:val="en-US"/>
        </w:rPr>
        <w:t>claim</w:t>
      </w:r>
      <w:r w:rsidR="004A02EF" w:rsidRPr="00A75071">
        <w:rPr>
          <w:rFonts w:ascii="Times New Roman" w:hAnsi="Times New Roman" w:cs="Times New Roman"/>
          <w:sz w:val="24"/>
          <w:szCs w:val="24"/>
          <w:u w:val="single"/>
          <w:lang w:val="en-US"/>
        </w:rPr>
        <w:t xml:space="preserve">. </w:t>
      </w:r>
    </w:p>
    <w:p w14:paraId="763F0BE2" w14:textId="127D19B2" w:rsidR="00BA6974" w:rsidRPr="00A75071" w:rsidRDefault="00555619"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027">
        <w:rPr>
          <w:rFonts w:ascii="Times New Roman" w:hAnsi="Times New Roman" w:cs="Times New Roman"/>
          <w:sz w:val="24"/>
          <w:szCs w:val="24"/>
          <w:lang w:val="en-US"/>
        </w:rPr>
        <w:t xml:space="preserve"> </w:t>
      </w:r>
      <w:r w:rsidR="004A02EF" w:rsidRPr="00A75071">
        <w:rPr>
          <w:rFonts w:ascii="Times New Roman" w:hAnsi="Times New Roman" w:cs="Times New Roman"/>
          <w:sz w:val="24"/>
          <w:szCs w:val="24"/>
          <w:lang w:val="en-US"/>
        </w:rPr>
        <w:t xml:space="preserve">Under HC7395/19 the defendant sued the plaintiff and others for damages arising </w:t>
      </w:r>
      <w:r w:rsidR="006F4E71" w:rsidRPr="00A75071">
        <w:rPr>
          <w:rFonts w:ascii="Times New Roman" w:hAnsi="Times New Roman" w:cs="Times New Roman"/>
          <w:sz w:val="24"/>
          <w:szCs w:val="24"/>
          <w:lang w:val="en-US"/>
        </w:rPr>
        <w:t>from</w:t>
      </w:r>
      <w:r w:rsidR="004A02EF" w:rsidRPr="00A75071">
        <w:rPr>
          <w:rFonts w:ascii="Times New Roman" w:hAnsi="Times New Roman" w:cs="Times New Roman"/>
          <w:sz w:val="24"/>
          <w:szCs w:val="24"/>
          <w:lang w:val="en-US"/>
        </w:rPr>
        <w:t xml:space="preserve"> </w:t>
      </w:r>
      <w:r w:rsidR="006F4E71" w:rsidRPr="00A75071">
        <w:rPr>
          <w:rFonts w:ascii="Times New Roman" w:hAnsi="Times New Roman" w:cs="Times New Roman"/>
          <w:sz w:val="24"/>
          <w:szCs w:val="24"/>
          <w:lang w:val="en-US"/>
        </w:rPr>
        <w:t>certain sta</w:t>
      </w:r>
      <w:r w:rsidR="00F01D12">
        <w:rPr>
          <w:rFonts w:ascii="Times New Roman" w:hAnsi="Times New Roman" w:cs="Times New Roman"/>
          <w:sz w:val="24"/>
          <w:szCs w:val="24"/>
          <w:lang w:val="en-US"/>
        </w:rPr>
        <w:t>tements published in the Herald</w:t>
      </w:r>
      <w:r w:rsidR="006F4E71" w:rsidRPr="00A75071">
        <w:rPr>
          <w:rFonts w:ascii="Times New Roman" w:hAnsi="Times New Roman" w:cs="Times New Roman"/>
          <w:sz w:val="24"/>
          <w:szCs w:val="24"/>
          <w:lang w:val="en-US"/>
        </w:rPr>
        <w:t xml:space="preserve"> Newspaper on 11 and 22 March 2016. Under HH6150/20 the claim was dismissed for being frivolous and vexation. </w:t>
      </w:r>
      <w:r w:rsidR="00BA6974" w:rsidRPr="00A75071">
        <w:rPr>
          <w:rFonts w:ascii="Times New Roman" w:hAnsi="Times New Roman" w:cs="Times New Roman"/>
          <w:sz w:val="24"/>
          <w:szCs w:val="24"/>
          <w:lang w:val="en-US"/>
        </w:rPr>
        <w:t>An appeal was filed under SC</w:t>
      </w:r>
      <w:r w:rsidR="006F4E71" w:rsidRPr="00A75071">
        <w:rPr>
          <w:rFonts w:ascii="Times New Roman" w:hAnsi="Times New Roman" w:cs="Times New Roman"/>
          <w:sz w:val="24"/>
          <w:szCs w:val="24"/>
          <w:lang w:val="en-US"/>
        </w:rPr>
        <w:t>322/</w:t>
      </w:r>
      <w:r w:rsidR="00BA6974" w:rsidRPr="00A75071">
        <w:rPr>
          <w:rFonts w:ascii="Times New Roman" w:hAnsi="Times New Roman" w:cs="Times New Roman"/>
          <w:sz w:val="24"/>
          <w:szCs w:val="24"/>
          <w:lang w:val="en-US"/>
        </w:rPr>
        <w:t>21. In his counter claim the defendant sues the plaintiff for defamatory damages arising from one Marufu’s statements published in the Herald Newspaper of the 11</w:t>
      </w:r>
      <w:r w:rsidR="00BA6974" w:rsidRPr="00A75071">
        <w:rPr>
          <w:rFonts w:ascii="Times New Roman" w:hAnsi="Times New Roman" w:cs="Times New Roman"/>
          <w:sz w:val="24"/>
          <w:szCs w:val="24"/>
          <w:vertAlign w:val="superscript"/>
          <w:lang w:val="en-US"/>
        </w:rPr>
        <w:t>th</w:t>
      </w:r>
      <w:r w:rsidR="00BA6974" w:rsidRPr="00A75071">
        <w:rPr>
          <w:rFonts w:ascii="Times New Roman" w:hAnsi="Times New Roman" w:cs="Times New Roman"/>
          <w:sz w:val="24"/>
          <w:szCs w:val="24"/>
          <w:lang w:val="en-US"/>
        </w:rPr>
        <w:t xml:space="preserve"> and 22</w:t>
      </w:r>
      <w:r w:rsidR="00BA6974" w:rsidRPr="00A75071">
        <w:rPr>
          <w:rFonts w:ascii="Times New Roman" w:hAnsi="Times New Roman" w:cs="Times New Roman"/>
          <w:sz w:val="24"/>
          <w:szCs w:val="24"/>
          <w:vertAlign w:val="superscript"/>
          <w:lang w:val="en-US"/>
        </w:rPr>
        <w:t>nd</w:t>
      </w:r>
      <w:r w:rsidR="00BA6974" w:rsidRPr="00A75071">
        <w:rPr>
          <w:rFonts w:ascii="Times New Roman" w:hAnsi="Times New Roman" w:cs="Times New Roman"/>
          <w:sz w:val="24"/>
          <w:szCs w:val="24"/>
          <w:lang w:val="en-US"/>
        </w:rPr>
        <w:t xml:space="preserve"> of March 2016. </w:t>
      </w:r>
    </w:p>
    <w:p w14:paraId="7BBB6148" w14:textId="644F8B9E" w:rsidR="00002B17" w:rsidRPr="00A75071" w:rsidRDefault="00555619"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02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BA6974" w:rsidRPr="00A75071">
        <w:rPr>
          <w:rFonts w:ascii="Times New Roman" w:hAnsi="Times New Roman" w:cs="Times New Roman"/>
          <w:sz w:val="24"/>
          <w:szCs w:val="24"/>
          <w:lang w:val="en-US"/>
        </w:rPr>
        <w:t xml:space="preserve">I asked for the </w:t>
      </w:r>
      <w:r w:rsidR="00002B17" w:rsidRPr="00A75071">
        <w:rPr>
          <w:rFonts w:ascii="Times New Roman" w:hAnsi="Times New Roman" w:cs="Times New Roman"/>
          <w:sz w:val="24"/>
          <w:szCs w:val="24"/>
          <w:lang w:val="en-US"/>
        </w:rPr>
        <w:t>record under</w:t>
      </w:r>
      <w:r w:rsidR="00BA6974" w:rsidRPr="00A75071">
        <w:rPr>
          <w:rFonts w:ascii="Times New Roman" w:hAnsi="Times New Roman" w:cs="Times New Roman"/>
          <w:sz w:val="24"/>
          <w:szCs w:val="24"/>
          <w:lang w:val="en-US"/>
        </w:rPr>
        <w:t xml:space="preserve"> HC7395/19 for me to fully appreciate the claim that was dismissed. The record was retrieved but no meaningful pleadings were in the record. My </w:t>
      </w:r>
      <w:r w:rsidR="00002B17" w:rsidRPr="00A75071">
        <w:rPr>
          <w:rFonts w:ascii="Times New Roman" w:hAnsi="Times New Roman" w:cs="Times New Roman"/>
          <w:sz w:val="24"/>
          <w:szCs w:val="24"/>
          <w:lang w:val="en-US"/>
        </w:rPr>
        <w:t>take,</w:t>
      </w:r>
      <w:r w:rsidR="00BA6974" w:rsidRPr="00A75071">
        <w:rPr>
          <w:rFonts w:ascii="Times New Roman" w:hAnsi="Times New Roman" w:cs="Times New Roman"/>
          <w:sz w:val="24"/>
          <w:szCs w:val="24"/>
          <w:lang w:val="en-US"/>
        </w:rPr>
        <w:t xml:space="preserve"> without necessarily </w:t>
      </w:r>
      <w:r w:rsidR="00002B17" w:rsidRPr="00A75071">
        <w:rPr>
          <w:rFonts w:ascii="Times New Roman" w:hAnsi="Times New Roman" w:cs="Times New Roman"/>
          <w:sz w:val="24"/>
          <w:szCs w:val="24"/>
          <w:lang w:val="en-US"/>
        </w:rPr>
        <w:t xml:space="preserve">making a determination since I do not have all the facts, it appears the counter claim is similar to the claim that was dismissed by JUSTICE MANGOTA.The appeal is still pending before the Supreme </w:t>
      </w:r>
      <w:r w:rsidR="008E3E12" w:rsidRPr="00A75071">
        <w:rPr>
          <w:rFonts w:ascii="Times New Roman" w:hAnsi="Times New Roman" w:cs="Times New Roman"/>
          <w:sz w:val="24"/>
          <w:szCs w:val="24"/>
          <w:lang w:val="en-US"/>
        </w:rPr>
        <w:t>Court.</w:t>
      </w:r>
      <w:r w:rsidR="00DF11E0" w:rsidRPr="00A75071">
        <w:rPr>
          <w:rFonts w:ascii="Times New Roman" w:hAnsi="Times New Roman" w:cs="Times New Roman"/>
          <w:sz w:val="24"/>
          <w:szCs w:val="24"/>
          <w:lang w:val="en-US"/>
        </w:rPr>
        <w:t xml:space="preserve"> It is trite that an appeal suspends the order appealed.</w:t>
      </w:r>
      <w:r w:rsidR="008E3E12" w:rsidRPr="00A75071">
        <w:rPr>
          <w:rFonts w:ascii="Times New Roman" w:hAnsi="Times New Roman" w:cs="Times New Roman"/>
          <w:sz w:val="24"/>
          <w:szCs w:val="24"/>
          <w:lang w:val="en-US"/>
        </w:rPr>
        <w:t xml:space="preserve"> The</w:t>
      </w:r>
      <w:r w:rsidR="00002B17" w:rsidRPr="00A75071">
        <w:rPr>
          <w:rFonts w:ascii="Times New Roman" w:hAnsi="Times New Roman" w:cs="Times New Roman"/>
          <w:sz w:val="24"/>
          <w:szCs w:val="24"/>
          <w:lang w:val="en-US"/>
        </w:rPr>
        <w:t xml:space="preserve"> matter is therefore still alive. The </w:t>
      </w:r>
      <w:r w:rsidR="008E3E12" w:rsidRPr="00A75071">
        <w:rPr>
          <w:rFonts w:ascii="Times New Roman" w:hAnsi="Times New Roman" w:cs="Times New Roman"/>
          <w:sz w:val="24"/>
          <w:szCs w:val="24"/>
          <w:lang w:val="en-US"/>
        </w:rPr>
        <w:t>counter claim may suffer a still birth under these circumstances.</w:t>
      </w:r>
    </w:p>
    <w:p w14:paraId="0D6D1530" w14:textId="5AAC10F3" w:rsidR="008E3E12" w:rsidRPr="00A75071" w:rsidRDefault="00811874"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53027">
        <w:rPr>
          <w:rFonts w:ascii="Times New Roman" w:hAnsi="Times New Roman" w:cs="Times New Roman"/>
          <w:sz w:val="24"/>
          <w:szCs w:val="24"/>
          <w:lang w:val="en-US"/>
        </w:rPr>
        <w:t xml:space="preserve"> </w:t>
      </w:r>
      <w:r w:rsidR="00002B17" w:rsidRPr="00A75071">
        <w:rPr>
          <w:rFonts w:ascii="Times New Roman" w:hAnsi="Times New Roman" w:cs="Times New Roman"/>
          <w:sz w:val="24"/>
          <w:szCs w:val="24"/>
          <w:lang w:val="en-US"/>
        </w:rPr>
        <w:t>That as it maybe counsel did</w:t>
      </w:r>
      <w:r w:rsidR="00555619">
        <w:rPr>
          <w:rFonts w:ascii="Times New Roman" w:hAnsi="Times New Roman" w:cs="Times New Roman"/>
          <w:sz w:val="24"/>
          <w:szCs w:val="24"/>
          <w:lang w:val="en-US"/>
        </w:rPr>
        <w:t xml:space="preserve"> not address the issue from that</w:t>
      </w:r>
      <w:r w:rsidR="00002B17" w:rsidRPr="00A75071">
        <w:rPr>
          <w:rFonts w:ascii="Times New Roman" w:hAnsi="Times New Roman" w:cs="Times New Roman"/>
          <w:sz w:val="24"/>
          <w:szCs w:val="24"/>
          <w:lang w:val="en-US"/>
        </w:rPr>
        <w:t xml:space="preserve"> perspective. According to the plaintiff the matter was disposed, and the counter claim cannot resuscitate it. The judgment is still </w:t>
      </w:r>
      <w:r w:rsidR="008E3E12" w:rsidRPr="00A75071">
        <w:rPr>
          <w:rFonts w:ascii="Times New Roman" w:hAnsi="Times New Roman" w:cs="Times New Roman"/>
          <w:sz w:val="24"/>
          <w:szCs w:val="24"/>
          <w:lang w:val="en-US"/>
        </w:rPr>
        <w:t>extant. According</w:t>
      </w:r>
      <w:r w:rsidR="00002B17" w:rsidRPr="00A75071">
        <w:rPr>
          <w:rFonts w:ascii="Times New Roman" w:hAnsi="Times New Roman" w:cs="Times New Roman"/>
          <w:sz w:val="24"/>
          <w:szCs w:val="24"/>
          <w:lang w:val="en-US"/>
        </w:rPr>
        <w:t xml:space="preserve"> to the defendant the issue does not arise. The MANGOTA judgment determined the matter on a technicality and the defendant is at large to approach the court on the same </w:t>
      </w:r>
      <w:r w:rsidR="008E3E12" w:rsidRPr="00A75071">
        <w:rPr>
          <w:rFonts w:ascii="Times New Roman" w:hAnsi="Times New Roman" w:cs="Times New Roman"/>
          <w:sz w:val="24"/>
          <w:szCs w:val="24"/>
          <w:lang w:val="en-US"/>
        </w:rPr>
        <w:t>issue. It</w:t>
      </w:r>
      <w:r w:rsidR="00002B17" w:rsidRPr="00A75071">
        <w:rPr>
          <w:rFonts w:ascii="Times New Roman" w:hAnsi="Times New Roman" w:cs="Times New Roman"/>
          <w:sz w:val="24"/>
          <w:szCs w:val="24"/>
          <w:lang w:val="en-US"/>
        </w:rPr>
        <w:t xml:space="preserve"> was not determined on the merits.</w:t>
      </w:r>
    </w:p>
    <w:p w14:paraId="134C2866" w14:textId="77777777" w:rsidR="00A43403" w:rsidRDefault="00502F3F"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A6974" w:rsidRPr="00A75071">
        <w:rPr>
          <w:rFonts w:ascii="Times New Roman" w:hAnsi="Times New Roman" w:cs="Times New Roman"/>
          <w:sz w:val="24"/>
          <w:szCs w:val="24"/>
          <w:lang w:val="en-US"/>
        </w:rPr>
        <w:t>It</w:t>
      </w:r>
      <w:r w:rsidR="006F4E71" w:rsidRPr="00A75071">
        <w:rPr>
          <w:rFonts w:ascii="Times New Roman" w:hAnsi="Times New Roman" w:cs="Times New Roman"/>
          <w:sz w:val="24"/>
          <w:szCs w:val="24"/>
          <w:lang w:val="en-US"/>
        </w:rPr>
        <w:t xml:space="preserve"> is trite that an appeal suspends the operation of the order</w:t>
      </w:r>
      <w:r w:rsidR="008E3E12" w:rsidRPr="00A75071">
        <w:rPr>
          <w:rFonts w:ascii="Times New Roman" w:hAnsi="Times New Roman" w:cs="Times New Roman"/>
          <w:sz w:val="24"/>
          <w:szCs w:val="24"/>
          <w:lang w:val="en-US"/>
        </w:rPr>
        <w:t xml:space="preserve"> appealed.</w:t>
      </w:r>
      <w:r w:rsidR="006F4E71" w:rsidRPr="00A75071">
        <w:rPr>
          <w:rFonts w:ascii="Times New Roman" w:hAnsi="Times New Roman" w:cs="Times New Roman"/>
          <w:sz w:val="24"/>
          <w:szCs w:val="24"/>
          <w:lang w:val="en-US"/>
        </w:rPr>
        <w:t xml:space="preserve"> The position taken by counsel for the plaintiff that</w:t>
      </w:r>
      <w:r w:rsidR="008E3E12" w:rsidRPr="00A75071">
        <w:rPr>
          <w:rFonts w:ascii="Times New Roman" w:hAnsi="Times New Roman" w:cs="Times New Roman"/>
          <w:sz w:val="24"/>
          <w:szCs w:val="24"/>
          <w:lang w:val="en-US"/>
        </w:rPr>
        <w:t xml:space="preserve"> the MANGOTA judgment</w:t>
      </w:r>
      <w:r w:rsidR="006F4E71" w:rsidRPr="00A75071">
        <w:rPr>
          <w:rFonts w:ascii="Times New Roman" w:hAnsi="Times New Roman" w:cs="Times New Roman"/>
          <w:sz w:val="24"/>
          <w:szCs w:val="24"/>
          <w:lang w:val="en-US"/>
        </w:rPr>
        <w:t xml:space="preserve"> is still extant is untenable.</w:t>
      </w:r>
    </w:p>
    <w:p w14:paraId="1D6F8720" w14:textId="6BB67FA8" w:rsidR="008E3E12" w:rsidRPr="00A75071" w:rsidRDefault="00502F3F"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E3E12" w:rsidRPr="00A75071">
        <w:rPr>
          <w:rFonts w:ascii="Times New Roman" w:hAnsi="Times New Roman" w:cs="Times New Roman"/>
          <w:sz w:val="24"/>
          <w:szCs w:val="24"/>
          <w:lang w:val="en-US"/>
        </w:rPr>
        <w:t>My finding is that the MANGOTA judgment is not relevant in the determination of this special case.</w:t>
      </w:r>
      <w:r w:rsidR="006F4E71" w:rsidRPr="00A75071">
        <w:rPr>
          <w:rFonts w:ascii="Times New Roman" w:hAnsi="Times New Roman" w:cs="Times New Roman"/>
          <w:sz w:val="24"/>
          <w:szCs w:val="24"/>
          <w:lang w:val="en-US"/>
        </w:rPr>
        <w:t xml:space="preserve"> </w:t>
      </w:r>
      <w:r w:rsidR="008E3E12" w:rsidRPr="00A75071">
        <w:rPr>
          <w:rFonts w:ascii="Times New Roman" w:hAnsi="Times New Roman" w:cs="Times New Roman"/>
          <w:sz w:val="24"/>
          <w:szCs w:val="24"/>
          <w:lang w:val="en-US"/>
        </w:rPr>
        <w:t>This is so, because in this case the court will not address the counter claim on the defamation</w:t>
      </w:r>
      <w:r w:rsidR="00831A45" w:rsidRPr="00A75071">
        <w:rPr>
          <w:rFonts w:ascii="Times New Roman" w:hAnsi="Times New Roman" w:cs="Times New Roman"/>
          <w:sz w:val="24"/>
          <w:szCs w:val="24"/>
          <w:lang w:val="en-US"/>
        </w:rPr>
        <w:t xml:space="preserve"> damages</w:t>
      </w:r>
      <w:r w:rsidR="008E3E12" w:rsidRPr="00A75071">
        <w:rPr>
          <w:rFonts w:ascii="Times New Roman" w:hAnsi="Times New Roman" w:cs="Times New Roman"/>
          <w:sz w:val="24"/>
          <w:szCs w:val="24"/>
          <w:lang w:val="en-US"/>
        </w:rPr>
        <w:t xml:space="preserve">. It is a trial cause. </w:t>
      </w:r>
    </w:p>
    <w:p w14:paraId="0DD0879C" w14:textId="031C82CD" w:rsidR="004A02EF" w:rsidRPr="00A75071" w:rsidRDefault="00502F3F"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831A45" w:rsidRPr="00A75071">
        <w:rPr>
          <w:rFonts w:ascii="Times New Roman" w:hAnsi="Times New Roman" w:cs="Times New Roman"/>
          <w:sz w:val="24"/>
          <w:szCs w:val="24"/>
          <w:lang w:val="en-US"/>
        </w:rPr>
        <w:t>It</w:t>
      </w:r>
      <w:r w:rsidR="008E3E12" w:rsidRPr="00A75071">
        <w:rPr>
          <w:rFonts w:ascii="Times New Roman" w:hAnsi="Times New Roman" w:cs="Times New Roman"/>
          <w:sz w:val="24"/>
          <w:szCs w:val="24"/>
          <w:lang w:val="en-US"/>
        </w:rPr>
        <w:t xml:space="preserve"> w</w:t>
      </w:r>
      <w:r>
        <w:rPr>
          <w:rFonts w:ascii="Times New Roman" w:hAnsi="Times New Roman" w:cs="Times New Roman"/>
          <w:sz w:val="24"/>
          <w:szCs w:val="24"/>
          <w:lang w:val="en-US"/>
        </w:rPr>
        <w:t>ould appear the defendant has thrown</w:t>
      </w:r>
      <w:r w:rsidR="008E3E12" w:rsidRPr="00A75071">
        <w:rPr>
          <w:rFonts w:ascii="Times New Roman" w:hAnsi="Times New Roman" w:cs="Times New Roman"/>
          <w:sz w:val="24"/>
          <w:szCs w:val="24"/>
          <w:lang w:val="en-US"/>
        </w:rPr>
        <w:t xml:space="preserve"> everything </w:t>
      </w:r>
      <w:r>
        <w:rPr>
          <w:rFonts w:ascii="Times New Roman" w:hAnsi="Times New Roman" w:cs="Times New Roman"/>
          <w:sz w:val="24"/>
          <w:szCs w:val="24"/>
          <w:lang w:val="en-US"/>
        </w:rPr>
        <w:t>for the court to sift relevant issues</w:t>
      </w:r>
      <w:r w:rsidR="008E3E12" w:rsidRPr="00A7507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w:t>
      </w:r>
      <w:r w:rsidR="008E3E12" w:rsidRPr="00A75071">
        <w:rPr>
          <w:rFonts w:ascii="Times New Roman" w:hAnsi="Times New Roman" w:cs="Times New Roman"/>
          <w:sz w:val="24"/>
          <w:szCs w:val="24"/>
          <w:lang w:val="en-US"/>
        </w:rPr>
        <w:t xml:space="preserve">has </w:t>
      </w:r>
      <w:r w:rsidR="003B3033" w:rsidRPr="00A75071">
        <w:rPr>
          <w:rFonts w:ascii="Times New Roman" w:hAnsi="Times New Roman" w:cs="Times New Roman"/>
          <w:sz w:val="24"/>
          <w:szCs w:val="24"/>
          <w:lang w:val="en-US"/>
        </w:rPr>
        <w:t>an</w:t>
      </w:r>
      <w:r w:rsidR="008E3E12" w:rsidRPr="00A75071">
        <w:rPr>
          <w:rFonts w:ascii="Times New Roman" w:hAnsi="Times New Roman" w:cs="Times New Roman"/>
          <w:sz w:val="24"/>
          <w:szCs w:val="24"/>
          <w:lang w:val="en-US"/>
        </w:rPr>
        <w:t xml:space="preserve"> unque</w:t>
      </w:r>
      <w:r w:rsidR="00831A45" w:rsidRPr="00A75071">
        <w:rPr>
          <w:rFonts w:ascii="Times New Roman" w:hAnsi="Times New Roman" w:cs="Times New Roman"/>
          <w:sz w:val="24"/>
          <w:szCs w:val="24"/>
          <w:lang w:val="en-US"/>
        </w:rPr>
        <w:t>nch</w:t>
      </w:r>
      <w:r w:rsidR="008E3E12" w:rsidRPr="00A75071">
        <w:rPr>
          <w:rFonts w:ascii="Times New Roman" w:hAnsi="Times New Roman" w:cs="Times New Roman"/>
          <w:sz w:val="24"/>
          <w:szCs w:val="24"/>
          <w:lang w:val="en-US"/>
        </w:rPr>
        <w:t>able appetite for litigation</w:t>
      </w:r>
      <w:r w:rsidR="00831A45" w:rsidRPr="00A75071">
        <w:rPr>
          <w:rFonts w:ascii="Times New Roman" w:hAnsi="Times New Roman" w:cs="Times New Roman"/>
          <w:sz w:val="24"/>
          <w:szCs w:val="24"/>
          <w:lang w:val="en-US"/>
        </w:rPr>
        <w:t xml:space="preserve">. This is apparent from the </w:t>
      </w:r>
      <w:r w:rsidR="003B3033" w:rsidRPr="00A75071">
        <w:rPr>
          <w:rFonts w:ascii="Times New Roman" w:hAnsi="Times New Roman" w:cs="Times New Roman"/>
          <w:sz w:val="24"/>
          <w:szCs w:val="24"/>
          <w:lang w:val="en-US"/>
        </w:rPr>
        <w:t>casual response</w:t>
      </w:r>
      <w:r w:rsidR="00831A45" w:rsidRPr="00A75071">
        <w:rPr>
          <w:rFonts w:ascii="Times New Roman" w:hAnsi="Times New Roman" w:cs="Times New Roman"/>
          <w:sz w:val="24"/>
          <w:szCs w:val="24"/>
          <w:lang w:val="en-US"/>
        </w:rPr>
        <w:t xml:space="preserve"> that despite the pending </w:t>
      </w:r>
      <w:r w:rsidRPr="00A75071">
        <w:rPr>
          <w:rFonts w:ascii="Times New Roman" w:hAnsi="Times New Roman" w:cs="Times New Roman"/>
          <w:sz w:val="24"/>
          <w:szCs w:val="24"/>
          <w:lang w:val="en-US"/>
        </w:rPr>
        <w:t>case before the</w:t>
      </w:r>
      <w:r w:rsidR="00831A45" w:rsidRPr="00A75071">
        <w:rPr>
          <w:rFonts w:ascii="Times New Roman" w:hAnsi="Times New Roman" w:cs="Times New Roman"/>
          <w:sz w:val="24"/>
          <w:szCs w:val="24"/>
          <w:lang w:val="en-US"/>
        </w:rPr>
        <w:t xml:space="preserve"> Supreme Court </w:t>
      </w:r>
      <w:r w:rsidR="003B3033" w:rsidRPr="00A75071">
        <w:rPr>
          <w:rFonts w:ascii="Times New Roman" w:hAnsi="Times New Roman" w:cs="Times New Roman"/>
          <w:sz w:val="24"/>
          <w:szCs w:val="24"/>
          <w:lang w:val="en-US"/>
        </w:rPr>
        <w:t>the defenda</w:t>
      </w:r>
      <w:r w:rsidR="00831A45" w:rsidRPr="00A75071">
        <w:rPr>
          <w:rFonts w:ascii="Times New Roman" w:hAnsi="Times New Roman" w:cs="Times New Roman"/>
          <w:sz w:val="24"/>
          <w:szCs w:val="24"/>
          <w:lang w:val="en-US"/>
        </w:rPr>
        <w:t>nt can still sue out summons on the same</w:t>
      </w:r>
      <w:r>
        <w:rPr>
          <w:rFonts w:ascii="Times New Roman" w:hAnsi="Times New Roman" w:cs="Times New Roman"/>
          <w:sz w:val="24"/>
          <w:szCs w:val="24"/>
          <w:lang w:val="en-US"/>
        </w:rPr>
        <w:t xml:space="preserve"> cause </w:t>
      </w:r>
      <w:r w:rsidRPr="00A75071">
        <w:rPr>
          <w:rFonts w:ascii="Times New Roman" w:hAnsi="Times New Roman" w:cs="Times New Roman"/>
          <w:sz w:val="24"/>
          <w:szCs w:val="24"/>
          <w:lang w:val="en-US"/>
        </w:rPr>
        <w:t>because</w:t>
      </w:r>
      <w:r w:rsidR="00831A45" w:rsidRPr="00A75071">
        <w:rPr>
          <w:rFonts w:ascii="Times New Roman" w:hAnsi="Times New Roman" w:cs="Times New Roman"/>
          <w:sz w:val="24"/>
          <w:szCs w:val="24"/>
          <w:lang w:val="en-US"/>
        </w:rPr>
        <w:t xml:space="preserve"> the matter was not decided on the merits. This is a wrong approach to litigation. Parties must aim for finality to litigation. The def</w:t>
      </w:r>
      <w:r>
        <w:rPr>
          <w:rFonts w:ascii="Times New Roman" w:hAnsi="Times New Roman" w:cs="Times New Roman"/>
          <w:sz w:val="24"/>
          <w:szCs w:val="24"/>
          <w:lang w:val="en-US"/>
        </w:rPr>
        <w:t xml:space="preserve">endant could well prosecute his </w:t>
      </w:r>
      <w:r w:rsidR="00831A45" w:rsidRPr="00A75071">
        <w:rPr>
          <w:rFonts w:ascii="Times New Roman" w:hAnsi="Times New Roman" w:cs="Times New Roman"/>
          <w:sz w:val="24"/>
          <w:szCs w:val="24"/>
          <w:lang w:val="en-US"/>
        </w:rPr>
        <w:t>appeal and have the matter finalized.</w:t>
      </w:r>
    </w:p>
    <w:p w14:paraId="13492D84" w14:textId="4F73935B" w:rsidR="00A12036" w:rsidRPr="00A75071" w:rsidRDefault="00A12036" w:rsidP="00A12036">
      <w:pPr>
        <w:tabs>
          <w:tab w:val="left" w:pos="2160"/>
        </w:tabs>
        <w:spacing w:line="360" w:lineRule="auto"/>
        <w:jc w:val="both"/>
        <w:rPr>
          <w:rFonts w:ascii="Times New Roman" w:hAnsi="Times New Roman" w:cs="Times New Roman"/>
          <w:sz w:val="24"/>
          <w:szCs w:val="24"/>
          <w:u w:val="single"/>
          <w:lang w:val="en-US"/>
        </w:rPr>
      </w:pPr>
      <w:r w:rsidRPr="00A75071">
        <w:rPr>
          <w:rFonts w:ascii="Times New Roman" w:hAnsi="Times New Roman" w:cs="Times New Roman"/>
          <w:sz w:val="24"/>
          <w:szCs w:val="24"/>
          <w:u w:val="single"/>
          <w:lang w:val="en-US"/>
        </w:rPr>
        <w:t>Status of the labour officer’s ruling.</w:t>
      </w:r>
    </w:p>
    <w:p w14:paraId="0C911324" w14:textId="38527C33" w:rsidR="00A12036" w:rsidRPr="00A75071" w:rsidRDefault="004F70F7" w:rsidP="00A12036">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12036" w:rsidRPr="00A75071">
        <w:rPr>
          <w:rFonts w:ascii="Times New Roman" w:hAnsi="Times New Roman" w:cs="Times New Roman"/>
          <w:sz w:val="24"/>
          <w:szCs w:val="24"/>
          <w:lang w:val="en-US"/>
        </w:rPr>
        <w:t xml:space="preserve">Under this heading I will address the second, third and fourth issues as they are </w:t>
      </w:r>
      <w:r w:rsidR="00831A45" w:rsidRPr="00A75071">
        <w:rPr>
          <w:rFonts w:ascii="Times New Roman" w:hAnsi="Times New Roman" w:cs="Times New Roman"/>
          <w:sz w:val="24"/>
          <w:szCs w:val="24"/>
          <w:lang w:val="en-US"/>
        </w:rPr>
        <w:t>related. This will also apply to my finding in respect of the stay of these proceedings.</w:t>
      </w:r>
    </w:p>
    <w:p w14:paraId="7963E31D" w14:textId="47D7398F" w:rsidR="00A12036" w:rsidRPr="00A75071" w:rsidRDefault="004F70F7" w:rsidP="00A12036">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12036" w:rsidRPr="00A75071">
        <w:rPr>
          <w:rFonts w:ascii="Times New Roman" w:hAnsi="Times New Roman" w:cs="Times New Roman"/>
          <w:sz w:val="24"/>
          <w:szCs w:val="24"/>
          <w:lang w:val="en-US"/>
        </w:rPr>
        <w:t>The submission made for the defendant that the defendant’s rights have been pronounced by the labour officer, what remains is registration for purposes of enforcement is incorrect at law. The defendant is a holder of a ruling by a labour officer. It is neither appealable nor reviewable</w:t>
      </w:r>
      <w:r w:rsidR="00A12036" w:rsidRPr="00A75071">
        <w:rPr>
          <w:rFonts w:ascii="Times New Roman" w:hAnsi="Times New Roman" w:cs="Times New Roman"/>
          <w:sz w:val="24"/>
          <w:szCs w:val="24"/>
          <w:vertAlign w:val="superscript"/>
          <w:lang w:val="en-US"/>
        </w:rPr>
        <w:footnoteReference w:id="7"/>
      </w:r>
      <w:r w:rsidR="00A12036" w:rsidRPr="00A75071">
        <w:rPr>
          <w:rFonts w:ascii="Times New Roman" w:hAnsi="Times New Roman" w:cs="Times New Roman"/>
          <w:sz w:val="24"/>
          <w:szCs w:val="24"/>
          <w:lang w:val="en-US"/>
        </w:rPr>
        <w:t xml:space="preserve">. It remains a draft ruling subject to confirmation. Confirmation of a draft ruling is not registration for purposes of enforcement. In the </w:t>
      </w:r>
      <w:r w:rsidR="00A12036" w:rsidRPr="00A75071">
        <w:rPr>
          <w:rFonts w:ascii="Times New Roman" w:hAnsi="Times New Roman" w:cs="Times New Roman"/>
          <w:i/>
          <w:iCs/>
          <w:sz w:val="24"/>
          <w:szCs w:val="24"/>
          <w:lang w:val="en-US"/>
        </w:rPr>
        <w:t xml:space="preserve">Isoquant </w:t>
      </w:r>
      <w:r w:rsidR="00A12036" w:rsidRPr="00A75071">
        <w:rPr>
          <w:rFonts w:ascii="Times New Roman" w:hAnsi="Times New Roman" w:cs="Times New Roman"/>
          <w:sz w:val="24"/>
          <w:szCs w:val="24"/>
          <w:lang w:val="en-US"/>
        </w:rPr>
        <w:t>matter</w:t>
      </w:r>
      <w:r w:rsidR="003B3033" w:rsidRPr="00A75071">
        <w:rPr>
          <w:rFonts w:ascii="Times New Roman" w:hAnsi="Times New Roman" w:cs="Times New Roman"/>
          <w:sz w:val="24"/>
          <w:szCs w:val="24"/>
          <w:lang w:val="en-US"/>
        </w:rPr>
        <w:t xml:space="preserve"> (supra)</w:t>
      </w:r>
      <w:r w:rsidR="00A12036" w:rsidRPr="00A75071">
        <w:rPr>
          <w:rFonts w:ascii="Times New Roman" w:hAnsi="Times New Roman" w:cs="Times New Roman"/>
          <w:sz w:val="24"/>
          <w:szCs w:val="24"/>
          <w:lang w:val="en-US"/>
        </w:rPr>
        <w:t xml:space="preserve"> the court was clear that, </w:t>
      </w:r>
    </w:p>
    <w:p w14:paraId="080CB84A" w14:textId="448DC710" w:rsidR="00A12036" w:rsidRPr="00A75071" w:rsidRDefault="00C34B17" w:rsidP="003B3033">
      <w:pPr>
        <w:tabs>
          <w:tab w:val="left" w:pos="2160"/>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75071">
        <w:rPr>
          <w:rFonts w:ascii="Times New Roman" w:hAnsi="Times New Roman" w:cs="Times New Roman"/>
          <w:sz w:val="24"/>
          <w:szCs w:val="24"/>
          <w:lang w:val="en-US"/>
        </w:rPr>
        <w:t>‘The</w:t>
      </w:r>
      <w:r w:rsidR="00A12036" w:rsidRPr="00A75071">
        <w:rPr>
          <w:rFonts w:ascii="Times New Roman" w:hAnsi="Times New Roman" w:cs="Times New Roman"/>
          <w:sz w:val="24"/>
          <w:szCs w:val="24"/>
          <w:lang w:val="en-US"/>
        </w:rPr>
        <w:t xml:space="preserve"> draft ruling is not capable of enforcement until it has been confirmed by the Labour Court. A draft ruling is not a determination as it is not preceded by a hearing.’</w:t>
      </w:r>
    </w:p>
    <w:p w14:paraId="31BAAE2B" w14:textId="15A48AE4" w:rsidR="00831A45" w:rsidRPr="00A75071" w:rsidRDefault="00C34B17" w:rsidP="00797247">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12036" w:rsidRPr="00A75071">
        <w:rPr>
          <w:rFonts w:ascii="Times New Roman" w:hAnsi="Times New Roman" w:cs="Times New Roman"/>
          <w:sz w:val="24"/>
          <w:szCs w:val="24"/>
          <w:lang w:val="en-US"/>
        </w:rPr>
        <w:t xml:space="preserve">It is trite that what is not enforceable is not a right. A right is that which is enforceable. </w:t>
      </w:r>
      <w:r w:rsidR="003B3033" w:rsidRPr="00A75071">
        <w:rPr>
          <w:rFonts w:ascii="Times New Roman" w:hAnsi="Times New Roman" w:cs="Times New Roman"/>
          <w:sz w:val="24"/>
          <w:szCs w:val="24"/>
          <w:lang w:val="en-US"/>
        </w:rPr>
        <w:t xml:space="preserve">Where labour officer’s ruling is </w:t>
      </w:r>
      <w:r w:rsidR="00B458D2" w:rsidRPr="00A75071">
        <w:rPr>
          <w:rFonts w:ascii="Times New Roman" w:hAnsi="Times New Roman" w:cs="Times New Roman"/>
          <w:sz w:val="24"/>
          <w:szCs w:val="24"/>
          <w:lang w:val="en-US"/>
        </w:rPr>
        <w:t>confirmed, it</w:t>
      </w:r>
      <w:r w:rsidR="00A12036" w:rsidRPr="00A75071">
        <w:rPr>
          <w:rFonts w:ascii="Times New Roman" w:hAnsi="Times New Roman" w:cs="Times New Roman"/>
          <w:sz w:val="24"/>
          <w:szCs w:val="24"/>
          <w:lang w:val="en-US"/>
        </w:rPr>
        <w:t xml:space="preserve"> ceases to </w:t>
      </w:r>
      <w:r w:rsidRPr="00A75071">
        <w:rPr>
          <w:rFonts w:ascii="Times New Roman" w:hAnsi="Times New Roman" w:cs="Times New Roman"/>
          <w:sz w:val="24"/>
          <w:szCs w:val="24"/>
          <w:lang w:val="en-US"/>
        </w:rPr>
        <w:t>be a</w:t>
      </w:r>
      <w:r w:rsidR="003B3033" w:rsidRPr="00A75071">
        <w:rPr>
          <w:rFonts w:ascii="Times New Roman" w:hAnsi="Times New Roman" w:cs="Times New Roman"/>
          <w:sz w:val="24"/>
          <w:szCs w:val="24"/>
          <w:lang w:val="en-US"/>
        </w:rPr>
        <w:t xml:space="preserve"> draft ruling it becomes an order of </w:t>
      </w:r>
      <w:r w:rsidRPr="00A75071">
        <w:rPr>
          <w:rFonts w:ascii="Times New Roman" w:hAnsi="Times New Roman" w:cs="Times New Roman"/>
          <w:sz w:val="24"/>
          <w:szCs w:val="24"/>
          <w:lang w:val="en-US"/>
        </w:rPr>
        <w:t>the Labour</w:t>
      </w:r>
      <w:r w:rsidR="00A12036" w:rsidRPr="00A75071">
        <w:rPr>
          <w:rFonts w:ascii="Times New Roman" w:hAnsi="Times New Roman" w:cs="Times New Roman"/>
          <w:sz w:val="24"/>
          <w:szCs w:val="24"/>
          <w:lang w:val="en-US"/>
        </w:rPr>
        <w:t xml:space="preserve"> </w:t>
      </w:r>
      <w:r w:rsidRPr="00A75071">
        <w:rPr>
          <w:rFonts w:ascii="Times New Roman" w:hAnsi="Times New Roman" w:cs="Times New Roman"/>
          <w:sz w:val="24"/>
          <w:szCs w:val="24"/>
          <w:lang w:val="en-US"/>
        </w:rPr>
        <w:t xml:space="preserve">Court. </w:t>
      </w:r>
      <w:r w:rsidR="003B3033" w:rsidRPr="00A75071">
        <w:rPr>
          <w:rFonts w:ascii="Times New Roman" w:hAnsi="Times New Roman" w:cs="Times New Roman"/>
          <w:sz w:val="24"/>
          <w:szCs w:val="24"/>
          <w:lang w:val="en-US"/>
        </w:rPr>
        <w:t xml:space="preserve">It is at this stage that </w:t>
      </w:r>
      <w:r w:rsidR="00B458D2" w:rsidRPr="00A75071">
        <w:rPr>
          <w:rFonts w:ascii="Times New Roman" w:hAnsi="Times New Roman" w:cs="Times New Roman"/>
          <w:sz w:val="24"/>
          <w:szCs w:val="24"/>
          <w:lang w:val="en-US"/>
        </w:rPr>
        <w:t>an applicant holds an order that is enforceable by way of registration in terms</w:t>
      </w:r>
      <w:r w:rsidR="00A12036" w:rsidRPr="00A75071">
        <w:rPr>
          <w:rFonts w:ascii="Times New Roman" w:hAnsi="Times New Roman" w:cs="Times New Roman"/>
          <w:sz w:val="24"/>
          <w:szCs w:val="24"/>
          <w:lang w:val="en-US"/>
        </w:rPr>
        <w:t xml:space="preserve"> of s93</w:t>
      </w:r>
      <w:r>
        <w:rPr>
          <w:rFonts w:ascii="Times New Roman" w:hAnsi="Times New Roman" w:cs="Times New Roman"/>
          <w:sz w:val="24"/>
          <w:szCs w:val="24"/>
          <w:lang w:val="en-US"/>
        </w:rPr>
        <w:t xml:space="preserve"> </w:t>
      </w:r>
      <w:r w:rsidR="00A12036" w:rsidRPr="00A75071">
        <w:rPr>
          <w:rFonts w:ascii="Times New Roman" w:hAnsi="Times New Roman" w:cs="Times New Roman"/>
          <w:sz w:val="24"/>
          <w:szCs w:val="24"/>
          <w:lang w:val="en-US"/>
        </w:rPr>
        <w:t xml:space="preserve">(5b) of the Act. </w:t>
      </w:r>
    </w:p>
    <w:p w14:paraId="25603BEE" w14:textId="0539749A" w:rsidR="00797247" w:rsidRPr="00A75071" w:rsidRDefault="00C34B17" w:rsidP="00797247">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12036" w:rsidRPr="00A75071">
        <w:rPr>
          <w:rFonts w:ascii="Times New Roman" w:hAnsi="Times New Roman" w:cs="Times New Roman"/>
          <w:sz w:val="24"/>
          <w:szCs w:val="24"/>
          <w:lang w:val="en-US"/>
        </w:rPr>
        <w:t>It is therefore a misconception that a labour officer’s ruling determines the rights of the parties. The defendant’s rights are determined before the Labour Court. The Defendant is pretty in the same position as the plaintiff. Both parties’ rights have not been determined.</w:t>
      </w:r>
      <w:r w:rsidR="002C5059" w:rsidRPr="00A75071">
        <w:rPr>
          <w:rFonts w:ascii="Times New Roman" w:hAnsi="Times New Roman" w:cs="Times New Roman"/>
          <w:sz w:val="24"/>
          <w:szCs w:val="24"/>
          <w:lang w:val="en-US"/>
        </w:rPr>
        <w:t xml:space="preserve">      </w:t>
      </w:r>
    </w:p>
    <w:p w14:paraId="77E7E6EF" w14:textId="2A294428" w:rsidR="002C5059" w:rsidRPr="00A75071" w:rsidRDefault="0039026D"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C5059" w:rsidRPr="00A75071">
        <w:rPr>
          <w:rFonts w:ascii="Times New Roman" w:hAnsi="Times New Roman" w:cs="Times New Roman"/>
          <w:sz w:val="24"/>
          <w:szCs w:val="24"/>
          <w:lang w:val="en-US"/>
        </w:rPr>
        <w:t xml:space="preserve">There is no judgment creating legal rights in favour of the defendant. This </w:t>
      </w:r>
      <w:r w:rsidR="00C16571" w:rsidRPr="00A75071">
        <w:rPr>
          <w:rFonts w:ascii="Times New Roman" w:hAnsi="Times New Roman" w:cs="Times New Roman"/>
          <w:sz w:val="24"/>
          <w:szCs w:val="24"/>
          <w:lang w:val="en-US"/>
        </w:rPr>
        <w:t>is</w:t>
      </w:r>
      <w:r w:rsidR="00797247" w:rsidRPr="00A75071">
        <w:rPr>
          <w:rFonts w:ascii="Times New Roman" w:hAnsi="Times New Roman" w:cs="Times New Roman"/>
          <w:sz w:val="24"/>
          <w:szCs w:val="24"/>
          <w:lang w:val="en-US"/>
        </w:rPr>
        <w:t xml:space="preserve"> clear</w:t>
      </w:r>
      <w:r w:rsidR="00C16571" w:rsidRPr="00A75071">
        <w:rPr>
          <w:rFonts w:ascii="Times New Roman" w:hAnsi="Times New Roman" w:cs="Times New Roman"/>
          <w:sz w:val="24"/>
          <w:szCs w:val="24"/>
          <w:lang w:val="en-US"/>
        </w:rPr>
        <w:t xml:space="preserve"> from</w:t>
      </w:r>
      <w:r w:rsidR="002C5059" w:rsidRPr="00A75071">
        <w:rPr>
          <w:rFonts w:ascii="Times New Roman" w:hAnsi="Times New Roman" w:cs="Times New Roman"/>
          <w:sz w:val="24"/>
          <w:szCs w:val="24"/>
          <w:lang w:val="en-US"/>
        </w:rPr>
        <w:t xml:space="preserve"> the </w:t>
      </w:r>
      <w:r w:rsidR="002C5059" w:rsidRPr="00A75071">
        <w:rPr>
          <w:rFonts w:ascii="Times New Roman" w:hAnsi="Times New Roman" w:cs="Times New Roman"/>
          <w:i/>
          <w:iCs/>
          <w:sz w:val="24"/>
          <w:szCs w:val="24"/>
          <w:lang w:val="en-US"/>
        </w:rPr>
        <w:t>Isoquant</w:t>
      </w:r>
      <w:r>
        <w:rPr>
          <w:rFonts w:ascii="Times New Roman" w:hAnsi="Times New Roman" w:cs="Times New Roman"/>
          <w:sz w:val="24"/>
          <w:szCs w:val="24"/>
          <w:lang w:val="en-US"/>
        </w:rPr>
        <w:t xml:space="preserve"> judgment (Supra) at page</w:t>
      </w:r>
      <w:r w:rsidR="002C5059" w:rsidRPr="00A75071">
        <w:rPr>
          <w:rFonts w:ascii="Times New Roman" w:hAnsi="Times New Roman" w:cs="Times New Roman"/>
          <w:sz w:val="24"/>
          <w:szCs w:val="24"/>
          <w:lang w:val="en-US"/>
        </w:rPr>
        <w:t xml:space="preserve"> 25 of the </w:t>
      </w:r>
      <w:r w:rsidR="00C16571" w:rsidRPr="00A75071">
        <w:rPr>
          <w:rFonts w:ascii="Times New Roman" w:hAnsi="Times New Roman" w:cs="Times New Roman"/>
          <w:sz w:val="24"/>
          <w:szCs w:val="24"/>
          <w:lang w:val="en-US"/>
        </w:rPr>
        <w:t>cyclostyled</w:t>
      </w:r>
      <w:r w:rsidR="002C5059" w:rsidRPr="00A75071">
        <w:rPr>
          <w:rFonts w:ascii="Times New Roman" w:hAnsi="Times New Roman" w:cs="Times New Roman"/>
          <w:sz w:val="24"/>
          <w:szCs w:val="24"/>
          <w:lang w:val="en-US"/>
        </w:rPr>
        <w:t xml:space="preserve"> judgment</w:t>
      </w:r>
      <w:r w:rsidR="00797247" w:rsidRPr="00A75071">
        <w:rPr>
          <w:rFonts w:ascii="Times New Roman" w:hAnsi="Times New Roman" w:cs="Times New Roman"/>
          <w:sz w:val="24"/>
          <w:szCs w:val="24"/>
          <w:lang w:val="en-US"/>
        </w:rPr>
        <w:t xml:space="preserve"> that</w:t>
      </w:r>
      <w:r w:rsidR="002C5059" w:rsidRPr="00A75071">
        <w:rPr>
          <w:rFonts w:ascii="Times New Roman" w:hAnsi="Times New Roman" w:cs="Times New Roman"/>
          <w:sz w:val="24"/>
          <w:szCs w:val="24"/>
          <w:lang w:val="en-US"/>
        </w:rPr>
        <w:t>:</w:t>
      </w:r>
    </w:p>
    <w:p w14:paraId="169357FC" w14:textId="77777777" w:rsidR="002C5059" w:rsidRPr="00A75071" w:rsidRDefault="002C5059" w:rsidP="00DB4012">
      <w:pPr>
        <w:tabs>
          <w:tab w:val="left" w:pos="2160"/>
        </w:tabs>
        <w:spacing w:line="360" w:lineRule="auto"/>
        <w:ind w:left="720"/>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w:t>
      </w:r>
      <w:r w:rsidR="00C16571" w:rsidRPr="00A75071">
        <w:rPr>
          <w:rFonts w:ascii="Times New Roman" w:hAnsi="Times New Roman" w:cs="Times New Roman"/>
          <w:i/>
          <w:sz w:val="24"/>
          <w:szCs w:val="24"/>
          <w:lang w:val="en-US"/>
        </w:rPr>
        <w:t>A</w:t>
      </w:r>
      <w:r w:rsidRPr="00A75071">
        <w:rPr>
          <w:rFonts w:ascii="Times New Roman" w:hAnsi="Times New Roman" w:cs="Times New Roman"/>
          <w:i/>
          <w:sz w:val="24"/>
          <w:szCs w:val="24"/>
          <w:lang w:val="en-US"/>
        </w:rPr>
        <w:t xml:space="preserve"> draft ruling does not determine the dispute whether made against an employer </w:t>
      </w:r>
      <w:r w:rsidR="00C16571" w:rsidRPr="00A75071">
        <w:rPr>
          <w:rFonts w:ascii="Times New Roman" w:hAnsi="Times New Roman" w:cs="Times New Roman"/>
          <w:i/>
          <w:sz w:val="24"/>
          <w:szCs w:val="24"/>
          <w:lang w:val="en-US"/>
        </w:rPr>
        <w:t xml:space="preserve">or employee, </w:t>
      </w:r>
      <w:r w:rsidR="00C16571" w:rsidRPr="0039026D">
        <w:rPr>
          <w:rFonts w:ascii="Times New Roman" w:hAnsi="Times New Roman" w:cs="Times New Roman"/>
          <w:i/>
          <w:sz w:val="24"/>
          <w:szCs w:val="24"/>
          <w:u w:val="single"/>
          <w:lang w:val="en-US"/>
        </w:rPr>
        <w:t>it does not confer any right</w:t>
      </w:r>
      <w:r w:rsidR="00C16571" w:rsidRPr="00A75071">
        <w:rPr>
          <w:rFonts w:ascii="Times New Roman" w:hAnsi="Times New Roman" w:cs="Times New Roman"/>
          <w:i/>
          <w:sz w:val="24"/>
          <w:szCs w:val="24"/>
          <w:lang w:val="en-US"/>
        </w:rPr>
        <w:t xml:space="preserve"> until it is confirmed by the Labour Court</w:t>
      </w:r>
      <w:r w:rsidR="00C16571" w:rsidRPr="00A75071">
        <w:rPr>
          <w:rFonts w:ascii="Times New Roman" w:hAnsi="Times New Roman" w:cs="Times New Roman"/>
          <w:sz w:val="24"/>
          <w:szCs w:val="24"/>
          <w:lang w:val="en-US"/>
        </w:rPr>
        <w:t>.”</w:t>
      </w:r>
    </w:p>
    <w:p w14:paraId="6C014437" w14:textId="3C56322A" w:rsidR="00B554AE" w:rsidRPr="00A75071" w:rsidRDefault="00C16571" w:rsidP="00DB4012">
      <w:p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lastRenderedPageBreak/>
        <w:t xml:space="preserve">        Despite that clear position, it was submitted</w:t>
      </w:r>
      <w:r w:rsidR="00831A45" w:rsidRPr="00A75071">
        <w:rPr>
          <w:rFonts w:ascii="Times New Roman" w:hAnsi="Times New Roman" w:cs="Times New Roman"/>
          <w:sz w:val="24"/>
          <w:szCs w:val="24"/>
          <w:lang w:val="en-US"/>
        </w:rPr>
        <w:t xml:space="preserve"> for the defendant</w:t>
      </w:r>
      <w:r w:rsidRPr="00A75071">
        <w:rPr>
          <w:rFonts w:ascii="Times New Roman" w:hAnsi="Times New Roman" w:cs="Times New Roman"/>
          <w:sz w:val="24"/>
          <w:szCs w:val="24"/>
          <w:lang w:val="en-US"/>
        </w:rPr>
        <w:t xml:space="preserve"> that the labour officer’s ruling gives rights to the holder in terms of s93(5a). </w:t>
      </w:r>
      <w:r w:rsidR="000D27B6" w:rsidRPr="00A75071">
        <w:rPr>
          <w:rFonts w:ascii="Times New Roman" w:hAnsi="Times New Roman" w:cs="Times New Roman"/>
          <w:sz w:val="24"/>
          <w:szCs w:val="24"/>
          <w:lang w:val="en-US"/>
        </w:rPr>
        <w:t>To use the term used in the submission</w:t>
      </w:r>
      <w:r w:rsidR="00797247" w:rsidRPr="00A75071">
        <w:rPr>
          <w:rFonts w:ascii="Times New Roman" w:hAnsi="Times New Roman" w:cs="Times New Roman"/>
          <w:sz w:val="24"/>
          <w:szCs w:val="24"/>
          <w:lang w:val="en-US"/>
        </w:rPr>
        <w:t>s</w:t>
      </w:r>
      <w:r w:rsidR="000D27B6" w:rsidRPr="00A75071">
        <w:rPr>
          <w:rFonts w:ascii="Times New Roman" w:hAnsi="Times New Roman" w:cs="Times New Roman"/>
          <w:sz w:val="24"/>
          <w:szCs w:val="24"/>
          <w:lang w:val="en-US"/>
        </w:rPr>
        <w:t xml:space="preserve">, it was said the provision makes the ruling enforceable by a non-coercive process. Novel as the argument is, I am unable to agree. Enforcement by its nature is by way of enlisting resources or mechanisms to a right holder to compel </w:t>
      </w:r>
      <w:r w:rsidR="00831A45" w:rsidRPr="00A75071">
        <w:rPr>
          <w:rFonts w:ascii="Times New Roman" w:hAnsi="Times New Roman" w:cs="Times New Roman"/>
          <w:sz w:val="24"/>
          <w:szCs w:val="24"/>
          <w:lang w:val="en-US"/>
        </w:rPr>
        <w:t xml:space="preserve">compliance. This is simply </w:t>
      </w:r>
      <w:r w:rsidR="000D27B6" w:rsidRPr="00A75071">
        <w:rPr>
          <w:rFonts w:ascii="Times New Roman" w:hAnsi="Times New Roman" w:cs="Times New Roman"/>
          <w:sz w:val="24"/>
          <w:szCs w:val="24"/>
          <w:lang w:val="en-US"/>
        </w:rPr>
        <w:t xml:space="preserve"> splitting of </w:t>
      </w:r>
      <w:r w:rsidR="00797247" w:rsidRPr="00A75071">
        <w:rPr>
          <w:rFonts w:ascii="Times New Roman" w:hAnsi="Times New Roman" w:cs="Times New Roman"/>
          <w:sz w:val="24"/>
          <w:szCs w:val="24"/>
          <w:lang w:val="en-US"/>
        </w:rPr>
        <w:t>hairs</w:t>
      </w:r>
      <w:r w:rsidR="000D27B6" w:rsidRPr="00A75071">
        <w:rPr>
          <w:rFonts w:ascii="Times New Roman" w:hAnsi="Times New Roman" w:cs="Times New Roman"/>
          <w:sz w:val="24"/>
          <w:szCs w:val="24"/>
          <w:lang w:val="en-US"/>
        </w:rPr>
        <w:t xml:space="preserve"> </w:t>
      </w:r>
      <w:r w:rsidR="00831A45" w:rsidRPr="00A75071">
        <w:rPr>
          <w:rFonts w:ascii="Times New Roman" w:hAnsi="Times New Roman" w:cs="Times New Roman"/>
          <w:sz w:val="24"/>
          <w:szCs w:val="24"/>
          <w:lang w:val="en-US"/>
        </w:rPr>
        <w:t>.</w:t>
      </w:r>
      <w:r w:rsidR="000D27B6" w:rsidRPr="00A75071">
        <w:rPr>
          <w:rFonts w:ascii="Times New Roman" w:hAnsi="Times New Roman" w:cs="Times New Roman"/>
          <w:sz w:val="24"/>
          <w:szCs w:val="24"/>
          <w:lang w:val="en-US"/>
        </w:rPr>
        <w:t xml:space="preserve"> The real issue is</w:t>
      </w:r>
      <w:r w:rsidR="00797247" w:rsidRPr="00A75071">
        <w:rPr>
          <w:rFonts w:ascii="Times New Roman" w:hAnsi="Times New Roman" w:cs="Times New Roman"/>
          <w:sz w:val="24"/>
          <w:szCs w:val="24"/>
          <w:lang w:val="en-US"/>
        </w:rPr>
        <w:t xml:space="preserve"> that</w:t>
      </w:r>
      <w:r w:rsidR="000D27B6" w:rsidRPr="00A75071">
        <w:rPr>
          <w:rFonts w:ascii="Times New Roman" w:hAnsi="Times New Roman" w:cs="Times New Roman"/>
          <w:sz w:val="24"/>
          <w:szCs w:val="24"/>
          <w:lang w:val="en-US"/>
        </w:rPr>
        <w:t xml:space="preserve"> the ruling does not give rise to enforceable rights.</w:t>
      </w:r>
    </w:p>
    <w:p w14:paraId="38635363" w14:textId="11795F45" w:rsidR="005F737E" w:rsidRPr="00A75071" w:rsidRDefault="0039026D"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97247" w:rsidRPr="00A75071">
        <w:rPr>
          <w:rFonts w:ascii="Times New Roman" w:hAnsi="Times New Roman" w:cs="Times New Roman"/>
          <w:sz w:val="24"/>
          <w:szCs w:val="24"/>
          <w:lang w:val="en-US"/>
        </w:rPr>
        <w:t>I turn to the question whether the defendant has a lien. A</w:t>
      </w:r>
      <w:r w:rsidR="00B554AE" w:rsidRPr="00A75071">
        <w:rPr>
          <w:rFonts w:ascii="Times New Roman" w:hAnsi="Times New Roman" w:cs="Times New Roman"/>
          <w:sz w:val="24"/>
          <w:szCs w:val="24"/>
          <w:lang w:val="en-US"/>
        </w:rPr>
        <w:t xml:space="preserve"> lien is a common law </w:t>
      </w:r>
      <w:r w:rsidR="005F737E" w:rsidRPr="00A75071">
        <w:rPr>
          <w:rFonts w:ascii="Times New Roman" w:hAnsi="Times New Roman" w:cs="Times New Roman"/>
          <w:sz w:val="24"/>
          <w:szCs w:val="24"/>
          <w:lang w:val="en-US"/>
        </w:rPr>
        <w:t>concept which</w:t>
      </w:r>
      <w:r w:rsidR="00B554AE" w:rsidRPr="00A75071">
        <w:rPr>
          <w:rFonts w:ascii="Times New Roman" w:hAnsi="Times New Roman" w:cs="Times New Roman"/>
          <w:sz w:val="24"/>
          <w:szCs w:val="24"/>
          <w:lang w:val="en-US"/>
        </w:rPr>
        <w:t xml:space="preserve"> gives the holder a right of retention where one has put money or money’s worth in the property of </w:t>
      </w:r>
      <w:r w:rsidR="005F737E" w:rsidRPr="00A75071">
        <w:rPr>
          <w:rFonts w:ascii="Times New Roman" w:hAnsi="Times New Roman" w:cs="Times New Roman"/>
          <w:sz w:val="24"/>
          <w:szCs w:val="24"/>
          <w:lang w:val="en-US"/>
        </w:rPr>
        <w:t>another. The</w:t>
      </w:r>
      <w:r w:rsidR="00B554AE" w:rsidRPr="00A75071">
        <w:rPr>
          <w:rFonts w:ascii="Times New Roman" w:hAnsi="Times New Roman" w:cs="Times New Roman"/>
          <w:sz w:val="24"/>
          <w:szCs w:val="24"/>
          <w:lang w:val="en-US"/>
        </w:rPr>
        <w:t xml:space="preserve"> learned authors </w:t>
      </w:r>
      <w:r w:rsidR="00B554AE" w:rsidRPr="00A75071">
        <w:rPr>
          <w:rFonts w:ascii="Times New Roman" w:hAnsi="Times New Roman" w:cs="Times New Roman"/>
          <w:i/>
          <w:iCs/>
          <w:sz w:val="24"/>
          <w:szCs w:val="24"/>
          <w:lang w:val="en-US"/>
        </w:rPr>
        <w:t>Si</w:t>
      </w:r>
      <w:r w:rsidR="005F737E" w:rsidRPr="00A75071">
        <w:rPr>
          <w:rFonts w:ascii="Times New Roman" w:hAnsi="Times New Roman" w:cs="Times New Roman"/>
          <w:i/>
          <w:iCs/>
          <w:sz w:val="24"/>
          <w:szCs w:val="24"/>
          <w:lang w:val="en-US"/>
        </w:rPr>
        <w:t>lberberg and Schoeman</w:t>
      </w:r>
      <w:r w:rsidR="005F737E" w:rsidRPr="00A75071">
        <w:rPr>
          <w:rFonts w:ascii="Times New Roman" w:hAnsi="Times New Roman" w:cs="Times New Roman"/>
          <w:sz w:val="24"/>
          <w:szCs w:val="24"/>
          <w:lang w:val="en-US"/>
        </w:rPr>
        <w:t xml:space="preserve"> discuss the different forms of liens</w:t>
      </w:r>
      <w:r w:rsidR="005F737E" w:rsidRPr="00A75071">
        <w:rPr>
          <w:rStyle w:val="FootnoteReference"/>
          <w:rFonts w:ascii="Times New Roman" w:hAnsi="Times New Roman" w:cs="Times New Roman"/>
          <w:sz w:val="24"/>
          <w:szCs w:val="24"/>
          <w:lang w:val="en-US"/>
        </w:rPr>
        <w:footnoteReference w:id="8"/>
      </w:r>
      <w:r w:rsidR="005F737E" w:rsidRPr="00A75071">
        <w:rPr>
          <w:rFonts w:ascii="Times New Roman" w:hAnsi="Times New Roman" w:cs="Times New Roman"/>
          <w:sz w:val="24"/>
          <w:szCs w:val="24"/>
          <w:lang w:val="en-US"/>
        </w:rPr>
        <w:t xml:space="preserve">.They are generally divided into enrichment liens and debtor - creditor liens. The enrichment liens are regarded as real rights arising from either improvement or salvage liens. On the other hand the debtor – creditor </w:t>
      </w:r>
      <w:r w:rsidRPr="00A75071">
        <w:rPr>
          <w:rFonts w:ascii="Times New Roman" w:hAnsi="Times New Roman" w:cs="Times New Roman"/>
          <w:sz w:val="24"/>
          <w:szCs w:val="24"/>
          <w:lang w:val="en-US"/>
        </w:rPr>
        <w:t>lien rights</w:t>
      </w:r>
      <w:r w:rsidR="00742069" w:rsidRPr="00A75071">
        <w:rPr>
          <w:rFonts w:ascii="Times New Roman" w:hAnsi="Times New Roman" w:cs="Times New Roman"/>
          <w:sz w:val="24"/>
          <w:szCs w:val="24"/>
          <w:lang w:val="en-US"/>
        </w:rPr>
        <w:t>,</w:t>
      </w:r>
    </w:p>
    <w:p w14:paraId="63DB4473" w14:textId="3864FD07" w:rsidR="00797247" w:rsidRPr="00A75071" w:rsidRDefault="0039026D" w:rsidP="0039026D">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97247" w:rsidRPr="00A75071">
        <w:rPr>
          <w:rFonts w:ascii="Times New Roman" w:hAnsi="Times New Roman" w:cs="Times New Roman"/>
          <w:sz w:val="24"/>
          <w:szCs w:val="24"/>
          <w:lang w:val="en-US"/>
        </w:rPr>
        <w:t>‘…</w:t>
      </w:r>
      <w:r w:rsidR="005F737E" w:rsidRPr="00A75071">
        <w:rPr>
          <w:rFonts w:ascii="Times New Roman" w:hAnsi="Times New Roman" w:cs="Times New Roman"/>
          <w:sz w:val="24"/>
          <w:szCs w:val="24"/>
          <w:lang w:val="en-US"/>
        </w:rPr>
        <w:t>are conferred on a person who has done work on another’s property or rendered a service in pursuance of a contract (other than in the course of employment)’</w:t>
      </w:r>
      <w:r w:rsidR="005F737E" w:rsidRPr="00A75071">
        <w:rPr>
          <w:rStyle w:val="FootnoteReference"/>
          <w:rFonts w:ascii="Times New Roman" w:hAnsi="Times New Roman" w:cs="Times New Roman"/>
          <w:sz w:val="24"/>
          <w:szCs w:val="24"/>
          <w:lang w:val="en-US"/>
        </w:rPr>
        <w:footnoteReference w:id="9"/>
      </w:r>
    </w:p>
    <w:p w14:paraId="390026C5" w14:textId="1ABB30F4" w:rsidR="00931F99" w:rsidRPr="00A75071" w:rsidRDefault="0039026D" w:rsidP="00797247">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31F99" w:rsidRPr="00A75071">
        <w:rPr>
          <w:rFonts w:ascii="Times New Roman" w:hAnsi="Times New Roman" w:cs="Times New Roman"/>
          <w:sz w:val="24"/>
          <w:szCs w:val="24"/>
          <w:lang w:val="en-US"/>
        </w:rPr>
        <w:t>The possessor of a lien has a right of retention until he is compensated. It does not give rise to a cause of action</w:t>
      </w:r>
      <w:r w:rsidR="00931F99" w:rsidRPr="00A75071">
        <w:rPr>
          <w:rStyle w:val="FootnoteReference"/>
          <w:rFonts w:ascii="Times New Roman" w:hAnsi="Times New Roman" w:cs="Times New Roman"/>
          <w:sz w:val="24"/>
          <w:szCs w:val="24"/>
          <w:lang w:val="en-US"/>
        </w:rPr>
        <w:footnoteReference w:id="10"/>
      </w:r>
      <w:r w:rsidR="00931F99" w:rsidRPr="00A75071">
        <w:rPr>
          <w:rFonts w:ascii="Times New Roman" w:hAnsi="Times New Roman" w:cs="Times New Roman"/>
          <w:sz w:val="24"/>
          <w:szCs w:val="24"/>
          <w:lang w:val="en-US"/>
        </w:rPr>
        <w:t xml:space="preserve"> . Where it is proved it is a valid defence in a claim for ejectment or </w:t>
      </w:r>
      <w:r w:rsidR="00931F99" w:rsidRPr="00A75071">
        <w:rPr>
          <w:rFonts w:ascii="Times New Roman" w:hAnsi="Times New Roman" w:cs="Times New Roman"/>
          <w:i/>
          <w:iCs/>
          <w:sz w:val="24"/>
          <w:szCs w:val="24"/>
          <w:lang w:val="en-US"/>
        </w:rPr>
        <w:t>rei vindicatio</w:t>
      </w:r>
      <w:r w:rsidR="00931F99" w:rsidRPr="00A75071">
        <w:rPr>
          <w:rFonts w:ascii="Times New Roman" w:hAnsi="Times New Roman" w:cs="Times New Roman"/>
          <w:sz w:val="24"/>
          <w:szCs w:val="24"/>
          <w:lang w:val="en-US"/>
        </w:rPr>
        <w:t>.</w:t>
      </w:r>
      <w:r w:rsidR="00797247" w:rsidRPr="00A75071">
        <w:rPr>
          <w:rFonts w:ascii="Times New Roman" w:hAnsi="Times New Roman" w:cs="Times New Roman"/>
          <w:sz w:val="24"/>
          <w:szCs w:val="24"/>
          <w:lang w:val="en-US"/>
        </w:rPr>
        <w:t xml:space="preserve"> </w:t>
      </w:r>
      <w:r w:rsidR="00742069" w:rsidRPr="00A75071">
        <w:rPr>
          <w:rFonts w:ascii="Times New Roman" w:hAnsi="Times New Roman" w:cs="Times New Roman"/>
          <w:sz w:val="24"/>
          <w:szCs w:val="24"/>
          <w:lang w:val="en-US"/>
        </w:rPr>
        <w:t xml:space="preserve">The right is anchored on possession of the </w:t>
      </w:r>
      <w:r w:rsidRPr="00A75071">
        <w:rPr>
          <w:rFonts w:ascii="Times New Roman" w:hAnsi="Times New Roman" w:cs="Times New Roman"/>
          <w:sz w:val="24"/>
          <w:szCs w:val="24"/>
          <w:lang w:val="en-US"/>
        </w:rPr>
        <w:t>merx,</w:t>
      </w:r>
      <w:r w:rsidR="00742069" w:rsidRPr="00A75071">
        <w:rPr>
          <w:rFonts w:ascii="Times New Roman" w:hAnsi="Times New Roman" w:cs="Times New Roman"/>
          <w:sz w:val="24"/>
          <w:szCs w:val="24"/>
          <w:lang w:val="en-US"/>
        </w:rPr>
        <w:t xml:space="preserve"> once possession is lost the right no longer accrues.</w:t>
      </w:r>
    </w:p>
    <w:p w14:paraId="3F04A9B8" w14:textId="522B1D68" w:rsidR="00742069" w:rsidRPr="00A75071" w:rsidRDefault="0039026D"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2069" w:rsidRPr="00A75071">
        <w:rPr>
          <w:rFonts w:ascii="Times New Roman" w:hAnsi="Times New Roman" w:cs="Times New Roman"/>
          <w:sz w:val="24"/>
          <w:szCs w:val="24"/>
          <w:lang w:val="en-US"/>
        </w:rPr>
        <w:t>In this case it is apparent that the defendant holds no lien. No right accrues to the defendant based on the labour officer</w:t>
      </w:r>
      <w:r w:rsidR="00797247" w:rsidRPr="00A75071">
        <w:rPr>
          <w:rFonts w:ascii="Times New Roman" w:hAnsi="Times New Roman" w:cs="Times New Roman"/>
          <w:sz w:val="24"/>
          <w:szCs w:val="24"/>
          <w:lang w:val="en-US"/>
        </w:rPr>
        <w:t>’s</w:t>
      </w:r>
      <w:r w:rsidR="00742069" w:rsidRPr="00A75071">
        <w:rPr>
          <w:rFonts w:ascii="Times New Roman" w:hAnsi="Times New Roman" w:cs="Times New Roman"/>
          <w:sz w:val="24"/>
          <w:szCs w:val="24"/>
          <w:lang w:val="en-US"/>
        </w:rPr>
        <w:t xml:space="preserve"> ruling. </w:t>
      </w:r>
      <w:r>
        <w:rPr>
          <w:rFonts w:ascii="Times New Roman" w:hAnsi="Times New Roman" w:cs="Times New Roman"/>
          <w:sz w:val="24"/>
          <w:szCs w:val="24"/>
          <w:lang w:val="en-US"/>
        </w:rPr>
        <w:t xml:space="preserve">No debter – creditor relationship exists between the parties. </w:t>
      </w:r>
      <w:r w:rsidR="00742069" w:rsidRPr="00A75071">
        <w:rPr>
          <w:rFonts w:ascii="Times New Roman" w:hAnsi="Times New Roman" w:cs="Times New Roman"/>
          <w:sz w:val="24"/>
          <w:szCs w:val="24"/>
          <w:lang w:val="en-US"/>
        </w:rPr>
        <w:t xml:space="preserve">As already stated the labour officer’s ruling does not give rise to an enforceable right. Even if my finding maybe wrong, no lien arises from an employment </w:t>
      </w:r>
      <w:r w:rsidR="00B458D2" w:rsidRPr="00A75071">
        <w:rPr>
          <w:rFonts w:ascii="Times New Roman" w:hAnsi="Times New Roman" w:cs="Times New Roman"/>
          <w:sz w:val="24"/>
          <w:szCs w:val="24"/>
          <w:lang w:val="en-US"/>
        </w:rPr>
        <w:t xml:space="preserve">contract. The authorities referred to by counsel for the defendant deal with the correct position of the law in respect of liens but </w:t>
      </w:r>
      <w:r>
        <w:rPr>
          <w:rFonts w:ascii="Times New Roman" w:hAnsi="Times New Roman" w:cs="Times New Roman"/>
          <w:sz w:val="24"/>
          <w:szCs w:val="24"/>
          <w:lang w:val="en-US"/>
        </w:rPr>
        <w:t>they do not relate to a</w:t>
      </w:r>
      <w:r w:rsidR="00B458D2" w:rsidRPr="00A75071">
        <w:rPr>
          <w:rFonts w:ascii="Times New Roman" w:hAnsi="Times New Roman" w:cs="Times New Roman"/>
          <w:sz w:val="24"/>
          <w:szCs w:val="24"/>
          <w:lang w:val="en-US"/>
        </w:rPr>
        <w:t xml:space="preserve"> lien arising from an employment contract. They do not assist the defendant.</w:t>
      </w:r>
    </w:p>
    <w:p w14:paraId="045B30EE" w14:textId="52A021A1" w:rsidR="008E08BD" w:rsidRPr="00A75071" w:rsidRDefault="0039026D"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42069" w:rsidRPr="00A75071">
        <w:rPr>
          <w:rFonts w:ascii="Times New Roman" w:hAnsi="Times New Roman" w:cs="Times New Roman"/>
          <w:sz w:val="24"/>
          <w:szCs w:val="24"/>
          <w:lang w:val="en-US"/>
        </w:rPr>
        <w:t xml:space="preserve">Accordingly, the defendant has no </w:t>
      </w:r>
      <w:r w:rsidR="00797247" w:rsidRPr="00A75071">
        <w:rPr>
          <w:rFonts w:ascii="Times New Roman" w:hAnsi="Times New Roman" w:cs="Times New Roman"/>
          <w:sz w:val="24"/>
          <w:szCs w:val="24"/>
          <w:lang w:val="en-US"/>
        </w:rPr>
        <w:t>lien. There is no valid defence</w:t>
      </w:r>
      <w:r w:rsidR="00742069" w:rsidRPr="00A75071">
        <w:rPr>
          <w:rFonts w:ascii="Times New Roman" w:hAnsi="Times New Roman" w:cs="Times New Roman"/>
          <w:sz w:val="24"/>
          <w:szCs w:val="24"/>
          <w:lang w:val="en-US"/>
        </w:rPr>
        <w:t xml:space="preserve"> defence against the claim.</w:t>
      </w:r>
      <w:r w:rsidR="005F737E" w:rsidRPr="00A75071">
        <w:rPr>
          <w:rFonts w:ascii="Times New Roman" w:hAnsi="Times New Roman" w:cs="Times New Roman"/>
          <w:sz w:val="24"/>
          <w:szCs w:val="24"/>
          <w:lang w:val="en-US"/>
        </w:rPr>
        <w:t xml:space="preserve"> </w:t>
      </w:r>
      <w:r w:rsidR="008E08BD" w:rsidRPr="00A75071">
        <w:rPr>
          <w:rFonts w:ascii="Times New Roman" w:hAnsi="Times New Roman" w:cs="Times New Roman"/>
          <w:sz w:val="24"/>
          <w:szCs w:val="24"/>
          <w:lang w:val="en-US"/>
        </w:rPr>
        <w:t xml:space="preserve"> </w:t>
      </w:r>
    </w:p>
    <w:p w14:paraId="0B5DFEB6" w14:textId="77777777" w:rsidR="00950E93" w:rsidRPr="00A75071" w:rsidRDefault="000D27B6" w:rsidP="00DB4012">
      <w:pPr>
        <w:tabs>
          <w:tab w:val="left" w:pos="2160"/>
        </w:tabs>
        <w:spacing w:line="360" w:lineRule="auto"/>
        <w:jc w:val="both"/>
        <w:rPr>
          <w:rFonts w:ascii="Times New Roman" w:hAnsi="Times New Roman" w:cs="Times New Roman"/>
          <w:sz w:val="24"/>
          <w:szCs w:val="24"/>
          <w:u w:val="single"/>
          <w:lang w:val="en-US"/>
        </w:rPr>
      </w:pPr>
      <w:r w:rsidRPr="00A75071">
        <w:rPr>
          <w:rFonts w:ascii="Times New Roman" w:hAnsi="Times New Roman" w:cs="Times New Roman"/>
          <w:sz w:val="24"/>
          <w:szCs w:val="24"/>
          <w:lang w:val="en-US"/>
        </w:rPr>
        <w:lastRenderedPageBreak/>
        <w:t xml:space="preserve">     </w:t>
      </w:r>
      <w:r w:rsidR="00DB4012" w:rsidRPr="00A75071">
        <w:rPr>
          <w:rFonts w:ascii="Times New Roman" w:hAnsi="Times New Roman" w:cs="Times New Roman"/>
          <w:sz w:val="24"/>
          <w:szCs w:val="24"/>
          <w:lang w:val="en-US"/>
        </w:rPr>
        <w:t xml:space="preserve">    </w:t>
      </w:r>
      <w:r w:rsidRPr="00A75071">
        <w:rPr>
          <w:rFonts w:ascii="Times New Roman" w:hAnsi="Times New Roman" w:cs="Times New Roman"/>
          <w:sz w:val="24"/>
          <w:szCs w:val="24"/>
          <w:u w:val="single"/>
          <w:lang w:val="en-US"/>
        </w:rPr>
        <w:t>Whether a dismissed employee can at law hold on to the employer’s property while challenging the</w:t>
      </w:r>
      <w:r w:rsidR="00DB4012" w:rsidRPr="00A75071">
        <w:rPr>
          <w:rFonts w:ascii="Times New Roman" w:hAnsi="Times New Roman" w:cs="Times New Roman"/>
          <w:sz w:val="24"/>
          <w:szCs w:val="24"/>
          <w:u w:val="single"/>
          <w:lang w:val="en-US"/>
        </w:rPr>
        <w:t xml:space="preserve"> termination of his employment.</w:t>
      </w:r>
    </w:p>
    <w:p w14:paraId="2B9AC881" w14:textId="2B9610D5" w:rsidR="00B458D2" w:rsidRPr="00A75071" w:rsidRDefault="0039026D"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B4BFA" w:rsidRPr="00A75071">
        <w:rPr>
          <w:rFonts w:ascii="Times New Roman" w:hAnsi="Times New Roman" w:cs="Times New Roman"/>
          <w:sz w:val="24"/>
          <w:szCs w:val="24"/>
          <w:lang w:val="en-US"/>
        </w:rPr>
        <w:t>According</w:t>
      </w:r>
      <w:r>
        <w:rPr>
          <w:rFonts w:ascii="Times New Roman" w:hAnsi="Times New Roman" w:cs="Times New Roman"/>
          <w:sz w:val="24"/>
          <w:szCs w:val="24"/>
          <w:lang w:val="en-US"/>
        </w:rPr>
        <w:t xml:space="preserve"> to</w:t>
      </w:r>
      <w:r w:rsidR="00B458D2" w:rsidRPr="00A75071">
        <w:rPr>
          <w:rFonts w:ascii="Times New Roman" w:hAnsi="Times New Roman" w:cs="Times New Roman"/>
          <w:sz w:val="24"/>
          <w:szCs w:val="24"/>
          <w:lang w:val="en-US"/>
        </w:rPr>
        <w:t xml:space="preserve"> the defendant the issue does not arise since the defendant does not resist the claim on the basis that he has challenged his </w:t>
      </w:r>
      <w:r w:rsidR="00DB4BFA" w:rsidRPr="00A75071">
        <w:rPr>
          <w:rFonts w:ascii="Times New Roman" w:hAnsi="Times New Roman" w:cs="Times New Roman"/>
          <w:sz w:val="24"/>
          <w:szCs w:val="24"/>
          <w:lang w:val="en-US"/>
        </w:rPr>
        <w:t>dismissal. He</w:t>
      </w:r>
      <w:r w:rsidR="00B458D2" w:rsidRPr="00A75071">
        <w:rPr>
          <w:rFonts w:ascii="Times New Roman" w:hAnsi="Times New Roman" w:cs="Times New Roman"/>
          <w:sz w:val="24"/>
          <w:szCs w:val="24"/>
          <w:lang w:val="en-US"/>
        </w:rPr>
        <w:t xml:space="preserve"> challenges the claim on the basis that he has a lien.</w:t>
      </w:r>
      <w:r w:rsidR="00DB4BFA" w:rsidRPr="00A75071">
        <w:rPr>
          <w:rFonts w:ascii="Times New Roman" w:hAnsi="Times New Roman" w:cs="Times New Roman"/>
          <w:sz w:val="24"/>
          <w:szCs w:val="24"/>
          <w:lang w:val="en-US"/>
        </w:rPr>
        <w:t xml:space="preserve"> Obviously,</w:t>
      </w:r>
      <w:r w:rsidR="00B458D2" w:rsidRPr="00A75071">
        <w:rPr>
          <w:rFonts w:ascii="Times New Roman" w:hAnsi="Times New Roman" w:cs="Times New Roman"/>
          <w:sz w:val="24"/>
          <w:szCs w:val="24"/>
          <w:lang w:val="en-US"/>
        </w:rPr>
        <w:t xml:space="preserve"> the submission was made without properly considering the plea or the plea </w:t>
      </w:r>
      <w:r>
        <w:rPr>
          <w:rFonts w:ascii="Times New Roman" w:hAnsi="Times New Roman" w:cs="Times New Roman"/>
          <w:sz w:val="24"/>
          <w:szCs w:val="24"/>
          <w:lang w:val="en-US"/>
        </w:rPr>
        <w:t xml:space="preserve">filed </w:t>
      </w:r>
      <w:r w:rsidR="00B458D2" w:rsidRPr="00A75071">
        <w:rPr>
          <w:rFonts w:ascii="Times New Roman" w:hAnsi="Times New Roman" w:cs="Times New Roman"/>
          <w:sz w:val="24"/>
          <w:szCs w:val="24"/>
          <w:lang w:val="en-US"/>
        </w:rPr>
        <w:t xml:space="preserve">was conveniently </w:t>
      </w:r>
      <w:r>
        <w:rPr>
          <w:rFonts w:ascii="Times New Roman" w:hAnsi="Times New Roman" w:cs="Times New Roman"/>
          <w:sz w:val="24"/>
          <w:szCs w:val="24"/>
          <w:lang w:val="en-US"/>
        </w:rPr>
        <w:t>not considered</w:t>
      </w:r>
      <w:r w:rsidR="00B458D2" w:rsidRPr="00A75071">
        <w:rPr>
          <w:rFonts w:ascii="Times New Roman" w:hAnsi="Times New Roman" w:cs="Times New Roman"/>
          <w:sz w:val="24"/>
          <w:szCs w:val="24"/>
          <w:lang w:val="en-US"/>
        </w:rPr>
        <w:t>. The defendant</w:t>
      </w:r>
      <w:r w:rsidR="00DB4BFA" w:rsidRPr="00A75071">
        <w:rPr>
          <w:rFonts w:ascii="Times New Roman" w:hAnsi="Times New Roman" w:cs="Times New Roman"/>
          <w:sz w:val="24"/>
          <w:szCs w:val="24"/>
          <w:lang w:val="en-US"/>
        </w:rPr>
        <w:t>’s</w:t>
      </w:r>
      <w:r w:rsidR="00B458D2" w:rsidRPr="00A75071">
        <w:rPr>
          <w:rFonts w:ascii="Times New Roman" w:hAnsi="Times New Roman" w:cs="Times New Roman"/>
          <w:sz w:val="24"/>
          <w:szCs w:val="24"/>
          <w:lang w:val="en-US"/>
        </w:rPr>
        <w:t xml:space="preserve"> plea is clear that he resists ejectment because </w:t>
      </w:r>
      <w:r w:rsidR="00DB4BFA" w:rsidRPr="00A75071">
        <w:rPr>
          <w:rFonts w:ascii="Times New Roman" w:hAnsi="Times New Roman" w:cs="Times New Roman"/>
          <w:sz w:val="24"/>
          <w:szCs w:val="24"/>
          <w:lang w:val="en-US"/>
        </w:rPr>
        <w:t>his termination</w:t>
      </w:r>
      <w:r w:rsidR="00B458D2" w:rsidRPr="00A75071">
        <w:rPr>
          <w:rFonts w:ascii="Times New Roman" w:hAnsi="Times New Roman" w:cs="Times New Roman"/>
          <w:sz w:val="24"/>
          <w:szCs w:val="24"/>
          <w:lang w:val="en-US"/>
        </w:rPr>
        <w:t xml:space="preserve"> was </w:t>
      </w:r>
      <w:r w:rsidR="00DB4BFA" w:rsidRPr="00A75071">
        <w:rPr>
          <w:rFonts w:ascii="Times New Roman" w:hAnsi="Times New Roman" w:cs="Times New Roman"/>
          <w:sz w:val="24"/>
          <w:szCs w:val="24"/>
          <w:lang w:val="en-US"/>
        </w:rPr>
        <w:t>unlawful,</w:t>
      </w:r>
      <w:r w:rsidR="00B458D2" w:rsidRPr="00A75071">
        <w:rPr>
          <w:rFonts w:ascii="Times New Roman" w:hAnsi="Times New Roman" w:cs="Times New Roman"/>
          <w:sz w:val="24"/>
          <w:szCs w:val="24"/>
          <w:lang w:val="en-US"/>
        </w:rPr>
        <w:t xml:space="preserve"> and he has challenged</w:t>
      </w:r>
      <w:r w:rsidR="00DB4BFA" w:rsidRPr="00A75071">
        <w:rPr>
          <w:rFonts w:ascii="Times New Roman" w:hAnsi="Times New Roman" w:cs="Times New Roman"/>
          <w:sz w:val="24"/>
          <w:szCs w:val="24"/>
          <w:lang w:val="en-US"/>
        </w:rPr>
        <w:t xml:space="preserve"> it</w:t>
      </w:r>
      <w:r w:rsidR="00B458D2" w:rsidRPr="00A75071">
        <w:rPr>
          <w:rFonts w:ascii="Times New Roman" w:hAnsi="Times New Roman" w:cs="Times New Roman"/>
          <w:sz w:val="24"/>
          <w:szCs w:val="24"/>
          <w:lang w:val="en-US"/>
        </w:rPr>
        <w:t>. I</w:t>
      </w:r>
      <w:r w:rsidR="00DB4BFA" w:rsidRPr="00A75071">
        <w:rPr>
          <w:rFonts w:ascii="Times New Roman" w:hAnsi="Times New Roman" w:cs="Times New Roman"/>
          <w:sz w:val="24"/>
          <w:szCs w:val="24"/>
          <w:lang w:val="en-US"/>
        </w:rPr>
        <w:t>n</w:t>
      </w:r>
      <w:r w:rsidR="00B458D2" w:rsidRPr="00A75071">
        <w:rPr>
          <w:rFonts w:ascii="Times New Roman" w:hAnsi="Times New Roman" w:cs="Times New Roman"/>
          <w:sz w:val="24"/>
          <w:szCs w:val="24"/>
          <w:lang w:val="en-US"/>
        </w:rPr>
        <w:t xml:space="preserve"> </w:t>
      </w:r>
      <w:r w:rsidR="00DB4BFA" w:rsidRPr="00A75071">
        <w:rPr>
          <w:rFonts w:ascii="Times New Roman" w:hAnsi="Times New Roman" w:cs="Times New Roman"/>
          <w:sz w:val="24"/>
          <w:szCs w:val="24"/>
          <w:lang w:val="en-US"/>
        </w:rPr>
        <w:t xml:space="preserve">fact on </w:t>
      </w:r>
      <w:r w:rsidR="00B458D2" w:rsidRPr="00A75071">
        <w:rPr>
          <w:rFonts w:ascii="Times New Roman" w:hAnsi="Times New Roman" w:cs="Times New Roman"/>
          <w:sz w:val="24"/>
          <w:szCs w:val="24"/>
          <w:lang w:val="en-US"/>
        </w:rPr>
        <w:t xml:space="preserve">a proper consideration, the plea of a lien was not properly raised. I </w:t>
      </w:r>
      <w:r w:rsidR="00DB4BFA" w:rsidRPr="00A75071">
        <w:rPr>
          <w:rFonts w:ascii="Times New Roman" w:hAnsi="Times New Roman" w:cs="Times New Roman"/>
          <w:sz w:val="24"/>
          <w:szCs w:val="24"/>
          <w:lang w:val="en-US"/>
        </w:rPr>
        <w:t>considered</w:t>
      </w:r>
      <w:r w:rsidR="00B458D2" w:rsidRPr="00A75071">
        <w:rPr>
          <w:rFonts w:ascii="Times New Roman" w:hAnsi="Times New Roman" w:cs="Times New Roman"/>
          <w:sz w:val="24"/>
          <w:szCs w:val="24"/>
          <w:lang w:val="en-US"/>
        </w:rPr>
        <w:t xml:space="preserve"> </w:t>
      </w:r>
      <w:r w:rsidR="00DB4BFA" w:rsidRPr="00A75071">
        <w:rPr>
          <w:rFonts w:ascii="Times New Roman" w:hAnsi="Times New Roman" w:cs="Times New Roman"/>
          <w:sz w:val="24"/>
          <w:szCs w:val="24"/>
          <w:lang w:val="en-US"/>
        </w:rPr>
        <w:t xml:space="preserve">it </w:t>
      </w:r>
      <w:r w:rsidR="00B458D2" w:rsidRPr="00A75071">
        <w:rPr>
          <w:rFonts w:ascii="Times New Roman" w:hAnsi="Times New Roman" w:cs="Times New Roman"/>
          <w:sz w:val="24"/>
          <w:szCs w:val="24"/>
          <w:lang w:val="en-US"/>
        </w:rPr>
        <w:t xml:space="preserve">for the sake of </w:t>
      </w:r>
      <w:r w:rsidR="00DB4BFA" w:rsidRPr="00A75071">
        <w:rPr>
          <w:rFonts w:ascii="Times New Roman" w:hAnsi="Times New Roman" w:cs="Times New Roman"/>
          <w:sz w:val="24"/>
          <w:szCs w:val="24"/>
          <w:lang w:val="en-US"/>
        </w:rPr>
        <w:t>completeness as an issue that parties agreed to be determined. As already stated, the defendant simply raised a lot of dust by raising numerous issues in the submissions.</w:t>
      </w:r>
    </w:p>
    <w:p w14:paraId="7E7A0065" w14:textId="24D7254F" w:rsidR="00742069" w:rsidRPr="00A75071" w:rsidRDefault="00492D7F"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31C71" w:rsidRPr="00A75071">
        <w:rPr>
          <w:rFonts w:ascii="Times New Roman" w:hAnsi="Times New Roman" w:cs="Times New Roman"/>
          <w:sz w:val="24"/>
          <w:szCs w:val="24"/>
          <w:lang w:val="en-US"/>
        </w:rPr>
        <w:t>In</w:t>
      </w:r>
      <w:r w:rsidR="00BC7A70" w:rsidRPr="00A75071">
        <w:rPr>
          <w:rFonts w:ascii="Times New Roman" w:hAnsi="Times New Roman" w:cs="Times New Roman"/>
          <w:sz w:val="24"/>
          <w:szCs w:val="24"/>
          <w:lang w:val="en-US"/>
        </w:rPr>
        <w:t xml:space="preserve"> these circumstances the position of the law is now </w:t>
      </w:r>
      <w:r w:rsidR="00091904">
        <w:rPr>
          <w:rFonts w:ascii="Times New Roman" w:hAnsi="Times New Roman" w:cs="Times New Roman"/>
          <w:sz w:val="24"/>
          <w:szCs w:val="24"/>
          <w:lang w:val="en-US"/>
        </w:rPr>
        <w:t>settled. A</w:t>
      </w:r>
      <w:r w:rsidR="00DB4BFA" w:rsidRPr="00A75071">
        <w:rPr>
          <w:rFonts w:ascii="Times New Roman" w:hAnsi="Times New Roman" w:cs="Times New Roman"/>
          <w:sz w:val="24"/>
          <w:szCs w:val="24"/>
          <w:lang w:val="en-US"/>
        </w:rPr>
        <w:t xml:space="preserve"> dismissed </w:t>
      </w:r>
      <w:r w:rsidR="00091904" w:rsidRPr="00A75071">
        <w:rPr>
          <w:rFonts w:ascii="Times New Roman" w:hAnsi="Times New Roman" w:cs="Times New Roman"/>
          <w:sz w:val="24"/>
          <w:szCs w:val="24"/>
          <w:lang w:val="en-US"/>
        </w:rPr>
        <w:t>employee has</w:t>
      </w:r>
      <w:r w:rsidR="00BC7A70" w:rsidRPr="00A75071">
        <w:rPr>
          <w:rFonts w:ascii="Times New Roman" w:hAnsi="Times New Roman" w:cs="Times New Roman"/>
          <w:sz w:val="24"/>
          <w:szCs w:val="24"/>
          <w:lang w:val="en-US"/>
        </w:rPr>
        <w:t xml:space="preserve"> no right to the employer’s property despite challenging the termination of employment</w:t>
      </w:r>
      <w:r w:rsidR="00BC7A70" w:rsidRPr="00A75071">
        <w:rPr>
          <w:rStyle w:val="FootnoteReference"/>
          <w:rFonts w:ascii="Times New Roman" w:hAnsi="Times New Roman" w:cs="Times New Roman"/>
          <w:sz w:val="24"/>
          <w:szCs w:val="24"/>
          <w:lang w:val="en-US"/>
        </w:rPr>
        <w:footnoteReference w:id="11"/>
      </w:r>
      <w:r w:rsidR="00BC7A70" w:rsidRPr="00A75071">
        <w:rPr>
          <w:rFonts w:ascii="Times New Roman" w:hAnsi="Times New Roman" w:cs="Times New Roman"/>
          <w:sz w:val="24"/>
          <w:szCs w:val="24"/>
          <w:lang w:val="en-US"/>
        </w:rPr>
        <w:t>.In this case the defendant resists the claim on the basis that he</w:t>
      </w:r>
      <w:r w:rsidR="00DB4BFA" w:rsidRPr="00A75071">
        <w:rPr>
          <w:rFonts w:ascii="Times New Roman" w:hAnsi="Times New Roman" w:cs="Times New Roman"/>
          <w:sz w:val="24"/>
          <w:szCs w:val="24"/>
          <w:lang w:val="en-US"/>
        </w:rPr>
        <w:t xml:space="preserve"> has challenged the termination. Even if he resists </w:t>
      </w:r>
      <w:r w:rsidR="00091904">
        <w:rPr>
          <w:rFonts w:ascii="Times New Roman" w:hAnsi="Times New Roman" w:cs="Times New Roman"/>
          <w:sz w:val="24"/>
          <w:szCs w:val="24"/>
          <w:lang w:val="en-US"/>
        </w:rPr>
        <w:t xml:space="preserve">it </w:t>
      </w:r>
      <w:r w:rsidR="00DB4BFA" w:rsidRPr="00A75071">
        <w:rPr>
          <w:rFonts w:ascii="Times New Roman" w:hAnsi="Times New Roman" w:cs="Times New Roman"/>
          <w:sz w:val="24"/>
          <w:szCs w:val="24"/>
          <w:lang w:val="en-US"/>
        </w:rPr>
        <w:t xml:space="preserve">on the basis </w:t>
      </w:r>
      <w:r w:rsidR="00091904" w:rsidRPr="00A75071">
        <w:rPr>
          <w:rFonts w:ascii="Times New Roman" w:hAnsi="Times New Roman" w:cs="Times New Roman"/>
          <w:sz w:val="24"/>
          <w:szCs w:val="24"/>
          <w:lang w:val="en-US"/>
        </w:rPr>
        <w:t>that</w:t>
      </w:r>
      <w:r w:rsidR="00091904">
        <w:rPr>
          <w:rFonts w:ascii="Times New Roman" w:hAnsi="Times New Roman" w:cs="Times New Roman"/>
          <w:sz w:val="24"/>
          <w:szCs w:val="24"/>
          <w:lang w:val="en-US"/>
        </w:rPr>
        <w:t xml:space="preserve"> he</w:t>
      </w:r>
      <w:r w:rsidR="00091904" w:rsidRPr="00A75071">
        <w:rPr>
          <w:rFonts w:ascii="Times New Roman" w:hAnsi="Times New Roman" w:cs="Times New Roman"/>
          <w:sz w:val="24"/>
          <w:szCs w:val="24"/>
          <w:lang w:val="en-US"/>
        </w:rPr>
        <w:t xml:space="preserve"> is</w:t>
      </w:r>
      <w:r w:rsidR="00BC7A70" w:rsidRPr="00A75071">
        <w:rPr>
          <w:rFonts w:ascii="Times New Roman" w:hAnsi="Times New Roman" w:cs="Times New Roman"/>
          <w:sz w:val="24"/>
          <w:szCs w:val="24"/>
          <w:lang w:val="en-US"/>
        </w:rPr>
        <w:t xml:space="preserve"> owed money by the </w:t>
      </w:r>
      <w:r w:rsidR="00091904" w:rsidRPr="00A75071">
        <w:rPr>
          <w:rFonts w:ascii="Times New Roman" w:hAnsi="Times New Roman" w:cs="Times New Roman"/>
          <w:sz w:val="24"/>
          <w:szCs w:val="24"/>
          <w:lang w:val="en-US"/>
        </w:rPr>
        <w:t>plaintiff,</w:t>
      </w:r>
      <w:r w:rsidR="00950E93" w:rsidRPr="00A75071">
        <w:rPr>
          <w:rFonts w:ascii="Times New Roman" w:hAnsi="Times New Roman" w:cs="Times New Roman"/>
          <w:sz w:val="24"/>
          <w:szCs w:val="24"/>
          <w:lang w:val="en-US"/>
        </w:rPr>
        <w:t xml:space="preserve"> I have already made a finding that he has no lien.</w:t>
      </w:r>
    </w:p>
    <w:p w14:paraId="3C72AA90" w14:textId="152F819B" w:rsidR="00950E93" w:rsidRPr="00A75071" w:rsidRDefault="00091904"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50E93" w:rsidRPr="00A75071">
        <w:rPr>
          <w:rFonts w:ascii="Times New Roman" w:hAnsi="Times New Roman" w:cs="Times New Roman"/>
          <w:sz w:val="24"/>
          <w:szCs w:val="24"/>
          <w:lang w:val="en-US"/>
        </w:rPr>
        <w:t>My finding on this issue is that the defendant has no lawful right to hold on to the plaintiff’s property despite challenging the decision to terminate his contract.</w:t>
      </w:r>
    </w:p>
    <w:p w14:paraId="40B5B5EC" w14:textId="18954482" w:rsidR="00F2462F" w:rsidRPr="00A75071" w:rsidRDefault="00AB3F9F" w:rsidP="00DB4012">
      <w:pPr>
        <w:tabs>
          <w:tab w:val="left" w:pos="2160"/>
        </w:tabs>
        <w:spacing w:line="360" w:lineRule="auto"/>
        <w:jc w:val="both"/>
        <w:rPr>
          <w:rFonts w:ascii="Times New Roman" w:hAnsi="Times New Roman" w:cs="Times New Roman"/>
          <w:sz w:val="24"/>
          <w:szCs w:val="24"/>
          <w:u w:val="single"/>
          <w:lang w:val="en-US"/>
        </w:rPr>
      </w:pPr>
      <w:r w:rsidRPr="00A75071">
        <w:rPr>
          <w:rFonts w:ascii="Times New Roman" w:hAnsi="Times New Roman" w:cs="Times New Roman"/>
          <w:sz w:val="24"/>
          <w:szCs w:val="24"/>
          <w:u w:val="single"/>
          <w:lang w:val="en-US"/>
        </w:rPr>
        <w:t>The claim of rei vindicatio</w:t>
      </w:r>
    </w:p>
    <w:p w14:paraId="2EF4CFBD" w14:textId="760A1B44" w:rsidR="00950E93" w:rsidRPr="00A75071" w:rsidRDefault="00091904" w:rsidP="00950E93">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B3F9F" w:rsidRPr="00A75071">
        <w:rPr>
          <w:rFonts w:ascii="Times New Roman" w:hAnsi="Times New Roman" w:cs="Times New Roman"/>
          <w:sz w:val="24"/>
          <w:szCs w:val="24"/>
          <w:lang w:val="en-US"/>
        </w:rPr>
        <w:t>On the substantive issue the plaintiff must be granted the order sought.</w:t>
      </w:r>
      <w:r w:rsidR="00950E93" w:rsidRPr="00A75071">
        <w:rPr>
          <w:rFonts w:ascii="Times New Roman" w:hAnsi="Times New Roman" w:cs="Times New Roman"/>
          <w:sz w:val="24"/>
          <w:szCs w:val="24"/>
          <w:lang w:val="en-US"/>
        </w:rPr>
        <w:tab/>
        <w:t>The principles of the </w:t>
      </w:r>
      <w:r w:rsidR="00950E93" w:rsidRPr="00A75071">
        <w:rPr>
          <w:rFonts w:ascii="Times New Roman" w:hAnsi="Times New Roman" w:cs="Times New Roman"/>
          <w:i/>
          <w:iCs/>
          <w:sz w:val="24"/>
          <w:szCs w:val="24"/>
          <w:lang w:val="en-US"/>
        </w:rPr>
        <w:t>actio rei vindicatio</w:t>
      </w:r>
      <w:r w:rsidR="00950E93" w:rsidRPr="00A75071">
        <w:rPr>
          <w:rFonts w:ascii="Times New Roman" w:hAnsi="Times New Roman" w:cs="Times New Roman"/>
          <w:sz w:val="24"/>
          <w:szCs w:val="24"/>
          <w:lang w:val="en-US"/>
        </w:rPr>
        <w:t> are settled in our law. The owner of property has a vindicatory right against the whole world. It is a remedy available to the owner whose property is in the possession of another without his or her consent</w:t>
      </w:r>
      <w:r w:rsidR="00950E93" w:rsidRPr="00A75071">
        <w:rPr>
          <w:rStyle w:val="FootnoteReference"/>
          <w:rFonts w:ascii="Times New Roman" w:hAnsi="Times New Roman" w:cs="Times New Roman"/>
          <w:sz w:val="24"/>
          <w:szCs w:val="24"/>
          <w:lang w:val="en-US"/>
        </w:rPr>
        <w:footnoteReference w:id="12"/>
      </w:r>
      <w:r w:rsidR="00950E93" w:rsidRPr="00A75071">
        <w:rPr>
          <w:rFonts w:ascii="Times New Roman" w:hAnsi="Times New Roman" w:cs="Times New Roman"/>
          <w:sz w:val="24"/>
          <w:szCs w:val="24"/>
          <w:lang w:val="en-US"/>
        </w:rPr>
        <w:t>.  </w:t>
      </w:r>
    </w:p>
    <w:p w14:paraId="61ADCD72" w14:textId="417ECABE" w:rsidR="00950E93" w:rsidRPr="00B7485B" w:rsidRDefault="00091904"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w:t>
      </w:r>
      <w:r w:rsidR="00950E93" w:rsidRPr="00950E93">
        <w:rPr>
          <w:rFonts w:ascii="Times New Roman" w:hAnsi="Times New Roman" w:cs="Times New Roman"/>
          <w:sz w:val="24"/>
          <w:szCs w:val="24"/>
          <w:lang w:val="en-US"/>
        </w:rPr>
        <w:t>he principle of the </w:t>
      </w:r>
      <w:r w:rsidR="00950E93" w:rsidRPr="00950E93">
        <w:rPr>
          <w:rFonts w:ascii="Times New Roman" w:hAnsi="Times New Roman" w:cs="Times New Roman"/>
          <w:i/>
          <w:iCs/>
          <w:sz w:val="24"/>
          <w:szCs w:val="24"/>
          <w:lang w:val="en-US"/>
        </w:rPr>
        <w:t>actio rei vindicatio</w:t>
      </w:r>
      <w:r w:rsidR="00950E93" w:rsidRPr="00950E93">
        <w:rPr>
          <w:rFonts w:ascii="Times New Roman" w:hAnsi="Times New Roman" w:cs="Times New Roman"/>
          <w:sz w:val="24"/>
          <w:szCs w:val="24"/>
          <w:lang w:val="en-US"/>
        </w:rPr>
        <w:t xml:space="preserve"> is that an owner cannot be deprived of his or her property against his or her will. All the owner is required to prove is that he or she is the owner and that the property is in the possession of another at </w:t>
      </w:r>
      <w:r w:rsidR="0018277C" w:rsidRPr="00A75071">
        <w:rPr>
          <w:rFonts w:ascii="Times New Roman" w:hAnsi="Times New Roman" w:cs="Times New Roman"/>
          <w:sz w:val="24"/>
          <w:szCs w:val="24"/>
          <w:lang w:val="en-US"/>
        </w:rPr>
        <w:t>the time when the action commenced</w:t>
      </w:r>
      <w:r w:rsidR="00950E93" w:rsidRPr="00950E93">
        <w:rPr>
          <w:rFonts w:ascii="Times New Roman" w:hAnsi="Times New Roman" w:cs="Times New Roman"/>
          <w:sz w:val="24"/>
          <w:szCs w:val="24"/>
          <w:lang w:val="en-US"/>
        </w:rPr>
        <w:t xml:space="preserve">. </w:t>
      </w:r>
      <w:r w:rsidR="00950E93" w:rsidRPr="00950E93">
        <w:rPr>
          <w:rFonts w:ascii="Times New Roman" w:hAnsi="Times New Roman" w:cs="Times New Roman"/>
          <w:sz w:val="24"/>
          <w:szCs w:val="24"/>
          <w:lang w:val="en-US"/>
        </w:rPr>
        <w:lastRenderedPageBreak/>
        <w:t>Proof of ownership shifts the onus to the possessor to prove a right to retention.</w:t>
      </w:r>
      <w:r w:rsidR="0018277C" w:rsidRPr="00A75071">
        <w:rPr>
          <w:rStyle w:val="FootnoteReference"/>
          <w:rFonts w:ascii="Times New Roman" w:hAnsi="Times New Roman" w:cs="Times New Roman"/>
          <w:sz w:val="24"/>
          <w:szCs w:val="24"/>
          <w:lang w:val="en-US"/>
        </w:rPr>
        <w:footnoteReference w:id="13"/>
      </w:r>
      <w:r w:rsidR="00950E93" w:rsidRPr="00950E93">
        <w:rPr>
          <w:rFonts w:ascii="Times New Roman" w:hAnsi="Times New Roman" w:cs="Times New Roman"/>
          <w:sz w:val="24"/>
          <w:szCs w:val="24"/>
          <w:lang w:val="en-US"/>
        </w:rPr>
        <w:t xml:space="preserve"> </w:t>
      </w:r>
      <w:r w:rsidR="0018277C" w:rsidRPr="00A75071">
        <w:rPr>
          <w:rFonts w:ascii="Times New Roman" w:hAnsi="Times New Roman" w:cs="Times New Roman"/>
          <w:sz w:val="24"/>
          <w:szCs w:val="24"/>
          <w:lang w:val="en-US"/>
        </w:rPr>
        <w:t xml:space="preserve">The law protects the right to ownership to property jealously there are </w:t>
      </w:r>
      <w:r w:rsidR="00B7485B" w:rsidRPr="00A75071">
        <w:rPr>
          <w:rFonts w:ascii="Times New Roman" w:hAnsi="Times New Roman" w:cs="Times New Roman"/>
          <w:sz w:val="24"/>
          <w:szCs w:val="24"/>
          <w:lang w:val="en-US"/>
        </w:rPr>
        <w:t>no considerations</w:t>
      </w:r>
      <w:r w:rsidR="0018277C" w:rsidRPr="00A75071">
        <w:rPr>
          <w:rFonts w:ascii="Times New Roman" w:hAnsi="Times New Roman" w:cs="Times New Roman"/>
          <w:sz w:val="24"/>
          <w:szCs w:val="24"/>
          <w:lang w:val="en-US"/>
        </w:rPr>
        <w:t xml:space="preserve"> of equity</w:t>
      </w:r>
      <w:r w:rsidR="0018277C" w:rsidRPr="00A75071">
        <w:rPr>
          <w:rStyle w:val="FootnoteReference"/>
          <w:rFonts w:ascii="Times New Roman" w:hAnsi="Times New Roman" w:cs="Times New Roman"/>
          <w:sz w:val="24"/>
          <w:szCs w:val="24"/>
          <w:lang w:val="en-US"/>
        </w:rPr>
        <w:footnoteReference w:id="14"/>
      </w:r>
      <w:r w:rsidR="0018277C" w:rsidRPr="00A75071">
        <w:rPr>
          <w:rFonts w:ascii="Times New Roman" w:eastAsia="Times New Roman" w:hAnsi="Times New Roman" w:cs="Times New Roman"/>
          <w:color w:val="4A4A4A"/>
          <w:sz w:val="24"/>
          <w:szCs w:val="24"/>
          <w:lang w:val="en-US"/>
        </w:rPr>
        <w:t xml:space="preserve"> </w:t>
      </w:r>
    </w:p>
    <w:p w14:paraId="5E3D7D41" w14:textId="3834C2F3" w:rsidR="00613117" w:rsidRPr="00A75071" w:rsidRDefault="00B7485B" w:rsidP="00DB4012">
      <w:pPr>
        <w:tabs>
          <w:tab w:val="left" w:pos="21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3F9F" w:rsidRPr="00A75071">
        <w:rPr>
          <w:rFonts w:ascii="Times New Roman" w:hAnsi="Times New Roman" w:cs="Times New Roman"/>
          <w:sz w:val="24"/>
          <w:szCs w:val="24"/>
        </w:rPr>
        <w:t xml:space="preserve">In this case it is not disputed that the property belongs to the plaintiff. The Deed of Transfer </w:t>
      </w:r>
      <w:r w:rsidR="00613117" w:rsidRPr="00A75071">
        <w:rPr>
          <w:rFonts w:ascii="Times New Roman" w:hAnsi="Times New Roman" w:cs="Times New Roman"/>
          <w:sz w:val="24"/>
          <w:szCs w:val="24"/>
        </w:rPr>
        <w:t xml:space="preserve">is proof of such ownership. It is also not contested that the defendant was granted the right to occupation by virtue of an employment contract. The employment contract was terminated in </w:t>
      </w:r>
      <w:r w:rsidR="00950E93" w:rsidRPr="00A75071">
        <w:rPr>
          <w:rFonts w:ascii="Times New Roman" w:hAnsi="Times New Roman" w:cs="Times New Roman"/>
          <w:sz w:val="24"/>
          <w:szCs w:val="24"/>
        </w:rPr>
        <w:t>June 2016. The</w:t>
      </w:r>
      <w:r w:rsidR="00613117" w:rsidRPr="00A75071">
        <w:rPr>
          <w:rFonts w:ascii="Times New Roman" w:hAnsi="Times New Roman" w:cs="Times New Roman"/>
          <w:sz w:val="24"/>
          <w:szCs w:val="24"/>
        </w:rPr>
        <w:t xml:space="preserve"> defendant has challenged the termination but </w:t>
      </w:r>
      <w:r w:rsidR="0018277C" w:rsidRPr="00A75071">
        <w:rPr>
          <w:rFonts w:ascii="Times New Roman" w:hAnsi="Times New Roman" w:cs="Times New Roman"/>
          <w:sz w:val="24"/>
          <w:szCs w:val="24"/>
        </w:rPr>
        <w:t>remains</w:t>
      </w:r>
      <w:r w:rsidR="00613117" w:rsidRPr="00A75071">
        <w:rPr>
          <w:rFonts w:ascii="Times New Roman" w:hAnsi="Times New Roman" w:cs="Times New Roman"/>
          <w:sz w:val="24"/>
          <w:szCs w:val="24"/>
        </w:rPr>
        <w:t xml:space="preserve"> in occupation against the will of the </w:t>
      </w:r>
      <w:r w:rsidR="0018277C" w:rsidRPr="00A75071">
        <w:rPr>
          <w:rFonts w:ascii="Times New Roman" w:hAnsi="Times New Roman" w:cs="Times New Roman"/>
          <w:sz w:val="24"/>
          <w:szCs w:val="24"/>
        </w:rPr>
        <w:t>plaintiff. The defendant has no valid defence.</w:t>
      </w:r>
    </w:p>
    <w:p w14:paraId="29E26F67" w14:textId="1E567AD7" w:rsidR="00AB3F9F" w:rsidRPr="00A75071" w:rsidRDefault="00B7485B"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613117" w:rsidRPr="00A75071">
        <w:rPr>
          <w:rFonts w:ascii="Times New Roman" w:hAnsi="Times New Roman" w:cs="Times New Roman"/>
          <w:sz w:val="24"/>
          <w:szCs w:val="24"/>
        </w:rPr>
        <w:t>All the requirements for the granting of the order have been satisfied.</w:t>
      </w:r>
    </w:p>
    <w:p w14:paraId="6AB3900D" w14:textId="62549428" w:rsidR="00BC7A70" w:rsidRPr="00A75071" w:rsidRDefault="00FE3A34" w:rsidP="00DB4012">
      <w:p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C7A70" w:rsidRPr="00A75071">
        <w:rPr>
          <w:rFonts w:ascii="Times New Roman" w:hAnsi="Times New Roman" w:cs="Times New Roman"/>
          <w:sz w:val="24"/>
          <w:szCs w:val="24"/>
          <w:lang w:val="en-US"/>
        </w:rPr>
        <w:t>In the result the following order is made,</w:t>
      </w:r>
    </w:p>
    <w:p w14:paraId="24E1F131" w14:textId="0177B297" w:rsidR="00BC7A70" w:rsidRPr="00A75071" w:rsidRDefault="00BC7A70" w:rsidP="00BC7A70">
      <w:pPr>
        <w:pStyle w:val="ListParagraph"/>
        <w:numPr>
          <w:ilvl w:val="0"/>
          <w:numId w:val="4"/>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Judgment</w:t>
      </w:r>
      <w:r w:rsidR="00124F9A" w:rsidRPr="00A75071">
        <w:rPr>
          <w:rFonts w:ascii="Times New Roman" w:hAnsi="Times New Roman" w:cs="Times New Roman"/>
          <w:sz w:val="24"/>
          <w:szCs w:val="24"/>
          <w:lang w:val="en-US"/>
        </w:rPr>
        <w:t xml:space="preserve"> be and is hereby </w:t>
      </w:r>
      <w:r w:rsidRPr="00A75071">
        <w:rPr>
          <w:rFonts w:ascii="Times New Roman" w:hAnsi="Times New Roman" w:cs="Times New Roman"/>
          <w:sz w:val="24"/>
          <w:szCs w:val="24"/>
          <w:lang w:val="en-US"/>
        </w:rPr>
        <w:t>entered for the plaintiff for the eviction of the defendant and all those claiming occupation through him from No 31 Shottery Road Greystone Park , Harare.</w:t>
      </w:r>
    </w:p>
    <w:p w14:paraId="265E3971" w14:textId="1EDAA309" w:rsidR="00BC7A70" w:rsidRPr="00A75071" w:rsidRDefault="00F2462F" w:rsidP="00BC7A70">
      <w:pPr>
        <w:pStyle w:val="ListParagraph"/>
        <w:numPr>
          <w:ilvl w:val="0"/>
          <w:numId w:val="4"/>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 xml:space="preserve">The claim for holding over damages be and is referred to trial </w:t>
      </w:r>
    </w:p>
    <w:p w14:paraId="44AD5C3F" w14:textId="607A40F7" w:rsidR="00F2462F" w:rsidRPr="00A75071" w:rsidRDefault="00F2462F" w:rsidP="00BC7A70">
      <w:pPr>
        <w:pStyle w:val="ListParagraph"/>
        <w:numPr>
          <w:ilvl w:val="0"/>
          <w:numId w:val="4"/>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The counter claim for defamatory damages is referred to trial</w:t>
      </w:r>
    </w:p>
    <w:p w14:paraId="4D1B40B6" w14:textId="0E885E7B" w:rsidR="00F2462F" w:rsidRDefault="00F2462F" w:rsidP="00BC7A70">
      <w:pPr>
        <w:pStyle w:val="ListParagraph"/>
        <w:numPr>
          <w:ilvl w:val="0"/>
          <w:numId w:val="4"/>
        </w:numPr>
        <w:tabs>
          <w:tab w:val="left" w:pos="2160"/>
        </w:tabs>
        <w:spacing w:line="360" w:lineRule="auto"/>
        <w:jc w:val="both"/>
        <w:rPr>
          <w:rFonts w:ascii="Times New Roman" w:hAnsi="Times New Roman" w:cs="Times New Roman"/>
          <w:sz w:val="24"/>
          <w:szCs w:val="24"/>
          <w:lang w:val="en-US"/>
        </w:rPr>
      </w:pPr>
      <w:r w:rsidRPr="00A75071">
        <w:rPr>
          <w:rFonts w:ascii="Times New Roman" w:hAnsi="Times New Roman" w:cs="Times New Roman"/>
          <w:sz w:val="24"/>
          <w:szCs w:val="24"/>
          <w:lang w:val="en-US"/>
        </w:rPr>
        <w:t>The counterclaim for damages arising from the employment contract be and is hereby dismissed.</w:t>
      </w:r>
    </w:p>
    <w:p w14:paraId="76B35209" w14:textId="5148D416" w:rsidR="00B7485B" w:rsidRPr="00A75071" w:rsidRDefault="00B7485B" w:rsidP="00BC7A70">
      <w:pPr>
        <w:pStyle w:val="ListParagraph"/>
        <w:numPr>
          <w:ilvl w:val="0"/>
          <w:numId w:val="4"/>
        </w:numPr>
        <w:tabs>
          <w:tab w:val="left" w:pos="216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 to pay costs.</w:t>
      </w:r>
    </w:p>
    <w:p w14:paraId="1FD04C95" w14:textId="77777777" w:rsidR="00BC7A70" w:rsidRPr="00A75071" w:rsidRDefault="00BC7A70" w:rsidP="00DB4012">
      <w:pPr>
        <w:tabs>
          <w:tab w:val="left" w:pos="2160"/>
        </w:tabs>
        <w:spacing w:line="360" w:lineRule="auto"/>
        <w:jc w:val="both"/>
        <w:rPr>
          <w:rFonts w:ascii="Times New Roman" w:hAnsi="Times New Roman" w:cs="Times New Roman"/>
          <w:sz w:val="24"/>
          <w:szCs w:val="24"/>
          <w:lang w:val="en-US"/>
        </w:rPr>
      </w:pPr>
    </w:p>
    <w:p w14:paraId="5B8CC79C" w14:textId="77777777" w:rsidR="00742069" w:rsidRPr="00A75071" w:rsidRDefault="00742069" w:rsidP="00DB4012">
      <w:pPr>
        <w:tabs>
          <w:tab w:val="left" w:pos="2160"/>
        </w:tabs>
        <w:spacing w:line="360" w:lineRule="auto"/>
        <w:jc w:val="both"/>
        <w:rPr>
          <w:rFonts w:ascii="Times New Roman" w:hAnsi="Times New Roman" w:cs="Times New Roman"/>
          <w:sz w:val="24"/>
          <w:szCs w:val="24"/>
          <w:lang w:val="en-US"/>
        </w:rPr>
      </w:pPr>
    </w:p>
    <w:p w14:paraId="48518591" w14:textId="77777777" w:rsidR="00802D02" w:rsidRPr="00A75071" w:rsidRDefault="00DB4012" w:rsidP="00DB4012">
      <w:pPr>
        <w:tabs>
          <w:tab w:val="left" w:pos="2160"/>
        </w:tabs>
        <w:spacing w:after="0" w:line="240" w:lineRule="auto"/>
        <w:jc w:val="both"/>
        <w:rPr>
          <w:rFonts w:ascii="Times New Roman" w:hAnsi="Times New Roman" w:cs="Times New Roman"/>
          <w:i/>
          <w:sz w:val="24"/>
          <w:szCs w:val="24"/>
          <w:lang w:val="en-US"/>
        </w:rPr>
      </w:pPr>
      <w:r w:rsidRPr="00A75071">
        <w:rPr>
          <w:rFonts w:ascii="Times New Roman" w:hAnsi="Times New Roman" w:cs="Times New Roman"/>
          <w:i/>
          <w:sz w:val="24"/>
          <w:szCs w:val="24"/>
          <w:lang w:val="en-US"/>
        </w:rPr>
        <w:t>Messrs. Matsikidze Attorneys at Law, Plaintiff’s</w:t>
      </w:r>
      <w:r w:rsidRPr="00A75071">
        <w:rPr>
          <w:rFonts w:ascii="Times New Roman" w:hAnsi="Times New Roman" w:cs="Times New Roman"/>
          <w:sz w:val="24"/>
          <w:szCs w:val="24"/>
          <w:lang w:val="en-US"/>
        </w:rPr>
        <w:t xml:space="preserve"> Legal Practitioners</w:t>
      </w:r>
    </w:p>
    <w:p w14:paraId="07462E5A" w14:textId="77777777" w:rsidR="00BA6974" w:rsidRPr="00A75071" w:rsidRDefault="00DB4012" w:rsidP="00BA6974">
      <w:pPr>
        <w:tabs>
          <w:tab w:val="left" w:pos="2160"/>
        </w:tabs>
        <w:spacing w:after="0" w:line="240" w:lineRule="auto"/>
        <w:jc w:val="both"/>
        <w:rPr>
          <w:rFonts w:ascii="Times New Roman" w:hAnsi="Times New Roman" w:cs="Times New Roman"/>
          <w:sz w:val="24"/>
          <w:szCs w:val="24"/>
          <w:lang w:val="en-US"/>
        </w:rPr>
      </w:pPr>
      <w:r w:rsidRPr="00A75071">
        <w:rPr>
          <w:rFonts w:ascii="Times New Roman" w:hAnsi="Times New Roman" w:cs="Times New Roman"/>
          <w:i/>
          <w:sz w:val="24"/>
          <w:szCs w:val="24"/>
          <w:lang w:val="en-US"/>
        </w:rPr>
        <w:t xml:space="preserve">Messrs. Tendai </w:t>
      </w:r>
      <w:r w:rsidR="008930DE" w:rsidRPr="00A75071">
        <w:rPr>
          <w:rFonts w:ascii="Times New Roman" w:hAnsi="Times New Roman" w:cs="Times New Roman"/>
          <w:i/>
          <w:sz w:val="24"/>
          <w:szCs w:val="24"/>
          <w:lang w:val="en-US"/>
        </w:rPr>
        <w:t>B</w:t>
      </w:r>
      <w:r w:rsidRPr="00A75071">
        <w:rPr>
          <w:rFonts w:ascii="Times New Roman" w:hAnsi="Times New Roman" w:cs="Times New Roman"/>
          <w:i/>
          <w:sz w:val="24"/>
          <w:szCs w:val="24"/>
          <w:lang w:val="en-US"/>
        </w:rPr>
        <w:t xml:space="preserve">iti Law, </w:t>
      </w:r>
      <w:r w:rsidRPr="00A75071">
        <w:rPr>
          <w:rFonts w:ascii="Times New Roman" w:hAnsi="Times New Roman" w:cs="Times New Roman"/>
          <w:sz w:val="24"/>
          <w:szCs w:val="24"/>
          <w:lang w:val="en-US"/>
        </w:rPr>
        <w:t>Defendant’s Legal Practitioners</w:t>
      </w:r>
      <w:r w:rsidR="00BA6974" w:rsidRPr="00A75071">
        <w:rPr>
          <w:rFonts w:ascii="Times New Roman" w:hAnsi="Times New Roman" w:cs="Times New Roman"/>
          <w:sz w:val="24"/>
          <w:szCs w:val="24"/>
          <w:lang w:val="en-US"/>
        </w:rPr>
        <w:t xml:space="preserve"> </w:t>
      </w:r>
    </w:p>
    <w:p w14:paraId="2EE0D67E" w14:textId="77777777" w:rsidR="00BA6974" w:rsidRPr="00A75071" w:rsidRDefault="00BA6974" w:rsidP="00BA6974">
      <w:pPr>
        <w:tabs>
          <w:tab w:val="left" w:pos="2160"/>
        </w:tabs>
        <w:spacing w:after="0" w:line="240" w:lineRule="auto"/>
        <w:jc w:val="both"/>
        <w:rPr>
          <w:rFonts w:ascii="Times New Roman" w:hAnsi="Times New Roman" w:cs="Times New Roman"/>
          <w:sz w:val="24"/>
          <w:szCs w:val="24"/>
          <w:lang w:val="en-US"/>
        </w:rPr>
      </w:pPr>
    </w:p>
    <w:p w14:paraId="2212EC49" w14:textId="77777777" w:rsidR="00BA6974" w:rsidRPr="00A75071" w:rsidRDefault="00BA6974" w:rsidP="00BA6974">
      <w:pPr>
        <w:tabs>
          <w:tab w:val="left" w:pos="2160"/>
        </w:tabs>
        <w:spacing w:after="0" w:line="240" w:lineRule="auto"/>
        <w:jc w:val="both"/>
        <w:rPr>
          <w:rFonts w:ascii="Times New Roman" w:hAnsi="Times New Roman" w:cs="Times New Roman"/>
          <w:sz w:val="24"/>
          <w:szCs w:val="24"/>
          <w:lang w:val="en-US"/>
        </w:rPr>
      </w:pPr>
    </w:p>
    <w:p w14:paraId="46B5CCE6" w14:textId="77777777" w:rsidR="00BA6974" w:rsidRPr="00A75071" w:rsidRDefault="00BA6974" w:rsidP="00BA6974">
      <w:pPr>
        <w:tabs>
          <w:tab w:val="left" w:pos="2160"/>
        </w:tabs>
        <w:spacing w:after="0" w:line="240" w:lineRule="auto"/>
        <w:jc w:val="both"/>
        <w:rPr>
          <w:rFonts w:ascii="Times New Roman" w:hAnsi="Times New Roman" w:cs="Times New Roman"/>
          <w:sz w:val="24"/>
          <w:szCs w:val="24"/>
          <w:lang w:val="en-US"/>
        </w:rPr>
      </w:pPr>
    </w:p>
    <w:p w14:paraId="7A7DEFED" w14:textId="006B1A31" w:rsidR="00DB4012" w:rsidRPr="00A75071" w:rsidRDefault="00DB4012" w:rsidP="00DB4012">
      <w:pPr>
        <w:tabs>
          <w:tab w:val="left" w:pos="2160"/>
        </w:tabs>
        <w:spacing w:after="0" w:line="240" w:lineRule="auto"/>
        <w:jc w:val="both"/>
        <w:rPr>
          <w:rFonts w:ascii="Times New Roman" w:hAnsi="Times New Roman" w:cs="Times New Roman"/>
          <w:sz w:val="24"/>
          <w:szCs w:val="24"/>
          <w:lang w:val="en-US"/>
        </w:rPr>
      </w:pPr>
      <w:bookmarkStart w:id="1" w:name="_Hlk95662507"/>
    </w:p>
    <w:bookmarkEnd w:id="1"/>
    <w:p w14:paraId="2E46DD00" w14:textId="6F9914FA" w:rsidR="00BA6974" w:rsidRPr="00A75071" w:rsidRDefault="00BA6974" w:rsidP="00DB4012">
      <w:pPr>
        <w:tabs>
          <w:tab w:val="left" w:pos="2160"/>
        </w:tabs>
        <w:spacing w:after="0" w:line="240" w:lineRule="auto"/>
        <w:jc w:val="both"/>
        <w:rPr>
          <w:rFonts w:ascii="Times New Roman" w:hAnsi="Times New Roman" w:cs="Times New Roman"/>
          <w:sz w:val="24"/>
          <w:szCs w:val="24"/>
          <w:lang w:val="en-US"/>
        </w:rPr>
      </w:pPr>
    </w:p>
    <w:p w14:paraId="5EC69BB3" w14:textId="04501CFD" w:rsidR="00BA6974" w:rsidRPr="00A75071" w:rsidRDefault="00BA6974" w:rsidP="00DB4012">
      <w:pPr>
        <w:tabs>
          <w:tab w:val="left" w:pos="2160"/>
        </w:tabs>
        <w:spacing w:after="0" w:line="240" w:lineRule="auto"/>
        <w:jc w:val="both"/>
        <w:rPr>
          <w:rFonts w:ascii="Times New Roman" w:hAnsi="Times New Roman" w:cs="Times New Roman"/>
          <w:sz w:val="24"/>
          <w:szCs w:val="24"/>
          <w:lang w:val="en-US"/>
        </w:rPr>
      </w:pPr>
    </w:p>
    <w:p w14:paraId="1074CC29" w14:textId="77777777" w:rsidR="00BA6974" w:rsidRPr="00A75071" w:rsidRDefault="00BA6974" w:rsidP="00DB4012">
      <w:pPr>
        <w:tabs>
          <w:tab w:val="left" w:pos="2160"/>
        </w:tabs>
        <w:spacing w:after="0" w:line="240" w:lineRule="auto"/>
        <w:jc w:val="both"/>
        <w:rPr>
          <w:rFonts w:ascii="Times New Roman" w:hAnsi="Times New Roman" w:cs="Times New Roman"/>
          <w:sz w:val="24"/>
          <w:szCs w:val="24"/>
          <w:lang w:val="en-US"/>
        </w:rPr>
      </w:pPr>
    </w:p>
    <w:sectPr w:rsidR="00BA6974" w:rsidRPr="00A750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5211B" w14:textId="77777777" w:rsidR="00D50038" w:rsidRDefault="00D50038" w:rsidP="00CB5FB9">
      <w:pPr>
        <w:spacing w:after="0" w:line="240" w:lineRule="auto"/>
      </w:pPr>
      <w:r>
        <w:separator/>
      </w:r>
    </w:p>
  </w:endnote>
  <w:endnote w:type="continuationSeparator" w:id="0">
    <w:p w14:paraId="6AC2EF35" w14:textId="77777777" w:rsidR="00D50038" w:rsidRDefault="00D50038" w:rsidP="00CB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A1736" w14:textId="77777777" w:rsidR="00D50038" w:rsidRDefault="00D50038" w:rsidP="00CB5FB9">
      <w:pPr>
        <w:spacing w:after="0" w:line="240" w:lineRule="auto"/>
      </w:pPr>
      <w:r>
        <w:separator/>
      </w:r>
    </w:p>
  </w:footnote>
  <w:footnote w:type="continuationSeparator" w:id="0">
    <w:p w14:paraId="458849EE" w14:textId="77777777" w:rsidR="00D50038" w:rsidRDefault="00D50038" w:rsidP="00CB5FB9">
      <w:pPr>
        <w:spacing w:after="0" w:line="240" w:lineRule="auto"/>
      </w:pPr>
      <w:r>
        <w:continuationSeparator/>
      </w:r>
    </w:p>
  </w:footnote>
  <w:footnote w:id="1">
    <w:p w14:paraId="7605A8C8" w14:textId="03BDAC29" w:rsidR="00DF2449" w:rsidRPr="00DF2449" w:rsidRDefault="00DF2449">
      <w:pPr>
        <w:pStyle w:val="FootnoteText"/>
        <w:rPr>
          <w:lang w:val="en-US"/>
        </w:rPr>
      </w:pPr>
      <w:r>
        <w:rPr>
          <w:rStyle w:val="FootnoteReference"/>
        </w:rPr>
        <w:footnoteRef/>
      </w:r>
      <w:r>
        <w:t xml:space="preserve"> </w:t>
      </w:r>
      <w:r>
        <w:rPr>
          <w:lang w:val="en-US"/>
        </w:rPr>
        <w:t>Rule 15 (4) of the Labour Court Rules , 2017</w:t>
      </w:r>
    </w:p>
  </w:footnote>
  <w:footnote w:id="2">
    <w:p w14:paraId="69520472" w14:textId="21BE78AF" w:rsidR="00AC64EF" w:rsidRPr="00AC64EF" w:rsidRDefault="00AC64EF">
      <w:pPr>
        <w:pStyle w:val="FootnoteText"/>
        <w:rPr>
          <w:lang w:val="en-US"/>
        </w:rPr>
      </w:pPr>
      <w:r>
        <w:rPr>
          <w:rStyle w:val="FootnoteReference"/>
        </w:rPr>
        <w:footnoteRef/>
      </w:r>
      <w:r>
        <w:t xml:space="preserve"> </w:t>
      </w:r>
      <w:r w:rsidRPr="00AC64EF">
        <w:rPr>
          <w:lang w:val="en-US"/>
        </w:rPr>
        <w:t>Deputy Sheriff Harare v Sherwood (Pvt) Ltd 1998(2) ZLR 373 (HC)</w:t>
      </w:r>
    </w:p>
  </w:footnote>
  <w:footnote w:id="3">
    <w:p w14:paraId="1C172CE5" w14:textId="6AFE38A0" w:rsidR="00BF5DB5" w:rsidRDefault="00BF5DB5">
      <w:pPr>
        <w:pStyle w:val="FootnoteText"/>
      </w:pPr>
      <w:r>
        <w:rPr>
          <w:rStyle w:val="FootnoteReference"/>
        </w:rPr>
        <w:t>2</w:t>
      </w:r>
      <w:r>
        <w:t>Deputy Sheriff Harare v Shewood (Pvt) Ltd 1998(2) ZLR 373(HC)</w:t>
      </w:r>
    </w:p>
    <w:p w14:paraId="6A26910B" w14:textId="6D70D404" w:rsidR="00AC64EF" w:rsidRPr="00AC64EF" w:rsidRDefault="00BF5DB5">
      <w:pPr>
        <w:pStyle w:val="FootnoteText"/>
        <w:rPr>
          <w:lang w:val="en-US"/>
        </w:rPr>
      </w:pPr>
      <w:r>
        <w:rPr>
          <w:vertAlign w:val="superscript"/>
        </w:rPr>
        <w:t>3</w:t>
      </w:r>
      <w:r w:rsidR="00AC64EF">
        <w:t xml:space="preserve"> </w:t>
      </w:r>
      <w:r w:rsidR="00AC64EF" w:rsidRPr="00AC64EF">
        <w:rPr>
          <w:iCs/>
          <w:lang w:val="en-US"/>
        </w:rPr>
        <w:t>Mupini v Makoni 1993(1) ZLR 80 (S)</w:t>
      </w:r>
    </w:p>
  </w:footnote>
  <w:footnote w:id="4">
    <w:p w14:paraId="5DAA5C6D" w14:textId="61432C34" w:rsidR="00DE645B" w:rsidRPr="00DE645B" w:rsidRDefault="00DE645B">
      <w:pPr>
        <w:pStyle w:val="FootnoteText"/>
        <w:rPr>
          <w:lang w:val="en-US"/>
        </w:rPr>
      </w:pPr>
      <w:r>
        <w:rPr>
          <w:rStyle w:val="FootnoteReference"/>
        </w:rPr>
        <w:footnoteRef/>
      </w:r>
      <w:r>
        <w:t xml:space="preserve"> </w:t>
      </w:r>
      <w:r>
        <w:rPr>
          <w:lang w:val="en-US"/>
        </w:rPr>
        <w:t>Herbstein &amp; Van Winsen  , The Civil Practice of the High Courts in South Africa, 5</w:t>
      </w:r>
      <w:r w:rsidRPr="00DE645B">
        <w:rPr>
          <w:vertAlign w:val="superscript"/>
          <w:lang w:val="en-US"/>
        </w:rPr>
        <w:t>th</w:t>
      </w:r>
      <w:r>
        <w:rPr>
          <w:lang w:val="en-US"/>
        </w:rPr>
        <w:t xml:space="preserve"> Ed</w:t>
      </w:r>
    </w:p>
  </w:footnote>
  <w:footnote w:id="5">
    <w:p w14:paraId="5C9235B4" w14:textId="68C93664" w:rsidR="00487EF6" w:rsidRPr="00487EF6" w:rsidRDefault="00487EF6">
      <w:pPr>
        <w:pStyle w:val="FootnoteText"/>
        <w:rPr>
          <w:lang w:val="en-US"/>
        </w:rPr>
      </w:pPr>
      <w:r>
        <w:rPr>
          <w:rStyle w:val="FootnoteReference"/>
        </w:rPr>
        <w:footnoteRef/>
      </w:r>
      <w:r>
        <w:rPr>
          <w:rStyle w:val="FootnoteReference"/>
        </w:rPr>
        <w:footnoteRef/>
      </w:r>
      <w:r>
        <w:t xml:space="preserve"> </w:t>
      </w:r>
      <w:r>
        <w:rPr>
          <w:lang w:val="en-US"/>
        </w:rPr>
        <w:t xml:space="preserve">Chiwaridzo , Isoquant Ibid </w:t>
      </w:r>
    </w:p>
  </w:footnote>
  <w:footnote w:id="6">
    <w:p w14:paraId="167184F2" w14:textId="0B18484D" w:rsidR="004444E3" w:rsidRDefault="004444E3">
      <w:pPr>
        <w:pStyle w:val="FootnoteText"/>
      </w:pPr>
      <w:r>
        <w:rPr>
          <w:rStyle w:val="FootnoteReference"/>
        </w:rPr>
        <w:t>5</w:t>
      </w:r>
      <w:r>
        <w:t>Chiwaridza v TN Supermarket (Pvt) Ltd &amp; Ors CCZ19/20, Isoquant</w:t>
      </w:r>
    </w:p>
    <w:p w14:paraId="12047718" w14:textId="2B29C13C" w:rsidR="00100531" w:rsidRPr="00100531" w:rsidRDefault="004444E3">
      <w:pPr>
        <w:pStyle w:val="FootnoteText"/>
        <w:rPr>
          <w:lang w:val="en-US"/>
        </w:rPr>
      </w:pPr>
      <w:r>
        <w:rPr>
          <w:vertAlign w:val="superscript"/>
        </w:rPr>
        <w:t>6</w:t>
      </w:r>
      <w:r w:rsidR="00100531">
        <w:t xml:space="preserve"> </w:t>
      </w:r>
      <w:r w:rsidR="00100531">
        <w:rPr>
          <w:lang w:val="en-US"/>
        </w:rPr>
        <w:t xml:space="preserve">Section 175 (1) of the Constitution </w:t>
      </w:r>
    </w:p>
  </w:footnote>
  <w:footnote w:id="7">
    <w:p w14:paraId="705A8177" w14:textId="5534C768" w:rsidR="00A12036" w:rsidRPr="003E0878" w:rsidRDefault="00A12036" w:rsidP="00A12036">
      <w:pPr>
        <w:pStyle w:val="FootnoteText"/>
        <w:rPr>
          <w:lang w:val="en-US"/>
        </w:rPr>
      </w:pPr>
      <w:r>
        <w:rPr>
          <w:rStyle w:val="FootnoteReference"/>
        </w:rPr>
        <w:footnoteRef/>
      </w:r>
      <w:r>
        <w:t xml:space="preserve"> </w:t>
      </w:r>
      <w:r>
        <w:rPr>
          <w:lang w:val="en-US"/>
        </w:rPr>
        <w:t xml:space="preserve">Chiwaridza v TM </w:t>
      </w:r>
      <w:r w:rsidR="00A926F9">
        <w:rPr>
          <w:lang w:val="en-US"/>
        </w:rPr>
        <w:t>Supermarkets Pvt L</w:t>
      </w:r>
      <w:r w:rsidR="00B87250">
        <w:rPr>
          <w:lang w:val="en-US"/>
        </w:rPr>
        <w:t>td &amp; Ors Ibid</w:t>
      </w:r>
    </w:p>
  </w:footnote>
  <w:footnote w:id="8">
    <w:p w14:paraId="32B05410" w14:textId="0891B4A9" w:rsidR="005F737E" w:rsidRPr="005F737E" w:rsidRDefault="005F737E">
      <w:pPr>
        <w:pStyle w:val="FootnoteText"/>
        <w:rPr>
          <w:lang w:val="en-US"/>
        </w:rPr>
      </w:pPr>
      <w:r>
        <w:rPr>
          <w:rStyle w:val="FootnoteReference"/>
        </w:rPr>
        <w:footnoteRef/>
      </w:r>
      <w:r>
        <w:t xml:space="preserve"> </w:t>
      </w:r>
      <w:r>
        <w:rPr>
          <w:lang w:val="en-US"/>
        </w:rPr>
        <w:t>The Law of Property , 4</w:t>
      </w:r>
      <w:r w:rsidRPr="005F737E">
        <w:rPr>
          <w:vertAlign w:val="superscript"/>
          <w:lang w:val="en-US"/>
        </w:rPr>
        <w:t>th</w:t>
      </w:r>
      <w:r>
        <w:rPr>
          <w:lang w:val="en-US"/>
        </w:rPr>
        <w:t xml:space="preserve"> Edition</w:t>
      </w:r>
    </w:p>
  </w:footnote>
  <w:footnote w:id="9">
    <w:p w14:paraId="0101A526" w14:textId="1AF712A4" w:rsidR="005F737E" w:rsidRPr="005F737E" w:rsidRDefault="005F737E">
      <w:pPr>
        <w:pStyle w:val="FootnoteText"/>
        <w:rPr>
          <w:lang w:val="en-US"/>
        </w:rPr>
      </w:pPr>
      <w:r>
        <w:rPr>
          <w:rStyle w:val="FootnoteReference"/>
        </w:rPr>
        <w:footnoteRef/>
      </w:r>
      <w:r>
        <w:t xml:space="preserve"> </w:t>
      </w:r>
      <w:r>
        <w:rPr>
          <w:lang w:val="en-US"/>
        </w:rPr>
        <w:t>Ibid at p 389</w:t>
      </w:r>
    </w:p>
  </w:footnote>
  <w:footnote w:id="10">
    <w:p w14:paraId="3B6FB889" w14:textId="76BDBD1F" w:rsidR="00931F99" w:rsidRPr="00931F99" w:rsidRDefault="00931F99">
      <w:pPr>
        <w:pStyle w:val="FootnoteText"/>
        <w:rPr>
          <w:lang w:val="en-US"/>
        </w:rPr>
      </w:pPr>
      <w:r>
        <w:rPr>
          <w:rStyle w:val="FootnoteReference"/>
        </w:rPr>
        <w:footnoteRef/>
      </w:r>
      <w:r>
        <w:t xml:space="preserve"> </w:t>
      </w:r>
      <w:r>
        <w:rPr>
          <w:lang w:val="en-US"/>
        </w:rPr>
        <w:t>Geoff’s Motors (Pvt) Ltd v Lilfordia Estates Pvt Ltd 1995 (2) ZLR 342 (SC)</w:t>
      </w:r>
    </w:p>
  </w:footnote>
  <w:footnote w:id="11">
    <w:p w14:paraId="2D8EA47A" w14:textId="6F657C0B" w:rsidR="00BC7A70" w:rsidRDefault="00BC7A70">
      <w:pPr>
        <w:pStyle w:val="FootnoteText"/>
      </w:pPr>
      <w:r>
        <w:rPr>
          <w:rStyle w:val="FootnoteReference"/>
        </w:rPr>
        <w:footnoteRef/>
      </w:r>
      <w:r>
        <w:t xml:space="preserve"> </w:t>
      </w:r>
      <w:r w:rsidR="00DB4BFA">
        <w:t>Chisipite Schools Trust ( Pvt) Ltd v Clark 1992 (2) ZLR 224,ZBH v Gono 2010 (1) ZLR 8 (HC)</w:t>
      </w:r>
      <w:r w:rsidR="0018277C">
        <w:t xml:space="preserve"> ,Lafarge Cement  (Zimbabwe ) Ltd  v Chatizembwa HH 413/18</w:t>
      </w:r>
    </w:p>
    <w:p w14:paraId="54DAB5A9" w14:textId="77777777" w:rsidR="00B7485B" w:rsidRPr="00BC7A70" w:rsidRDefault="00B7485B">
      <w:pPr>
        <w:pStyle w:val="FootnoteText"/>
        <w:rPr>
          <w:lang w:val="en-US"/>
        </w:rPr>
      </w:pPr>
    </w:p>
  </w:footnote>
  <w:footnote w:id="12">
    <w:p w14:paraId="0CAD9679" w14:textId="77777777" w:rsidR="00950E93" w:rsidRPr="00950E93" w:rsidRDefault="00950E93" w:rsidP="00950E93">
      <w:pPr>
        <w:pStyle w:val="FootnoteText"/>
        <w:rPr>
          <w:lang w:val="en-US"/>
        </w:rPr>
      </w:pPr>
      <w:r>
        <w:rPr>
          <w:rStyle w:val="FootnoteReference"/>
        </w:rPr>
        <w:footnoteRef/>
      </w:r>
      <w:r>
        <w:t xml:space="preserve"> </w:t>
      </w:r>
      <w:r w:rsidRPr="00950E93">
        <w:rPr>
          <w:lang w:val="en-US"/>
        </w:rPr>
        <w:t>Mashave v Standard Bank of South Africa Ltd 1998 (1) ZLR 436 (S) at 438 C; Chetty v Naidoo 1974 (3) SA 13 (A) at 20 A-C </w:t>
      </w:r>
    </w:p>
    <w:p w14:paraId="38EF9EEC" w14:textId="7A7264BD" w:rsidR="00950E93" w:rsidRPr="00950E93" w:rsidRDefault="00950E93">
      <w:pPr>
        <w:pStyle w:val="FootnoteText"/>
        <w:rPr>
          <w:lang w:val="en-US"/>
        </w:rPr>
      </w:pPr>
    </w:p>
  </w:footnote>
  <w:footnote w:id="13">
    <w:p w14:paraId="6C411130" w14:textId="5A4AD4D2" w:rsidR="0018277C" w:rsidRPr="0018277C" w:rsidRDefault="0018277C" w:rsidP="0018277C">
      <w:pPr>
        <w:tabs>
          <w:tab w:val="left" w:pos="2160"/>
        </w:tabs>
        <w:spacing w:line="360" w:lineRule="auto"/>
        <w:jc w:val="both"/>
        <w:rPr>
          <w:sz w:val="20"/>
          <w:szCs w:val="20"/>
          <w:lang w:val="en-US"/>
        </w:rPr>
      </w:pPr>
      <w:r w:rsidRPr="0018277C">
        <w:rPr>
          <w:rStyle w:val="FootnoteReference"/>
          <w:sz w:val="20"/>
          <w:szCs w:val="20"/>
        </w:rPr>
        <w:footnoteRef/>
      </w:r>
      <w:r w:rsidRPr="0018277C">
        <w:rPr>
          <w:sz w:val="20"/>
          <w:szCs w:val="20"/>
        </w:rPr>
        <w:t xml:space="preserve"> </w:t>
      </w:r>
      <w:r w:rsidRPr="00950E93">
        <w:rPr>
          <w:rFonts w:ascii="Times New Roman" w:hAnsi="Times New Roman"/>
          <w:i/>
          <w:iCs/>
          <w:sz w:val="20"/>
          <w:szCs w:val="20"/>
          <w:lang w:val="en-US"/>
        </w:rPr>
        <w:t>Zavazava &amp; Anor</w:t>
      </w:r>
      <w:r w:rsidRPr="00950E93">
        <w:rPr>
          <w:rFonts w:ascii="Times New Roman" w:hAnsi="Times New Roman"/>
          <w:sz w:val="20"/>
          <w:szCs w:val="20"/>
          <w:lang w:val="en-US"/>
        </w:rPr>
        <w:t> v </w:t>
      </w:r>
      <w:r w:rsidRPr="00950E93">
        <w:rPr>
          <w:rFonts w:ascii="Times New Roman" w:hAnsi="Times New Roman"/>
          <w:i/>
          <w:iCs/>
          <w:sz w:val="20"/>
          <w:szCs w:val="20"/>
          <w:lang w:val="en-US"/>
        </w:rPr>
        <w:t>Tendere</w:t>
      </w:r>
      <w:r w:rsidRPr="00950E93">
        <w:rPr>
          <w:rFonts w:ascii="Times New Roman" w:hAnsi="Times New Roman"/>
          <w:sz w:val="20"/>
          <w:szCs w:val="20"/>
          <w:lang w:val="en-US"/>
        </w:rPr>
        <w:t> 2015 (2) ZLR 394 (H) at 398 G.</w:t>
      </w:r>
    </w:p>
  </w:footnote>
  <w:footnote w:id="14">
    <w:p w14:paraId="00D21E73" w14:textId="36906829" w:rsidR="0018277C" w:rsidRPr="0018277C" w:rsidRDefault="0018277C">
      <w:pPr>
        <w:pStyle w:val="FootnoteText"/>
        <w:rPr>
          <w:lang w:val="en-US"/>
        </w:rPr>
      </w:pPr>
      <w:r w:rsidRPr="0018277C">
        <w:rPr>
          <w:rStyle w:val="FootnoteReference"/>
        </w:rPr>
        <w:footnoteRef/>
      </w:r>
      <w:r w:rsidRPr="0018277C">
        <w:t xml:space="preserve"> </w:t>
      </w:r>
      <w:r w:rsidRPr="0018277C">
        <w:rPr>
          <w:i/>
        </w:rPr>
        <w:t>Nzara &amp;Ors v Kashumba &amp; Ors</w:t>
      </w:r>
      <w:r w:rsidRPr="0018277C">
        <w:t xml:space="preserve"> SC18/18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371852"/>
      <w:docPartObj>
        <w:docPartGallery w:val="Page Numbers (Top of Page)"/>
        <w:docPartUnique/>
      </w:docPartObj>
    </w:sdtPr>
    <w:sdtEndPr>
      <w:rPr>
        <w:noProof/>
      </w:rPr>
    </w:sdtEndPr>
    <w:sdtContent>
      <w:p w14:paraId="64F17922" w14:textId="351A5F16" w:rsidR="00CB5FB9" w:rsidRPr="00A44B41" w:rsidRDefault="00CB5FB9">
        <w:pPr>
          <w:pStyle w:val="Header"/>
          <w:jc w:val="right"/>
          <w:rPr>
            <w:noProof/>
          </w:rPr>
        </w:pPr>
        <w:r w:rsidRPr="00A44B41">
          <w:fldChar w:fldCharType="begin"/>
        </w:r>
        <w:r w:rsidRPr="00A44B41">
          <w:instrText xml:space="preserve"> PAGE   \* MERGEFORMAT </w:instrText>
        </w:r>
        <w:r w:rsidRPr="00A44B41">
          <w:fldChar w:fldCharType="separate"/>
        </w:r>
        <w:r w:rsidR="006664A8">
          <w:rPr>
            <w:noProof/>
          </w:rPr>
          <w:t>1</w:t>
        </w:r>
        <w:r w:rsidRPr="00A44B41">
          <w:rPr>
            <w:noProof/>
          </w:rPr>
          <w:fldChar w:fldCharType="end"/>
        </w:r>
      </w:p>
      <w:p w14:paraId="1EC0F3A2" w14:textId="6B8627F4" w:rsidR="00CB5FB9" w:rsidRPr="00A44B41" w:rsidRDefault="00CB5FB9">
        <w:pPr>
          <w:pStyle w:val="Header"/>
          <w:jc w:val="right"/>
          <w:rPr>
            <w:noProof/>
          </w:rPr>
        </w:pPr>
        <w:r w:rsidRPr="00A44B41">
          <w:rPr>
            <w:noProof/>
          </w:rPr>
          <w:t>H</w:t>
        </w:r>
        <w:r w:rsidR="005F470A">
          <w:rPr>
            <w:noProof/>
          </w:rPr>
          <w:t>H</w:t>
        </w:r>
        <w:r w:rsidR="006664A8">
          <w:rPr>
            <w:noProof/>
          </w:rPr>
          <w:t xml:space="preserve"> 90-</w:t>
        </w:r>
        <w:r w:rsidR="005F470A">
          <w:rPr>
            <w:noProof/>
          </w:rPr>
          <w:t>22</w:t>
        </w:r>
      </w:p>
      <w:p w14:paraId="6B4F3F01" w14:textId="77777777" w:rsidR="00CB5FB9" w:rsidRPr="00A44B41" w:rsidRDefault="00CB5FB9">
        <w:pPr>
          <w:pStyle w:val="Header"/>
          <w:jc w:val="right"/>
        </w:pPr>
        <w:r w:rsidRPr="00A44B41">
          <w:rPr>
            <w:noProof/>
          </w:rPr>
          <w:t>HC9615/17</w:t>
        </w:r>
      </w:p>
    </w:sdtContent>
  </w:sdt>
  <w:p w14:paraId="5A30E932" w14:textId="77777777" w:rsidR="00CB5FB9" w:rsidRPr="00CB5FB9" w:rsidRDefault="00CB5FB9">
    <w:pPr>
      <w:pStyle w:val="Header"/>
      <w:rPr>
        <w:color w:val="7F7F7F" w:themeColor="text1" w:themeTint="8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06269"/>
    <w:multiLevelType w:val="hybridMultilevel"/>
    <w:tmpl w:val="22624BB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37D4D12"/>
    <w:multiLevelType w:val="hybridMultilevel"/>
    <w:tmpl w:val="E668B7F8"/>
    <w:lvl w:ilvl="0" w:tplc="30090013">
      <w:start w:val="1"/>
      <w:numFmt w:val="upp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DEC2BC6"/>
    <w:multiLevelType w:val="hybridMultilevel"/>
    <w:tmpl w:val="1BE46C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1251062"/>
    <w:multiLevelType w:val="hybridMultilevel"/>
    <w:tmpl w:val="455E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D83"/>
    <w:rsid w:val="00002B17"/>
    <w:rsid w:val="000064D9"/>
    <w:rsid w:val="00017E48"/>
    <w:rsid w:val="0002528F"/>
    <w:rsid w:val="0004575D"/>
    <w:rsid w:val="000504C1"/>
    <w:rsid w:val="00057FB4"/>
    <w:rsid w:val="00067467"/>
    <w:rsid w:val="00074C7C"/>
    <w:rsid w:val="00076282"/>
    <w:rsid w:val="00091904"/>
    <w:rsid w:val="000D27B6"/>
    <w:rsid w:val="000F34B0"/>
    <w:rsid w:val="00100531"/>
    <w:rsid w:val="00124F9A"/>
    <w:rsid w:val="00127516"/>
    <w:rsid w:val="0013593F"/>
    <w:rsid w:val="00146F5A"/>
    <w:rsid w:val="0016401D"/>
    <w:rsid w:val="0018277C"/>
    <w:rsid w:val="001C2AC2"/>
    <w:rsid w:val="002355F9"/>
    <w:rsid w:val="002B2FB2"/>
    <w:rsid w:val="002B4C74"/>
    <w:rsid w:val="002C36C7"/>
    <w:rsid w:val="002C5059"/>
    <w:rsid w:val="002D0C4E"/>
    <w:rsid w:val="002D3D8D"/>
    <w:rsid w:val="00314665"/>
    <w:rsid w:val="00335485"/>
    <w:rsid w:val="0039026D"/>
    <w:rsid w:val="003B0958"/>
    <w:rsid w:val="003B3033"/>
    <w:rsid w:val="003C1FB8"/>
    <w:rsid w:val="003E0878"/>
    <w:rsid w:val="0041628B"/>
    <w:rsid w:val="004176CE"/>
    <w:rsid w:val="00431C71"/>
    <w:rsid w:val="004444E3"/>
    <w:rsid w:val="004501C7"/>
    <w:rsid w:val="00451638"/>
    <w:rsid w:val="0046689E"/>
    <w:rsid w:val="00487EF6"/>
    <w:rsid w:val="00492D7F"/>
    <w:rsid w:val="0049541E"/>
    <w:rsid w:val="004A02EF"/>
    <w:rsid w:val="004C5256"/>
    <w:rsid w:val="004C7410"/>
    <w:rsid w:val="004F0A73"/>
    <w:rsid w:val="004F70F7"/>
    <w:rsid w:val="00502F3F"/>
    <w:rsid w:val="005334B5"/>
    <w:rsid w:val="00555619"/>
    <w:rsid w:val="005A51F4"/>
    <w:rsid w:val="005F470A"/>
    <w:rsid w:val="005F7154"/>
    <w:rsid w:val="005F737E"/>
    <w:rsid w:val="00613117"/>
    <w:rsid w:val="00665C31"/>
    <w:rsid w:val="006664A8"/>
    <w:rsid w:val="0069252C"/>
    <w:rsid w:val="006B0B99"/>
    <w:rsid w:val="006B56A1"/>
    <w:rsid w:val="006D7D57"/>
    <w:rsid w:val="006E4398"/>
    <w:rsid w:val="006F4E71"/>
    <w:rsid w:val="0070056F"/>
    <w:rsid w:val="00712ABC"/>
    <w:rsid w:val="00717285"/>
    <w:rsid w:val="00741F40"/>
    <w:rsid w:val="00742069"/>
    <w:rsid w:val="00746544"/>
    <w:rsid w:val="00747C9A"/>
    <w:rsid w:val="00755B1C"/>
    <w:rsid w:val="00772E52"/>
    <w:rsid w:val="00783D83"/>
    <w:rsid w:val="00792588"/>
    <w:rsid w:val="00797247"/>
    <w:rsid w:val="007E3420"/>
    <w:rsid w:val="00802D02"/>
    <w:rsid w:val="00811874"/>
    <w:rsid w:val="00824C2C"/>
    <w:rsid w:val="00831A45"/>
    <w:rsid w:val="0084437B"/>
    <w:rsid w:val="00846E6B"/>
    <w:rsid w:val="008930DE"/>
    <w:rsid w:val="00895424"/>
    <w:rsid w:val="0089585F"/>
    <w:rsid w:val="008A449D"/>
    <w:rsid w:val="008D5680"/>
    <w:rsid w:val="008E08BD"/>
    <w:rsid w:val="008E3E12"/>
    <w:rsid w:val="00901E0F"/>
    <w:rsid w:val="009076CC"/>
    <w:rsid w:val="00911E26"/>
    <w:rsid w:val="00931F99"/>
    <w:rsid w:val="00946BD3"/>
    <w:rsid w:val="00950E93"/>
    <w:rsid w:val="00980005"/>
    <w:rsid w:val="00984830"/>
    <w:rsid w:val="00990ECE"/>
    <w:rsid w:val="009A780B"/>
    <w:rsid w:val="009F4786"/>
    <w:rsid w:val="00A12036"/>
    <w:rsid w:val="00A43403"/>
    <w:rsid w:val="00A44B41"/>
    <w:rsid w:val="00A53027"/>
    <w:rsid w:val="00A75071"/>
    <w:rsid w:val="00A87475"/>
    <w:rsid w:val="00A926F9"/>
    <w:rsid w:val="00AA6289"/>
    <w:rsid w:val="00AB2AD9"/>
    <w:rsid w:val="00AB3F9F"/>
    <w:rsid w:val="00AC64EF"/>
    <w:rsid w:val="00AD1E91"/>
    <w:rsid w:val="00AE0429"/>
    <w:rsid w:val="00B4363A"/>
    <w:rsid w:val="00B458D2"/>
    <w:rsid w:val="00B554AE"/>
    <w:rsid w:val="00B7485B"/>
    <w:rsid w:val="00B82B1D"/>
    <w:rsid w:val="00B87250"/>
    <w:rsid w:val="00B93817"/>
    <w:rsid w:val="00BA6974"/>
    <w:rsid w:val="00BC4F52"/>
    <w:rsid w:val="00BC7A70"/>
    <w:rsid w:val="00BF5DB5"/>
    <w:rsid w:val="00C16571"/>
    <w:rsid w:val="00C243C1"/>
    <w:rsid w:val="00C27D87"/>
    <w:rsid w:val="00C3473B"/>
    <w:rsid w:val="00C34B17"/>
    <w:rsid w:val="00C56F46"/>
    <w:rsid w:val="00C60C77"/>
    <w:rsid w:val="00C6183F"/>
    <w:rsid w:val="00C6548F"/>
    <w:rsid w:val="00C9496C"/>
    <w:rsid w:val="00CB5FB9"/>
    <w:rsid w:val="00CE4665"/>
    <w:rsid w:val="00CF0A82"/>
    <w:rsid w:val="00D02F7C"/>
    <w:rsid w:val="00D2309A"/>
    <w:rsid w:val="00D41C19"/>
    <w:rsid w:val="00D50038"/>
    <w:rsid w:val="00D5222C"/>
    <w:rsid w:val="00D74A50"/>
    <w:rsid w:val="00D83C63"/>
    <w:rsid w:val="00D8639A"/>
    <w:rsid w:val="00DA4871"/>
    <w:rsid w:val="00DB4012"/>
    <w:rsid w:val="00DB4BFA"/>
    <w:rsid w:val="00DC10BD"/>
    <w:rsid w:val="00DC50AD"/>
    <w:rsid w:val="00DE645B"/>
    <w:rsid w:val="00DF11E0"/>
    <w:rsid w:val="00DF2449"/>
    <w:rsid w:val="00DF7970"/>
    <w:rsid w:val="00E22F49"/>
    <w:rsid w:val="00E42664"/>
    <w:rsid w:val="00E54B48"/>
    <w:rsid w:val="00F01D12"/>
    <w:rsid w:val="00F2462F"/>
    <w:rsid w:val="00F87C96"/>
    <w:rsid w:val="00FC0D9E"/>
    <w:rsid w:val="00FD054A"/>
    <w:rsid w:val="00FE2B62"/>
    <w:rsid w:val="00FE3A34"/>
    <w:rsid w:val="00FF5B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63C08"/>
  <w15:chartTrackingRefBased/>
  <w15:docId w15:val="{47D75A6D-1F3D-477F-B66F-8387B966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C2C"/>
    <w:pPr>
      <w:ind w:left="720"/>
      <w:contextualSpacing/>
    </w:pPr>
  </w:style>
  <w:style w:type="paragraph" w:styleId="Header">
    <w:name w:val="header"/>
    <w:basedOn w:val="Normal"/>
    <w:link w:val="HeaderChar"/>
    <w:uiPriority w:val="99"/>
    <w:unhideWhenUsed/>
    <w:rsid w:val="00CB5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FB9"/>
  </w:style>
  <w:style w:type="paragraph" w:styleId="Footer">
    <w:name w:val="footer"/>
    <w:basedOn w:val="Normal"/>
    <w:link w:val="FooterChar"/>
    <w:uiPriority w:val="99"/>
    <w:unhideWhenUsed/>
    <w:rsid w:val="00CB5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FB9"/>
  </w:style>
  <w:style w:type="paragraph" w:styleId="FootnoteText">
    <w:name w:val="footnote text"/>
    <w:basedOn w:val="Normal"/>
    <w:link w:val="FootnoteTextChar"/>
    <w:uiPriority w:val="99"/>
    <w:semiHidden/>
    <w:unhideWhenUsed/>
    <w:rsid w:val="00DE64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45B"/>
    <w:rPr>
      <w:sz w:val="20"/>
      <w:szCs w:val="20"/>
    </w:rPr>
  </w:style>
  <w:style w:type="character" w:styleId="FootnoteReference">
    <w:name w:val="footnote reference"/>
    <w:basedOn w:val="DefaultParagraphFont"/>
    <w:uiPriority w:val="99"/>
    <w:semiHidden/>
    <w:unhideWhenUsed/>
    <w:rsid w:val="00DE645B"/>
    <w:rPr>
      <w:vertAlign w:val="superscript"/>
    </w:rPr>
  </w:style>
  <w:style w:type="character" w:styleId="CommentReference">
    <w:name w:val="annotation reference"/>
    <w:basedOn w:val="DefaultParagraphFont"/>
    <w:uiPriority w:val="99"/>
    <w:semiHidden/>
    <w:unhideWhenUsed/>
    <w:rsid w:val="00A12036"/>
    <w:rPr>
      <w:sz w:val="16"/>
      <w:szCs w:val="16"/>
    </w:rPr>
  </w:style>
  <w:style w:type="paragraph" w:styleId="CommentText">
    <w:name w:val="annotation text"/>
    <w:basedOn w:val="Normal"/>
    <w:link w:val="CommentTextChar"/>
    <w:uiPriority w:val="99"/>
    <w:semiHidden/>
    <w:unhideWhenUsed/>
    <w:rsid w:val="00A12036"/>
    <w:pPr>
      <w:spacing w:line="240" w:lineRule="auto"/>
    </w:pPr>
    <w:rPr>
      <w:sz w:val="20"/>
      <w:szCs w:val="20"/>
    </w:rPr>
  </w:style>
  <w:style w:type="character" w:customStyle="1" w:styleId="CommentTextChar">
    <w:name w:val="Comment Text Char"/>
    <w:basedOn w:val="DefaultParagraphFont"/>
    <w:link w:val="CommentText"/>
    <w:uiPriority w:val="99"/>
    <w:semiHidden/>
    <w:rsid w:val="00A12036"/>
    <w:rPr>
      <w:sz w:val="20"/>
      <w:szCs w:val="20"/>
    </w:rPr>
  </w:style>
  <w:style w:type="paragraph" w:styleId="CommentSubject">
    <w:name w:val="annotation subject"/>
    <w:basedOn w:val="CommentText"/>
    <w:next w:val="CommentText"/>
    <w:link w:val="CommentSubjectChar"/>
    <w:uiPriority w:val="99"/>
    <w:semiHidden/>
    <w:unhideWhenUsed/>
    <w:rsid w:val="00A12036"/>
    <w:rPr>
      <w:b/>
      <w:bCs/>
    </w:rPr>
  </w:style>
  <w:style w:type="character" w:customStyle="1" w:styleId="CommentSubjectChar">
    <w:name w:val="Comment Subject Char"/>
    <w:basedOn w:val="CommentTextChar"/>
    <w:link w:val="CommentSubject"/>
    <w:uiPriority w:val="99"/>
    <w:semiHidden/>
    <w:rsid w:val="00A12036"/>
    <w:rPr>
      <w:b/>
      <w:bCs/>
      <w:sz w:val="20"/>
      <w:szCs w:val="20"/>
    </w:rPr>
  </w:style>
  <w:style w:type="paragraph" w:styleId="NormalWeb">
    <w:name w:val="Normal (Web)"/>
    <w:basedOn w:val="Normal"/>
    <w:uiPriority w:val="99"/>
    <w:semiHidden/>
    <w:unhideWhenUsed/>
    <w:rsid w:val="00950E9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359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8657">
      <w:bodyDiv w:val="1"/>
      <w:marLeft w:val="0"/>
      <w:marRight w:val="0"/>
      <w:marTop w:val="0"/>
      <w:marBottom w:val="0"/>
      <w:divBdr>
        <w:top w:val="none" w:sz="0" w:space="0" w:color="auto"/>
        <w:left w:val="none" w:sz="0" w:space="0" w:color="auto"/>
        <w:bottom w:val="none" w:sz="0" w:space="0" w:color="auto"/>
        <w:right w:val="none" w:sz="0" w:space="0" w:color="auto"/>
      </w:divBdr>
    </w:div>
    <w:div w:id="15391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CB14-7B10-46AA-9F87-29BB05870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3951</Words>
  <Characters>22523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2022-02-15T11:46:00Z</cp:lastPrinted>
  <dcterms:created xsi:type="dcterms:W3CDTF">2022-02-18T09:22:00Z</dcterms:created>
  <dcterms:modified xsi:type="dcterms:W3CDTF">2022-02-18T09:22:00Z</dcterms:modified>
</cp:coreProperties>
</file>