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06E" w:rsidRDefault="0017206E" w:rsidP="0017206E">
      <w:pPr>
        <w:spacing w:line="360" w:lineRule="auto"/>
        <w:jc w:val="both"/>
        <w:rPr>
          <w:b/>
        </w:rPr>
      </w:pPr>
      <w:bookmarkStart w:id="0" w:name="_GoBack"/>
      <w:bookmarkEnd w:id="0"/>
      <w:r w:rsidRPr="00047C13">
        <w:rPr>
          <w:b/>
        </w:rPr>
        <w:t>IN T</w:t>
      </w:r>
      <w:r>
        <w:rPr>
          <w:b/>
        </w:rPr>
        <w:t>HE LABOUR COURT OF ZIMBABWE      JUDGMENT NO. LC/H/</w:t>
      </w:r>
      <w:r w:rsidR="00E5660F">
        <w:rPr>
          <w:b/>
        </w:rPr>
        <w:t>501</w:t>
      </w:r>
      <w:r>
        <w:rPr>
          <w:b/>
        </w:rPr>
        <w:t>/2014</w:t>
      </w:r>
    </w:p>
    <w:p w:rsidR="0017206E" w:rsidRDefault="0017206E" w:rsidP="0017206E">
      <w:pPr>
        <w:spacing w:line="360" w:lineRule="auto"/>
        <w:jc w:val="both"/>
        <w:rPr>
          <w:b/>
        </w:rPr>
      </w:pPr>
      <w:r w:rsidRPr="00047C13">
        <w:rPr>
          <w:b/>
        </w:rPr>
        <w:t xml:space="preserve">HARARE, </w:t>
      </w:r>
      <w:r>
        <w:rPr>
          <w:b/>
        </w:rPr>
        <w:t>13 MAY 2014</w:t>
      </w:r>
      <w:r w:rsidRPr="00047C13">
        <w:rPr>
          <w:b/>
        </w:rPr>
        <w:t xml:space="preserve">  </w:t>
      </w:r>
      <w:r w:rsidRPr="00047C13">
        <w:rPr>
          <w:b/>
        </w:rPr>
        <w:tab/>
      </w:r>
      <w:r w:rsidRPr="00047C13">
        <w:rPr>
          <w:b/>
        </w:rPr>
        <w:tab/>
      </w:r>
      <w:r>
        <w:rPr>
          <w:b/>
        </w:rPr>
        <w:t xml:space="preserve">    </w:t>
      </w:r>
      <w:r w:rsidRPr="00047C13">
        <w:rPr>
          <w:b/>
        </w:rPr>
        <w:t xml:space="preserve"> </w:t>
      </w:r>
      <w:r>
        <w:rPr>
          <w:b/>
        </w:rPr>
        <w:tab/>
        <w:t xml:space="preserve">             </w:t>
      </w:r>
      <w:r w:rsidRPr="00047C13">
        <w:rPr>
          <w:b/>
        </w:rPr>
        <w:t>CASE NO. LC/H/</w:t>
      </w:r>
      <w:r>
        <w:rPr>
          <w:b/>
        </w:rPr>
        <w:t>251/14</w:t>
      </w:r>
    </w:p>
    <w:p w:rsidR="003D663F" w:rsidRDefault="003D663F" w:rsidP="0017206E">
      <w:pPr>
        <w:spacing w:line="360" w:lineRule="auto"/>
        <w:jc w:val="both"/>
        <w:rPr>
          <w:b/>
        </w:rPr>
      </w:pPr>
      <w:r>
        <w:rPr>
          <w:b/>
        </w:rPr>
        <w:t>AND 01 AUGUST 2014</w:t>
      </w:r>
    </w:p>
    <w:p w:rsidR="0017206E" w:rsidRPr="00047C13" w:rsidRDefault="0017206E" w:rsidP="0017206E">
      <w:pPr>
        <w:spacing w:line="360" w:lineRule="auto"/>
        <w:jc w:val="both"/>
      </w:pPr>
      <w:r w:rsidRPr="00047C13">
        <w:t>In the matter between</w:t>
      </w:r>
      <w:r>
        <w:t>:-</w:t>
      </w:r>
    </w:p>
    <w:p w:rsidR="0017206E" w:rsidRPr="00047C13" w:rsidRDefault="0017206E" w:rsidP="0017206E">
      <w:pPr>
        <w:spacing w:line="360" w:lineRule="auto"/>
        <w:jc w:val="both"/>
      </w:pPr>
    </w:p>
    <w:p w:rsidR="0017206E" w:rsidRPr="00CC1741" w:rsidRDefault="0017206E" w:rsidP="0017206E">
      <w:pPr>
        <w:spacing w:line="360" w:lineRule="auto"/>
        <w:jc w:val="both"/>
        <w:rPr>
          <w:b/>
        </w:rPr>
      </w:pPr>
      <w:r>
        <w:rPr>
          <w:b/>
        </w:rPr>
        <w:t>NETONE CELLULAR (PVT) LTD</w:t>
      </w:r>
      <w:r>
        <w:rPr>
          <w:b/>
        </w:rPr>
        <w:tab/>
      </w:r>
      <w:r>
        <w:rPr>
          <w:b/>
        </w:rPr>
        <w:tab/>
      </w:r>
      <w:r>
        <w:rPr>
          <w:b/>
        </w:rPr>
        <w:tab/>
      </w:r>
      <w:r>
        <w:rPr>
          <w:b/>
        </w:rPr>
        <w:tab/>
      </w:r>
      <w:r>
        <w:rPr>
          <w:b/>
        </w:rPr>
        <w:tab/>
        <w:t>Applicant</w:t>
      </w:r>
    </w:p>
    <w:p w:rsidR="0017206E" w:rsidRDefault="0017206E" w:rsidP="0017206E">
      <w:pPr>
        <w:spacing w:line="360" w:lineRule="auto"/>
        <w:jc w:val="both"/>
      </w:pPr>
      <w:r w:rsidRPr="00E4649E">
        <w:t>AND</w:t>
      </w:r>
    </w:p>
    <w:p w:rsidR="0017206E" w:rsidRPr="00E4649E" w:rsidRDefault="0017206E" w:rsidP="0017206E">
      <w:pPr>
        <w:spacing w:line="360" w:lineRule="auto"/>
        <w:jc w:val="both"/>
        <w:rPr>
          <w:b/>
        </w:rPr>
      </w:pPr>
      <w:r>
        <w:rPr>
          <w:b/>
        </w:rPr>
        <w:t>JOHANNES MAKONESE</w:t>
      </w:r>
      <w:r>
        <w:rPr>
          <w:b/>
        </w:rPr>
        <w:tab/>
      </w:r>
      <w:r>
        <w:rPr>
          <w:b/>
        </w:rPr>
        <w:tab/>
      </w:r>
      <w:r>
        <w:rPr>
          <w:b/>
        </w:rPr>
        <w:tab/>
      </w:r>
      <w:r>
        <w:rPr>
          <w:b/>
        </w:rPr>
        <w:tab/>
      </w:r>
      <w:r>
        <w:rPr>
          <w:b/>
        </w:rPr>
        <w:tab/>
      </w:r>
      <w:r>
        <w:rPr>
          <w:b/>
        </w:rPr>
        <w:tab/>
        <w:t>Respondent</w:t>
      </w:r>
    </w:p>
    <w:p w:rsidR="0017206E" w:rsidRPr="00047C13" w:rsidRDefault="0017206E" w:rsidP="0017206E">
      <w:pPr>
        <w:spacing w:line="360" w:lineRule="auto"/>
        <w:jc w:val="both"/>
        <w:rPr>
          <w:b/>
        </w:rPr>
      </w:pPr>
    </w:p>
    <w:p w:rsidR="0017206E" w:rsidRPr="00047C13" w:rsidRDefault="0017206E" w:rsidP="0017206E">
      <w:pPr>
        <w:spacing w:line="360" w:lineRule="auto"/>
        <w:jc w:val="both"/>
      </w:pPr>
      <w:r>
        <w:t xml:space="preserve">Before </w:t>
      </w:r>
      <w:r w:rsidRPr="00047C13">
        <w:t>Honourable</w:t>
      </w:r>
      <w:r>
        <w:t xml:space="preserve"> R. Manyangadze, J</w:t>
      </w:r>
      <w:r w:rsidR="007926A6">
        <w:t>:</w:t>
      </w:r>
    </w:p>
    <w:p w:rsidR="0017206E" w:rsidRPr="00047C13" w:rsidRDefault="0017206E" w:rsidP="0017206E">
      <w:pPr>
        <w:spacing w:line="360" w:lineRule="auto"/>
        <w:jc w:val="both"/>
      </w:pPr>
      <w:r w:rsidRPr="00047C13">
        <w:tab/>
      </w:r>
      <w:r w:rsidRPr="00047C13">
        <w:tab/>
      </w:r>
      <w:r w:rsidRPr="00047C13">
        <w:tab/>
      </w:r>
    </w:p>
    <w:p w:rsidR="0017206E" w:rsidRDefault="0017206E" w:rsidP="0017206E">
      <w:pPr>
        <w:spacing w:line="360" w:lineRule="auto"/>
        <w:jc w:val="both"/>
        <w:rPr>
          <w:b/>
        </w:rPr>
      </w:pPr>
      <w:r>
        <w:rPr>
          <w:b/>
        </w:rPr>
        <w:t>For Applicant</w:t>
      </w:r>
      <w:r w:rsidRPr="00047C13">
        <w:rPr>
          <w:b/>
        </w:rPr>
        <w:tab/>
      </w:r>
      <w:r>
        <w:rPr>
          <w:b/>
        </w:rPr>
        <w:tab/>
      </w:r>
      <w:r w:rsidRPr="00047C13">
        <w:rPr>
          <w:b/>
        </w:rPr>
        <w:t>-</w:t>
      </w:r>
      <w:r w:rsidRPr="00047C13">
        <w:rPr>
          <w:b/>
        </w:rPr>
        <w:tab/>
      </w:r>
      <w:r>
        <w:rPr>
          <w:b/>
        </w:rPr>
        <w:t>C. Kuhuni (Legal Practitioner)</w:t>
      </w:r>
    </w:p>
    <w:p w:rsidR="0017206E" w:rsidRDefault="0017206E" w:rsidP="0017206E">
      <w:pPr>
        <w:spacing w:line="276" w:lineRule="auto"/>
        <w:jc w:val="both"/>
        <w:rPr>
          <w:b/>
        </w:rPr>
      </w:pPr>
    </w:p>
    <w:p w:rsidR="0017206E" w:rsidRDefault="0017206E" w:rsidP="0017206E">
      <w:pPr>
        <w:pStyle w:val="NoSpacing"/>
        <w:spacing w:line="360" w:lineRule="auto"/>
        <w:jc w:val="both"/>
        <w:rPr>
          <w:b/>
        </w:rPr>
      </w:pPr>
      <w:r w:rsidRPr="00494C95">
        <w:rPr>
          <w:b/>
        </w:rPr>
        <w:t>For Respondent</w:t>
      </w:r>
      <w:r>
        <w:tab/>
      </w:r>
      <w:r>
        <w:tab/>
        <w:t>-</w:t>
      </w:r>
      <w:r>
        <w:tab/>
      </w:r>
      <w:r w:rsidR="00391436">
        <w:rPr>
          <w:b/>
        </w:rPr>
        <w:t>M. Nzarayap</w:t>
      </w:r>
      <w:r>
        <w:rPr>
          <w:b/>
        </w:rPr>
        <w:t>enga (Legal Practitioner)</w:t>
      </w:r>
    </w:p>
    <w:p w:rsidR="0017206E" w:rsidRPr="00CF1210" w:rsidRDefault="0017206E" w:rsidP="0017206E">
      <w:pPr>
        <w:pStyle w:val="NoSpacing"/>
        <w:spacing w:line="360" w:lineRule="auto"/>
        <w:jc w:val="both"/>
        <w:rPr>
          <w:b/>
        </w:rPr>
      </w:pPr>
    </w:p>
    <w:p w:rsidR="0017206E" w:rsidRDefault="0017206E" w:rsidP="0017206E">
      <w:pPr>
        <w:spacing w:line="360" w:lineRule="auto"/>
        <w:jc w:val="both"/>
        <w:rPr>
          <w:b/>
        </w:rPr>
      </w:pPr>
      <w:r>
        <w:rPr>
          <w:b/>
        </w:rPr>
        <w:t>MANYANGADZE, J:</w:t>
      </w:r>
    </w:p>
    <w:p w:rsidR="0017206E" w:rsidRDefault="0017206E" w:rsidP="0017206E">
      <w:pPr>
        <w:spacing w:line="276" w:lineRule="auto"/>
        <w:jc w:val="both"/>
      </w:pPr>
    </w:p>
    <w:p w:rsidR="003C4620" w:rsidRDefault="0017206E" w:rsidP="0017206E">
      <w:pPr>
        <w:spacing w:line="360" w:lineRule="auto"/>
        <w:jc w:val="both"/>
      </w:pPr>
      <w:r>
        <w:tab/>
        <w:t>This is an application for stay of execution of an arbitral award pending determination of an appeal.</w:t>
      </w:r>
    </w:p>
    <w:p w:rsidR="0017206E" w:rsidRDefault="0017206E" w:rsidP="0017206E">
      <w:pPr>
        <w:jc w:val="both"/>
      </w:pPr>
    </w:p>
    <w:p w:rsidR="0017206E" w:rsidRDefault="0017206E" w:rsidP="0017206E">
      <w:pPr>
        <w:spacing w:line="360" w:lineRule="auto"/>
        <w:jc w:val="both"/>
      </w:pPr>
      <w:r>
        <w:tab/>
        <w:t>Following quantification proceedings held before arbitrator Honourable T.S.</w:t>
      </w:r>
      <w:r w:rsidR="00D67B92">
        <w:t xml:space="preserve"> Makamure, applicant was ordered to pay an amount of US$350 000,00 as damages </w:t>
      </w:r>
      <w:r w:rsidR="00D67B92" w:rsidRPr="009A40C8">
        <w:rPr>
          <w:i/>
        </w:rPr>
        <w:t>in lieu</w:t>
      </w:r>
      <w:r w:rsidR="00D67B92">
        <w:t xml:space="preserve"> of reinstatement.</w:t>
      </w:r>
    </w:p>
    <w:p w:rsidR="00C6090C" w:rsidRDefault="00C6090C" w:rsidP="006A408B">
      <w:pPr>
        <w:jc w:val="both"/>
      </w:pPr>
    </w:p>
    <w:p w:rsidR="00D67B92" w:rsidRDefault="00773BDC" w:rsidP="0017206E">
      <w:pPr>
        <w:spacing w:line="360" w:lineRule="auto"/>
        <w:jc w:val="both"/>
      </w:pPr>
      <w:r>
        <w:tab/>
        <w:t>The legal principles</w:t>
      </w:r>
      <w:r w:rsidR="00D67B92">
        <w:t xml:space="preserve"> applied </w:t>
      </w:r>
      <w:r>
        <w:t xml:space="preserve">in </w:t>
      </w:r>
      <w:r w:rsidR="00D67B92">
        <w:t>an application of this nature are well established.  They have been enunciated in various ca</w:t>
      </w:r>
      <w:r>
        <w:t xml:space="preserve">ses, which include </w:t>
      </w:r>
      <w:r w:rsidRPr="00773BDC">
        <w:rPr>
          <w:i/>
        </w:rPr>
        <w:t>Jere v</w:t>
      </w:r>
      <w:r>
        <w:t xml:space="preserve"> </w:t>
      </w:r>
      <w:r w:rsidRPr="00773BDC">
        <w:rPr>
          <w:i/>
        </w:rPr>
        <w:t>Chitsu</w:t>
      </w:r>
      <w:r w:rsidR="00D67B92" w:rsidRPr="00773BDC">
        <w:rPr>
          <w:i/>
        </w:rPr>
        <w:t>nge</w:t>
      </w:r>
      <w:r w:rsidR="00D67B92">
        <w:t xml:space="preserve"> HB 10/03</w:t>
      </w:r>
      <w:r w:rsidR="00384BBD">
        <w:t xml:space="preserve">, </w:t>
      </w:r>
      <w:r w:rsidR="00384BBD" w:rsidRPr="00773BDC">
        <w:rPr>
          <w:i/>
        </w:rPr>
        <w:t>South</w:t>
      </w:r>
      <w:r w:rsidR="00FE4135" w:rsidRPr="00773BDC">
        <w:rPr>
          <w:i/>
        </w:rPr>
        <w:t xml:space="preserve"> Cape Corporation v Engineering Management Services</w:t>
      </w:r>
      <w:r w:rsidR="00FE4135">
        <w:t xml:space="preserve"> 1979 (3) SA 534, </w:t>
      </w:r>
      <w:r w:rsidR="00FE4135" w:rsidRPr="00773BDC">
        <w:rPr>
          <w:i/>
        </w:rPr>
        <w:t>Zimbabwe Open University v Gideon Magaramombe &amp; Another</w:t>
      </w:r>
      <w:r w:rsidR="00FE4135">
        <w:t xml:space="preserve"> SC 20-12.</w:t>
      </w:r>
    </w:p>
    <w:p w:rsidR="00FE4135" w:rsidRDefault="00FE4135" w:rsidP="006A408B">
      <w:pPr>
        <w:jc w:val="both"/>
      </w:pPr>
    </w:p>
    <w:p w:rsidR="00FE4135" w:rsidRDefault="00FE4135" w:rsidP="0017206E">
      <w:pPr>
        <w:spacing w:line="360" w:lineRule="auto"/>
        <w:jc w:val="both"/>
      </w:pPr>
      <w:r>
        <w:tab/>
        <w:t>The factors considered are:</w:t>
      </w:r>
    </w:p>
    <w:p w:rsidR="00C6090C" w:rsidRDefault="00C6090C" w:rsidP="006A408B">
      <w:pPr>
        <w:jc w:val="both"/>
      </w:pPr>
    </w:p>
    <w:p w:rsidR="00C6090C" w:rsidRDefault="00C6090C" w:rsidP="00C6090C">
      <w:pPr>
        <w:pStyle w:val="ListParagraph"/>
        <w:numPr>
          <w:ilvl w:val="0"/>
          <w:numId w:val="2"/>
        </w:numPr>
        <w:spacing w:line="360" w:lineRule="auto"/>
        <w:jc w:val="both"/>
      </w:pPr>
      <w:r>
        <w:t xml:space="preserve">the likelihood of irreparable harm being suffered by the applicant </w:t>
      </w:r>
      <w:r w:rsidR="00773BDC">
        <w:t>if execution is not stayed</w:t>
      </w:r>
    </w:p>
    <w:p w:rsidR="006A408B" w:rsidRDefault="00773BDC" w:rsidP="00C6090C">
      <w:pPr>
        <w:pStyle w:val="ListParagraph"/>
        <w:numPr>
          <w:ilvl w:val="0"/>
          <w:numId w:val="2"/>
        </w:numPr>
        <w:spacing w:line="360" w:lineRule="auto"/>
        <w:jc w:val="both"/>
      </w:pPr>
      <w:r>
        <w:lastRenderedPageBreak/>
        <w:t>t</w:t>
      </w:r>
      <w:r w:rsidR="006A408B">
        <w:t>he prospects of success on appeal.</w:t>
      </w:r>
    </w:p>
    <w:p w:rsidR="00773BDC" w:rsidRDefault="00773BDC" w:rsidP="00C6090C">
      <w:pPr>
        <w:pStyle w:val="ListParagraph"/>
        <w:numPr>
          <w:ilvl w:val="0"/>
          <w:numId w:val="2"/>
        </w:numPr>
        <w:spacing w:line="360" w:lineRule="auto"/>
        <w:jc w:val="both"/>
      </w:pPr>
      <w:r>
        <w:t>the balance of convenience.</w:t>
      </w:r>
    </w:p>
    <w:p w:rsidR="006A408B" w:rsidRDefault="006A408B" w:rsidP="006A408B">
      <w:pPr>
        <w:jc w:val="both"/>
      </w:pPr>
    </w:p>
    <w:p w:rsidR="006A408B" w:rsidRDefault="009A40C8" w:rsidP="006A408B">
      <w:pPr>
        <w:spacing w:line="360" w:lineRule="auto"/>
        <w:jc w:val="both"/>
      </w:pPr>
      <w:r>
        <w:t>Before considering these</w:t>
      </w:r>
      <w:r w:rsidR="006A408B">
        <w:t xml:space="preserve"> factors in the light of the facts of this matter, there is need to consider a preliminary poi</w:t>
      </w:r>
      <w:r w:rsidR="00773BDC">
        <w:t>nt that has been raised by the r</w:t>
      </w:r>
      <w:r w:rsidR="006A408B">
        <w:t>espondent.  It is to the effect that the applicant has not been honest with the court, and should therefore not be granted the relief it seeks.</w:t>
      </w:r>
    </w:p>
    <w:p w:rsidR="006A408B" w:rsidRDefault="006A408B" w:rsidP="006A408B">
      <w:pPr>
        <w:jc w:val="both"/>
      </w:pPr>
    </w:p>
    <w:p w:rsidR="00C6090C" w:rsidRDefault="006A408B" w:rsidP="006A408B">
      <w:pPr>
        <w:spacing w:line="360" w:lineRule="auto"/>
        <w:jc w:val="both"/>
      </w:pPr>
      <w:r>
        <w:tab/>
        <w:t xml:space="preserve">The averment by the respondent has </w:t>
      </w:r>
      <w:r w:rsidR="00773BDC">
        <w:t>been prompted by the applicant’s</w:t>
      </w:r>
      <w:r>
        <w:t xml:space="preserve"> assertion that the respondent has in fact been paid the </w:t>
      </w:r>
      <w:r w:rsidR="00391436">
        <w:t xml:space="preserve">amount </w:t>
      </w:r>
      <w:r w:rsidR="00773BDC">
        <w:t>which</w:t>
      </w:r>
      <w:r>
        <w:t xml:space="preserve"> was the subject of the arbitral quantification.  In its papers filed of record i.e. the Founding Affidavit and the Heads of Argument, the applicant averred that it paid the respondent an amount of $277 148,89 in full and final settlement of the amount due to respondent as damages </w:t>
      </w:r>
      <w:r w:rsidRPr="00773BDC">
        <w:rPr>
          <w:i/>
        </w:rPr>
        <w:t xml:space="preserve">in lieu </w:t>
      </w:r>
      <w:r>
        <w:t xml:space="preserve">of reinstatement.  Applicant’s </w:t>
      </w:r>
      <w:r w:rsidR="00D91646">
        <w:t xml:space="preserve">counsel also asserted this during his oral submissions </w:t>
      </w:r>
      <w:r w:rsidR="00773BDC">
        <w:t>at</w:t>
      </w:r>
      <w:r w:rsidR="00D91646">
        <w:t xml:space="preserve"> the hearing of the matter.</w:t>
      </w:r>
    </w:p>
    <w:p w:rsidR="00D91646" w:rsidRDefault="00D91646" w:rsidP="00D91646">
      <w:pPr>
        <w:jc w:val="both"/>
      </w:pPr>
    </w:p>
    <w:p w:rsidR="00D91646" w:rsidRDefault="00D91646" w:rsidP="006A408B">
      <w:pPr>
        <w:spacing w:line="360" w:lineRule="auto"/>
        <w:jc w:val="both"/>
      </w:pPr>
      <w:r>
        <w:tab/>
        <w:t xml:space="preserve">On the other hand, the respondent averred that the amount referred to by the applicant was never paid.  What was paid </w:t>
      </w:r>
      <w:r w:rsidR="00773BDC">
        <w:t>only amounted to $118 611,42, fa</w:t>
      </w:r>
      <w:r>
        <w:t>r from the aforementioned $277 248,89.</w:t>
      </w:r>
    </w:p>
    <w:p w:rsidR="00D91646" w:rsidRDefault="00D91646" w:rsidP="000A7760">
      <w:pPr>
        <w:jc w:val="both"/>
      </w:pPr>
    </w:p>
    <w:p w:rsidR="000A7760" w:rsidRDefault="00D91646" w:rsidP="006A408B">
      <w:pPr>
        <w:spacing w:line="360" w:lineRule="auto"/>
        <w:jc w:val="both"/>
      </w:pPr>
      <w:r>
        <w:tab/>
        <w:t>The respondent further averred that during the quantification proceedings, t</w:t>
      </w:r>
      <w:r w:rsidR="00773BDC">
        <w:t>he parties engaged in discussions</w:t>
      </w:r>
      <w:r>
        <w:t xml:space="preserve"> on the side of the formal p</w:t>
      </w:r>
      <w:r w:rsidR="00773BDC">
        <w:t>roceedings.  The side discussions</w:t>
      </w:r>
      <w:r>
        <w:t xml:space="preserve"> resulted in the applicant agreeing to pay an amount of $313 000,00 in full and final settlement of the respondent’s damages.  The applicant did not disclose this amount in its application for stay of execution.  The applicant is also incorrectly claiming that the $277 248,89 it is claiming to have paid was inclusive of backpay.  The respondent’s position is that backpay was a </w:t>
      </w:r>
      <w:r w:rsidR="000A7760">
        <w:t>separate issue, and the amount argued as settlement of damages was exclusive of backpay</w:t>
      </w:r>
      <w:r w:rsidR="00773BDC">
        <w:t>.  The applicant was misleading the</w:t>
      </w:r>
      <w:r w:rsidR="000A7760">
        <w:t xml:space="preserve"> court by including backpay in the damages </w:t>
      </w:r>
      <w:r w:rsidR="00773BDC">
        <w:t>figure.</w:t>
      </w:r>
    </w:p>
    <w:p w:rsidR="000A7760" w:rsidRDefault="000A7760" w:rsidP="000A7760">
      <w:pPr>
        <w:jc w:val="both"/>
      </w:pPr>
    </w:p>
    <w:p w:rsidR="000A7760" w:rsidRDefault="000A7760" w:rsidP="006A408B">
      <w:pPr>
        <w:spacing w:line="360" w:lineRule="auto"/>
        <w:jc w:val="both"/>
      </w:pPr>
      <w:r>
        <w:tab/>
        <w:t>The respondent urged the court to dismiss the application without even going into the merits, having regard to the non-</w:t>
      </w:r>
      <w:r w:rsidR="00CA5DDF">
        <w:t>disclosures</w:t>
      </w:r>
      <w:r>
        <w:t xml:space="preserve"> and misrepresentations by the applicant.</w:t>
      </w:r>
    </w:p>
    <w:p w:rsidR="000A7760" w:rsidRDefault="000A7760" w:rsidP="006A408B">
      <w:pPr>
        <w:spacing w:line="360" w:lineRule="auto"/>
        <w:jc w:val="both"/>
      </w:pPr>
    </w:p>
    <w:p w:rsidR="00D91646" w:rsidRDefault="000A7760" w:rsidP="006A408B">
      <w:pPr>
        <w:spacing w:line="360" w:lineRule="auto"/>
        <w:jc w:val="both"/>
      </w:pPr>
      <w:r>
        <w:lastRenderedPageBreak/>
        <w:tab/>
        <w:t xml:space="preserve">The respondent even went so far as to urge the court to consider not only costs on a higher scale against the applicant, but also costs </w:t>
      </w:r>
      <w:r w:rsidRPr="000A7760">
        <w:rPr>
          <w:u w:val="single"/>
        </w:rPr>
        <w:t>de bonis propi</w:t>
      </w:r>
      <w:r w:rsidR="00773BDC">
        <w:rPr>
          <w:u w:val="single"/>
        </w:rPr>
        <w:t>is</w:t>
      </w:r>
      <w:r>
        <w:t xml:space="preserve"> against applicant’s legal practitioner. </w:t>
      </w:r>
    </w:p>
    <w:p w:rsidR="000A7760" w:rsidRDefault="000A7760" w:rsidP="00E80B87">
      <w:pPr>
        <w:jc w:val="both"/>
      </w:pPr>
    </w:p>
    <w:p w:rsidR="000A7760" w:rsidRDefault="000A7760" w:rsidP="006A408B">
      <w:pPr>
        <w:spacing w:line="360" w:lineRule="auto"/>
        <w:jc w:val="both"/>
      </w:pPr>
      <w:r>
        <w:tab/>
        <w:t xml:space="preserve">In this regard, the respondent referred the court to the </w:t>
      </w:r>
      <w:r w:rsidR="003D663F">
        <w:t xml:space="preserve">judgment of </w:t>
      </w:r>
      <w:r w:rsidR="00A01DB5">
        <w:t xml:space="preserve">MATHONSI J in </w:t>
      </w:r>
      <w:r w:rsidR="009A40C8">
        <w:rPr>
          <w:i/>
        </w:rPr>
        <w:t>Jonathan</w:t>
      </w:r>
      <w:r w:rsidR="00A01DB5" w:rsidRPr="00391436">
        <w:rPr>
          <w:i/>
        </w:rPr>
        <w:t xml:space="preserve"> M. Gapare and TLP Agencies vs Farai Mushipe and The Deputy Sheriff, Bulawayo</w:t>
      </w:r>
      <w:r w:rsidR="00A01DB5">
        <w:t xml:space="preserve"> HB 17/11.</w:t>
      </w:r>
    </w:p>
    <w:p w:rsidR="00A01DB5" w:rsidRDefault="00A01DB5" w:rsidP="006A408B">
      <w:pPr>
        <w:spacing w:line="360" w:lineRule="auto"/>
        <w:jc w:val="both"/>
      </w:pPr>
      <w:r>
        <w:t>In that case, the applicants sought to protect, in an urgent chamber application, an immovable property that had never been placed under attachment.  To compound the case, they relied on an application for rescission of judgment filed “hopelessly out of time” and in respect of which no application for condonation had been made.  MATHONSI J had this to say:</w:t>
      </w:r>
    </w:p>
    <w:p w:rsidR="00A01DB5" w:rsidRDefault="00A01DB5" w:rsidP="00E80B87">
      <w:pPr>
        <w:jc w:val="both"/>
      </w:pPr>
    </w:p>
    <w:p w:rsidR="00A01DB5" w:rsidRDefault="00A01DB5" w:rsidP="00EC4358">
      <w:pPr>
        <w:spacing w:line="276" w:lineRule="auto"/>
        <w:ind w:left="720"/>
        <w:jc w:val="both"/>
      </w:pPr>
      <w:r>
        <w:t>“</w:t>
      </w:r>
      <w:r w:rsidRPr="00EC4358">
        <w:rPr>
          <w:i/>
          <w:sz w:val="22"/>
          <w:szCs w:val="22"/>
        </w:rPr>
        <w:t xml:space="preserve">The fact that there is absolutely no disclosure in the papers that the </w:t>
      </w:r>
      <w:r w:rsidR="00E80B87" w:rsidRPr="00EC4358">
        <w:rPr>
          <w:i/>
          <w:sz w:val="22"/>
          <w:szCs w:val="22"/>
        </w:rPr>
        <w:t xml:space="preserve">house sought to be protected has not been </w:t>
      </w:r>
      <w:r w:rsidR="009A40C8" w:rsidRPr="00EC4358">
        <w:rPr>
          <w:i/>
          <w:sz w:val="22"/>
          <w:szCs w:val="22"/>
        </w:rPr>
        <w:t>place</w:t>
      </w:r>
      <w:r w:rsidR="00EC4358" w:rsidRPr="00EC4358">
        <w:rPr>
          <w:i/>
          <w:sz w:val="22"/>
          <w:szCs w:val="22"/>
        </w:rPr>
        <w:t>d</w:t>
      </w:r>
      <w:r w:rsidR="00E80B87" w:rsidRPr="00EC4358">
        <w:rPr>
          <w:i/>
          <w:sz w:val="22"/>
          <w:szCs w:val="22"/>
        </w:rPr>
        <w:t xml:space="preserve"> under judicial attachment and that instead the relevant house is the one in North End, means that there is glaring non-disclosure of material facts and misrepresentation as to suggest a deliberate effort to hoodwink the court into granting an order where no foundation for it is established</w:t>
      </w:r>
      <w:r w:rsidR="00E80B87">
        <w:t>”.</w:t>
      </w:r>
    </w:p>
    <w:p w:rsidR="00E80B87" w:rsidRDefault="00E80B87" w:rsidP="009858FC">
      <w:pPr>
        <w:jc w:val="both"/>
      </w:pPr>
    </w:p>
    <w:p w:rsidR="00E80B87" w:rsidRDefault="00E80B87" w:rsidP="006A408B">
      <w:pPr>
        <w:spacing w:line="360" w:lineRule="auto"/>
        <w:jc w:val="both"/>
      </w:pPr>
      <w:r>
        <w:tab/>
        <w:t xml:space="preserve">It </w:t>
      </w:r>
      <w:r w:rsidR="00384BBD">
        <w:t>seems</w:t>
      </w:r>
      <w:r>
        <w:t xml:space="preserve"> to me the Judge in that case was confronted with an instance of blatant misrepresentation.  It </w:t>
      </w:r>
      <w:r w:rsidR="00384BBD">
        <w:t xml:space="preserve">appears there was an attempt to stop execution by all means possible, </w:t>
      </w:r>
      <w:r w:rsidR="00773BDC">
        <w:t>even</w:t>
      </w:r>
      <w:r w:rsidR="00384BBD">
        <w:t xml:space="preserve"> a deliberate misrepresentation of facts to the court.  This attracted not only “dismissal of the application, but </w:t>
      </w:r>
      <w:r w:rsidR="00773BDC">
        <w:t xml:space="preserve">an award of costs </w:t>
      </w:r>
      <w:r w:rsidR="00773BDC" w:rsidRPr="009A40C8">
        <w:rPr>
          <w:i/>
        </w:rPr>
        <w:t>de bonis propii</w:t>
      </w:r>
      <w:r w:rsidR="00384BBD" w:rsidRPr="009A40C8">
        <w:rPr>
          <w:i/>
        </w:rPr>
        <w:t>s</w:t>
      </w:r>
      <w:r w:rsidR="00384BBD">
        <w:t>.</w:t>
      </w:r>
    </w:p>
    <w:p w:rsidR="00384BBD" w:rsidRDefault="00384BBD" w:rsidP="009858FC">
      <w:pPr>
        <w:jc w:val="both"/>
      </w:pPr>
    </w:p>
    <w:p w:rsidR="00384BBD" w:rsidRDefault="00384BBD" w:rsidP="006A408B">
      <w:pPr>
        <w:spacing w:line="360" w:lineRule="auto"/>
        <w:jc w:val="both"/>
      </w:pPr>
      <w:r>
        <w:tab/>
        <w:t xml:space="preserve">In </w:t>
      </w:r>
      <w:r w:rsidRPr="003D663F">
        <w:rPr>
          <w:i/>
        </w:rPr>
        <w:t>casu</w:t>
      </w:r>
      <w:r>
        <w:t>, the court is confronted with two different versions of what was agreed between the parties.</w:t>
      </w:r>
      <w:r w:rsidR="00773BDC">
        <w:t xml:space="preserve">  As appears from the record, there</w:t>
      </w:r>
      <w:r w:rsidR="006E60B6">
        <w:t xml:space="preserve"> </w:t>
      </w:r>
      <w:r w:rsidR="00773BDC">
        <w:t>were</w:t>
      </w:r>
      <w:r w:rsidR="006E60B6">
        <w:t xml:space="preserve"> protracted negotiations on what was due and payable, culminating in the arbitral quantification.  There is correspondence spanning over a period of 6 months, </w:t>
      </w:r>
      <w:r w:rsidR="00D12266">
        <w:t>where</w:t>
      </w:r>
      <w:r w:rsidR="006E60B6">
        <w:t xml:space="preserve"> letters and emails </w:t>
      </w:r>
      <w:r w:rsidR="00773BDC">
        <w:t>were</w:t>
      </w:r>
      <w:r w:rsidR="00CA5DDF">
        <w:t xml:space="preserve"> exchanged.  Various figures emerge.  There include $210 304,00, $277 148,89, $118 611,42, $313 000,00, $221 642,51, </w:t>
      </w:r>
      <w:r w:rsidR="00773BDC">
        <w:t xml:space="preserve">and </w:t>
      </w:r>
      <w:r w:rsidR="00CA5DDF">
        <w:t>$47 555,71.</w:t>
      </w:r>
    </w:p>
    <w:p w:rsidR="009858FC" w:rsidRDefault="009858FC" w:rsidP="006A408B">
      <w:pPr>
        <w:spacing w:line="360" w:lineRule="auto"/>
        <w:jc w:val="both"/>
      </w:pPr>
    </w:p>
    <w:p w:rsidR="00CA5DDF" w:rsidRDefault="00CA5DDF" w:rsidP="009858FC">
      <w:pPr>
        <w:spacing w:line="360" w:lineRule="auto"/>
        <w:ind w:firstLine="720"/>
        <w:jc w:val="both"/>
      </w:pPr>
      <w:r>
        <w:t xml:space="preserve">In the course of the negotiations, some payment was accepted by the respondent.  He claims it was $118 611,42.  The applicant claims it was $277 </w:t>
      </w:r>
      <w:r>
        <w:lastRenderedPageBreak/>
        <w:t>148,89, inclusive of backpay.  Respondent insists the payment had nothing to do with back pay, as this was separately agreed upon.</w:t>
      </w:r>
    </w:p>
    <w:p w:rsidR="00CA5DDF" w:rsidRDefault="00CA5DDF" w:rsidP="009858FC">
      <w:pPr>
        <w:jc w:val="both"/>
      </w:pPr>
    </w:p>
    <w:p w:rsidR="00CA5DDF" w:rsidRDefault="00CA5DDF" w:rsidP="006A408B">
      <w:pPr>
        <w:spacing w:line="360" w:lineRule="auto"/>
        <w:jc w:val="both"/>
      </w:pPr>
      <w:r>
        <w:tab/>
        <w:t xml:space="preserve">This scenario, where one version differs from the other, in my view, is </w:t>
      </w:r>
      <w:r w:rsidR="00773BDC">
        <w:t>distinguishable from</w:t>
      </w:r>
      <w:r>
        <w:t xml:space="preserve"> the one that obtained in the </w:t>
      </w:r>
      <w:r w:rsidRPr="00CA5DDF">
        <w:rPr>
          <w:i/>
        </w:rPr>
        <w:t>Gapare</w:t>
      </w:r>
      <w:r>
        <w:t xml:space="preserve"> case, </w:t>
      </w:r>
      <w:r w:rsidRPr="00CA5DDF">
        <w:rPr>
          <w:i/>
        </w:rPr>
        <w:t>supra</w:t>
      </w:r>
      <w:r>
        <w:rPr>
          <w:i/>
        </w:rPr>
        <w:t xml:space="preserve">.  </w:t>
      </w:r>
      <w:r>
        <w:t xml:space="preserve">There are material </w:t>
      </w:r>
      <w:r w:rsidR="00773BDC">
        <w:t>disputes</w:t>
      </w:r>
      <w:r w:rsidR="009858FC">
        <w:t xml:space="preserve"> to </w:t>
      </w:r>
      <w:r w:rsidR="00773BDC">
        <w:t>be</w:t>
      </w:r>
      <w:r w:rsidR="009858FC">
        <w:t xml:space="preserve"> determined on the quantification, before one can definitively conclude that there is blatant misrepresentation</w:t>
      </w:r>
      <w:r w:rsidR="00773BDC">
        <w:t>.</w:t>
      </w:r>
      <w:r w:rsidR="009858FC">
        <w:t xml:space="preserve">  I am not prepared to go as far as that </w:t>
      </w:r>
      <w:r w:rsidR="009A40C8">
        <w:t>conclusion</w:t>
      </w:r>
      <w:r w:rsidR="009858FC">
        <w:t>, given the conflicting versions and the long history of negotiations.</w:t>
      </w:r>
    </w:p>
    <w:p w:rsidR="009858FC" w:rsidRDefault="009858FC" w:rsidP="00DB4605">
      <w:pPr>
        <w:jc w:val="both"/>
      </w:pPr>
    </w:p>
    <w:p w:rsidR="009858FC" w:rsidRDefault="009858FC" w:rsidP="006A408B">
      <w:pPr>
        <w:spacing w:line="360" w:lineRule="auto"/>
        <w:jc w:val="both"/>
      </w:pPr>
      <w:r>
        <w:tab/>
        <w:t xml:space="preserve">On whether or not applicant has shown good and sufficient cause for stay of execution, what has been noted </w:t>
      </w:r>
      <w:r w:rsidR="009A40C8">
        <w:t xml:space="preserve">above </w:t>
      </w:r>
      <w:r w:rsidR="00773BDC">
        <w:t>is equally applicable to this question</w:t>
      </w:r>
      <w:r>
        <w:t xml:space="preserve">.  Various figures have been mentioned, whose </w:t>
      </w:r>
      <w:r w:rsidR="0034151B">
        <w:t>accuracy</w:t>
      </w:r>
      <w:r>
        <w:t xml:space="preserve"> needs to be ascertained before execution is carried out.  The </w:t>
      </w:r>
      <w:r w:rsidR="0034151B">
        <w:t xml:space="preserve">veracity </w:t>
      </w:r>
      <w:r>
        <w:t xml:space="preserve">of the </w:t>
      </w:r>
      <w:r w:rsidR="00DB4605">
        <w:t>quantum</w:t>
      </w:r>
      <w:r>
        <w:t xml:space="preserve">, in my view, cannot be properly ascertained at this interlocutory </w:t>
      </w:r>
      <w:r w:rsidR="00DB4605">
        <w:t xml:space="preserve">stage, given the conflicting </w:t>
      </w:r>
      <w:r w:rsidR="0034151B">
        <w:t>versions</w:t>
      </w:r>
      <w:r w:rsidR="00DB4605">
        <w:t xml:space="preserve">.  The court that </w:t>
      </w:r>
      <w:r w:rsidR="003D663F">
        <w:t>will</w:t>
      </w:r>
      <w:r w:rsidR="00DB4605">
        <w:t xml:space="preserve"> be seized with the appeal is the one that may properly </w:t>
      </w:r>
      <w:r w:rsidR="0034151B">
        <w:t>dig deep into the merits of those versions.</w:t>
      </w:r>
      <w:r w:rsidR="00DB4605">
        <w:t>.</w:t>
      </w:r>
    </w:p>
    <w:p w:rsidR="00DB4605" w:rsidRDefault="00DB4605" w:rsidP="00DB4605">
      <w:pPr>
        <w:jc w:val="both"/>
      </w:pPr>
    </w:p>
    <w:p w:rsidR="00DB4605" w:rsidRDefault="00DB4605" w:rsidP="006A408B">
      <w:pPr>
        <w:spacing w:line="360" w:lineRule="auto"/>
        <w:jc w:val="both"/>
      </w:pPr>
      <w:r>
        <w:tab/>
        <w:t xml:space="preserve">If the appeal succeeds </w:t>
      </w:r>
      <w:r w:rsidR="0034151B">
        <w:t>and</w:t>
      </w:r>
      <w:r>
        <w:t xml:space="preserve"> the respondent </w:t>
      </w:r>
      <w:r w:rsidR="0034151B">
        <w:t>has executed,</w:t>
      </w:r>
      <w:r>
        <w:t xml:space="preserve"> </w:t>
      </w:r>
      <w:r w:rsidR="0034151B">
        <w:t xml:space="preserve">he </w:t>
      </w:r>
      <w:r>
        <w:t xml:space="preserve">most  likely will not be able to restore the status </w:t>
      </w:r>
      <w:r w:rsidRPr="0034151B">
        <w:rPr>
          <w:i/>
        </w:rPr>
        <w:t xml:space="preserve">quo </w:t>
      </w:r>
      <w:r w:rsidR="0034151B" w:rsidRPr="0034151B">
        <w:rPr>
          <w:i/>
        </w:rPr>
        <w:t>ante</w:t>
      </w:r>
      <w:r>
        <w:t xml:space="preserve">.  There will then be irreparable prejudice to the applicant.  In the case of </w:t>
      </w:r>
      <w:r w:rsidR="003D663F" w:rsidRPr="003D663F">
        <w:rPr>
          <w:i/>
        </w:rPr>
        <w:t>Zimbabwe</w:t>
      </w:r>
      <w:r w:rsidRPr="003D663F">
        <w:rPr>
          <w:i/>
        </w:rPr>
        <w:t xml:space="preserve"> Open University vs Gideon Magaramombe and Another</w:t>
      </w:r>
      <w:r>
        <w:t xml:space="preserve"> SC 20/12, the court attached considerable weight to the ability of the respondent to make good any loss that may be suffered as a result of execution.  CHIDYAUSIKU CJ stated, </w:t>
      </w:r>
      <w:r w:rsidR="0034151B">
        <w:t>at</w:t>
      </w:r>
      <w:r>
        <w:t xml:space="preserve"> page 9 of the cyclostyled judgment:</w:t>
      </w:r>
    </w:p>
    <w:p w:rsidR="00DB4605" w:rsidRDefault="00DB4605" w:rsidP="0034151B">
      <w:pPr>
        <w:jc w:val="both"/>
      </w:pPr>
    </w:p>
    <w:p w:rsidR="00DB4605" w:rsidRDefault="00DB4605" w:rsidP="0034151B">
      <w:pPr>
        <w:spacing w:line="276" w:lineRule="auto"/>
        <w:ind w:left="720"/>
        <w:jc w:val="both"/>
      </w:pPr>
      <w:r>
        <w:t>“</w:t>
      </w:r>
      <w:r w:rsidRPr="0034151B">
        <w:rPr>
          <w:i/>
          <w:sz w:val="22"/>
          <w:szCs w:val="22"/>
        </w:rPr>
        <w:t xml:space="preserve">On the papers before me it has been established that in the event of the University being successful on appeal Magaramombe will not be able to restore the status quo </w:t>
      </w:r>
      <w:r w:rsidR="0034151B" w:rsidRPr="0034151B">
        <w:rPr>
          <w:i/>
          <w:sz w:val="22"/>
          <w:szCs w:val="22"/>
        </w:rPr>
        <w:t>ante</w:t>
      </w:r>
      <w:r w:rsidRPr="0034151B">
        <w:rPr>
          <w:i/>
          <w:sz w:val="22"/>
          <w:szCs w:val="22"/>
        </w:rPr>
        <w:t xml:space="preserve">.  On this basis I am satisfied that the University will suffer harm if </w:t>
      </w:r>
      <w:r w:rsidR="0010604E" w:rsidRPr="0034151B">
        <w:rPr>
          <w:i/>
          <w:sz w:val="22"/>
          <w:szCs w:val="22"/>
        </w:rPr>
        <w:t>interim relief is not granted</w:t>
      </w:r>
      <w:r w:rsidR="0010604E">
        <w:t>.”</w:t>
      </w:r>
    </w:p>
    <w:p w:rsidR="0010604E" w:rsidRDefault="0010604E" w:rsidP="0034151B">
      <w:pPr>
        <w:jc w:val="both"/>
      </w:pPr>
    </w:p>
    <w:p w:rsidR="0010604E" w:rsidRDefault="0010604E" w:rsidP="006A408B">
      <w:pPr>
        <w:spacing w:line="360" w:lineRule="auto"/>
        <w:jc w:val="both"/>
      </w:pPr>
      <w:r>
        <w:tab/>
        <w:t xml:space="preserve">The need for </w:t>
      </w:r>
      <w:r w:rsidR="0034151B">
        <w:t xml:space="preserve">execution </w:t>
      </w:r>
      <w:r>
        <w:t xml:space="preserve"> after final judgment becomes even more necessary when one </w:t>
      </w:r>
      <w:r w:rsidR="0034151B">
        <w:t xml:space="preserve"> takes into account the award of</w:t>
      </w:r>
      <w:r>
        <w:t xml:space="preserve"> punitive damages, included in the arbitral award.  In his submissions a</w:t>
      </w:r>
      <w:r w:rsidR="0034151B">
        <w:t>t the hearing, counsel for the r</w:t>
      </w:r>
      <w:r>
        <w:t xml:space="preserve">espondent </w:t>
      </w:r>
      <w:r w:rsidR="009A40C8">
        <w:t>concede</w:t>
      </w:r>
      <w:r w:rsidR="00EC4358">
        <w:t>d</w:t>
      </w:r>
      <w:r>
        <w:t xml:space="preserve"> that this aspect of the award may possibly be faulted.  He however, hastened to </w:t>
      </w:r>
      <w:r w:rsidR="0034151B">
        <w:t>add</w:t>
      </w:r>
      <w:r>
        <w:t xml:space="preserve"> that the arbitrator is empowered by law to </w:t>
      </w:r>
      <w:r w:rsidR="0034151B">
        <w:t>award</w:t>
      </w:r>
      <w:r>
        <w:t xml:space="preserve"> punitive damages.  It is correct that the arbitrator has discretion to </w:t>
      </w:r>
      <w:r w:rsidR="009A40C8">
        <w:t>award</w:t>
      </w:r>
      <w:r>
        <w:t xml:space="preserve"> punitive damages by virtue of section 89 (2) (c) </w:t>
      </w:r>
      <w:r>
        <w:lastRenderedPageBreak/>
        <w:t xml:space="preserve">(iii) of the Labour Act, [Chapter 28:01].  It is however, possible </w:t>
      </w:r>
      <w:r w:rsidR="00C25992">
        <w:t xml:space="preserve">an appeal court may </w:t>
      </w:r>
      <w:r w:rsidR="0034151B">
        <w:t>find that this discretion was</w:t>
      </w:r>
      <w:r w:rsidR="009A40C8">
        <w:t xml:space="preserve"> not</w:t>
      </w:r>
      <w:r w:rsidR="0034151B">
        <w:t xml:space="preserve"> properly exercised.</w:t>
      </w:r>
      <w:r w:rsidR="00C25992">
        <w:t>.</w:t>
      </w:r>
    </w:p>
    <w:p w:rsidR="00C25992" w:rsidRDefault="00C25992" w:rsidP="0034151B">
      <w:pPr>
        <w:jc w:val="both"/>
      </w:pPr>
    </w:p>
    <w:p w:rsidR="00C25992" w:rsidRDefault="00C25992" w:rsidP="006A408B">
      <w:pPr>
        <w:spacing w:line="360" w:lineRule="auto"/>
        <w:jc w:val="both"/>
      </w:pPr>
      <w:r>
        <w:tab/>
        <w:t xml:space="preserve">On the whole, this </w:t>
      </w:r>
      <w:r w:rsidR="0034151B">
        <w:t>seems to be one of those cases where</w:t>
      </w:r>
      <w:r>
        <w:t xml:space="preserve">, in the interests of justice and fairness to both parties, execution must follow final judgment.  </w:t>
      </w:r>
    </w:p>
    <w:p w:rsidR="00C25992" w:rsidRDefault="00C25992" w:rsidP="0034151B">
      <w:pPr>
        <w:jc w:val="both"/>
      </w:pPr>
      <w:r>
        <w:tab/>
      </w:r>
    </w:p>
    <w:p w:rsidR="00C25992" w:rsidRDefault="00C25992" w:rsidP="006A408B">
      <w:pPr>
        <w:spacing w:line="360" w:lineRule="auto"/>
        <w:jc w:val="both"/>
      </w:pPr>
      <w:r>
        <w:t>In the circumstances, it is ordered that;</w:t>
      </w:r>
    </w:p>
    <w:p w:rsidR="00C25992" w:rsidRDefault="00C25992" w:rsidP="0034151B">
      <w:pPr>
        <w:jc w:val="both"/>
      </w:pPr>
    </w:p>
    <w:p w:rsidR="00C25992" w:rsidRDefault="00C25992" w:rsidP="00C25992">
      <w:pPr>
        <w:pStyle w:val="ListParagraph"/>
        <w:numPr>
          <w:ilvl w:val="0"/>
          <w:numId w:val="3"/>
        </w:numPr>
        <w:spacing w:line="360" w:lineRule="auto"/>
        <w:jc w:val="both"/>
      </w:pPr>
      <w:r>
        <w:t xml:space="preserve">Execution of the arbitral award granted in favour of the </w:t>
      </w:r>
      <w:r w:rsidR="00D626AC">
        <w:t>Respondent on 28 February 2014 be and is hereby stayed pending determination of the appeal filed under case number LC/H/251/14.</w:t>
      </w:r>
    </w:p>
    <w:p w:rsidR="00D626AC" w:rsidRDefault="00D626AC" w:rsidP="00C25992">
      <w:pPr>
        <w:pStyle w:val="ListParagraph"/>
        <w:numPr>
          <w:ilvl w:val="0"/>
          <w:numId w:val="3"/>
        </w:numPr>
        <w:spacing w:line="360" w:lineRule="auto"/>
        <w:jc w:val="both"/>
      </w:pPr>
      <w:r>
        <w:t>Costs shall be in the cause.</w:t>
      </w:r>
    </w:p>
    <w:p w:rsidR="00D626AC" w:rsidRDefault="00D626AC" w:rsidP="00D626AC">
      <w:pPr>
        <w:spacing w:line="360" w:lineRule="auto"/>
        <w:jc w:val="both"/>
      </w:pPr>
    </w:p>
    <w:p w:rsidR="00D626AC" w:rsidRDefault="00D626AC" w:rsidP="00D626AC">
      <w:pPr>
        <w:spacing w:line="360" w:lineRule="auto"/>
        <w:jc w:val="both"/>
      </w:pPr>
    </w:p>
    <w:p w:rsidR="00D626AC" w:rsidRDefault="00D626AC" w:rsidP="00D626AC">
      <w:pPr>
        <w:spacing w:line="360" w:lineRule="auto"/>
        <w:jc w:val="both"/>
      </w:pPr>
    </w:p>
    <w:p w:rsidR="00D626AC" w:rsidRDefault="00D626AC" w:rsidP="00D626AC">
      <w:pPr>
        <w:spacing w:line="360" w:lineRule="auto"/>
        <w:jc w:val="both"/>
      </w:pPr>
    </w:p>
    <w:p w:rsidR="00D626AC" w:rsidRPr="00D626AC" w:rsidRDefault="00D626AC" w:rsidP="00D626AC">
      <w:pPr>
        <w:spacing w:line="360" w:lineRule="auto"/>
        <w:jc w:val="both"/>
        <w:rPr>
          <w:b/>
          <w:i/>
        </w:rPr>
      </w:pPr>
      <w:r w:rsidRPr="00D626AC">
        <w:rPr>
          <w:b/>
          <w:i/>
        </w:rPr>
        <w:t>C KUHUNI ATTORNEYS, Applicant’s legal practitioners</w:t>
      </w:r>
    </w:p>
    <w:p w:rsidR="00D626AC" w:rsidRPr="00D626AC" w:rsidRDefault="00D626AC" w:rsidP="00D626AC">
      <w:pPr>
        <w:spacing w:line="360" w:lineRule="auto"/>
        <w:jc w:val="both"/>
        <w:rPr>
          <w:b/>
          <w:i/>
        </w:rPr>
      </w:pPr>
      <w:r w:rsidRPr="00D626AC">
        <w:rPr>
          <w:b/>
          <w:i/>
        </w:rPr>
        <w:t>DUBE-BANDA NZARAYAPENGA, Respondent’s legal practitioners</w:t>
      </w:r>
    </w:p>
    <w:p w:rsidR="00D626AC" w:rsidRDefault="00D626AC" w:rsidP="00D626AC">
      <w:pPr>
        <w:spacing w:line="360" w:lineRule="auto"/>
        <w:jc w:val="both"/>
      </w:pPr>
    </w:p>
    <w:p w:rsidR="00D91646" w:rsidRDefault="00D91646" w:rsidP="006A408B">
      <w:pPr>
        <w:spacing w:line="360" w:lineRule="auto"/>
        <w:jc w:val="both"/>
      </w:pPr>
    </w:p>
    <w:sectPr w:rsidR="00D91646" w:rsidSect="006A408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E7" w:rsidRDefault="003159E7" w:rsidP="006A408B">
      <w:r>
        <w:separator/>
      </w:r>
    </w:p>
  </w:endnote>
  <w:endnote w:type="continuationSeparator" w:id="0">
    <w:p w:rsidR="003159E7" w:rsidRDefault="003159E7" w:rsidP="006A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10132"/>
      <w:docPartObj>
        <w:docPartGallery w:val="Page Numbers (Bottom of Page)"/>
        <w:docPartUnique/>
      </w:docPartObj>
    </w:sdtPr>
    <w:sdtEndPr/>
    <w:sdtContent>
      <w:p w:rsidR="0010604E" w:rsidRDefault="003159E7">
        <w:pPr>
          <w:pStyle w:val="Footer"/>
          <w:jc w:val="center"/>
        </w:pPr>
        <w:r>
          <w:fldChar w:fldCharType="begin"/>
        </w:r>
        <w:r>
          <w:instrText xml:space="preserve"> PAGE   \* MERGEFORMAT </w:instrText>
        </w:r>
        <w:r>
          <w:fldChar w:fldCharType="separate"/>
        </w:r>
        <w:r w:rsidR="003C62DD">
          <w:rPr>
            <w:noProof/>
          </w:rPr>
          <w:t>5</w:t>
        </w:r>
        <w:r>
          <w:rPr>
            <w:noProof/>
          </w:rPr>
          <w:fldChar w:fldCharType="end"/>
        </w:r>
      </w:p>
    </w:sdtContent>
  </w:sdt>
  <w:p w:rsidR="0010604E" w:rsidRDefault="00106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E7" w:rsidRDefault="003159E7" w:rsidP="006A408B">
      <w:r>
        <w:separator/>
      </w:r>
    </w:p>
  </w:footnote>
  <w:footnote w:type="continuationSeparator" w:id="0">
    <w:p w:rsidR="003159E7" w:rsidRDefault="003159E7" w:rsidP="006A4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4E" w:rsidRDefault="0010604E">
    <w:pPr>
      <w:pStyle w:val="Header"/>
    </w:pPr>
    <w:r>
      <w:tab/>
    </w:r>
    <w:r>
      <w:tab/>
      <w:t>JUDGMENT NO. LC/H/</w:t>
    </w:r>
    <w:r w:rsidR="00E5660F">
      <w:t>501</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B5577"/>
    <w:multiLevelType w:val="hybridMultilevel"/>
    <w:tmpl w:val="E1F4E37E"/>
    <w:lvl w:ilvl="0" w:tplc="044048F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DEB29A9"/>
    <w:multiLevelType w:val="hybridMultilevel"/>
    <w:tmpl w:val="3378FF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0053486"/>
    <w:multiLevelType w:val="hybridMultilevel"/>
    <w:tmpl w:val="87068B74"/>
    <w:lvl w:ilvl="0" w:tplc="FF2CDA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06E"/>
    <w:rsid w:val="000A7760"/>
    <w:rsid w:val="0010604E"/>
    <w:rsid w:val="00164E61"/>
    <w:rsid w:val="0017206E"/>
    <w:rsid w:val="00174A15"/>
    <w:rsid w:val="001D266C"/>
    <w:rsid w:val="003159E7"/>
    <w:rsid w:val="00323706"/>
    <w:rsid w:val="0034151B"/>
    <w:rsid w:val="0035749B"/>
    <w:rsid w:val="00384BBD"/>
    <w:rsid w:val="00391436"/>
    <w:rsid w:val="003C4620"/>
    <w:rsid w:val="003C62DD"/>
    <w:rsid w:val="003D663F"/>
    <w:rsid w:val="004074D3"/>
    <w:rsid w:val="004D756D"/>
    <w:rsid w:val="004F60CC"/>
    <w:rsid w:val="005A4DED"/>
    <w:rsid w:val="006458F3"/>
    <w:rsid w:val="00674635"/>
    <w:rsid w:val="006A408B"/>
    <w:rsid w:val="006E6085"/>
    <w:rsid w:val="006E60B6"/>
    <w:rsid w:val="00773BDC"/>
    <w:rsid w:val="007926A6"/>
    <w:rsid w:val="00794450"/>
    <w:rsid w:val="007C4FC2"/>
    <w:rsid w:val="008046FB"/>
    <w:rsid w:val="008A48B6"/>
    <w:rsid w:val="008D75AD"/>
    <w:rsid w:val="009442BF"/>
    <w:rsid w:val="009858FC"/>
    <w:rsid w:val="009A40C8"/>
    <w:rsid w:val="00A01DB5"/>
    <w:rsid w:val="00BC6CE3"/>
    <w:rsid w:val="00BF2098"/>
    <w:rsid w:val="00C25992"/>
    <w:rsid w:val="00C6090C"/>
    <w:rsid w:val="00C6419C"/>
    <w:rsid w:val="00CA5DDF"/>
    <w:rsid w:val="00D11FDD"/>
    <w:rsid w:val="00D12266"/>
    <w:rsid w:val="00D626AC"/>
    <w:rsid w:val="00D67B92"/>
    <w:rsid w:val="00D91646"/>
    <w:rsid w:val="00DB4605"/>
    <w:rsid w:val="00E5660F"/>
    <w:rsid w:val="00E80B87"/>
    <w:rsid w:val="00EC4358"/>
    <w:rsid w:val="00ED63F2"/>
    <w:rsid w:val="00F927F1"/>
    <w:rsid w:val="00FE41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06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06E"/>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C6090C"/>
    <w:pPr>
      <w:ind w:left="720"/>
      <w:contextualSpacing/>
    </w:pPr>
  </w:style>
  <w:style w:type="paragraph" w:styleId="Header">
    <w:name w:val="header"/>
    <w:basedOn w:val="Normal"/>
    <w:link w:val="HeaderChar"/>
    <w:uiPriority w:val="99"/>
    <w:semiHidden/>
    <w:unhideWhenUsed/>
    <w:rsid w:val="006A408B"/>
    <w:pPr>
      <w:tabs>
        <w:tab w:val="center" w:pos="4513"/>
        <w:tab w:val="right" w:pos="9026"/>
      </w:tabs>
    </w:pPr>
  </w:style>
  <w:style w:type="character" w:customStyle="1" w:styleId="HeaderChar">
    <w:name w:val="Header Char"/>
    <w:basedOn w:val="DefaultParagraphFont"/>
    <w:link w:val="Header"/>
    <w:uiPriority w:val="99"/>
    <w:semiHidden/>
    <w:rsid w:val="006A408B"/>
    <w:rPr>
      <w:rFonts w:ascii="Tahoma" w:eastAsia="Times New Roman" w:hAnsi="Tahoma" w:cs="Times New Roman"/>
      <w:sz w:val="24"/>
      <w:szCs w:val="24"/>
      <w:lang w:val="en-US"/>
    </w:rPr>
  </w:style>
  <w:style w:type="paragraph" w:styleId="Footer">
    <w:name w:val="footer"/>
    <w:basedOn w:val="Normal"/>
    <w:link w:val="FooterChar"/>
    <w:uiPriority w:val="99"/>
    <w:unhideWhenUsed/>
    <w:rsid w:val="006A408B"/>
    <w:pPr>
      <w:tabs>
        <w:tab w:val="center" w:pos="4513"/>
        <w:tab w:val="right" w:pos="9026"/>
      </w:tabs>
    </w:pPr>
  </w:style>
  <w:style w:type="character" w:customStyle="1" w:styleId="FooterChar">
    <w:name w:val="Footer Char"/>
    <w:basedOn w:val="DefaultParagraphFont"/>
    <w:link w:val="Footer"/>
    <w:uiPriority w:val="99"/>
    <w:rsid w:val="006A408B"/>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06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06E"/>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C6090C"/>
    <w:pPr>
      <w:ind w:left="720"/>
      <w:contextualSpacing/>
    </w:pPr>
  </w:style>
  <w:style w:type="paragraph" w:styleId="Header">
    <w:name w:val="header"/>
    <w:basedOn w:val="Normal"/>
    <w:link w:val="HeaderChar"/>
    <w:uiPriority w:val="99"/>
    <w:semiHidden/>
    <w:unhideWhenUsed/>
    <w:rsid w:val="006A408B"/>
    <w:pPr>
      <w:tabs>
        <w:tab w:val="center" w:pos="4513"/>
        <w:tab w:val="right" w:pos="9026"/>
      </w:tabs>
    </w:pPr>
  </w:style>
  <w:style w:type="character" w:customStyle="1" w:styleId="HeaderChar">
    <w:name w:val="Header Char"/>
    <w:basedOn w:val="DefaultParagraphFont"/>
    <w:link w:val="Header"/>
    <w:uiPriority w:val="99"/>
    <w:semiHidden/>
    <w:rsid w:val="006A408B"/>
    <w:rPr>
      <w:rFonts w:ascii="Tahoma" w:eastAsia="Times New Roman" w:hAnsi="Tahoma" w:cs="Times New Roman"/>
      <w:sz w:val="24"/>
      <w:szCs w:val="24"/>
      <w:lang w:val="en-US"/>
    </w:rPr>
  </w:style>
  <w:style w:type="paragraph" w:styleId="Footer">
    <w:name w:val="footer"/>
    <w:basedOn w:val="Normal"/>
    <w:link w:val="FooterChar"/>
    <w:uiPriority w:val="99"/>
    <w:unhideWhenUsed/>
    <w:rsid w:val="006A408B"/>
    <w:pPr>
      <w:tabs>
        <w:tab w:val="center" w:pos="4513"/>
        <w:tab w:val="right" w:pos="9026"/>
      </w:tabs>
    </w:pPr>
  </w:style>
  <w:style w:type="character" w:customStyle="1" w:styleId="FooterChar">
    <w:name w:val="Footer Char"/>
    <w:basedOn w:val="DefaultParagraphFont"/>
    <w:link w:val="Footer"/>
    <w:uiPriority w:val="99"/>
    <w:rsid w:val="006A408B"/>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2014-07-29T12:22:00Z</cp:lastPrinted>
  <dcterms:created xsi:type="dcterms:W3CDTF">2017-04-06T08:45:00Z</dcterms:created>
  <dcterms:modified xsi:type="dcterms:W3CDTF">2017-04-06T08:45:00Z</dcterms:modified>
</cp:coreProperties>
</file>