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542" w:rsidRDefault="00242542" w:rsidP="0024254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NELISIWE MLAMBO KARARA</w:t>
      </w:r>
    </w:p>
    <w:p w:rsidR="00242542" w:rsidRDefault="00242542" w:rsidP="00242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42542" w:rsidRDefault="00242542" w:rsidP="00242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AROSUME PROPERTY DEVELOPMENT</w:t>
      </w:r>
    </w:p>
    <w:p w:rsidR="00242542" w:rsidRDefault="00D30069" w:rsidP="00242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42542">
        <w:rPr>
          <w:rFonts w:ascii="Times New Roman" w:hAnsi="Times New Roman" w:cs="Times New Roman"/>
          <w:sz w:val="24"/>
          <w:szCs w:val="24"/>
        </w:rPr>
        <w:t>nd</w:t>
      </w:r>
    </w:p>
    <w:p w:rsidR="00242542" w:rsidRDefault="00242542" w:rsidP="00242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MWANAWEVHU HOUSING COOPERATIVE</w:t>
      </w:r>
    </w:p>
    <w:p w:rsidR="00242542" w:rsidRDefault="00D30069" w:rsidP="00242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42542">
        <w:rPr>
          <w:rFonts w:ascii="Times New Roman" w:hAnsi="Times New Roman" w:cs="Times New Roman"/>
          <w:sz w:val="24"/>
          <w:szCs w:val="24"/>
        </w:rPr>
        <w:t>nd</w:t>
      </w:r>
    </w:p>
    <w:p w:rsidR="00242542" w:rsidRDefault="00242542" w:rsidP="00242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KUDZANAI CHIKUTU</w:t>
      </w:r>
    </w:p>
    <w:p w:rsidR="00242542" w:rsidRDefault="00D30069" w:rsidP="00242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42542">
        <w:rPr>
          <w:rFonts w:ascii="Times New Roman" w:hAnsi="Times New Roman" w:cs="Times New Roman"/>
          <w:sz w:val="24"/>
          <w:szCs w:val="24"/>
        </w:rPr>
        <w:t>nd</w:t>
      </w:r>
    </w:p>
    <w:p w:rsidR="00242542" w:rsidRDefault="00242542" w:rsidP="00242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LOCAL GOVERNMENT AND PUBLIC WORKS N.O</w:t>
      </w:r>
    </w:p>
    <w:p w:rsidR="00242542" w:rsidRDefault="00242542" w:rsidP="00242542">
      <w:pPr>
        <w:spacing w:after="0" w:line="240" w:lineRule="auto"/>
        <w:jc w:val="both"/>
        <w:rPr>
          <w:rFonts w:ascii="Times New Roman" w:hAnsi="Times New Roman" w:cs="Times New Roman"/>
          <w:sz w:val="24"/>
          <w:szCs w:val="24"/>
        </w:rPr>
      </w:pPr>
    </w:p>
    <w:p w:rsidR="00242542" w:rsidRDefault="00242542" w:rsidP="00242542">
      <w:pPr>
        <w:spacing w:after="0" w:line="240" w:lineRule="auto"/>
        <w:jc w:val="both"/>
        <w:rPr>
          <w:rFonts w:ascii="Times New Roman" w:hAnsi="Times New Roman" w:cs="Times New Roman"/>
          <w:sz w:val="24"/>
          <w:szCs w:val="24"/>
        </w:rPr>
      </w:pPr>
    </w:p>
    <w:p w:rsidR="00242542" w:rsidRDefault="00242542" w:rsidP="00242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42542" w:rsidRDefault="00242542" w:rsidP="00242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242542" w:rsidRDefault="00242542" w:rsidP="00242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30069">
        <w:rPr>
          <w:rFonts w:ascii="Times New Roman" w:hAnsi="Times New Roman" w:cs="Times New Roman"/>
          <w:sz w:val="24"/>
          <w:szCs w:val="24"/>
        </w:rPr>
        <w:t xml:space="preserve">, </w:t>
      </w:r>
      <w:r>
        <w:rPr>
          <w:rFonts w:ascii="Times New Roman" w:hAnsi="Times New Roman" w:cs="Times New Roman"/>
          <w:sz w:val="24"/>
          <w:szCs w:val="24"/>
        </w:rPr>
        <w:t>,</w:t>
      </w:r>
      <w:r w:rsidR="00D30069">
        <w:rPr>
          <w:rFonts w:ascii="Times New Roman" w:hAnsi="Times New Roman" w:cs="Times New Roman"/>
          <w:sz w:val="24"/>
          <w:szCs w:val="24"/>
        </w:rPr>
        <w:t>31 May, 9 and</w:t>
      </w:r>
      <w:r w:rsidR="00E30DF0">
        <w:rPr>
          <w:rFonts w:ascii="Times New Roman" w:hAnsi="Times New Roman" w:cs="Times New Roman"/>
          <w:sz w:val="24"/>
          <w:szCs w:val="24"/>
        </w:rPr>
        <w:t xml:space="preserve"> </w:t>
      </w:r>
      <w:r w:rsidR="002A4E5E">
        <w:rPr>
          <w:rFonts w:ascii="Times New Roman" w:hAnsi="Times New Roman" w:cs="Times New Roman"/>
          <w:sz w:val="24"/>
          <w:szCs w:val="24"/>
        </w:rPr>
        <w:t>23 June &amp; 30 July 2021</w:t>
      </w:r>
      <w:r>
        <w:rPr>
          <w:rFonts w:ascii="Times New Roman" w:hAnsi="Times New Roman" w:cs="Times New Roman"/>
          <w:sz w:val="24"/>
          <w:szCs w:val="24"/>
        </w:rPr>
        <w:t xml:space="preserve"> </w:t>
      </w:r>
    </w:p>
    <w:p w:rsidR="00242542" w:rsidRDefault="00242542" w:rsidP="00242542">
      <w:pPr>
        <w:spacing w:after="0" w:line="240" w:lineRule="auto"/>
        <w:jc w:val="both"/>
        <w:rPr>
          <w:rFonts w:ascii="Times New Roman" w:hAnsi="Times New Roman" w:cs="Times New Roman"/>
          <w:sz w:val="24"/>
          <w:szCs w:val="24"/>
        </w:rPr>
      </w:pPr>
    </w:p>
    <w:p w:rsidR="00242542" w:rsidRDefault="00242542" w:rsidP="00242542">
      <w:pPr>
        <w:spacing w:after="0" w:line="240" w:lineRule="auto"/>
        <w:jc w:val="both"/>
        <w:rPr>
          <w:rFonts w:ascii="Times New Roman" w:hAnsi="Times New Roman" w:cs="Times New Roman"/>
          <w:sz w:val="24"/>
          <w:szCs w:val="24"/>
        </w:rPr>
      </w:pPr>
    </w:p>
    <w:p w:rsidR="00242542" w:rsidRDefault="00242542" w:rsidP="0024254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242542" w:rsidRDefault="00242542" w:rsidP="00242542">
      <w:pPr>
        <w:spacing w:after="0" w:line="240" w:lineRule="auto"/>
        <w:jc w:val="both"/>
        <w:rPr>
          <w:rFonts w:ascii="Times New Roman" w:hAnsi="Times New Roman" w:cs="Times New Roman"/>
          <w:sz w:val="24"/>
          <w:szCs w:val="24"/>
        </w:rPr>
      </w:pPr>
    </w:p>
    <w:p w:rsidR="00242542" w:rsidRDefault="00242542" w:rsidP="00242542">
      <w:pPr>
        <w:spacing w:after="0" w:line="240" w:lineRule="auto"/>
        <w:jc w:val="both"/>
        <w:rPr>
          <w:rFonts w:ascii="Times New Roman" w:hAnsi="Times New Roman" w:cs="Times New Roman"/>
          <w:sz w:val="24"/>
          <w:szCs w:val="24"/>
        </w:rPr>
      </w:pPr>
    </w:p>
    <w:p w:rsidR="00242542" w:rsidRDefault="002A4E5E" w:rsidP="00242542">
      <w:pPr>
        <w:spacing w:after="0" w:line="240" w:lineRule="auto"/>
        <w:jc w:val="both"/>
        <w:rPr>
          <w:rFonts w:ascii="Times New Roman" w:hAnsi="Times New Roman" w:cs="Times New Roman"/>
          <w:sz w:val="24"/>
          <w:szCs w:val="24"/>
        </w:rPr>
      </w:pPr>
      <w:r w:rsidRPr="002A4E5E">
        <w:rPr>
          <w:rFonts w:ascii="Times New Roman" w:hAnsi="Times New Roman" w:cs="Times New Roman"/>
          <w:i/>
          <w:sz w:val="24"/>
          <w:szCs w:val="24"/>
        </w:rPr>
        <w:t>E.T Tavenhave</w:t>
      </w:r>
      <w:r>
        <w:rPr>
          <w:rFonts w:ascii="Times New Roman" w:hAnsi="Times New Roman" w:cs="Times New Roman"/>
          <w:sz w:val="24"/>
          <w:szCs w:val="24"/>
        </w:rPr>
        <w:t>, for the applicant</w:t>
      </w:r>
    </w:p>
    <w:p w:rsidR="002A4E5E" w:rsidRDefault="002A4E5E" w:rsidP="00242542">
      <w:pPr>
        <w:spacing w:after="0" w:line="240" w:lineRule="auto"/>
        <w:jc w:val="both"/>
        <w:rPr>
          <w:rFonts w:ascii="Times New Roman" w:hAnsi="Times New Roman" w:cs="Times New Roman"/>
          <w:sz w:val="24"/>
          <w:szCs w:val="24"/>
        </w:rPr>
      </w:pPr>
      <w:r w:rsidRPr="002A4E5E">
        <w:rPr>
          <w:rFonts w:ascii="Times New Roman" w:hAnsi="Times New Roman" w:cs="Times New Roman"/>
          <w:i/>
          <w:sz w:val="24"/>
          <w:szCs w:val="24"/>
        </w:rPr>
        <w:t>F.Nyangani</w:t>
      </w:r>
      <w:r>
        <w:rPr>
          <w:rFonts w:ascii="Times New Roman" w:hAnsi="Times New Roman" w:cs="Times New Roman"/>
          <w:sz w:val="24"/>
          <w:szCs w:val="24"/>
        </w:rPr>
        <w:t>, for the 1</w:t>
      </w:r>
      <w:r w:rsidRPr="002A4E5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2A4E5E" w:rsidRDefault="002A4E5E" w:rsidP="00242542">
      <w:pPr>
        <w:spacing w:after="0" w:line="240" w:lineRule="auto"/>
        <w:jc w:val="both"/>
        <w:rPr>
          <w:rFonts w:ascii="Times New Roman" w:hAnsi="Times New Roman" w:cs="Times New Roman"/>
          <w:sz w:val="24"/>
          <w:szCs w:val="24"/>
        </w:rPr>
      </w:pPr>
      <w:r w:rsidRPr="002A4E5E">
        <w:rPr>
          <w:rFonts w:ascii="Times New Roman" w:hAnsi="Times New Roman" w:cs="Times New Roman"/>
          <w:i/>
          <w:sz w:val="24"/>
          <w:szCs w:val="24"/>
        </w:rPr>
        <w:t>P.Mutukwa</w:t>
      </w:r>
      <w:r>
        <w:rPr>
          <w:rFonts w:ascii="Times New Roman" w:hAnsi="Times New Roman" w:cs="Times New Roman"/>
          <w:sz w:val="24"/>
          <w:szCs w:val="24"/>
        </w:rPr>
        <w:t>, for the 2</w:t>
      </w:r>
      <w:r w:rsidRPr="002A4E5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2A4E5E" w:rsidRDefault="002A4E5E" w:rsidP="00242542">
      <w:pPr>
        <w:spacing w:after="0" w:line="240" w:lineRule="auto"/>
        <w:jc w:val="both"/>
        <w:rPr>
          <w:rFonts w:ascii="Times New Roman" w:hAnsi="Times New Roman" w:cs="Times New Roman"/>
          <w:sz w:val="24"/>
          <w:szCs w:val="24"/>
        </w:rPr>
      </w:pPr>
      <w:r w:rsidRPr="002A4E5E">
        <w:rPr>
          <w:rFonts w:ascii="Times New Roman" w:hAnsi="Times New Roman" w:cs="Times New Roman"/>
          <w:i/>
          <w:sz w:val="24"/>
          <w:szCs w:val="24"/>
        </w:rPr>
        <w:t xml:space="preserve">A. Y </w:t>
      </w:r>
      <w:r w:rsidR="00D30069" w:rsidRPr="002A4E5E">
        <w:rPr>
          <w:rFonts w:ascii="Times New Roman" w:hAnsi="Times New Roman" w:cs="Times New Roman"/>
          <w:i/>
          <w:sz w:val="24"/>
          <w:szCs w:val="24"/>
        </w:rPr>
        <w:t>Saunyama</w:t>
      </w:r>
      <w:r w:rsidR="00D30069">
        <w:rPr>
          <w:rFonts w:ascii="Times New Roman" w:hAnsi="Times New Roman" w:cs="Times New Roman"/>
          <w:sz w:val="24"/>
          <w:szCs w:val="24"/>
        </w:rPr>
        <w:t>, for</w:t>
      </w:r>
      <w:r>
        <w:rPr>
          <w:rFonts w:ascii="Times New Roman" w:hAnsi="Times New Roman" w:cs="Times New Roman"/>
          <w:sz w:val="24"/>
          <w:szCs w:val="24"/>
        </w:rPr>
        <w:t xml:space="preserve"> the 3</w:t>
      </w:r>
      <w:r w:rsidRPr="002A4E5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2A4E5E" w:rsidRDefault="002A4E5E" w:rsidP="00242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4</w:t>
      </w:r>
      <w:r w:rsidRPr="002A4E5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D30069" w:rsidRDefault="00D30069" w:rsidP="00242542">
      <w:pPr>
        <w:spacing w:after="0" w:line="240" w:lineRule="auto"/>
        <w:jc w:val="both"/>
        <w:rPr>
          <w:rFonts w:ascii="Times New Roman" w:hAnsi="Times New Roman" w:cs="Times New Roman"/>
          <w:sz w:val="24"/>
          <w:szCs w:val="24"/>
        </w:rPr>
      </w:pPr>
    </w:p>
    <w:p w:rsidR="002A4E5E" w:rsidRDefault="002A4E5E" w:rsidP="00242542">
      <w:pPr>
        <w:spacing w:after="0" w:line="240" w:lineRule="auto"/>
        <w:jc w:val="both"/>
        <w:rPr>
          <w:rFonts w:ascii="Times New Roman" w:hAnsi="Times New Roman" w:cs="Times New Roman"/>
          <w:sz w:val="24"/>
          <w:szCs w:val="24"/>
        </w:rPr>
      </w:pPr>
    </w:p>
    <w:p w:rsidR="00242542" w:rsidRDefault="00242542" w:rsidP="00242542">
      <w:pPr>
        <w:rPr>
          <w:rFonts w:ascii="Times New Roman" w:hAnsi="Times New Roman" w:cs="Times New Roman"/>
          <w:sz w:val="24"/>
          <w:szCs w:val="24"/>
        </w:rPr>
      </w:pPr>
      <w:r>
        <w:rPr>
          <w:rFonts w:ascii="Times New Roman" w:hAnsi="Times New Roman" w:cs="Times New Roman"/>
          <w:sz w:val="24"/>
          <w:szCs w:val="24"/>
        </w:rPr>
        <w:tab/>
        <w:t>MUZOFA J:</w:t>
      </w:r>
      <w:r w:rsidR="0010766E">
        <w:rPr>
          <w:rFonts w:ascii="Times New Roman" w:hAnsi="Times New Roman" w:cs="Times New Roman"/>
          <w:sz w:val="24"/>
          <w:szCs w:val="24"/>
        </w:rPr>
        <w:t xml:space="preserve"> </w:t>
      </w:r>
      <w:r>
        <w:rPr>
          <w:rFonts w:ascii="Times New Roman" w:hAnsi="Times New Roman" w:cs="Times New Roman"/>
          <w:sz w:val="24"/>
          <w:szCs w:val="24"/>
        </w:rPr>
        <w:t>The applicant seeks the following order as set out in the amended draft order</w:t>
      </w:r>
      <w:r w:rsidR="002A4E5E">
        <w:rPr>
          <w:rFonts w:ascii="Times New Roman" w:hAnsi="Times New Roman" w:cs="Times New Roman"/>
          <w:sz w:val="24"/>
          <w:szCs w:val="24"/>
        </w:rPr>
        <w:t>;</w:t>
      </w:r>
    </w:p>
    <w:p w:rsidR="00242542" w:rsidRPr="002A4E5E" w:rsidRDefault="00D57DA8" w:rsidP="002A4E5E">
      <w:pPr>
        <w:pStyle w:val="ListParagraph"/>
        <w:numPr>
          <w:ilvl w:val="0"/>
          <w:numId w:val="1"/>
        </w:numPr>
        <w:jc w:val="both"/>
        <w:rPr>
          <w:rFonts w:ascii="Times New Roman" w:hAnsi="Times New Roman" w:cs="Times New Roman"/>
        </w:rPr>
      </w:pPr>
      <w:r w:rsidRPr="002A4E5E">
        <w:rPr>
          <w:rFonts w:ascii="Times New Roman" w:hAnsi="Times New Roman" w:cs="Times New Roman"/>
        </w:rPr>
        <w:t>“</w:t>
      </w:r>
      <w:r w:rsidR="00242542" w:rsidRPr="002A4E5E">
        <w:rPr>
          <w:rFonts w:ascii="Times New Roman" w:hAnsi="Times New Roman" w:cs="Times New Roman"/>
        </w:rPr>
        <w:t>The lease agreement entered between  the applicant and the fourth respondent in respect of stand</w:t>
      </w:r>
      <w:r w:rsidR="004961B0" w:rsidRPr="002A4E5E">
        <w:rPr>
          <w:rFonts w:ascii="Times New Roman" w:hAnsi="Times New Roman" w:cs="Times New Roman"/>
        </w:rPr>
        <w:t xml:space="preserve"> 294 Carrick Creagh, Borrowdale Harare be and is hereby declared valid and binding between the parties.</w:t>
      </w:r>
    </w:p>
    <w:p w:rsidR="004961B0" w:rsidRPr="002A4E5E" w:rsidRDefault="004961B0" w:rsidP="002A4E5E">
      <w:pPr>
        <w:pStyle w:val="ListParagraph"/>
        <w:numPr>
          <w:ilvl w:val="0"/>
          <w:numId w:val="1"/>
        </w:numPr>
        <w:jc w:val="both"/>
        <w:rPr>
          <w:rFonts w:ascii="Times New Roman" w:hAnsi="Times New Roman" w:cs="Times New Roman"/>
        </w:rPr>
      </w:pPr>
      <w:r w:rsidRPr="002A4E5E">
        <w:rPr>
          <w:rFonts w:ascii="Times New Roman" w:hAnsi="Times New Roman" w:cs="Times New Roman"/>
        </w:rPr>
        <w:t>The sale agreement concluded  between the first and third respondent in respect of stand no. 294 Carrick Creagh, Borrowdale Harare be and is hereby declared null and void and is set aside.</w:t>
      </w:r>
    </w:p>
    <w:p w:rsidR="004961B0" w:rsidRPr="002A4E5E" w:rsidRDefault="004961B0" w:rsidP="002A4E5E">
      <w:pPr>
        <w:pStyle w:val="ListParagraph"/>
        <w:numPr>
          <w:ilvl w:val="0"/>
          <w:numId w:val="1"/>
        </w:numPr>
        <w:jc w:val="both"/>
        <w:rPr>
          <w:rFonts w:ascii="Times New Roman" w:hAnsi="Times New Roman" w:cs="Times New Roman"/>
        </w:rPr>
      </w:pPr>
      <w:r w:rsidRPr="002A4E5E">
        <w:rPr>
          <w:rFonts w:ascii="Times New Roman" w:hAnsi="Times New Roman" w:cs="Times New Roman"/>
        </w:rPr>
        <w:t>The allocation of stand 294 Carrick Creagh, Borrowdale Harare to third respondent by first and fourth respondents be and is hereby declared null and void and is set aside.</w:t>
      </w:r>
    </w:p>
    <w:p w:rsidR="004961B0" w:rsidRPr="002A4E5E" w:rsidRDefault="004961B0" w:rsidP="002A4E5E">
      <w:pPr>
        <w:pStyle w:val="ListParagraph"/>
        <w:numPr>
          <w:ilvl w:val="0"/>
          <w:numId w:val="1"/>
        </w:numPr>
        <w:jc w:val="both"/>
        <w:rPr>
          <w:rFonts w:ascii="Times New Roman" w:hAnsi="Times New Roman" w:cs="Times New Roman"/>
        </w:rPr>
      </w:pPr>
      <w:r w:rsidRPr="002A4E5E">
        <w:rPr>
          <w:rFonts w:ascii="Times New Roman" w:hAnsi="Times New Roman" w:cs="Times New Roman"/>
        </w:rPr>
        <w:t>The first, second, third and fourth respondents t</w:t>
      </w:r>
      <w:r w:rsidR="00D57DA8" w:rsidRPr="002A4E5E">
        <w:rPr>
          <w:rFonts w:ascii="Times New Roman" w:hAnsi="Times New Roman" w:cs="Times New Roman"/>
        </w:rPr>
        <w:t>o pay the costs of this application on a legal practitioner client scale one paying absolving others”</w:t>
      </w:r>
    </w:p>
    <w:p w:rsidR="00D57DA8" w:rsidRDefault="00D57DA8" w:rsidP="002A4E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A4E5E">
        <w:rPr>
          <w:rFonts w:ascii="Times New Roman" w:hAnsi="Times New Roman" w:cs="Times New Roman"/>
          <w:sz w:val="24"/>
          <w:szCs w:val="24"/>
        </w:rPr>
        <w:t>1</w:t>
      </w:r>
      <w:r w:rsidR="002A4E5E" w:rsidRPr="002A4E5E">
        <w:rPr>
          <w:rFonts w:ascii="Times New Roman" w:hAnsi="Times New Roman" w:cs="Times New Roman"/>
          <w:sz w:val="24"/>
          <w:szCs w:val="24"/>
          <w:vertAlign w:val="superscript"/>
        </w:rPr>
        <w:t>st</w:t>
      </w:r>
      <w:r w:rsidR="002A4E5E">
        <w:rPr>
          <w:rFonts w:ascii="Times New Roman" w:hAnsi="Times New Roman" w:cs="Times New Roman"/>
          <w:sz w:val="24"/>
          <w:szCs w:val="24"/>
        </w:rPr>
        <w:t xml:space="preserve"> </w:t>
      </w:r>
      <w:r>
        <w:rPr>
          <w:rFonts w:ascii="Times New Roman" w:hAnsi="Times New Roman" w:cs="Times New Roman"/>
          <w:sz w:val="24"/>
          <w:szCs w:val="24"/>
        </w:rPr>
        <w:t>respondent is a registered company whose</w:t>
      </w:r>
      <w:r w:rsidR="002A4E5E">
        <w:rPr>
          <w:rFonts w:ascii="Times New Roman" w:hAnsi="Times New Roman" w:cs="Times New Roman"/>
          <w:sz w:val="24"/>
          <w:szCs w:val="24"/>
        </w:rPr>
        <w:t xml:space="preserve"> main</w:t>
      </w:r>
      <w:r>
        <w:rPr>
          <w:rFonts w:ascii="Times New Roman" w:hAnsi="Times New Roman" w:cs="Times New Roman"/>
          <w:sz w:val="24"/>
          <w:szCs w:val="24"/>
        </w:rPr>
        <w:t xml:space="preserve"> business interests </w:t>
      </w:r>
      <w:r w:rsidR="002A4E5E">
        <w:rPr>
          <w:rFonts w:ascii="Times New Roman" w:hAnsi="Times New Roman" w:cs="Times New Roman"/>
          <w:sz w:val="24"/>
          <w:szCs w:val="24"/>
        </w:rPr>
        <w:t xml:space="preserve">is in property </w:t>
      </w:r>
      <w:r>
        <w:rPr>
          <w:rFonts w:ascii="Times New Roman" w:hAnsi="Times New Roman" w:cs="Times New Roman"/>
          <w:sz w:val="24"/>
          <w:szCs w:val="24"/>
        </w:rPr>
        <w:t xml:space="preserve">development. The </w:t>
      </w:r>
      <w:r w:rsidR="002A4E5E">
        <w:rPr>
          <w:rFonts w:ascii="Times New Roman" w:hAnsi="Times New Roman" w:cs="Times New Roman"/>
          <w:sz w:val="24"/>
          <w:szCs w:val="24"/>
        </w:rPr>
        <w:t>2</w:t>
      </w:r>
      <w:r w:rsidR="002A4E5E" w:rsidRPr="002A4E5E">
        <w:rPr>
          <w:rFonts w:ascii="Times New Roman" w:hAnsi="Times New Roman" w:cs="Times New Roman"/>
          <w:sz w:val="24"/>
          <w:szCs w:val="24"/>
          <w:vertAlign w:val="superscript"/>
        </w:rPr>
        <w:t>nd</w:t>
      </w:r>
      <w:r w:rsidR="002A4E5E">
        <w:rPr>
          <w:rFonts w:ascii="Times New Roman" w:hAnsi="Times New Roman" w:cs="Times New Roman"/>
          <w:sz w:val="24"/>
          <w:szCs w:val="24"/>
        </w:rPr>
        <w:t xml:space="preserve"> </w:t>
      </w:r>
      <w:r>
        <w:rPr>
          <w:rFonts w:ascii="Times New Roman" w:hAnsi="Times New Roman" w:cs="Times New Roman"/>
          <w:sz w:val="24"/>
          <w:szCs w:val="24"/>
        </w:rPr>
        <w:t>respondent is a duly registered</w:t>
      </w:r>
      <w:r w:rsidR="002A4E5E">
        <w:rPr>
          <w:rFonts w:ascii="Times New Roman" w:hAnsi="Times New Roman" w:cs="Times New Roman"/>
          <w:sz w:val="24"/>
          <w:szCs w:val="24"/>
        </w:rPr>
        <w:t xml:space="preserve"> housing</w:t>
      </w:r>
      <w:r>
        <w:rPr>
          <w:rFonts w:ascii="Times New Roman" w:hAnsi="Times New Roman" w:cs="Times New Roman"/>
          <w:sz w:val="24"/>
          <w:szCs w:val="24"/>
        </w:rPr>
        <w:t xml:space="preserve"> cooperative. The </w:t>
      </w:r>
      <w:r w:rsidR="002A4E5E">
        <w:rPr>
          <w:rFonts w:ascii="Times New Roman" w:hAnsi="Times New Roman" w:cs="Times New Roman"/>
          <w:sz w:val="24"/>
          <w:szCs w:val="24"/>
        </w:rPr>
        <w:t>3</w:t>
      </w:r>
      <w:r w:rsidR="002A4E5E" w:rsidRPr="002A4E5E">
        <w:rPr>
          <w:rFonts w:ascii="Times New Roman" w:hAnsi="Times New Roman" w:cs="Times New Roman"/>
          <w:sz w:val="24"/>
          <w:szCs w:val="24"/>
          <w:vertAlign w:val="superscript"/>
        </w:rPr>
        <w:t>rd</w:t>
      </w:r>
      <w:r w:rsidR="002A4E5E">
        <w:rPr>
          <w:rFonts w:ascii="Times New Roman" w:hAnsi="Times New Roman" w:cs="Times New Roman"/>
          <w:sz w:val="24"/>
          <w:szCs w:val="24"/>
        </w:rPr>
        <w:t xml:space="preserve"> respondent</w:t>
      </w:r>
      <w:r>
        <w:rPr>
          <w:rFonts w:ascii="Times New Roman" w:hAnsi="Times New Roman" w:cs="Times New Roman"/>
          <w:sz w:val="24"/>
          <w:szCs w:val="24"/>
        </w:rPr>
        <w:t xml:space="preserve"> is the subsequent purchaser of the property in dispute. The </w:t>
      </w:r>
      <w:r w:rsidR="002A4E5E">
        <w:rPr>
          <w:rFonts w:ascii="Times New Roman" w:hAnsi="Times New Roman" w:cs="Times New Roman"/>
          <w:sz w:val="24"/>
          <w:szCs w:val="24"/>
        </w:rPr>
        <w:t>4</w:t>
      </w:r>
      <w:r w:rsidR="002A4E5E" w:rsidRPr="002A4E5E">
        <w:rPr>
          <w:rFonts w:ascii="Times New Roman" w:hAnsi="Times New Roman" w:cs="Times New Roman"/>
          <w:sz w:val="24"/>
          <w:szCs w:val="24"/>
          <w:vertAlign w:val="superscript"/>
        </w:rPr>
        <w:t>th</w:t>
      </w:r>
      <w:r w:rsidR="002A4E5E">
        <w:rPr>
          <w:rFonts w:ascii="Times New Roman" w:hAnsi="Times New Roman" w:cs="Times New Roman"/>
          <w:sz w:val="24"/>
          <w:szCs w:val="24"/>
        </w:rPr>
        <w:t xml:space="preserve"> respondent</w:t>
      </w:r>
      <w:r>
        <w:rPr>
          <w:rFonts w:ascii="Times New Roman" w:hAnsi="Times New Roman" w:cs="Times New Roman"/>
          <w:sz w:val="24"/>
          <w:szCs w:val="24"/>
        </w:rPr>
        <w:t xml:space="preserve"> is the </w:t>
      </w:r>
      <w:r w:rsidR="002A4E5E">
        <w:rPr>
          <w:rFonts w:ascii="Times New Roman" w:hAnsi="Times New Roman" w:cs="Times New Roman"/>
          <w:sz w:val="24"/>
          <w:szCs w:val="24"/>
        </w:rPr>
        <w:t>M</w:t>
      </w:r>
      <w:r w:rsidR="003978B1">
        <w:rPr>
          <w:rFonts w:ascii="Times New Roman" w:hAnsi="Times New Roman" w:cs="Times New Roman"/>
          <w:sz w:val="24"/>
          <w:szCs w:val="24"/>
        </w:rPr>
        <w:t xml:space="preserve">inister responsible for state </w:t>
      </w:r>
      <w:r>
        <w:rPr>
          <w:rFonts w:ascii="Times New Roman" w:hAnsi="Times New Roman" w:cs="Times New Roman"/>
          <w:sz w:val="24"/>
          <w:szCs w:val="24"/>
        </w:rPr>
        <w:t>land and properties.</w:t>
      </w:r>
    </w:p>
    <w:p w:rsidR="00D57DA8" w:rsidRDefault="00D57DA8" w:rsidP="00D300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2A4E5E">
        <w:rPr>
          <w:rFonts w:ascii="Times New Roman" w:hAnsi="Times New Roman" w:cs="Times New Roman"/>
          <w:sz w:val="24"/>
          <w:szCs w:val="24"/>
        </w:rPr>
        <w:t>2</w:t>
      </w:r>
      <w:r w:rsidR="002A4E5E" w:rsidRPr="002A4E5E">
        <w:rPr>
          <w:rFonts w:ascii="Times New Roman" w:hAnsi="Times New Roman" w:cs="Times New Roman"/>
          <w:sz w:val="24"/>
          <w:szCs w:val="24"/>
          <w:vertAlign w:val="superscript"/>
        </w:rPr>
        <w:t>nd</w:t>
      </w:r>
      <w:r w:rsidR="002A4E5E">
        <w:rPr>
          <w:rFonts w:ascii="Times New Roman" w:hAnsi="Times New Roman" w:cs="Times New Roman"/>
          <w:sz w:val="24"/>
          <w:szCs w:val="24"/>
        </w:rPr>
        <w:t xml:space="preserve"> and</w:t>
      </w:r>
      <w:r w:rsidR="003978B1">
        <w:rPr>
          <w:rFonts w:ascii="Times New Roman" w:hAnsi="Times New Roman" w:cs="Times New Roman"/>
          <w:sz w:val="24"/>
          <w:szCs w:val="24"/>
        </w:rPr>
        <w:t xml:space="preserve"> </w:t>
      </w:r>
      <w:r w:rsidR="002A4E5E">
        <w:rPr>
          <w:rFonts w:ascii="Times New Roman" w:hAnsi="Times New Roman" w:cs="Times New Roman"/>
          <w:sz w:val="24"/>
          <w:szCs w:val="24"/>
        </w:rPr>
        <w:t>4</w:t>
      </w:r>
      <w:r w:rsidR="002A4E5E" w:rsidRPr="002A4E5E">
        <w:rPr>
          <w:rFonts w:ascii="Times New Roman" w:hAnsi="Times New Roman" w:cs="Times New Roman"/>
          <w:sz w:val="24"/>
          <w:szCs w:val="24"/>
          <w:vertAlign w:val="superscript"/>
        </w:rPr>
        <w:t>th</w:t>
      </w:r>
      <w:r w:rsidR="002A4E5E">
        <w:rPr>
          <w:rFonts w:ascii="Times New Roman" w:hAnsi="Times New Roman" w:cs="Times New Roman"/>
          <w:sz w:val="24"/>
          <w:szCs w:val="24"/>
        </w:rPr>
        <w:t xml:space="preserve"> respondents</w:t>
      </w:r>
      <w:r w:rsidR="003978B1">
        <w:rPr>
          <w:rFonts w:ascii="Times New Roman" w:hAnsi="Times New Roman" w:cs="Times New Roman"/>
          <w:sz w:val="24"/>
          <w:szCs w:val="24"/>
        </w:rPr>
        <w:t xml:space="preserve"> entered </w:t>
      </w:r>
      <w:r>
        <w:rPr>
          <w:rFonts w:ascii="Times New Roman" w:hAnsi="Times New Roman" w:cs="Times New Roman"/>
          <w:sz w:val="24"/>
          <w:szCs w:val="24"/>
        </w:rPr>
        <w:t xml:space="preserve">into a partnership in terms of which the </w:t>
      </w:r>
      <w:r w:rsidR="002A4E5E">
        <w:rPr>
          <w:rFonts w:ascii="Times New Roman" w:hAnsi="Times New Roman" w:cs="Times New Roman"/>
          <w:sz w:val="24"/>
          <w:szCs w:val="24"/>
        </w:rPr>
        <w:t>4</w:t>
      </w:r>
      <w:r w:rsidR="002A4E5E" w:rsidRPr="002A4E5E">
        <w:rPr>
          <w:rFonts w:ascii="Times New Roman" w:hAnsi="Times New Roman" w:cs="Times New Roman"/>
          <w:sz w:val="24"/>
          <w:szCs w:val="24"/>
          <w:vertAlign w:val="superscript"/>
        </w:rPr>
        <w:t>th</w:t>
      </w:r>
      <w:r w:rsidR="002A4E5E">
        <w:rPr>
          <w:rFonts w:ascii="Times New Roman" w:hAnsi="Times New Roman" w:cs="Times New Roman"/>
          <w:sz w:val="24"/>
          <w:szCs w:val="24"/>
        </w:rPr>
        <w:t xml:space="preserve"> respondent</w:t>
      </w:r>
      <w:r>
        <w:rPr>
          <w:rFonts w:ascii="Times New Roman" w:hAnsi="Times New Roman" w:cs="Times New Roman"/>
          <w:sz w:val="24"/>
          <w:szCs w:val="24"/>
        </w:rPr>
        <w:t xml:space="preserve"> </w:t>
      </w:r>
      <w:r w:rsidR="002A4E5E">
        <w:rPr>
          <w:rFonts w:ascii="Times New Roman" w:hAnsi="Times New Roman" w:cs="Times New Roman"/>
          <w:sz w:val="24"/>
          <w:szCs w:val="24"/>
        </w:rPr>
        <w:t>provided land in Carrick Creagh to</w:t>
      </w:r>
      <w:r>
        <w:rPr>
          <w:rFonts w:ascii="Times New Roman" w:hAnsi="Times New Roman" w:cs="Times New Roman"/>
          <w:sz w:val="24"/>
          <w:szCs w:val="24"/>
        </w:rPr>
        <w:t xml:space="preserve"> the </w:t>
      </w:r>
      <w:r w:rsidR="002A4E5E">
        <w:rPr>
          <w:rFonts w:ascii="Times New Roman" w:hAnsi="Times New Roman" w:cs="Times New Roman"/>
          <w:sz w:val="24"/>
          <w:szCs w:val="24"/>
        </w:rPr>
        <w:t>2</w:t>
      </w:r>
      <w:r w:rsidR="002A4E5E" w:rsidRPr="002A4E5E">
        <w:rPr>
          <w:rFonts w:ascii="Times New Roman" w:hAnsi="Times New Roman" w:cs="Times New Roman"/>
          <w:sz w:val="24"/>
          <w:szCs w:val="24"/>
          <w:vertAlign w:val="superscript"/>
        </w:rPr>
        <w:t>nd</w:t>
      </w:r>
      <w:r w:rsidR="002A4E5E">
        <w:rPr>
          <w:rFonts w:ascii="Times New Roman" w:hAnsi="Times New Roman" w:cs="Times New Roman"/>
          <w:sz w:val="24"/>
          <w:szCs w:val="24"/>
        </w:rPr>
        <w:t xml:space="preserve"> </w:t>
      </w:r>
      <w:r>
        <w:rPr>
          <w:rFonts w:ascii="Times New Roman" w:hAnsi="Times New Roman" w:cs="Times New Roman"/>
          <w:sz w:val="24"/>
          <w:szCs w:val="24"/>
        </w:rPr>
        <w:t>respondent</w:t>
      </w:r>
      <w:r w:rsidR="002A4E5E">
        <w:rPr>
          <w:rFonts w:ascii="Times New Roman" w:hAnsi="Times New Roman" w:cs="Times New Roman"/>
          <w:sz w:val="24"/>
          <w:szCs w:val="24"/>
        </w:rPr>
        <w:t xml:space="preserve"> to enable its members to access stands</w:t>
      </w:r>
      <w:r>
        <w:rPr>
          <w:rFonts w:ascii="Times New Roman" w:hAnsi="Times New Roman" w:cs="Times New Roman"/>
          <w:sz w:val="24"/>
          <w:szCs w:val="24"/>
        </w:rPr>
        <w:t xml:space="preserve">. The </w:t>
      </w:r>
      <w:r w:rsidR="002A4E5E">
        <w:rPr>
          <w:rFonts w:ascii="Times New Roman" w:hAnsi="Times New Roman" w:cs="Times New Roman"/>
          <w:sz w:val="24"/>
          <w:szCs w:val="24"/>
        </w:rPr>
        <w:t>1</w:t>
      </w:r>
      <w:r w:rsidR="002A4E5E" w:rsidRPr="002A4E5E">
        <w:rPr>
          <w:rFonts w:ascii="Times New Roman" w:hAnsi="Times New Roman" w:cs="Times New Roman"/>
          <w:sz w:val="24"/>
          <w:szCs w:val="24"/>
          <w:vertAlign w:val="superscript"/>
        </w:rPr>
        <w:t>st</w:t>
      </w:r>
      <w:r w:rsidR="002A4E5E">
        <w:rPr>
          <w:rFonts w:ascii="Times New Roman" w:hAnsi="Times New Roman" w:cs="Times New Roman"/>
          <w:sz w:val="24"/>
          <w:szCs w:val="24"/>
        </w:rPr>
        <w:t xml:space="preserve"> respondent</w:t>
      </w:r>
      <w:r>
        <w:rPr>
          <w:rFonts w:ascii="Times New Roman" w:hAnsi="Times New Roman" w:cs="Times New Roman"/>
          <w:sz w:val="24"/>
          <w:szCs w:val="24"/>
        </w:rPr>
        <w:t xml:space="preserve"> was appointed to develop the stands. The applicant was allocated stand number 294 Carrick </w:t>
      </w:r>
      <w:r w:rsidR="006D48DD">
        <w:rPr>
          <w:rFonts w:ascii="Times New Roman" w:hAnsi="Times New Roman" w:cs="Times New Roman"/>
          <w:sz w:val="24"/>
          <w:szCs w:val="24"/>
        </w:rPr>
        <w:t>Creagh,</w:t>
      </w:r>
      <w:r>
        <w:rPr>
          <w:rFonts w:ascii="Times New Roman" w:hAnsi="Times New Roman" w:cs="Times New Roman"/>
          <w:sz w:val="24"/>
          <w:szCs w:val="24"/>
        </w:rPr>
        <w:t xml:space="preserve"> </w:t>
      </w:r>
      <w:r w:rsidR="00B07B3A">
        <w:rPr>
          <w:rFonts w:ascii="Times New Roman" w:hAnsi="Times New Roman" w:cs="Times New Roman"/>
          <w:sz w:val="24"/>
          <w:szCs w:val="24"/>
        </w:rPr>
        <w:t>Borrowdale</w:t>
      </w:r>
      <w:r w:rsidR="006D48DD">
        <w:rPr>
          <w:rFonts w:ascii="Times New Roman" w:hAnsi="Times New Roman" w:cs="Times New Roman"/>
          <w:sz w:val="24"/>
          <w:szCs w:val="24"/>
        </w:rPr>
        <w:t xml:space="preserve"> ‘the property’</w:t>
      </w:r>
      <w:r w:rsidR="00B07B3A">
        <w:rPr>
          <w:rFonts w:ascii="Times New Roman" w:hAnsi="Times New Roman" w:cs="Times New Roman"/>
          <w:sz w:val="24"/>
          <w:szCs w:val="24"/>
        </w:rPr>
        <w:t xml:space="preserve"> in October 2011 </w:t>
      </w:r>
      <w:r>
        <w:rPr>
          <w:rFonts w:ascii="Times New Roman" w:hAnsi="Times New Roman" w:cs="Times New Roman"/>
          <w:sz w:val="24"/>
          <w:szCs w:val="24"/>
        </w:rPr>
        <w:t xml:space="preserve">by the </w:t>
      </w:r>
      <w:r w:rsidR="00B07B3A">
        <w:rPr>
          <w:rFonts w:ascii="Times New Roman" w:hAnsi="Times New Roman" w:cs="Times New Roman"/>
          <w:sz w:val="24"/>
          <w:szCs w:val="24"/>
        </w:rPr>
        <w:t>4</w:t>
      </w:r>
      <w:r w:rsidR="00B07B3A" w:rsidRPr="00B07B3A">
        <w:rPr>
          <w:rFonts w:ascii="Times New Roman" w:hAnsi="Times New Roman" w:cs="Times New Roman"/>
          <w:sz w:val="24"/>
          <w:szCs w:val="24"/>
          <w:vertAlign w:val="superscript"/>
        </w:rPr>
        <w:t>th</w:t>
      </w:r>
      <w:r w:rsidR="00B07B3A">
        <w:rPr>
          <w:rFonts w:ascii="Times New Roman" w:hAnsi="Times New Roman" w:cs="Times New Roman"/>
          <w:sz w:val="24"/>
          <w:szCs w:val="24"/>
        </w:rPr>
        <w:t xml:space="preserve"> </w:t>
      </w:r>
      <w:r>
        <w:rPr>
          <w:rFonts w:ascii="Times New Roman" w:hAnsi="Times New Roman" w:cs="Times New Roman"/>
          <w:sz w:val="24"/>
          <w:szCs w:val="24"/>
        </w:rPr>
        <w:t>respondent</w:t>
      </w:r>
      <w:r w:rsidR="00B07B3A">
        <w:rPr>
          <w:rFonts w:ascii="Times New Roman" w:hAnsi="Times New Roman" w:cs="Times New Roman"/>
          <w:sz w:val="24"/>
          <w:szCs w:val="24"/>
        </w:rPr>
        <w:t xml:space="preserve"> in terms of a lease agreement</w:t>
      </w:r>
      <w:r w:rsidR="003978B1">
        <w:rPr>
          <w:rFonts w:ascii="Times New Roman" w:hAnsi="Times New Roman" w:cs="Times New Roman"/>
          <w:sz w:val="24"/>
          <w:szCs w:val="24"/>
        </w:rPr>
        <w:t xml:space="preserve">. </w:t>
      </w:r>
    </w:p>
    <w:p w:rsidR="002056F1" w:rsidRDefault="002056F1" w:rsidP="00D300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w:t>
      </w:r>
      <w:r w:rsidR="00B07B3A">
        <w:rPr>
          <w:rFonts w:ascii="Times New Roman" w:hAnsi="Times New Roman" w:cs="Times New Roman"/>
          <w:sz w:val="24"/>
          <w:szCs w:val="24"/>
        </w:rPr>
        <w:t>applicant she</w:t>
      </w:r>
      <w:r>
        <w:rPr>
          <w:rFonts w:ascii="Times New Roman" w:hAnsi="Times New Roman" w:cs="Times New Roman"/>
          <w:sz w:val="24"/>
          <w:szCs w:val="24"/>
        </w:rPr>
        <w:t xml:space="preserve"> was in the executive </w:t>
      </w:r>
      <w:r w:rsidR="006D48DD">
        <w:rPr>
          <w:rFonts w:ascii="Times New Roman" w:hAnsi="Times New Roman" w:cs="Times New Roman"/>
          <w:sz w:val="24"/>
          <w:szCs w:val="24"/>
        </w:rPr>
        <w:t>of</w:t>
      </w:r>
      <w:r>
        <w:rPr>
          <w:rFonts w:ascii="Times New Roman" w:hAnsi="Times New Roman" w:cs="Times New Roman"/>
          <w:sz w:val="24"/>
          <w:szCs w:val="24"/>
        </w:rPr>
        <w:t xml:space="preserve"> the </w:t>
      </w:r>
      <w:r w:rsidR="006D48DD">
        <w:rPr>
          <w:rFonts w:ascii="Times New Roman" w:hAnsi="Times New Roman" w:cs="Times New Roman"/>
          <w:sz w:val="24"/>
          <w:szCs w:val="24"/>
        </w:rPr>
        <w:t>2</w:t>
      </w:r>
      <w:r w:rsidR="006D48DD" w:rsidRPr="00B07B3A">
        <w:rPr>
          <w:rFonts w:ascii="Times New Roman" w:hAnsi="Times New Roman" w:cs="Times New Roman"/>
          <w:sz w:val="24"/>
          <w:szCs w:val="24"/>
          <w:vertAlign w:val="superscript"/>
        </w:rPr>
        <w:t>nd</w:t>
      </w:r>
      <w:r w:rsidR="006D48DD">
        <w:rPr>
          <w:rFonts w:ascii="Times New Roman" w:hAnsi="Times New Roman" w:cs="Times New Roman"/>
          <w:sz w:val="24"/>
          <w:szCs w:val="24"/>
          <w:vertAlign w:val="superscript"/>
        </w:rPr>
        <w:t xml:space="preserve"> </w:t>
      </w:r>
      <w:r w:rsidR="006D48DD">
        <w:rPr>
          <w:rFonts w:ascii="Times New Roman" w:hAnsi="Times New Roman" w:cs="Times New Roman"/>
          <w:sz w:val="24"/>
          <w:szCs w:val="24"/>
        </w:rPr>
        <w:t>respondent</w:t>
      </w:r>
      <w:r w:rsidR="00B07B3A">
        <w:rPr>
          <w:rFonts w:ascii="Times New Roman" w:hAnsi="Times New Roman" w:cs="Times New Roman"/>
          <w:sz w:val="24"/>
          <w:szCs w:val="24"/>
        </w:rPr>
        <w:t xml:space="preserve">. </w:t>
      </w:r>
      <w:r>
        <w:rPr>
          <w:rFonts w:ascii="Times New Roman" w:hAnsi="Times New Roman" w:cs="Times New Roman"/>
          <w:sz w:val="24"/>
          <w:szCs w:val="24"/>
        </w:rPr>
        <w:t>The executive was exempted from paying</w:t>
      </w:r>
      <w:r w:rsidR="00CC2B2B">
        <w:rPr>
          <w:rFonts w:ascii="Times New Roman" w:hAnsi="Times New Roman" w:cs="Times New Roman"/>
          <w:sz w:val="24"/>
          <w:szCs w:val="24"/>
        </w:rPr>
        <w:t xml:space="preserve"> development fees. On the 6</w:t>
      </w:r>
      <w:r w:rsidR="00CC2B2B" w:rsidRPr="00CC2B2B">
        <w:rPr>
          <w:rFonts w:ascii="Times New Roman" w:hAnsi="Times New Roman" w:cs="Times New Roman"/>
          <w:sz w:val="24"/>
          <w:szCs w:val="24"/>
          <w:vertAlign w:val="superscript"/>
        </w:rPr>
        <w:t>th</w:t>
      </w:r>
      <w:r w:rsidR="003978B1">
        <w:rPr>
          <w:rFonts w:ascii="Times New Roman" w:hAnsi="Times New Roman" w:cs="Times New Roman"/>
          <w:sz w:val="24"/>
          <w:szCs w:val="24"/>
        </w:rPr>
        <w:t xml:space="preserve"> of August 2019 she </w:t>
      </w:r>
      <w:r w:rsidR="00CC2B2B">
        <w:rPr>
          <w:rFonts w:ascii="Times New Roman" w:hAnsi="Times New Roman" w:cs="Times New Roman"/>
          <w:sz w:val="24"/>
          <w:szCs w:val="24"/>
        </w:rPr>
        <w:t xml:space="preserve">visited the </w:t>
      </w:r>
      <w:r w:rsidR="00B07B3A">
        <w:rPr>
          <w:rFonts w:ascii="Times New Roman" w:hAnsi="Times New Roman" w:cs="Times New Roman"/>
          <w:sz w:val="24"/>
          <w:szCs w:val="24"/>
        </w:rPr>
        <w:t>4</w:t>
      </w:r>
      <w:r w:rsidR="00B07B3A" w:rsidRPr="00B07B3A">
        <w:rPr>
          <w:rFonts w:ascii="Times New Roman" w:hAnsi="Times New Roman" w:cs="Times New Roman"/>
          <w:sz w:val="24"/>
          <w:szCs w:val="24"/>
          <w:vertAlign w:val="superscript"/>
        </w:rPr>
        <w:t>th</w:t>
      </w:r>
      <w:r w:rsidR="00B07B3A">
        <w:rPr>
          <w:rFonts w:ascii="Times New Roman" w:hAnsi="Times New Roman" w:cs="Times New Roman"/>
          <w:sz w:val="24"/>
          <w:szCs w:val="24"/>
        </w:rPr>
        <w:t xml:space="preserve"> respondent’s</w:t>
      </w:r>
      <w:r w:rsidR="00792503">
        <w:rPr>
          <w:rFonts w:ascii="Times New Roman" w:hAnsi="Times New Roman" w:cs="Times New Roman"/>
          <w:sz w:val="24"/>
          <w:szCs w:val="24"/>
        </w:rPr>
        <w:t xml:space="preserve"> office </w:t>
      </w:r>
      <w:r w:rsidR="00CC2B2B">
        <w:rPr>
          <w:rFonts w:ascii="Times New Roman" w:hAnsi="Times New Roman" w:cs="Times New Roman"/>
          <w:sz w:val="24"/>
          <w:szCs w:val="24"/>
        </w:rPr>
        <w:t>where she discovered a letter in her file</w:t>
      </w:r>
      <w:r w:rsidR="00B07B3A">
        <w:rPr>
          <w:rFonts w:ascii="Times New Roman" w:hAnsi="Times New Roman" w:cs="Times New Roman"/>
          <w:sz w:val="24"/>
          <w:szCs w:val="24"/>
        </w:rPr>
        <w:t xml:space="preserve"> </w:t>
      </w:r>
      <w:r w:rsidR="00CC2B2B">
        <w:rPr>
          <w:rFonts w:ascii="Times New Roman" w:hAnsi="Times New Roman" w:cs="Times New Roman"/>
          <w:sz w:val="24"/>
          <w:szCs w:val="24"/>
        </w:rPr>
        <w:t xml:space="preserve">from the </w:t>
      </w:r>
      <w:r w:rsidR="00B07B3A">
        <w:rPr>
          <w:rFonts w:ascii="Times New Roman" w:hAnsi="Times New Roman" w:cs="Times New Roman"/>
          <w:sz w:val="24"/>
          <w:szCs w:val="24"/>
        </w:rPr>
        <w:t>4</w:t>
      </w:r>
      <w:r w:rsidR="00B07B3A" w:rsidRPr="00B07B3A">
        <w:rPr>
          <w:rFonts w:ascii="Times New Roman" w:hAnsi="Times New Roman" w:cs="Times New Roman"/>
          <w:sz w:val="24"/>
          <w:szCs w:val="24"/>
          <w:vertAlign w:val="superscript"/>
        </w:rPr>
        <w:t>th</w:t>
      </w:r>
      <w:r w:rsidR="00B07B3A">
        <w:rPr>
          <w:rFonts w:ascii="Times New Roman" w:hAnsi="Times New Roman" w:cs="Times New Roman"/>
          <w:sz w:val="24"/>
          <w:szCs w:val="24"/>
        </w:rPr>
        <w:t xml:space="preserve"> </w:t>
      </w:r>
      <w:r w:rsidR="00CC2B2B">
        <w:rPr>
          <w:rFonts w:ascii="Times New Roman" w:hAnsi="Times New Roman" w:cs="Times New Roman"/>
          <w:sz w:val="24"/>
          <w:szCs w:val="24"/>
        </w:rPr>
        <w:t xml:space="preserve">respondent demanding payment of $404 999.04 </w:t>
      </w:r>
      <w:r w:rsidR="006D48DD">
        <w:rPr>
          <w:rFonts w:ascii="Times New Roman" w:hAnsi="Times New Roman" w:cs="Times New Roman"/>
          <w:sz w:val="24"/>
          <w:szCs w:val="24"/>
        </w:rPr>
        <w:t>being outstanding</w:t>
      </w:r>
      <w:r w:rsidR="00B07B3A">
        <w:rPr>
          <w:rFonts w:ascii="Times New Roman" w:hAnsi="Times New Roman" w:cs="Times New Roman"/>
          <w:sz w:val="24"/>
          <w:szCs w:val="24"/>
        </w:rPr>
        <w:t xml:space="preserve"> </w:t>
      </w:r>
      <w:r w:rsidR="00CC2B2B">
        <w:rPr>
          <w:rFonts w:ascii="Times New Roman" w:hAnsi="Times New Roman" w:cs="Times New Roman"/>
          <w:sz w:val="24"/>
          <w:szCs w:val="24"/>
        </w:rPr>
        <w:t>development fees by 31 January 2019. She aver</w:t>
      </w:r>
      <w:r w:rsidR="006D48DD">
        <w:rPr>
          <w:rFonts w:ascii="Times New Roman" w:hAnsi="Times New Roman" w:cs="Times New Roman"/>
          <w:sz w:val="24"/>
          <w:szCs w:val="24"/>
        </w:rPr>
        <w:t>red</w:t>
      </w:r>
      <w:r w:rsidR="00CC2B2B">
        <w:rPr>
          <w:rFonts w:ascii="Times New Roman" w:hAnsi="Times New Roman" w:cs="Times New Roman"/>
          <w:sz w:val="24"/>
          <w:szCs w:val="24"/>
        </w:rPr>
        <w:t xml:space="preserve"> that although the letter was dated 18 December 2018 </w:t>
      </w:r>
      <w:r w:rsidR="00633E43">
        <w:rPr>
          <w:rFonts w:ascii="Times New Roman" w:hAnsi="Times New Roman" w:cs="Times New Roman"/>
          <w:sz w:val="24"/>
          <w:szCs w:val="24"/>
        </w:rPr>
        <w:t xml:space="preserve">there was no valid service at her address of choice, as a result </w:t>
      </w:r>
      <w:r w:rsidR="00CC2B2B">
        <w:rPr>
          <w:rFonts w:ascii="Times New Roman" w:hAnsi="Times New Roman" w:cs="Times New Roman"/>
          <w:sz w:val="24"/>
          <w:szCs w:val="24"/>
        </w:rPr>
        <w:t xml:space="preserve">she had sight of the letter well </w:t>
      </w:r>
      <w:r w:rsidR="00B07B3A">
        <w:rPr>
          <w:rFonts w:ascii="Times New Roman" w:hAnsi="Times New Roman" w:cs="Times New Roman"/>
          <w:sz w:val="24"/>
          <w:szCs w:val="24"/>
        </w:rPr>
        <w:t xml:space="preserve">after the </w:t>
      </w:r>
      <w:r w:rsidR="00CC2B2B">
        <w:rPr>
          <w:rFonts w:ascii="Times New Roman" w:hAnsi="Times New Roman" w:cs="Times New Roman"/>
          <w:sz w:val="24"/>
          <w:szCs w:val="24"/>
        </w:rPr>
        <w:t xml:space="preserve">due </w:t>
      </w:r>
      <w:r w:rsidR="00633E43">
        <w:rPr>
          <w:rFonts w:ascii="Times New Roman" w:hAnsi="Times New Roman" w:cs="Times New Roman"/>
          <w:sz w:val="24"/>
          <w:szCs w:val="24"/>
        </w:rPr>
        <w:t>date. There was no valid cancellation.</w:t>
      </w:r>
      <w:r w:rsidR="00B07B3A">
        <w:rPr>
          <w:rFonts w:ascii="Times New Roman" w:hAnsi="Times New Roman" w:cs="Times New Roman"/>
          <w:sz w:val="24"/>
          <w:szCs w:val="24"/>
        </w:rPr>
        <w:t xml:space="preserve"> She fully paid for her stand in terms of the lease agreement. </w:t>
      </w:r>
      <w:r w:rsidR="00CC2B2B">
        <w:rPr>
          <w:rFonts w:ascii="Times New Roman" w:hAnsi="Times New Roman" w:cs="Times New Roman"/>
          <w:sz w:val="24"/>
          <w:szCs w:val="24"/>
        </w:rPr>
        <w:t>During the course of enquiries on the cancellation she also discovered that t</w:t>
      </w:r>
      <w:r w:rsidR="003978B1">
        <w:rPr>
          <w:rFonts w:ascii="Times New Roman" w:hAnsi="Times New Roman" w:cs="Times New Roman"/>
          <w:sz w:val="24"/>
          <w:szCs w:val="24"/>
        </w:rPr>
        <w:t xml:space="preserve">he property had been allocated </w:t>
      </w:r>
      <w:r w:rsidR="00CC2B2B">
        <w:rPr>
          <w:rFonts w:ascii="Times New Roman" w:hAnsi="Times New Roman" w:cs="Times New Roman"/>
          <w:sz w:val="24"/>
          <w:szCs w:val="24"/>
        </w:rPr>
        <w:t xml:space="preserve">to the </w:t>
      </w:r>
      <w:r w:rsidR="00B07B3A">
        <w:rPr>
          <w:rFonts w:ascii="Times New Roman" w:hAnsi="Times New Roman" w:cs="Times New Roman"/>
          <w:sz w:val="24"/>
          <w:szCs w:val="24"/>
        </w:rPr>
        <w:t>3</w:t>
      </w:r>
      <w:r w:rsidR="00B07B3A" w:rsidRPr="00B07B3A">
        <w:rPr>
          <w:rFonts w:ascii="Times New Roman" w:hAnsi="Times New Roman" w:cs="Times New Roman"/>
          <w:sz w:val="24"/>
          <w:szCs w:val="24"/>
          <w:vertAlign w:val="superscript"/>
        </w:rPr>
        <w:t>rd</w:t>
      </w:r>
      <w:r w:rsidR="00B07B3A">
        <w:rPr>
          <w:rFonts w:ascii="Times New Roman" w:hAnsi="Times New Roman" w:cs="Times New Roman"/>
          <w:sz w:val="24"/>
          <w:szCs w:val="24"/>
        </w:rPr>
        <w:t xml:space="preserve"> </w:t>
      </w:r>
      <w:r w:rsidR="00E30DF0">
        <w:rPr>
          <w:rFonts w:ascii="Times New Roman" w:hAnsi="Times New Roman" w:cs="Times New Roman"/>
          <w:sz w:val="24"/>
          <w:szCs w:val="24"/>
        </w:rPr>
        <w:t>respondent</w:t>
      </w:r>
      <w:r w:rsidR="00CC2B2B">
        <w:rPr>
          <w:rFonts w:ascii="Times New Roman" w:hAnsi="Times New Roman" w:cs="Times New Roman"/>
          <w:sz w:val="24"/>
          <w:szCs w:val="24"/>
        </w:rPr>
        <w:t>. Thus she seeks relief to cancel the allocation and lease agreements en</w:t>
      </w:r>
      <w:r w:rsidR="003978B1">
        <w:rPr>
          <w:rFonts w:ascii="Times New Roman" w:hAnsi="Times New Roman" w:cs="Times New Roman"/>
          <w:sz w:val="24"/>
          <w:szCs w:val="24"/>
        </w:rPr>
        <w:t>tered into in respect of</w:t>
      </w:r>
      <w:r w:rsidR="00CC2B2B">
        <w:rPr>
          <w:rFonts w:ascii="Times New Roman" w:hAnsi="Times New Roman" w:cs="Times New Roman"/>
          <w:sz w:val="24"/>
          <w:szCs w:val="24"/>
        </w:rPr>
        <w:t xml:space="preserve"> the property with the </w:t>
      </w:r>
      <w:r w:rsidR="00E30DF0">
        <w:rPr>
          <w:rFonts w:ascii="Times New Roman" w:hAnsi="Times New Roman" w:cs="Times New Roman"/>
          <w:sz w:val="24"/>
          <w:szCs w:val="24"/>
        </w:rPr>
        <w:t>3</w:t>
      </w:r>
      <w:r w:rsidR="00E30DF0" w:rsidRPr="00E30DF0">
        <w:rPr>
          <w:rFonts w:ascii="Times New Roman" w:hAnsi="Times New Roman" w:cs="Times New Roman"/>
          <w:sz w:val="24"/>
          <w:szCs w:val="24"/>
          <w:vertAlign w:val="superscript"/>
        </w:rPr>
        <w:t>rd</w:t>
      </w:r>
      <w:r w:rsidR="00E30DF0">
        <w:rPr>
          <w:rFonts w:ascii="Times New Roman" w:hAnsi="Times New Roman" w:cs="Times New Roman"/>
          <w:sz w:val="24"/>
          <w:szCs w:val="24"/>
        </w:rPr>
        <w:t xml:space="preserve"> </w:t>
      </w:r>
      <w:r w:rsidR="00CC2B2B">
        <w:rPr>
          <w:rFonts w:ascii="Times New Roman" w:hAnsi="Times New Roman" w:cs="Times New Roman"/>
          <w:sz w:val="24"/>
          <w:szCs w:val="24"/>
        </w:rPr>
        <w:t>respondent</w:t>
      </w:r>
      <w:r w:rsidR="00BC7404">
        <w:rPr>
          <w:rFonts w:ascii="Times New Roman" w:hAnsi="Times New Roman" w:cs="Times New Roman"/>
          <w:sz w:val="24"/>
          <w:szCs w:val="24"/>
        </w:rPr>
        <w:t>.</w:t>
      </w:r>
    </w:p>
    <w:p w:rsidR="00BC7404" w:rsidRDefault="003978B1" w:rsidP="00D300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30DF0">
        <w:rPr>
          <w:rFonts w:ascii="Times New Roman" w:hAnsi="Times New Roman" w:cs="Times New Roman"/>
          <w:sz w:val="24"/>
          <w:szCs w:val="24"/>
        </w:rPr>
        <w:t>1</w:t>
      </w:r>
      <w:r w:rsidR="00E30DF0" w:rsidRPr="00E30DF0">
        <w:rPr>
          <w:rFonts w:ascii="Times New Roman" w:hAnsi="Times New Roman" w:cs="Times New Roman"/>
          <w:sz w:val="24"/>
          <w:szCs w:val="24"/>
          <w:vertAlign w:val="superscript"/>
        </w:rPr>
        <w:t>st</w:t>
      </w:r>
      <w:r w:rsidR="00E30DF0">
        <w:rPr>
          <w:rFonts w:ascii="Times New Roman" w:hAnsi="Times New Roman" w:cs="Times New Roman"/>
          <w:sz w:val="24"/>
          <w:szCs w:val="24"/>
          <w:vertAlign w:val="superscript"/>
        </w:rPr>
        <w:t xml:space="preserve">, </w:t>
      </w:r>
      <w:r w:rsidR="00E30DF0">
        <w:rPr>
          <w:rFonts w:ascii="Times New Roman" w:hAnsi="Times New Roman" w:cs="Times New Roman"/>
          <w:sz w:val="24"/>
          <w:szCs w:val="24"/>
        </w:rPr>
        <w:t>2nd and 3</w:t>
      </w:r>
      <w:r w:rsidR="00E30DF0" w:rsidRPr="00E30DF0">
        <w:rPr>
          <w:rFonts w:ascii="Times New Roman" w:hAnsi="Times New Roman" w:cs="Times New Roman"/>
          <w:sz w:val="24"/>
          <w:szCs w:val="24"/>
          <w:vertAlign w:val="superscript"/>
        </w:rPr>
        <w:t>rd</w:t>
      </w:r>
      <w:r w:rsidR="00E30DF0">
        <w:rPr>
          <w:rFonts w:ascii="Times New Roman" w:hAnsi="Times New Roman" w:cs="Times New Roman"/>
          <w:sz w:val="24"/>
          <w:szCs w:val="24"/>
        </w:rPr>
        <w:t xml:space="preserve"> respondents opposed the application. The 4</w:t>
      </w:r>
      <w:r w:rsidR="00E30DF0" w:rsidRPr="00E30DF0">
        <w:rPr>
          <w:rFonts w:ascii="Times New Roman" w:hAnsi="Times New Roman" w:cs="Times New Roman"/>
          <w:sz w:val="24"/>
          <w:szCs w:val="24"/>
          <w:vertAlign w:val="superscript"/>
        </w:rPr>
        <w:t>th</w:t>
      </w:r>
      <w:r w:rsidR="00E30DF0">
        <w:rPr>
          <w:rFonts w:ascii="Times New Roman" w:hAnsi="Times New Roman" w:cs="Times New Roman"/>
          <w:sz w:val="24"/>
          <w:szCs w:val="24"/>
        </w:rPr>
        <w:t xml:space="preserve"> respondent did not oppose the application.</w:t>
      </w:r>
    </w:p>
    <w:p w:rsidR="00BC7404" w:rsidRDefault="00BC7404" w:rsidP="00D300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70B7E">
        <w:rPr>
          <w:rFonts w:ascii="Times New Roman" w:hAnsi="Times New Roman" w:cs="Times New Roman"/>
          <w:sz w:val="24"/>
          <w:szCs w:val="24"/>
        </w:rPr>
        <w:t>1</w:t>
      </w:r>
      <w:r w:rsidR="00970B7E" w:rsidRPr="00E30DF0">
        <w:rPr>
          <w:rFonts w:ascii="Times New Roman" w:hAnsi="Times New Roman" w:cs="Times New Roman"/>
          <w:sz w:val="24"/>
          <w:szCs w:val="24"/>
          <w:vertAlign w:val="superscript"/>
        </w:rPr>
        <w:t>st</w:t>
      </w:r>
      <w:r w:rsidR="002F380C">
        <w:rPr>
          <w:rFonts w:ascii="Times New Roman" w:hAnsi="Times New Roman" w:cs="Times New Roman"/>
          <w:sz w:val="24"/>
          <w:szCs w:val="24"/>
        </w:rPr>
        <w:t xml:space="preserve"> and the 2</w:t>
      </w:r>
      <w:r w:rsidR="002F380C" w:rsidRPr="002F380C">
        <w:rPr>
          <w:rFonts w:ascii="Times New Roman" w:hAnsi="Times New Roman" w:cs="Times New Roman"/>
          <w:sz w:val="24"/>
          <w:szCs w:val="24"/>
          <w:vertAlign w:val="superscript"/>
        </w:rPr>
        <w:t>nd</w:t>
      </w:r>
      <w:r w:rsidR="002F380C">
        <w:rPr>
          <w:rFonts w:ascii="Times New Roman" w:hAnsi="Times New Roman" w:cs="Times New Roman"/>
          <w:sz w:val="24"/>
          <w:szCs w:val="24"/>
        </w:rPr>
        <w:t xml:space="preserve"> </w:t>
      </w:r>
      <w:r w:rsidR="00970B7E">
        <w:rPr>
          <w:rFonts w:ascii="Times New Roman" w:hAnsi="Times New Roman" w:cs="Times New Roman"/>
          <w:sz w:val="24"/>
          <w:szCs w:val="24"/>
        </w:rPr>
        <w:t>respondents opposed</w:t>
      </w:r>
      <w:r>
        <w:rPr>
          <w:rFonts w:ascii="Times New Roman" w:hAnsi="Times New Roman" w:cs="Times New Roman"/>
          <w:sz w:val="24"/>
          <w:szCs w:val="24"/>
        </w:rPr>
        <w:t xml:space="preserve"> the appli</w:t>
      </w:r>
      <w:r w:rsidR="00970B7E">
        <w:rPr>
          <w:rFonts w:ascii="Times New Roman" w:hAnsi="Times New Roman" w:cs="Times New Roman"/>
          <w:sz w:val="24"/>
          <w:szCs w:val="24"/>
        </w:rPr>
        <w:t>cation and contended</w:t>
      </w:r>
      <w:r>
        <w:rPr>
          <w:rFonts w:ascii="Times New Roman" w:hAnsi="Times New Roman" w:cs="Times New Roman"/>
          <w:sz w:val="24"/>
          <w:szCs w:val="24"/>
        </w:rPr>
        <w:t xml:space="preserve"> that the privilege not to pay development fees was</w:t>
      </w:r>
      <w:r w:rsidR="00970B7E">
        <w:rPr>
          <w:rFonts w:ascii="Times New Roman" w:hAnsi="Times New Roman" w:cs="Times New Roman"/>
          <w:sz w:val="24"/>
          <w:szCs w:val="24"/>
        </w:rPr>
        <w:t xml:space="preserve"> later</w:t>
      </w:r>
      <w:r>
        <w:rPr>
          <w:rFonts w:ascii="Times New Roman" w:hAnsi="Times New Roman" w:cs="Times New Roman"/>
          <w:sz w:val="24"/>
          <w:szCs w:val="24"/>
        </w:rPr>
        <w:t xml:space="preserve"> </w:t>
      </w:r>
      <w:r w:rsidR="00E30DF0">
        <w:rPr>
          <w:rFonts w:ascii="Times New Roman" w:hAnsi="Times New Roman" w:cs="Times New Roman"/>
          <w:sz w:val="24"/>
          <w:szCs w:val="24"/>
        </w:rPr>
        <w:t xml:space="preserve">withdrawn. By not paying the development fees the applicant </w:t>
      </w:r>
      <w:r>
        <w:rPr>
          <w:rFonts w:ascii="Times New Roman" w:hAnsi="Times New Roman" w:cs="Times New Roman"/>
          <w:sz w:val="24"/>
          <w:szCs w:val="24"/>
        </w:rPr>
        <w:t>breached the agreement</w:t>
      </w:r>
      <w:r w:rsidR="00970B7E">
        <w:rPr>
          <w:rFonts w:ascii="Times New Roman" w:hAnsi="Times New Roman" w:cs="Times New Roman"/>
          <w:sz w:val="24"/>
          <w:szCs w:val="24"/>
        </w:rPr>
        <w:t xml:space="preserve"> between</w:t>
      </w:r>
      <w:r w:rsidR="006D48DD">
        <w:rPr>
          <w:rFonts w:ascii="Times New Roman" w:hAnsi="Times New Roman" w:cs="Times New Roman"/>
          <w:sz w:val="24"/>
          <w:szCs w:val="24"/>
        </w:rPr>
        <w:t xml:space="preserve"> herself and the 4</w:t>
      </w:r>
      <w:r w:rsidR="006D48DD" w:rsidRPr="006D48DD">
        <w:rPr>
          <w:rFonts w:ascii="Times New Roman" w:hAnsi="Times New Roman" w:cs="Times New Roman"/>
          <w:sz w:val="24"/>
          <w:szCs w:val="24"/>
          <w:vertAlign w:val="superscript"/>
        </w:rPr>
        <w:t>th</w:t>
      </w:r>
      <w:r w:rsidR="006D48DD">
        <w:rPr>
          <w:rFonts w:ascii="Times New Roman" w:hAnsi="Times New Roman" w:cs="Times New Roman"/>
          <w:sz w:val="24"/>
          <w:szCs w:val="24"/>
        </w:rPr>
        <w:t xml:space="preserve"> respondent</w:t>
      </w:r>
      <w:r w:rsidR="00970B7E">
        <w:rPr>
          <w:rFonts w:ascii="Times New Roman" w:hAnsi="Times New Roman" w:cs="Times New Roman"/>
          <w:sz w:val="24"/>
          <w:szCs w:val="24"/>
        </w:rPr>
        <w:t>. The applicant</w:t>
      </w:r>
      <w:r>
        <w:rPr>
          <w:rFonts w:ascii="Times New Roman" w:hAnsi="Times New Roman" w:cs="Times New Roman"/>
          <w:sz w:val="24"/>
          <w:szCs w:val="24"/>
        </w:rPr>
        <w:t xml:space="preserve"> failed to demonstrate that she fully complied with t</w:t>
      </w:r>
      <w:r w:rsidR="00E30DF0">
        <w:rPr>
          <w:rFonts w:ascii="Times New Roman" w:hAnsi="Times New Roman" w:cs="Times New Roman"/>
          <w:sz w:val="24"/>
          <w:szCs w:val="24"/>
        </w:rPr>
        <w:t>he terms of the lease agreement therefore she</w:t>
      </w:r>
      <w:r w:rsidR="00970B7E">
        <w:rPr>
          <w:rFonts w:ascii="Times New Roman" w:hAnsi="Times New Roman" w:cs="Times New Roman"/>
          <w:sz w:val="24"/>
          <w:szCs w:val="24"/>
        </w:rPr>
        <w:t xml:space="preserve"> is not entitled to the order sought.</w:t>
      </w:r>
    </w:p>
    <w:p w:rsidR="00BC7404" w:rsidRDefault="00633E43" w:rsidP="00D300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633E4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opposed the application on the basis that she</w:t>
      </w:r>
      <w:r w:rsidR="00BC7404">
        <w:rPr>
          <w:rFonts w:ascii="Times New Roman" w:hAnsi="Times New Roman" w:cs="Times New Roman"/>
          <w:sz w:val="24"/>
          <w:szCs w:val="24"/>
        </w:rPr>
        <w:t xml:space="preserve"> was lawfully allocated the property</w:t>
      </w:r>
      <w:r>
        <w:rPr>
          <w:rFonts w:ascii="Times New Roman" w:hAnsi="Times New Roman" w:cs="Times New Roman"/>
          <w:sz w:val="24"/>
          <w:szCs w:val="24"/>
        </w:rPr>
        <w:t xml:space="preserve"> and fully complied with the terms of agreement</w:t>
      </w:r>
      <w:r w:rsidR="00BC7404">
        <w:rPr>
          <w:rFonts w:ascii="Times New Roman" w:hAnsi="Times New Roman" w:cs="Times New Roman"/>
          <w:sz w:val="24"/>
          <w:szCs w:val="24"/>
        </w:rPr>
        <w:t>. The application</w:t>
      </w:r>
      <w:r w:rsidR="00A32FD0">
        <w:rPr>
          <w:rFonts w:ascii="Times New Roman" w:hAnsi="Times New Roman" w:cs="Times New Roman"/>
          <w:sz w:val="24"/>
          <w:szCs w:val="24"/>
        </w:rPr>
        <w:t xml:space="preserve"> falls short of the requirements of a declaratory order.</w:t>
      </w:r>
    </w:p>
    <w:p w:rsidR="0086368B" w:rsidRPr="00B76AAC" w:rsidRDefault="0086368B" w:rsidP="005D7881">
      <w:pPr>
        <w:spacing w:line="240" w:lineRule="auto"/>
        <w:ind w:left="720" w:firstLine="720"/>
        <w:jc w:val="both"/>
        <w:rPr>
          <w:rFonts w:ascii="Times New Roman" w:hAnsi="Times New Roman" w:cs="Times New Roman"/>
          <w:sz w:val="24"/>
          <w:szCs w:val="24"/>
        </w:rPr>
      </w:pPr>
      <w:r w:rsidRPr="00B76AAC">
        <w:rPr>
          <w:rFonts w:ascii="Times New Roman" w:hAnsi="Times New Roman" w:cs="Times New Roman"/>
          <w:sz w:val="24"/>
          <w:szCs w:val="24"/>
        </w:rPr>
        <w:t xml:space="preserve">The first issue for determination is the validity of the purported cancellation of the lease </w:t>
      </w:r>
      <w:r w:rsidR="00B052F5" w:rsidRPr="00B76AAC">
        <w:rPr>
          <w:rFonts w:ascii="Times New Roman" w:hAnsi="Times New Roman" w:cs="Times New Roman"/>
          <w:sz w:val="24"/>
          <w:szCs w:val="24"/>
        </w:rPr>
        <w:t>agreement</w:t>
      </w:r>
      <w:r w:rsidRPr="00B76AAC">
        <w:rPr>
          <w:rFonts w:ascii="Times New Roman" w:hAnsi="Times New Roman" w:cs="Times New Roman"/>
          <w:sz w:val="24"/>
          <w:szCs w:val="24"/>
        </w:rPr>
        <w:t>.</w:t>
      </w:r>
    </w:p>
    <w:p w:rsidR="002F380C" w:rsidRPr="00B76AAC" w:rsidRDefault="00B052F5" w:rsidP="006D48DD">
      <w:pPr>
        <w:spacing w:line="24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 xml:space="preserve">The applicant </w:t>
      </w:r>
      <w:r w:rsidR="006D48DD" w:rsidRPr="00B76AAC">
        <w:rPr>
          <w:rFonts w:ascii="Times New Roman" w:hAnsi="Times New Roman" w:cs="Times New Roman"/>
          <w:sz w:val="24"/>
          <w:szCs w:val="24"/>
        </w:rPr>
        <w:t>said</w:t>
      </w:r>
      <w:r w:rsidRPr="00B76AAC">
        <w:rPr>
          <w:rFonts w:ascii="Times New Roman" w:hAnsi="Times New Roman" w:cs="Times New Roman"/>
          <w:sz w:val="24"/>
          <w:szCs w:val="24"/>
        </w:rPr>
        <w:t xml:space="preserve"> she did not see the letter which cancelled the lease agreement. It </w:t>
      </w:r>
      <w:r w:rsidR="00782D71" w:rsidRPr="00B76AAC">
        <w:rPr>
          <w:rFonts w:ascii="Times New Roman" w:hAnsi="Times New Roman" w:cs="Times New Roman"/>
          <w:sz w:val="24"/>
          <w:szCs w:val="24"/>
        </w:rPr>
        <w:t xml:space="preserve">is not in dispute that the letter was not served on the applicant’s address of choice. </w:t>
      </w:r>
      <w:r w:rsidR="002F380C" w:rsidRPr="00B76AAC">
        <w:rPr>
          <w:rFonts w:ascii="Times New Roman" w:hAnsi="Times New Roman" w:cs="Times New Roman"/>
          <w:sz w:val="24"/>
          <w:szCs w:val="24"/>
        </w:rPr>
        <w:t xml:space="preserve">Clause 21 of the lease agreement sets out the applicant’s </w:t>
      </w:r>
      <w:r w:rsidR="002F380C" w:rsidRPr="00B76AAC">
        <w:rPr>
          <w:rFonts w:ascii="Times New Roman" w:hAnsi="Times New Roman" w:cs="Times New Roman"/>
          <w:i/>
          <w:iCs/>
          <w:sz w:val="24"/>
          <w:szCs w:val="24"/>
        </w:rPr>
        <w:t>domiciluim citandi et executandi</w:t>
      </w:r>
      <w:r w:rsidR="002F380C" w:rsidRPr="00B76AAC">
        <w:rPr>
          <w:rFonts w:ascii="Times New Roman" w:hAnsi="Times New Roman" w:cs="Times New Roman"/>
          <w:sz w:val="24"/>
          <w:szCs w:val="24"/>
        </w:rPr>
        <w:t xml:space="preserve"> as 987 </w:t>
      </w:r>
      <w:r w:rsidR="005D7881" w:rsidRPr="00B76AAC">
        <w:rPr>
          <w:rFonts w:ascii="Times New Roman" w:hAnsi="Times New Roman" w:cs="Times New Roman"/>
          <w:sz w:val="24"/>
          <w:szCs w:val="24"/>
        </w:rPr>
        <w:t>Sugarloaf Road</w:t>
      </w:r>
      <w:r w:rsidR="002F380C" w:rsidRPr="00B76AAC">
        <w:rPr>
          <w:rFonts w:ascii="Times New Roman" w:hAnsi="Times New Roman" w:cs="Times New Roman"/>
          <w:sz w:val="24"/>
          <w:szCs w:val="24"/>
        </w:rPr>
        <w:t xml:space="preserve"> Glen Lorne.</w:t>
      </w:r>
    </w:p>
    <w:p w:rsidR="00782D71" w:rsidRPr="00B76AAC" w:rsidRDefault="002F380C" w:rsidP="006D48DD">
      <w:pPr>
        <w:spacing w:line="240" w:lineRule="auto"/>
        <w:ind w:firstLine="720"/>
        <w:jc w:val="both"/>
        <w:rPr>
          <w:sz w:val="24"/>
          <w:szCs w:val="24"/>
        </w:rPr>
      </w:pPr>
      <w:r w:rsidRPr="00B76AAC">
        <w:rPr>
          <w:rFonts w:ascii="Arial" w:hAnsi="Arial" w:cs="Arial"/>
          <w:b/>
          <w:bCs/>
          <w:i/>
          <w:iCs/>
          <w:color w:val="202122"/>
          <w:sz w:val="24"/>
          <w:szCs w:val="24"/>
          <w:shd w:val="clear" w:color="auto" w:fill="FFFFFF"/>
        </w:rPr>
        <w:t xml:space="preserve"> </w:t>
      </w:r>
      <w:r w:rsidRPr="00B76AAC">
        <w:rPr>
          <w:rFonts w:ascii="Arial" w:hAnsi="Arial" w:cs="Arial"/>
          <w:bCs/>
          <w:i/>
          <w:iCs/>
          <w:color w:val="202122"/>
          <w:sz w:val="24"/>
          <w:szCs w:val="24"/>
          <w:shd w:val="clear" w:color="auto" w:fill="FFFFFF"/>
        </w:rPr>
        <w:t>Domicilium citandi et executandi</w:t>
      </w:r>
      <w:r w:rsidR="005D7881" w:rsidRPr="00B76AAC">
        <w:rPr>
          <w:rFonts w:ascii="Arial" w:hAnsi="Arial" w:cs="Arial"/>
          <w:color w:val="202122"/>
          <w:sz w:val="24"/>
          <w:szCs w:val="24"/>
          <w:shd w:val="clear" w:color="auto" w:fill="FFFFFF"/>
        </w:rPr>
        <w:t xml:space="preserve">  </w:t>
      </w:r>
      <w:r w:rsidR="005D7881" w:rsidRPr="00B76AAC">
        <w:rPr>
          <w:rFonts w:ascii="Times New Roman" w:hAnsi="Times New Roman" w:cs="Times New Roman"/>
          <w:color w:val="202122"/>
          <w:sz w:val="24"/>
          <w:szCs w:val="24"/>
          <w:shd w:val="clear" w:color="auto" w:fill="FFFFFF"/>
        </w:rPr>
        <w:t>is</w:t>
      </w:r>
      <w:r w:rsidRPr="00B76AAC">
        <w:rPr>
          <w:rFonts w:ascii="Times New Roman" w:hAnsi="Times New Roman" w:cs="Times New Roman"/>
          <w:color w:val="202122"/>
          <w:sz w:val="24"/>
          <w:szCs w:val="24"/>
          <w:shd w:val="clear" w:color="auto" w:fill="FFFFFF"/>
        </w:rPr>
        <w:t xml:space="preserve"> an address nominated by a party to a contract where legal notices may be sent; the onus usually is on </w:t>
      </w:r>
      <w:r w:rsidR="005D7881" w:rsidRPr="00B76AAC">
        <w:rPr>
          <w:rFonts w:ascii="Times New Roman" w:hAnsi="Times New Roman" w:cs="Times New Roman"/>
          <w:color w:val="202122"/>
          <w:sz w:val="24"/>
          <w:szCs w:val="24"/>
          <w:shd w:val="clear" w:color="auto" w:fill="FFFFFF"/>
        </w:rPr>
        <w:t>the party</w:t>
      </w:r>
      <w:r w:rsidRPr="00B76AAC">
        <w:rPr>
          <w:rFonts w:ascii="Times New Roman" w:hAnsi="Times New Roman" w:cs="Times New Roman"/>
          <w:color w:val="202122"/>
          <w:sz w:val="24"/>
          <w:szCs w:val="24"/>
          <w:shd w:val="clear" w:color="auto" w:fill="FFFFFF"/>
        </w:rPr>
        <w:t xml:space="preserve"> to notify the other signatory </w:t>
      </w:r>
      <w:r w:rsidRPr="00B76AAC">
        <w:rPr>
          <w:rFonts w:ascii="Times New Roman" w:hAnsi="Times New Roman" w:cs="Times New Roman"/>
          <w:color w:val="202122"/>
          <w:sz w:val="24"/>
          <w:szCs w:val="24"/>
          <w:shd w:val="clear" w:color="auto" w:fill="FFFFFF"/>
        </w:rPr>
        <w:lastRenderedPageBreak/>
        <w:t>of any change in address, especially to be ready to receive any notice that is delivered to that address. In</w:t>
      </w:r>
      <w:r w:rsidR="00782D71" w:rsidRPr="00B76AAC">
        <w:rPr>
          <w:sz w:val="24"/>
          <w:szCs w:val="24"/>
        </w:rPr>
        <w:t> </w:t>
      </w:r>
      <w:r w:rsidR="00782D71" w:rsidRPr="00B76AAC">
        <w:rPr>
          <w:i/>
          <w:iCs/>
          <w:sz w:val="24"/>
          <w:szCs w:val="24"/>
        </w:rPr>
        <w:t>Amcoal Collieries Ltd </w:t>
      </w:r>
      <w:r w:rsidR="00782D71" w:rsidRPr="00B76AAC">
        <w:rPr>
          <w:sz w:val="24"/>
          <w:szCs w:val="24"/>
        </w:rPr>
        <w:t>v </w:t>
      </w:r>
      <w:r w:rsidR="00782D71" w:rsidRPr="00B76AAC">
        <w:rPr>
          <w:i/>
          <w:iCs/>
          <w:sz w:val="24"/>
          <w:szCs w:val="24"/>
        </w:rPr>
        <w:t>Trust</w:t>
      </w:r>
      <w:r w:rsidRPr="00B76AAC">
        <w:rPr>
          <w:rStyle w:val="FootnoteReference"/>
          <w:i/>
          <w:iCs/>
          <w:sz w:val="24"/>
          <w:szCs w:val="24"/>
        </w:rPr>
        <w:footnoteReference w:id="1"/>
      </w:r>
      <w:r w:rsidR="00782D71" w:rsidRPr="00B76AAC">
        <w:rPr>
          <w:i/>
          <w:iCs/>
          <w:sz w:val="24"/>
          <w:szCs w:val="24"/>
        </w:rPr>
        <w:t> </w:t>
      </w:r>
      <w:r w:rsidR="00782D71" w:rsidRPr="00B76AAC">
        <w:rPr>
          <w:sz w:val="24"/>
          <w:szCs w:val="24"/>
        </w:rPr>
        <w:t>the Supreme Court of Appeal  that: </w:t>
      </w:r>
    </w:p>
    <w:p w:rsidR="00782D71" w:rsidRPr="00D30069" w:rsidRDefault="00782D71" w:rsidP="00B76AAC">
      <w:pPr>
        <w:spacing w:after="0" w:line="240" w:lineRule="auto"/>
        <w:ind w:left="1440"/>
        <w:jc w:val="both"/>
        <w:rPr>
          <w:rFonts w:ascii="Times New Roman" w:hAnsi="Times New Roman" w:cs="Times New Roman"/>
        </w:rPr>
      </w:pPr>
      <w:r w:rsidRPr="00D30069">
        <w:rPr>
          <w:rFonts w:ascii="Times New Roman" w:hAnsi="Times New Roman" w:cs="Times New Roman"/>
        </w:rPr>
        <w:t>“It is a matter of frequent occurrence that a </w:t>
      </w:r>
      <w:r w:rsidRPr="00D30069">
        <w:rPr>
          <w:rFonts w:ascii="Times New Roman" w:hAnsi="Times New Roman" w:cs="Times New Roman"/>
          <w:i/>
          <w:iCs/>
        </w:rPr>
        <w:t>domiciluim citandi et executandi</w:t>
      </w:r>
      <w:r w:rsidRPr="00D30069">
        <w:rPr>
          <w:rFonts w:ascii="Times New Roman" w:hAnsi="Times New Roman" w:cs="Times New Roman"/>
        </w:rPr>
        <w:t> is chosen in a contract by one or more of the parties to it. Translated, this expression means a home for the purpose of serving summons and levying execution (if a man </w:t>
      </w:r>
      <w:r w:rsidRPr="00D30069">
        <w:rPr>
          <w:rFonts w:ascii="Times New Roman" w:hAnsi="Times New Roman" w:cs="Times New Roman"/>
          <w:i/>
          <w:iCs/>
        </w:rPr>
        <w:t>chooses domicilium citandi</w:t>
      </w:r>
      <w:r w:rsidRPr="00D30069">
        <w:rPr>
          <w:rFonts w:ascii="Times New Roman" w:hAnsi="Times New Roman" w:cs="Times New Roman"/>
        </w:rPr>
        <w:t> the </w:t>
      </w:r>
      <w:r w:rsidRPr="00D30069">
        <w:rPr>
          <w:rFonts w:ascii="Times New Roman" w:hAnsi="Times New Roman" w:cs="Times New Roman"/>
          <w:i/>
          <w:iCs/>
        </w:rPr>
        <w:t>domicilium</w:t>
      </w:r>
      <w:r w:rsidRPr="00D30069">
        <w:rPr>
          <w:rFonts w:ascii="Times New Roman" w:hAnsi="Times New Roman" w:cs="Times New Roman"/>
        </w:rPr>
        <w:t> he chooses is taken to be his place of abode. See </w:t>
      </w:r>
      <w:r w:rsidRPr="00D30069">
        <w:rPr>
          <w:rFonts w:ascii="Times New Roman" w:hAnsi="Times New Roman" w:cs="Times New Roman"/>
          <w:i/>
          <w:iCs/>
        </w:rPr>
        <w:t>Pretoria Hypotheck Maatschappi </w:t>
      </w:r>
      <w:r w:rsidRPr="00D30069">
        <w:rPr>
          <w:rFonts w:ascii="Times New Roman" w:hAnsi="Times New Roman" w:cs="Times New Roman"/>
        </w:rPr>
        <w:t>v </w:t>
      </w:r>
      <w:r w:rsidRPr="00D30069">
        <w:rPr>
          <w:rFonts w:ascii="Times New Roman" w:hAnsi="Times New Roman" w:cs="Times New Roman"/>
          <w:i/>
          <w:iCs/>
        </w:rPr>
        <w:t> Groenewald </w:t>
      </w:r>
      <w:r w:rsidRPr="00D30069">
        <w:rPr>
          <w:rFonts w:ascii="Times New Roman" w:hAnsi="Times New Roman" w:cs="Times New Roman"/>
        </w:rPr>
        <w:t>1915 TPD 170). It is a well-established practice (which is recognised by r 4 (10 (a) (iv) of the Uniform Rules of Court) that, if a defendant has chosen a </w:t>
      </w:r>
      <w:r w:rsidRPr="00D30069">
        <w:rPr>
          <w:rFonts w:ascii="Times New Roman" w:hAnsi="Times New Roman" w:cs="Times New Roman"/>
          <w:i/>
          <w:iCs/>
        </w:rPr>
        <w:t>domicilium citandi</w:t>
      </w:r>
      <w:r w:rsidRPr="00D30069">
        <w:rPr>
          <w:rFonts w:ascii="Times New Roman" w:hAnsi="Times New Roman" w:cs="Times New Roman"/>
        </w:rPr>
        <w:t>, service of process at such place will be good even though it be a vacant piece of ground, or the defendant is known to be resident abroad or has abandoned the property or cannot be found. (Hebstein and Van Winsen </w:t>
      </w:r>
      <w:r w:rsidRPr="00D30069">
        <w:rPr>
          <w:rFonts w:ascii="Times New Roman" w:hAnsi="Times New Roman" w:cs="Times New Roman"/>
          <w:i/>
          <w:iCs/>
        </w:rPr>
        <w:t>The Civil Practice of the Superior Court of South Africa </w:t>
      </w:r>
      <w:r w:rsidRPr="00D30069">
        <w:rPr>
          <w:rFonts w:ascii="Times New Roman" w:hAnsi="Times New Roman" w:cs="Times New Roman"/>
        </w:rPr>
        <w:t>3rd ed at 210</w:t>
      </w:r>
      <w:r w:rsidRPr="00D30069">
        <w:rPr>
          <w:rFonts w:ascii="Times New Roman" w:hAnsi="Times New Roman" w:cs="Times New Roman"/>
          <w:i/>
          <w:iCs/>
        </w:rPr>
        <w:t>. </w:t>
      </w:r>
      <w:r w:rsidRPr="00D30069">
        <w:rPr>
          <w:rFonts w:ascii="Times New Roman" w:hAnsi="Times New Roman" w:cs="Times New Roman"/>
        </w:rPr>
        <w:t>See </w:t>
      </w:r>
      <w:r w:rsidRPr="00D30069">
        <w:rPr>
          <w:rFonts w:ascii="Times New Roman" w:hAnsi="Times New Roman" w:cs="Times New Roman"/>
          <w:i/>
          <w:iCs/>
        </w:rPr>
        <w:t>Muller </w:t>
      </w:r>
      <w:r w:rsidRPr="00D30069">
        <w:rPr>
          <w:rFonts w:ascii="Times New Roman" w:hAnsi="Times New Roman" w:cs="Times New Roman"/>
        </w:rPr>
        <w:t>v </w:t>
      </w:r>
      <w:r w:rsidRPr="00D30069">
        <w:rPr>
          <w:rFonts w:ascii="Times New Roman" w:hAnsi="Times New Roman" w:cs="Times New Roman"/>
          <w:i/>
          <w:iCs/>
        </w:rPr>
        <w:t>Mulbarton Gardens (Pty) Ltd </w:t>
      </w:r>
      <w:r w:rsidRPr="00D30069">
        <w:rPr>
          <w:rFonts w:ascii="Times New Roman" w:hAnsi="Times New Roman" w:cs="Times New Roman"/>
        </w:rPr>
        <w:t>1972 (1) SA 328 (W</w:t>
      </w:r>
      <w:r w:rsidRPr="00D30069">
        <w:rPr>
          <w:rFonts w:ascii="Times New Roman" w:hAnsi="Times New Roman" w:cs="Times New Roman"/>
          <w:i/>
          <w:iCs/>
        </w:rPr>
        <w:t>) </w:t>
      </w:r>
      <w:r w:rsidRPr="00D30069">
        <w:rPr>
          <w:rFonts w:ascii="Times New Roman" w:hAnsi="Times New Roman" w:cs="Times New Roman"/>
        </w:rPr>
        <w:t>at 331 H-333A, </w:t>
      </w:r>
      <w:r w:rsidRPr="00D30069">
        <w:rPr>
          <w:rFonts w:ascii="Times New Roman" w:hAnsi="Times New Roman" w:cs="Times New Roman"/>
          <w:i/>
          <w:iCs/>
        </w:rPr>
        <w:t>Lonyan (Pvt) Ltd </w:t>
      </w:r>
      <w:r w:rsidRPr="00D30069">
        <w:rPr>
          <w:rFonts w:ascii="Times New Roman" w:hAnsi="Times New Roman" w:cs="Times New Roman"/>
        </w:rPr>
        <w:t>v </w:t>
      </w:r>
      <w:r w:rsidRPr="00D30069">
        <w:rPr>
          <w:rFonts w:ascii="Times New Roman" w:hAnsi="Times New Roman" w:cs="Times New Roman"/>
          <w:i/>
          <w:iCs/>
        </w:rPr>
        <w:t>Solarsh Tea and Coffee (Pty) Ltd </w:t>
      </w:r>
      <w:r w:rsidRPr="00D30069">
        <w:rPr>
          <w:rFonts w:ascii="Times New Roman" w:hAnsi="Times New Roman" w:cs="Times New Roman"/>
        </w:rPr>
        <w:t>1984 (3) SA 834 (W) at 847 D-F)”.</w:t>
      </w:r>
    </w:p>
    <w:p w:rsidR="00782D71" w:rsidRPr="00B76AAC" w:rsidRDefault="00782D71" w:rsidP="00B76AAC">
      <w:pPr>
        <w:spacing w:after="0" w:line="36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 xml:space="preserve">The chosen address guides the other party where to send process. Once </w:t>
      </w:r>
      <w:r w:rsidR="00454F16" w:rsidRPr="00B76AAC">
        <w:rPr>
          <w:rFonts w:ascii="Times New Roman" w:hAnsi="Times New Roman" w:cs="Times New Roman"/>
          <w:sz w:val="24"/>
          <w:szCs w:val="24"/>
        </w:rPr>
        <w:t xml:space="preserve">notice is delivered at the </w:t>
      </w:r>
      <w:r w:rsidRPr="00B76AAC">
        <w:rPr>
          <w:rFonts w:ascii="Times New Roman" w:hAnsi="Times New Roman" w:cs="Times New Roman"/>
          <w:sz w:val="24"/>
          <w:szCs w:val="24"/>
        </w:rPr>
        <w:t xml:space="preserve"> </w:t>
      </w:r>
      <w:r w:rsidRPr="00B76AAC">
        <w:rPr>
          <w:rFonts w:ascii="Times New Roman" w:hAnsi="Times New Roman" w:cs="Times New Roman"/>
          <w:i/>
          <w:sz w:val="24"/>
          <w:szCs w:val="24"/>
        </w:rPr>
        <w:t>domicilium citandi</w:t>
      </w:r>
      <w:r w:rsidRPr="00B76AAC">
        <w:rPr>
          <w:rFonts w:ascii="Times New Roman" w:hAnsi="Times New Roman" w:cs="Times New Roman"/>
          <w:sz w:val="24"/>
          <w:szCs w:val="24"/>
        </w:rPr>
        <w:t>, then there is no</w:t>
      </w:r>
      <w:r w:rsidR="00454F16" w:rsidRPr="00B76AAC">
        <w:rPr>
          <w:rFonts w:ascii="Times New Roman" w:hAnsi="Times New Roman" w:cs="Times New Roman"/>
          <w:sz w:val="24"/>
          <w:szCs w:val="24"/>
        </w:rPr>
        <w:t xml:space="preserve"> need for evidence of actual receipt , it is good service. The opposite may be equally true that if a party delivers a notice at any other address it must prove receipt of the notice.</w:t>
      </w:r>
    </w:p>
    <w:p w:rsidR="009D0088" w:rsidRPr="00B76AAC" w:rsidRDefault="00454F16" w:rsidP="00B76AAC">
      <w:pPr>
        <w:spacing w:after="0" w:line="36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In this case it</w:t>
      </w:r>
      <w:r w:rsidR="006D48DD" w:rsidRPr="00B76AAC">
        <w:rPr>
          <w:rFonts w:ascii="Times New Roman" w:hAnsi="Times New Roman" w:cs="Times New Roman"/>
          <w:sz w:val="24"/>
          <w:szCs w:val="24"/>
        </w:rPr>
        <w:t xml:space="preserve"> is</w:t>
      </w:r>
      <w:r w:rsidRPr="00B76AAC">
        <w:rPr>
          <w:rFonts w:ascii="Times New Roman" w:hAnsi="Times New Roman" w:cs="Times New Roman"/>
          <w:sz w:val="24"/>
          <w:szCs w:val="24"/>
        </w:rPr>
        <w:t xml:space="preserve"> not in dispute that the letter was sent to a postal address. </w:t>
      </w:r>
      <w:r w:rsidRPr="00B76AAC">
        <w:rPr>
          <w:rFonts w:ascii="Times New Roman" w:hAnsi="Times New Roman" w:cs="Times New Roman"/>
          <w:i/>
          <w:sz w:val="24"/>
          <w:szCs w:val="24"/>
        </w:rPr>
        <w:t>Ms Saunyama</w:t>
      </w:r>
      <w:r w:rsidRPr="00B76AAC">
        <w:rPr>
          <w:rFonts w:ascii="Times New Roman" w:hAnsi="Times New Roman" w:cs="Times New Roman"/>
          <w:sz w:val="24"/>
          <w:szCs w:val="24"/>
        </w:rPr>
        <w:t xml:space="preserve"> argued that the 4</w:t>
      </w:r>
      <w:r w:rsidRPr="00B76AAC">
        <w:rPr>
          <w:rFonts w:ascii="Times New Roman" w:hAnsi="Times New Roman" w:cs="Times New Roman"/>
          <w:sz w:val="24"/>
          <w:szCs w:val="24"/>
          <w:vertAlign w:val="superscript"/>
        </w:rPr>
        <w:t>th</w:t>
      </w:r>
      <w:r w:rsidRPr="00B76AAC">
        <w:rPr>
          <w:rFonts w:ascii="Times New Roman" w:hAnsi="Times New Roman" w:cs="Times New Roman"/>
          <w:sz w:val="24"/>
          <w:szCs w:val="24"/>
        </w:rPr>
        <w:t xml:space="preserve"> respondent has always communicated with the applicant using the postal address which is not the </w:t>
      </w:r>
      <w:r w:rsidRPr="00B76AAC">
        <w:rPr>
          <w:rFonts w:ascii="Times New Roman" w:hAnsi="Times New Roman" w:cs="Times New Roman"/>
          <w:i/>
          <w:sz w:val="24"/>
          <w:szCs w:val="24"/>
        </w:rPr>
        <w:t>domicilium citandi</w:t>
      </w:r>
      <w:r w:rsidRPr="00B76AAC">
        <w:rPr>
          <w:rFonts w:ascii="Times New Roman" w:hAnsi="Times New Roman" w:cs="Times New Roman"/>
          <w:sz w:val="24"/>
          <w:szCs w:val="24"/>
        </w:rPr>
        <w:t xml:space="preserve"> and the applicant has seen such communication. I was referred to the delivery of the lease agreement letter and the applicant’s receipts where the postal address was used. It may be correct that such communication existed however it was not argued that such waived the applicant’s </w:t>
      </w:r>
      <w:r w:rsidRPr="00B76AAC">
        <w:rPr>
          <w:rFonts w:ascii="Times New Roman" w:hAnsi="Times New Roman" w:cs="Times New Roman"/>
          <w:i/>
          <w:sz w:val="24"/>
          <w:szCs w:val="24"/>
        </w:rPr>
        <w:t>domicilium citandi</w:t>
      </w:r>
      <w:r w:rsidRPr="00B76AAC">
        <w:rPr>
          <w:rFonts w:ascii="Times New Roman" w:hAnsi="Times New Roman" w:cs="Times New Roman"/>
          <w:sz w:val="24"/>
          <w:szCs w:val="24"/>
        </w:rPr>
        <w:t xml:space="preserve"> in the lease agreement. The chosen address could only be changed by the applicant upon notice to the 4</w:t>
      </w:r>
      <w:r w:rsidRPr="00B76AAC">
        <w:rPr>
          <w:rFonts w:ascii="Times New Roman" w:hAnsi="Times New Roman" w:cs="Times New Roman"/>
          <w:sz w:val="24"/>
          <w:szCs w:val="24"/>
          <w:vertAlign w:val="superscript"/>
        </w:rPr>
        <w:t>th</w:t>
      </w:r>
      <w:r w:rsidRPr="00B76AAC">
        <w:rPr>
          <w:rFonts w:ascii="Times New Roman" w:hAnsi="Times New Roman" w:cs="Times New Roman"/>
          <w:sz w:val="24"/>
          <w:szCs w:val="24"/>
        </w:rPr>
        <w:t xml:space="preserve"> respondent. No such evidence was placed before me.</w:t>
      </w:r>
      <w:r w:rsidR="009D0088" w:rsidRPr="00B76AAC">
        <w:rPr>
          <w:rFonts w:ascii="Times New Roman" w:hAnsi="Times New Roman" w:cs="Times New Roman"/>
          <w:sz w:val="24"/>
          <w:szCs w:val="24"/>
        </w:rPr>
        <w:t xml:space="preserve"> In the absence of ev</w:t>
      </w:r>
      <w:r w:rsidRPr="00B76AAC">
        <w:rPr>
          <w:rFonts w:ascii="Times New Roman" w:hAnsi="Times New Roman" w:cs="Times New Roman"/>
          <w:sz w:val="24"/>
          <w:szCs w:val="24"/>
        </w:rPr>
        <w:t>idence that the applicant received the letter from the 4</w:t>
      </w:r>
      <w:r w:rsidRPr="00B76AAC">
        <w:rPr>
          <w:rFonts w:ascii="Times New Roman" w:hAnsi="Times New Roman" w:cs="Times New Roman"/>
          <w:sz w:val="24"/>
          <w:szCs w:val="24"/>
          <w:vertAlign w:val="superscript"/>
        </w:rPr>
        <w:t>th</w:t>
      </w:r>
      <w:r w:rsidRPr="00B76AAC">
        <w:rPr>
          <w:rFonts w:ascii="Times New Roman" w:hAnsi="Times New Roman" w:cs="Times New Roman"/>
          <w:sz w:val="24"/>
          <w:szCs w:val="24"/>
        </w:rPr>
        <w:t xml:space="preserve"> respondent</w:t>
      </w:r>
      <w:r w:rsidR="009D0088" w:rsidRPr="00B76AAC">
        <w:rPr>
          <w:rFonts w:ascii="Times New Roman" w:hAnsi="Times New Roman" w:cs="Times New Roman"/>
          <w:sz w:val="24"/>
          <w:szCs w:val="24"/>
        </w:rPr>
        <w:t xml:space="preserve"> there can be no valid service to talk of</w:t>
      </w:r>
      <w:r w:rsidRPr="00B76AAC">
        <w:rPr>
          <w:rFonts w:ascii="Times New Roman" w:hAnsi="Times New Roman" w:cs="Times New Roman"/>
          <w:sz w:val="24"/>
          <w:szCs w:val="24"/>
        </w:rPr>
        <w:t xml:space="preserve">. My finding is that there was no effective service of the letter on the applicant. </w:t>
      </w:r>
    </w:p>
    <w:p w:rsidR="009D0088" w:rsidRPr="00B76AAC" w:rsidRDefault="009D0088" w:rsidP="00B76AAC">
      <w:pPr>
        <w:spacing w:after="0" w:line="36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 xml:space="preserve">My finding on the validity of service means the </w:t>
      </w:r>
      <w:r w:rsidR="006D48DD" w:rsidRPr="00B76AAC">
        <w:rPr>
          <w:rFonts w:ascii="Times New Roman" w:hAnsi="Times New Roman" w:cs="Times New Roman"/>
          <w:sz w:val="24"/>
          <w:szCs w:val="24"/>
        </w:rPr>
        <w:t>purported cancellation of the</w:t>
      </w:r>
      <w:r w:rsidRPr="00B76AAC">
        <w:rPr>
          <w:rFonts w:ascii="Times New Roman" w:hAnsi="Times New Roman" w:cs="Times New Roman"/>
          <w:sz w:val="24"/>
          <w:szCs w:val="24"/>
        </w:rPr>
        <w:t xml:space="preserve"> lease agreement falls away.</w:t>
      </w:r>
    </w:p>
    <w:p w:rsidR="00454F16" w:rsidRPr="00B76AAC" w:rsidRDefault="009D0088" w:rsidP="00B76AAC">
      <w:pPr>
        <w:spacing w:after="0" w:line="36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Even if l am wrong in my finding</w:t>
      </w:r>
      <w:r w:rsidR="005D7881" w:rsidRPr="00B76AAC">
        <w:rPr>
          <w:rFonts w:ascii="Times New Roman" w:hAnsi="Times New Roman" w:cs="Times New Roman"/>
          <w:sz w:val="24"/>
          <w:szCs w:val="24"/>
        </w:rPr>
        <w:t>,</w:t>
      </w:r>
      <w:r w:rsidRPr="00B76AAC">
        <w:rPr>
          <w:rFonts w:ascii="Times New Roman" w:hAnsi="Times New Roman" w:cs="Times New Roman"/>
          <w:sz w:val="24"/>
          <w:szCs w:val="24"/>
        </w:rPr>
        <w:t xml:space="preserve"> the</w:t>
      </w:r>
      <w:r w:rsidR="006D48DD" w:rsidRPr="00B76AAC">
        <w:rPr>
          <w:rFonts w:ascii="Times New Roman" w:hAnsi="Times New Roman" w:cs="Times New Roman"/>
          <w:sz w:val="24"/>
          <w:szCs w:val="24"/>
        </w:rPr>
        <w:t>re was no</w:t>
      </w:r>
      <w:r w:rsidRPr="00B76AAC">
        <w:rPr>
          <w:rFonts w:ascii="Times New Roman" w:hAnsi="Times New Roman" w:cs="Times New Roman"/>
          <w:sz w:val="24"/>
          <w:szCs w:val="24"/>
        </w:rPr>
        <w:t xml:space="preserve"> valid cancellation</w:t>
      </w:r>
      <w:r w:rsidR="006D48DD" w:rsidRPr="00B76AAC">
        <w:rPr>
          <w:rFonts w:ascii="Times New Roman" w:hAnsi="Times New Roman" w:cs="Times New Roman"/>
          <w:sz w:val="24"/>
          <w:szCs w:val="24"/>
        </w:rPr>
        <w:t xml:space="preserve"> of the lease agreement in this case</w:t>
      </w:r>
      <w:r w:rsidRPr="00B76AAC">
        <w:rPr>
          <w:rFonts w:ascii="Times New Roman" w:hAnsi="Times New Roman" w:cs="Times New Roman"/>
          <w:sz w:val="24"/>
          <w:szCs w:val="24"/>
        </w:rPr>
        <w:t xml:space="preserve">. </w:t>
      </w:r>
      <w:r w:rsidR="00454F16" w:rsidRPr="00B76AAC">
        <w:rPr>
          <w:rFonts w:ascii="Times New Roman" w:hAnsi="Times New Roman" w:cs="Times New Roman"/>
          <w:sz w:val="24"/>
          <w:szCs w:val="24"/>
        </w:rPr>
        <w:t xml:space="preserve"> </w:t>
      </w:r>
    </w:p>
    <w:p w:rsidR="009D0088" w:rsidRDefault="0086368B" w:rsidP="009D0088">
      <w:pPr>
        <w:spacing w:line="240" w:lineRule="auto"/>
        <w:ind w:firstLine="720"/>
        <w:jc w:val="both"/>
        <w:rPr>
          <w:rFonts w:ascii="Times New Roman" w:hAnsi="Times New Roman" w:cs="Times New Roman"/>
        </w:rPr>
      </w:pPr>
      <w:r w:rsidRPr="00B76AAC">
        <w:rPr>
          <w:rFonts w:ascii="Times New Roman" w:hAnsi="Times New Roman" w:cs="Times New Roman"/>
          <w:sz w:val="24"/>
          <w:szCs w:val="24"/>
        </w:rPr>
        <w:t xml:space="preserve">Where a contract lays down the procedure for cancellation, </w:t>
      </w:r>
      <w:r w:rsidR="009D0088" w:rsidRPr="00B76AAC">
        <w:rPr>
          <w:rFonts w:ascii="Times New Roman" w:hAnsi="Times New Roman" w:cs="Times New Roman"/>
          <w:sz w:val="24"/>
          <w:szCs w:val="24"/>
        </w:rPr>
        <w:t xml:space="preserve">that procedure must be followed </w:t>
      </w:r>
      <w:r w:rsidRPr="00B76AAC">
        <w:rPr>
          <w:rFonts w:ascii="Times New Roman" w:hAnsi="Times New Roman" w:cs="Times New Roman"/>
          <w:sz w:val="24"/>
          <w:szCs w:val="24"/>
        </w:rPr>
        <w:t xml:space="preserve">otherwise a purported cancellation may be </w:t>
      </w:r>
      <w:r w:rsidR="00B052F5" w:rsidRPr="00B76AAC">
        <w:rPr>
          <w:rFonts w:ascii="Times New Roman" w:hAnsi="Times New Roman" w:cs="Times New Roman"/>
          <w:sz w:val="24"/>
          <w:szCs w:val="24"/>
        </w:rPr>
        <w:t>ineffectual.</w:t>
      </w:r>
      <w:r w:rsidR="00C65466" w:rsidRPr="00B76AAC">
        <w:rPr>
          <w:rFonts w:ascii="Times New Roman" w:hAnsi="Times New Roman" w:cs="Times New Roman"/>
          <w:sz w:val="24"/>
          <w:szCs w:val="24"/>
        </w:rPr>
        <w:t xml:space="preserve"> Two clauses relate to termination of the lease agreement.</w:t>
      </w:r>
      <w:r w:rsidR="009D0088" w:rsidRPr="00B76AAC">
        <w:rPr>
          <w:rFonts w:ascii="Times New Roman" w:hAnsi="Times New Roman" w:cs="Times New Roman"/>
          <w:sz w:val="24"/>
          <w:szCs w:val="24"/>
        </w:rPr>
        <w:t xml:space="preserve"> Clause 15 provides for the cancellation of the lease agreement as follows</w:t>
      </w:r>
      <w:r w:rsidR="005D7881" w:rsidRPr="00B76AAC">
        <w:rPr>
          <w:rFonts w:ascii="Times New Roman" w:hAnsi="Times New Roman" w:cs="Times New Roman"/>
          <w:sz w:val="24"/>
          <w:szCs w:val="24"/>
        </w:rPr>
        <w:t>;</w:t>
      </w:r>
    </w:p>
    <w:p w:rsidR="00C65466" w:rsidRDefault="009D0088" w:rsidP="00C65466">
      <w:pPr>
        <w:spacing w:line="240" w:lineRule="auto"/>
        <w:ind w:left="720"/>
        <w:jc w:val="both"/>
        <w:rPr>
          <w:rFonts w:ascii="Times New Roman" w:hAnsi="Times New Roman" w:cs="Times New Roman"/>
        </w:rPr>
      </w:pPr>
      <w:r>
        <w:rPr>
          <w:rFonts w:ascii="Times New Roman" w:hAnsi="Times New Roman" w:cs="Times New Roman"/>
        </w:rPr>
        <w:lastRenderedPageBreak/>
        <w:t xml:space="preserve">‘That if the lessee shall fail to pay the said </w:t>
      </w:r>
      <w:r w:rsidR="00C65466">
        <w:rPr>
          <w:rFonts w:ascii="Times New Roman" w:hAnsi="Times New Roman" w:cs="Times New Roman"/>
        </w:rPr>
        <w:t>rent, or</w:t>
      </w:r>
      <w:r>
        <w:rPr>
          <w:rFonts w:ascii="Times New Roman" w:hAnsi="Times New Roman" w:cs="Times New Roman"/>
        </w:rPr>
        <w:t xml:space="preserve"> any part thereof on the date when it is due and payable …, </w:t>
      </w:r>
      <w:r w:rsidRPr="005D7881">
        <w:rPr>
          <w:rFonts w:ascii="Times New Roman" w:hAnsi="Times New Roman" w:cs="Times New Roman"/>
          <w:b/>
        </w:rPr>
        <w:t xml:space="preserve">the lessor shall be at liberty forthwith to declare this agreement terminated and to take possession of the stand/stands and to eject </w:t>
      </w:r>
      <w:r>
        <w:rPr>
          <w:rFonts w:ascii="Times New Roman" w:hAnsi="Times New Roman" w:cs="Times New Roman"/>
        </w:rPr>
        <w:t xml:space="preserve">the lessee therefrom, but without prejudice to any claim which the Lessor </w:t>
      </w:r>
      <w:r w:rsidR="00C65466">
        <w:rPr>
          <w:rFonts w:ascii="Times New Roman" w:hAnsi="Times New Roman" w:cs="Times New Roman"/>
        </w:rPr>
        <w:t>may have for unpaid rent, or for damages in lieu thereof, nor shall the lessee be entitled to the refund of any rental paid by him in terms of the lease’</w:t>
      </w:r>
      <w:r w:rsidR="005D7881">
        <w:rPr>
          <w:rFonts w:ascii="Times New Roman" w:hAnsi="Times New Roman" w:cs="Times New Roman"/>
        </w:rPr>
        <w:t xml:space="preserve"> (my emphasis)</w:t>
      </w:r>
    </w:p>
    <w:p w:rsidR="00C65466" w:rsidRPr="00B76AAC" w:rsidRDefault="00C65466" w:rsidP="00B76AAC">
      <w:pPr>
        <w:spacing w:after="0" w:line="36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 xml:space="preserve">Clause 22 which was said to be a forfeiture clause provides for summary cancellation of the lease agreement in the event of a </w:t>
      </w:r>
      <w:r w:rsidR="00316081" w:rsidRPr="00B76AAC">
        <w:rPr>
          <w:rFonts w:ascii="Times New Roman" w:hAnsi="Times New Roman" w:cs="Times New Roman"/>
          <w:sz w:val="24"/>
          <w:szCs w:val="24"/>
        </w:rPr>
        <w:t>breach. It</w:t>
      </w:r>
      <w:r w:rsidRPr="00B76AAC">
        <w:rPr>
          <w:rFonts w:ascii="Times New Roman" w:hAnsi="Times New Roman" w:cs="Times New Roman"/>
          <w:sz w:val="24"/>
          <w:szCs w:val="24"/>
        </w:rPr>
        <w:t xml:space="preserve"> was submitted for the 3</w:t>
      </w:r>
      <w:r w:rsidRPr="00B76AAC">
        <w:rPr>
          <w:rFonts w:ascii="Times New Roman" w:hAnsi="Times New Roman" w:cs="Times New Roman"/>
          <w:sz w:val="24"/>
          <w:szCs w:val="24"/>
          <w:vertAlign w:val="superscript"/>
        </w:rPr>
        <w:t>rd</w:t>
      </w:r>
      <w:r w:rsidRPr="00B76AAC">
        <w:rPr>
          <w:rFonts w:ascii="Times New Roman" w:hAnsi="Times New Roman" w:cs="Times New Roman"/>
          <w:sz w:val="24"/>
          <w:szCs w:val="24"/>
        </w:rPr>
        <w:t xml:space="preserve"> respondent that the letter was a notice to remedy the breach, when the applicant failed to remedy the breach the 4</w:t>
      </w:r>
      <w:r w:rsidRPr="00B76AAC">
        <w:rPr>
          <w:rFonts w:ascii="Times New Roman" w:hAnsi="Times New Roman" w:cs="Times New Roman"/>
          <w:sz w:val="24"/>
          <w:szCs w:val="24"/>
          <w:vertAlign w:val="superscript"/>
        </w:rPr>
        <w:t>th</w:t>
      </w:r>
      <w:r w:rsidRPr="00B76AAC">
        <w:rPr>
          <w:rFonts w:ascii="Times New Roman" w:hAnsi="Times New Roman" w:cs="Times New Roman"/>
          <w:sz w:val="24"/>
          <w:szCs w:val="24"/>
        </w:rPr>
        <w:t xml:space="preserve"> respondent could automatically cancel.</w:t>
      </w:r>
    </w:p>
    <w:p w:rsidR="00CC5A43" w:rsidRPr="00B76AAC" w:rsidRDefault="00C65466" w:rsidP="00B76AAC">
      <w:pPr>
        <w:spacing w:after="0" w:line="36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The correct position of th</w:t>
      </w:r>
      <w:r w:rsidR="00316081" w:rsidRPr="00B76AAC">
        <w:rPr>
          <w:rFonts w:ascii="Times New Roman" w:hAnsi="Times New Roman" w:cs="Times New Roman"/>
          <w:sz w:val="24"/>
          <w:szCs w:val="24"/>
        </w:rPr>
        <w:t>e law was articulated that a</w:t>
      </w:r>
      <w:r w:rsidR="00B052F5" w:rsidRPr="00B76AAC">
        <w:rPr>
          <w:rFonts w:ascii="Times New Roman" w:hAnsi="Times New Roman" w:cs="Times New Roman"/>
          <w:sz w:val="24"/>
          <w:szCs w:val="24"/>
        </w:rPr>
        <w:t xml:space="preserve"> forfeiture clause giving the innocent party </w:t>
      </w:r>
      <w:r w:rsidR="00316081" w:rsidRPr="00B76AAC">
        <w:rPr>
          <w:rFonts w:ascii="Times New Roman" w:hAnsi="Times New Roman" w:cs="Times New Roman"/>
          <w:sz w:val="24"/>
          <w:szCs w:val="24"/>
        </w:rPr>
        <w:t xml:space="preserve">the right </w:t>
      </w:r>
      <w:r w:rsidR="00B052F5" w:rsidRPr="00B76AAC">
        <w:rPr>
          <w:rFonts w:ascii="Times New Roman" w:hAnsi="Times New Roman" w:cs="Times New Roman"/>
          <w:sz w:val="24"/>
          <w:szCs w:val="24"/>
        </w:rPr>
        <w:t>to cancel for failure to perform after a specified period does not require him to give that notice before cancelling for repudiation</w:t>
      </w:r>
      <w:r w:rsidR="00B052F5" w:rsidRPr="00B76AAC">
        <w:rPr>
          <w:rStyle w:val="FootnoteReference"/>
          <w:rFonts w:ascii="Times New Roman" w:hAnsi="Times New Roman" w:cs="Times New Roman"/>
          <w:sz w:val="24"/>
          <w:szCs w:val="24"/>
        </w:rPr>
        <w:footnoteReference w:id="2"/>
      </w:r>
      <w:r w:rsidR="00316081" w:rsidRPr="00B76AAC">
        <w:rPr>
          <w:rFonts w:ascii="Times New Roman" w:hAnsi="Times New Roman" w:cs="Times New Roman"/>
          <w:sz w:val="24"/>
          <w:szCs w:val="24"/>
        </w:rPr>
        <w:t>.</w:t>
      </w:r>
      <w:r w:rsidR="00097C3D" w:rsidRPr="00B76AAC">
        <w:rPr>
          <w:rFonts w:ascii="Times New Roman" w:hAnsi="Times New Roman" w:cs="Times New Roman"/>
          <w:sz w:val="24"/>
          <w:szCs w:val="24"/>
        </w:rPr>
        <w:t>However</w:t>
      </w:r>
      <w:r w:rsidR="00316081" w:rsidRPr="00B76AAC">
        <w:rPr>
          <w:rFonts w:ascii="Times New Roman" w:hAnsi="Times New Roman" w:cs="Times New Roman"/>
          <w:sz w:val="24"/>
          <w:szCs w:val="24"/>
        </w:rPr>
        <w:t xml:space="preserve"> the 4</w:t>
      </w:r>
      <w:r w:rsidR="00316081" w:rsidRPr="00B76AAC">
        <w:rPr>
          <w:rFonts w:ascii="Times New Roman" w:hAnsi="Times New Roman" w:cs="Times New Roman"/>
          <w:sz w:val="24"/>
          <w:szCs w:val="24"/>
          <w:vertAlign w:val="superscript"/>
        </w:rPr>
        <w:t>th</w:t>
      </w:r>
      <w:r w:rsidR="00316081" w:rsidRPr="00B76AAC">
        <w:rPr>
          <w:rFonts w:ascii="Times New Roman" w:hAnsi="Times New Roman" w:cs="Times New Roman"/>
          <w:sz w:val="24"/>
          <w:szCs w:val="24"/>
        </w:rPr>
        <w:t xml:space="preserve"> respondent’s conduct did not confirm the cancellation. The letter gave the applicant until 31 </w:t>
      </w:r>
      <w:r w:rsidR="00097C3D" w:rsidRPr="00B76AAC">
        <w:rPr>
          <w:rFonts w:ascii="Times New Roman" w:hAnsi="Times New Roman" w:cs="Times New Roman"/>
          <w:sz w:val="24"/>
          <w:szCs w:val="24"/>
        </w:rPr>
        <w:t>January 2019 t</w:t>
      </w:r>
      <w:r w:rsidR="00316081" w:rsidRPr="00B76AAC">
        <w:rPr>
          <w:rFonts w:ascii="Times New Roman" w:hAnsi="Times New Roman" w:cs="Times New Roman"/>
          <w:sz w:val="24"/>
          <w:szCs w:val="24"/>
        </w:rPr>
        <w:t xml:space="preserve">o remedy the </w:t>
      </w:r>
      <w:r w:rsidR="00097C3D" w:rsidRPr="00B76AAC">
        <w:rPr>
          <w:rFonts w:ascii="Times New Roman" w:hAnsi="Times New Roman" w:cs="Times New Roman"/>
          <w:sz w:val="24"/>
          <w:szCs w:val="24"/>
        </w:rPr>
        <w:t>breach failure of which the</w:t>
      </w:r>
      <w:r w:rsidR="00316081" w:rsidRPr="00B76AAC">
        <w:rPr>
          <w:rFonts w:ascii="Times New Roman" w:hAnsi="Times New Roman" w:cs="Times New Roman"/>
          <w:sz w:val="24"/>
          <w:szCs w:val="24"/>
        </w:rPr>
        <w:t xml:space="preserve"> </w:t>
      </w:r>
      <w:r w:rsidR="00097C3D" w:rsidRPr="00B76AAC">
        <w:rPr>
          <w:rFonts w:ascii="Times New Roman" w:hAnsi="Times New Roman" w:cs="Times New Roman"/>
          <w:sz w:val="24"/>
          <w:szCs w:val="24"/>
        </w:rPr>
        <w:t>‘</w:t>
      </w:r>
      <w:r w:rsidR="00316081" w:rsidRPr="00B76AAC">
        <w:rPr>
          <w:rFonts w:ascii="Times New Roman" w:hAnsi="Times New Roman" w:cs="Times New Roman"/>
          <w:sz w:val="24"/>
          <w:szCs w:val="24"/>
        </w:rPr>
        <w:t>offer will be withdrawn</w:t>
      </w:r>
      <w:r w:rsidR="00097C3D" w:rsidRPr="00B76AAC">
        <w:rPr>
          <w:rFonts w:ascii="Times New Roman" w:hAnsi="Times New Roman" w:cs="Times New Roman"/>
          <w:sz w:val="24"/>
          <w:szCs w:val="24"/>
        </w:rPr>
        <w:t>’</w:t>
      </w:r>
      <w:r w:rsidR="00316081" w:rsidRPr="00B76AAC">
        <w:rPr>
          <w:rFonts w:ascii="Times New Roman" w:hAnsi="Times New Roman" w:cs="Times New Roman"/>
          <w:sz w:val="24"/>
          <w:szCs w:val="24"/>
        </w:rPr>
        <w:t>. The effective cancellation or withdrawal was never made.  As a general rule cancellation must be communicated to the other party – </w:t>
      </w:r>
      <w:r w:rsidR="00316081" w:rsidRPr="00B76AAC">
        <w:rPr>
          <w:rFonts w:ascii="Times New Roman" w:hAnsi="Times New Roman" w:cs="Times New Roman"/>
          <w:i/>
          <w:iCs/>
          <w:sz w:val="24"/>
          <w:szCs w:val="24"/>
        </w:rPr>
        <w:t>Swart</w:t>
      </w:r>
      <w:r w:rsidR="00316081" w:rsidRPr="00B76AAC">
        <w:rPr>
          <w:rFonts w:ascii="Times New Roman" w:hAnsi="Times New Roman" w:cs="Times New Roman"/>
          <w:sz w:val="24"/>
          <w:szCs w:val="24"/>
        </w:rPr>
        <w:t> v </w:t>
      </w:r>
      <w:r w:rsidR="00316081" w:rsidRPr="00B76AAC">
        <w:rPr>
          <w:rFonts w:ascii="Times New Roman" w:hAnsi="Times New Roman" w:cs="Times New Roman"/>
          <w:i/>
          <w:iCs/>
          <w:sz w:val="24"/>
          <w:szCs w:val="24"/>
        </w:rPr>
        <w:t>Vosloo</w:t>
      </w:r>
      <w:r w:rsidR="00316081" w:rsidRPr="00B76AAC">
        <w:rPr>
          <w:rStyle w:val="FootnoteReference"/>
          <w:rFonts w:ascii="Times New Roman" w:hAnsi="Times New Roman" w:cs="Times New Roman"/>
          <w:i/>
          <w:iCs/>
          <w:sz w:val="24"/>
          <w:szCs w:val="24"/>
        </w:rPr>
        <w:footnoteReference w:id="3"/>
      </w:r>
      <w:r w:rsidR="00316081" w:rsidRPr="00B76AAC">
        <w:rPr>
          <w:rFonts w:ascii="Times New Roman" w:hAnsi="Times New Roman" w:cs="Times New Roman"/>
          <w:sz w:val="24"/>
          <w:szCs w:val="24"/>
        </w:rPr>
        <w:t>  and </w:t>
      </w:r>
      <w:r w:rsidR="00316081" w:rsidRPr="00B76AAC">
        <w:rPr>
          <w:rFonts w:ascii="Times New Roman" w:hAnsi="Times New Roman" w:cs="Times New Roman"/>
          <w:i/>
          <w:iCs/>
          <w:sz w:val="24"/>
          <w:szCs w:val="24"/>
        </w:rPr>
        <w:t>Phone-a-Worldwide Copy Ltd</w:t>
      </w:r>
      <w:r w:rsidR="00316081" w:rsidRPr="00B76AAC">
        <w:rPr>
          <w:rFonts w:ascii="Times New Roman" w:hAnsi="Times New Roman" w:cs="Times New Roman"/>
          <w:sz w:val="24"/>
          <w:szCs w:val="24"/>
        </w:rPr>
        <w:t> v </w:t>
      </w:r>
      <w:r w:rsidR="00316081" w:rsidRPr="00B76AAC">
        <w:rPr>
          <w:rFonts w:ascii="Times New Roman" w:hAnsi="Times New Roman" w:cs="Times New Roman"/>
          <w:i/>
          <w:iCs/>
          <w:sz w:val="24"/>
          <w:szCs w:val="24"/>
        </w:rPr>
        <w:t>Orkinand Anor</w:t>
      </w:r>
      <w:r w:rsidR="00316081" w:rsidRPr="00B76AAC">
        <w:rPr>
          <w:rFonts w:ascii="Times New Roman" w:hAnsi="Times New Roman" w:cs="Times New Roman"/>
          <w:sz w:val="24"/>
          <w:szCs w:val="24"/>
        </w:rPr>
        <w:t xml:space="preserve">.  It is also a principle of our law that if cancellation has not been previously communicated, it takes effect from service of summons or notice of motion/application .See    </w:t>
      </w:r>
      <w:r w:rsidR="00316081" w:rsidRPr="00B76AAC">
        <w:rPr>
          <w:rFonts w:ascii="Times New Roman" w:hAnsi="Times New Roman" w:cs="Times New Roman"/>
          <w:i/>
          <w:iCs/>
          <w:sz w:val="24"/>
          <w:szCs w:val="24"/>
        </w:rPr>
        <w:t>Middelburgse Stadsraad</w:t>
      </w:r>
      <w:r w:rsidR="00316081" w:rsidRPr="00B76AAC">
        <w:rPr>
          <w:rFonts w:ascii="Times New Roman" w:hAnsi="Times New Roman" w:cs="Times New Roman"/>
          <w:sz w:val="24"/>
          <w:szCs w:val="24"/>
        </w:rPr>
        <w:t> v </w:t>
      </w:r>
      <w:r w:rsidR="00316081" w:rsidRPr="00B76AAC">
        <w:rPr>
          <w:rFonts w:ascii="Times New Roman" w:hAnsi="Times New Roman" w:cs="Times New Roman"/>
          <w:i/>
          <w:iCs/>
          <w:sz w:val="24"/>
          <w:szCs w:val="24"/>
        </w:rPr>
        <w:t>Trans-Natal Steenkool Korporasie Bpk</w:t>
      </w:r>
      <w:r w:rsidR="001D7392" w:rsidRPr="00B76AAC">
        <w:rPr>
          <w:rStyle w:val="FootnoteReference"/>
          <w:rFonts w:ascii="Times New Roman" w:hAnsi="Times New Roman" w:cs="Times New Roman"/>
          <w:i/>
          <w:iCs/>
          <w:sz w:val="24"/>
          <w:szCs w:val="24"/>
        </w:rPr>
        <w:footnoteReference w:id="4"/>
      </w:r>
      <w:r w:rsidR="001D7392" w:rsidRPr="00B76AAC">
        <w:rPr>
          <w:rFonts w:ascii="Times New Roman" w:hAnsi="Times New Roman" w:cs="Times New Roman"/>
          <w:i/>
          <w:iCs/>
          <w:sz w:val="24"/>
          <w:szCs w:val="24"/>
        </w:rPr>
        <w:t>.</w:t>
      </w:r>
      <w:r w:rsidR="00316081" w:rsidRPr="00B76AAC">
        <w:rPr>
          <w:rFonts w:ascii="Times New Roman" w:hAnsi="Times New Roman" w:cs="Times New Roman"/>
          <w:sz w:val="24"/>
          <w:szCs w:val="24"/>
        </w:rPr>
        <w:t> </w:t>
      </w:r>
    </w:p>
    <w:p w:rsidR="001D7392" w:rsidRPr="00B76AAC" w:rsidRDefault="001D7392" w:rsidP="00B76AAC">
      <w:pPr>
        <w:spacing w:line="36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If the letter was a notice then in terms of the parties’ agreement the 4</w:t>
      </w:r>
      <w:r w:rsidRPr="00B76AAC">
        <w:rPr>
          <w:rFonts w:ascii="Times New Roman" w:hAnsi="Times New Roman" w:cs="Times New Roman"/>
          <w:sz w:val="24"/>
          <w:szCs w:val="24"/>
          <w:vertAlign w:val="superscript"/>
        </w:rPr>
        <w:t>th</w:t>
      </w:r>
      <w:r w:rsidRPr="00B76AAC">
        <w:rPr>
          <w:rFonts w:ascii="Times New Roman" w:hAnsi="Times New Roman" w:cs="Times New Roman"/>
          <w:sz w:val="24"/>
          <w:szCs w:val="24"/>
        </w:rPr>
        <w:t xml:space="preserve"> respondent was required to notify the applicant of the cancellation. As matters stand none of the respondent</w:t>
      </w:r>
      <w:r w:rsidR="00097C3D" w:rsidRPr="00B76AAC">
        <w:rPr>
          <w:rFonts w:ascii="Times New Roman" w:hAnsi="Times New Roman" w:cs="Times New Roman"/>
          <w:sz w:val="24"/>
          <w:szCs w:val="24"/>
        </w:rPr>
        <w:t>s can</w:t>
      </w:r>
      <w:r w:rsidRPr="00B76AAC">
        <w:rPr>
          <w:rFonts w:ascii="Times New Roman" w:hAnsi="Times New Roman" w:cs="Times New Roman"/>
          <w:sz w:val="24"/>
          <w:szCs w:val="24"/>
        </w:rPr>
        <w:t xml:space="preserve"> put a date when the lease agre</w:t>
      </w:r>
      <w:r w:rsidR="009D5D26" w:rsidRPr="00B76AAC">
        <w:rPr>
          <w:rFonts w:ascii="Times New Roman" w:hAnsi="Times New Roman" w:cs="Times New Roman"/>
          <w:sz w:val="24"/>
          <w:szCs w:val="24"/>
        </w:rPr>
        <w:t xml:space="preserve">ement was cancelled. I am not inclined </w:t>
      </w:r>
      <w:r w:rsidRPr="00B76AAC">
        <w:rPr>
          <w:rFonts w:ascii="Times New Roman" w:hAnsi="Times New Roman" w:cs="Times New Roman"/>
          <w:sz w:val="24"/>
          <w:szCs w:val="24"/>
        </w:rPr>
        <w:t>to rely on the</w:t>
      </w:r>
      <w:r w:rsidR="009D5D26" w:rsidRPr="00B76AAC">
        <w:rPr>
          <w:rFonts w:ascii="Times New Roman" w:hAnsi="Times New Roman" w:cs="Times New Roman"/>
          <w:sz w:val="24"/>
          <w:szCs w:val="24"/>
        </w:rPr>
        <w:t xml:space="preserve"> general</w:t>
      </w:r>
      <w:r w:rsidRPr="00B76AAC">
        <w:rPr>
          <w:rFonts w:ascii="Times New Roman" w:hAnsi="Times New Roman" w:cs="Times New Roman"/>
          <w:sz w:val="24"/>
          <w:szCs w:val="24"/>
        </w:rPr>
        <w:t xml:space="preserve"> law on forfeiture clause</w:t>
      </w:r>
      <w:r w:rsidR="009D5D26" w:rsidRPr="00B76AAC">
        <w:rPr>
          <w:rFonts w:ascii="Times New Roman" w:hAnsi="Times New Roman" w:cs="Times New Roman"/>
          <w:sz w:val="24"/>
          <w:szCs w:val="24"/>
        </w:rPr>
        <w:t>s</w:t>
      </w:r>
      <w:r w:rsidRPr="00B76AAC">
        <w:rPr>
          <w:rFonts w:ascii="Times New Roman" w:hAnsi="Times New Roman" w:cs="Times New Roman"/>
          <w:sz w:val="24"/>
          <w:szCs w:val="24"/>
        </w:rPr>
        <w:t xml:space="preserve"> where the parties specifically agreed on how the cancellation must be </w:t>
      </w:r>
      <w:r w:rsidR="009D5D26" w:rsidRPr="00B76AAC">
        <w:rPr>
          <w:rFonts w:ascii="Times New Roman" w:hAnsi="Times New Roman" w:cs="Times New Roman"/>
          <w:sz w:val="24"/>
          <w:szCs w:val="24"/>
        </w:rPr>
        <w:t>made. It is trite that forfeiture clauses are valid and enforceable strictly according to their terms</w:t>
      </w:r>
      <w:r w:rsidR="009D5D26" w:rsidRPr="00B76AAC">
        <w:rPr>
          <w:rStyle w:val="FootnoteReference"/>
          <w:rFonts w:ascii="Times New Roman" w:hAnsi="Times New Roman" w:cs="Times New Roman"/>
          <w:sz w:val="24"/>
          <w:szCs w:val="24"/>
        </w:rPr>
        <w:footnoteReference w:id="5"/>
      </w:r>
      <w:r w:rsidR="009D5D26" w:rsidRPr="00B76AAC">
        <w:rPr>
          <w:rFonts w:ascii="Times New Roman" w:hAnsi="Times New Roman" w:cs="Times New Roman"/>
          <w:sz w:val="24"/>
          <w:szCs w:val="24"/>
        </w:rPr>
        <w:t xml:space="preserve"> . </w:t>
      </w:r>
      <w:r w:rsidRPr="00B76AAC">
        <w:rPr>
          <w:rFonts w:ascii="Times New Roman" w:hAnsi="Times New Roman" w:cs="Times New Roman"/>
          <w:sz w:val="24"/>
          <w:szCs w:val="24"/>
        </w:rPr>
        <w:t>Clause 15 required that the 4</w:t>
      </w:r>
      <w:r w:rsidRPr="00B76AAC">
        <w:rPr>
          <w:rFonts w:ascii="Times New Roman" w:hAnsi="Times New Roman" w:cs="Times New Roman"/>
          <w:sz w:val="24"/>
          <w:szCs w:val="24"/>
          <w:vertAlign w:val="superscript"/>
        </w:rPr>
        <w:t>th</w:t>
      </w:r>
      <w:r w:rsidRPr="00B76AAC">
        <w:rPr>
          <w:rFonts w:ascii="Times New Roman" w:hAnsi="Times New Roman" w:cs="Times New Roman"/>
          <w:sz w:val="24"/>
          <w:szCs w:val="24"/>
        </w:rPr>
        <w:t xml:space="preserve"> respondent </w:t>
      </w:r>
      <w:r w:rsidR="009D5D26" w:rsidRPr="00B76AAC">
        <w:rPr>
          <w:rFonts w:ascii="Times New Roman" w:hAnsi="Times New Roman" w:cs="Times New Roman"/>
          <w:sz w:val="24"/>
          <w:szCs w:val="24"/>
        </w:rPr>
        <w:t xml:space="preserve">to </w:t>
      </w:r>
      <w:r w:rsidRPr="00B76AAC">
        <w:rPr>
          <w:rFonts w:ascii="Times New Roman" w:hAnsi="Times New Roman" w:cs="Times New Roman"/>
          <w:sz w:val="24"/>
          <w:szCs w:val="24"/>
        </w:rPr>
        <w:t>declare the lease agreement terminated. There was no such declaration. The notice</w:t>
      </w:r>
      <w:r w:rsidR="009D5D26" w:rsidRPr="00B76AAC">
        <w:rPr>
          <w:rFonts w:ascii="Times New Roman" w:hAnsi="Times New Roman" w:cs="Times New Roman"/>
          <w:sz w:val="24"/>
          <w:szCs w:val="24"/>
        </w:rPr>
        <w:t xml:space="preserve"> letter</w:t>
      </w:r>
      <w:r w:rsidRPr="00B76AAC">
        <w:rPr>
          <w:rFonts w:ascii="Times New Roman" w:hAnsi="Times New Roman" w:cs="Times New Roman"/>
          <w:sz w:val="24"/>
          <w:szCs w:val="24"/>
        </w:rPr>
        <w:t xml:space="preserve"> </w:t>
      </w:r>
      <w:r w:rsidR="009D5D26" w:rsidRPr="00B76AAC">
        <w:rPr>
          <w:rFonts w:ascii="Times New Roman" w:hAnsi="Times New Roman" w:cs="Times New Roman"/>
          <w:sz w:val="24"/>
          <w:szCs w:val="24"/>
        </w:rPr>
        <w:t>provided that failure to remedy the breach will result in a withdrawal of the offer. The</w:t>
      </w:r>
      <w:r w:rsidRPr="00B76AAC">
        <w:rPr>
          <w:rFonts w:ascii="Times New Roman" w:hAnsi="Times New Roman" w:cs="Times New Roman"/>
          <w:sz w:val="24"/>
          <w:szCs w:val="24"/>
        </w:rPr>
        <w:t xml:space="preserve"> </w:t>
      </w:r>
      <w:r w:rsidR="009D5D26" w:rsidRPr="00B76AAC">
        <w:rPr>
          <w:rFonts w:ascii="Times New Roman" w:hAnsi="Times New Roman" w:cs="Times New Roman"/>
          <w:sz w:val="24"/>
          <w:szCs w:val="24"/>
        </w:rPr>
        <w:t xml:space="preserve">effective </w:t>
      </w:r>
      <w:r w:rsidRPr="00B76AAC">
        <w:rPr>
          <w:rFonts w:ascii="Times New Roman" w:hAnsi="Times New Roman" w:cs="Times New Roman"/>
          <w:sz w:val="24"/>
          <w:szCs w:val="24"/>
        </w:rPr>
        <w:t xml:space="preserve">withdrawal was never served on the </w:t>
      </w:r>
      <w:r w:rsidR="004551C4" w:rsidRPr="00B76AAC">
        <w:rPr>
          <w:rFonts w:ascii="Times New Roman" w:hAnsi="Times New Roman" w:cs="Times New Roman"/>
          <w:sz w:val="24"/>
          <w:szCs w:val="24"/>
        </w:rPr>
        <w:t>applicant. There was neither a valid notification of cancellation nor summons served to signal termination as per</w:t>
      </w:r>
      <w:r w:rsidR="004551C4" w:rsidRPr="00B76AAC">
        <w:rPr>
          <w:rFonts w:ascii="Times New Roman" w:hAnsi="Times New Roman" w:cs="Times New Roman"/>
          <w:i/>
          <w:iCs/>
          <w:sz w:val="24"/>
          <w:szCs w:val="24"/>
        </w:rPr>
        <w:t xml:space="preserve"> Middelburgse Stadsraad</w:t>
      </w:r>
      <w:r w:rsidR="004551C4" w:rsidRPr="00B76AAC">
        <w:rPr>
          <w:rFonts w:ascii="Times New Roman" w:hAnsi="Times New Roman" w:cs="Times New Roman"/>
          <w:sz w:val="24"/>
          <w:szCs w:val="24"/>
        </w:rPr>
        <w:t> v </w:t>
      </w:r>
      <w:r w:rsidR="004551C4" w:rsidRPr="00B76AAC">
        <w:rPr>
          <w:rFonts w:ascii="Times New Roman" w:hAnsi="Times New Roman" w:cs="Times New Roman"/>
          <w:i/>
          <w:iCs/>
          <w:sz w:val="24"/>
          <w:szCs w:val="24"/>
        </w:rPr>
        <w:t>Trans-Natal Steenkool Korporasie Bpk</w:t>
      </w:r>
      <w:r w:rsidR="004551C4" w:rsidRPr="00B76AAC">
        <w:rPr>
          <w:rFonts w:ascii="Times New Roman" w:hAnsi="Times New Roman" w:cs="Times New Roman"/>
          <w:sz w:val="24"/>
          <w:szCs w:val="24"/>
        </w:rPr>
        <w:t xml:space="preserve">  (supra).In July </w:t>
      </w:r>
      <w:r w:rsidR="007E1D89" w:rsidRPr="00B76AAC">
        <w:rPr>
          <w:rFonts w:ascii="Times New Roman" w:hAnsi="Times New Roman" w:cs="Times New Roman"/>
          <w:sz w:val="24"/>
          <w:szCs w:val="24"/>
        </w:rPr>
        <w:t>2019 the 4</w:t>
      </w:r>
      <w:r w:rsidR="007E1D89" w:rsidRPr="00B76AAC">
        <w:rPr>
          <w:rFonts w:ascii="Times New Roman" w:hAnsi="Times New Roman" w:cs="Times New Roman"/>
          <w:sz w:val="24"/>
          <w:szCs w:val="24"/>
          <w:vertAlign w:val="superscript"/>
        </w:rPr>
        <w:t>th</w:t>
      </w:r>
      <w:r w:rsidR="007E1D89" w:rsidRPr="00B76AAC">
        <w:rPr>
          <w:rFonts w:ascii="Times New Roman" w:hAnsi="Times New Roman" w:cs="Times New Roman"/>
          <w:sz w:val="24"/>
          <w:szCs w:val="24"/>
        </w:rPr>
        <w:t xml:space="preserve"> respondent accepted rental payments from the applicant, some five months after the notice </w:t>
      </w:r>
      <w:r w:rsidR="007E1D89" w:rsidRPr="00B76AAC">
        <w:rPr>
          <w:rFonts w:ascii="Times New Roman" w:hAnsi="Times New Roman" w:cs="Times New Roman"/>
          <w:sz w:val="24"/>
          <w:szCs w:val="24"/>
        </w:rPr>
        <w:lastRenderedPageBreak/>
        <w:t>to remedy the breach was issued. It can be inferred that the 4</w:t>
      </w:r>
      <w:r w:rsidR="007E1D89" w:rsidRPr="00B76AAC">
        <w:rPr>
          <w:rFonts w:ascii="Times New Roman" w:hAnsi="Times New Roman" w:cs="Times New Roman"/>
          <w:sz w:val="24"/>
          <w:szCs w:val="24"/>
          <w:vertAlign w:val="superscript"/>
        </w:rPr>
        <w:t>th</w:t>
      </w:r>
      <w:r w:rsidR="007E1D89" w:rsidRPr="00B76AAC">
        <w:rPr>
          <w:rFonts w:ascii="Times New Roman" w:hAnsi="Times New Roman" w:cs="Times New Roman"/>
          <w:sz w:val="24"/>
          <w:szCs w:val="24"/>
        </w:rPr>
        <w:t xml:space="preserve"> respondent waived its rights to cancel based on the letter. </w:t>
      </w:r>
    </w:p>
    <w:p w:rsidR="001D7392" w:rsidRPr="00B76AAC" w:rsidRDefault="001D7392" w:rsidP="00B76AAC">
      <w:pPr>
        <w:spacing w:after="0" w:line="36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Thus from the two perspective</w:t>
      </w:r>
      <w:r w:rsidR="009D5D26" w:rsidRPr="00B76AAC">
        <w:rPr>
          <w:rFonts w:ascii="Times New Roman" w:hAnsi="Times New Roman" w:cs="Times New Roman"/>
          <w:sz w:val="24"/>
          <w:szCs w:val="24"/>
        </w:rPr>
        <w:t>s</w:t>
      </w:r>
      <w:r w:rsidRPr="00B76AAC">
        <w:rPr>
          <w:rFonts w:ascii="Times New Roman" w:hAnsi="Times New Roman" w:cs="Times New Roman"/>
          <w:sz w:val="24"/>
          <w:szCs w:val="24"/>
        </w:rPr>
        <w:t xml:space="preserve"> there was no valid cancellation of the lease agreement.</w:t>
      </w:r>
    </w:p>
    <w:p w:rsidR="001D7392" w:rsidRPr="00B76AAC" w:rsidRDefault="001D7392" w:rsidP="00B76AAC">
      <w:pPr>
        <w:spacing w:after="0" w:line="36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The next issue for determination is the appropriate relief. The applicant requires that the lease agreement be reinstated and the agreement between the 4</w:t>
      </w:r>
      <w:r w:rsidRPr="00B76AAC">
        <w:rPr>
          <w:rFonts w:ascii="Times New Roman" w:hAnsi="Times New Roman" w:cs="Times New Roman"/>
          <w:sz w:val="24"/>
          <w:szCs w:val="24"/>
          <w:vertAlign w:val="superscript"/>
        </w:rPr>
        <w:t>th</w:t>
      </w:r>
      <w:r w:rsidRPr="00B76AAC">
        <w:rPr>
          <w:rFonts w:ascii="Times New Roman" w:hAnsi="Times New Roman" w:cs="Times New Roman"/>
          <w:sz w:val="24"/>
          <w:szCs w:val="24"/>
        </w:rPr>
        <w:t xml:space="preserve"> and 3</w:t>
      </w:r>
      <w:r w:rsidRPr="00B76AAC">
        <w:rPr>
          <w:rFonts w:ascii="Times New Roman" w:hAnsi="Times New Roman" w:cs="Times New Roman"/>
          <w:sz w:val="24"/>
          <w:szCs w:val="24"/>
          <w:vertAlign w:val="superscript"/>
        </w:rPr>
        <w:t>rd</w:t>
      </w:r>
      <w:r w:rsidR="009D5D26" w:rsidRPr="00B76AAC">
        <w:rPr>
          <w:rFonts w:ascii="Times New Roman" w:hAnsi="Times New Roman" w:cs="Times New Roman"/>
          <w:sz w:val="24"/>
          <w:szCs w:val="24"/>
        </w:rPr>
        <w:t xml:space="preserve"> respondents be cancelled so that she may retain the property.</w:t>
      </w:r>
      <w:r w:rsidRPr="00B76AAC">
        <w:rPr>
          <w:rFonts w:ascii="Times New Roman" w:hAnsi="Times New Roman" w:cs="Times New Roman"/>
          <w:sz w:val="24"/>
          <w:szCs w:val="24"/>
        </w:rPr>
        <w:t xml:space="preserve"> In essence the applicant wants specific performance.</w:t>
      </w:r>
    </w:p>
    <w:p w:rsidR="00FB0FCC" w:rsidRPr="00B76AAC" w:rsidRDefault="00FB0FCC" w:rsidP="00B76AAC">
      <w:pPr>
        <w:spacing w:after="0" w:line="360" w:lineRule="auto"/>
        <w:ind w:firstLine="720"/>
        <w:jc w:val="both"/>
        <w:rPr>
          <w:rFonts w:ascii="Times New Roman" w:hAnsi="Times New Roman" w:cs="Times New Roman"/>
          <w:i/>
          <w:sz w:val="24"/>
          <w:szCs w:val="24"/>
        </w:rPr>
      </w:pPr>
      <w:r w:rsidRPr="00B76AAC">
        <w:rPr>
          <w:rFonts w:ascii="Times New Roman" w:hAnsi="Times New Roman" w:cs="Times New Roman"/>
          <w:sz w:val="24"/>
          <w:szCs w:val="24"/>
        </w:rPr>
        <w:t xml:space="preserve">Specific performance is a discretionary remedy vested in the </w:t>
      </w:r>
      <w:r w:rsidR="00FE34D0" w:rsidRPr="00B76AAC">
        <w:rPr>
          <w:rFonts w:ascii="Times New Roman" w:hAnsi="Times New Roman" w:cs="Times New Roman"/>
          <w:sz w:val="24"/>
          <w:szCs w:val="24"/>
        </w:rPr>
        <w:t>courts. The court’s discretion must be exercised judicially upon a consideration of all the relevant facts of the case.</w:t>
      </w:r>
      <w:r w:rsidRPr="00B76AAC">
        <w:rPr>
          <w:rFonts w:ascii="Times New Roman" w:hAnsi="Times New Roman" w:cs="Times New Roman"/>
          <w:sz w:val="24"/>
          <w:szCs w:val="24"/>
        </w:rPr>
        <w:t xml:space="preserve"> Generally every party to a binding agreement who is ready to carry out his obligation under it has a right to demand the other party, so far is possible to perform its undertaking in terms of the contract</w:t>
      </w:r>
      <w:r w:rsidR="00FE34D0" w:rsidRPr="00B76AAC">
        <w:rPr>
          <w:rFonts w:ascii="Times New Roman" w:hAnsi="Times New Roman" w:cs="Times New Roman"/>
          <w:sz w:val="24"/>
          <w:szCs w:val="24"/>
        </w:rPr>
        <w:t>.</w:t>
      </w:r>
      <w:r w:rsidRPr="00B76AAC">
        <w:rPr>
          <w:rFonts w:ascii="Times New Roman" w:hAnsi="Times New Roman" w:cs="Times New Roman"/>
          <w:sz w:val="24"/>
          <w:szCs w:val="24"/>
        </w:rPr>
        <w:t xml:space="preserve"> See </w:t>
      </w:r>
      <w:r w:rsidRPr="00B76AAC">
        <w:rPr>
          <w:rFonts w:ascii="Times New Roman" w:hAnsi="Times New Roman" w:cs="Times New Roman"/>
          <w:i/>
          <w:sz w:val="24"/>
          <w:szCs w:val="24"/>
        </w:rPr>
        <w:t>Hativagone &amp;Anor v CAG Farms (Pvt) Limited &amp; Others</w:t>
      </w:r>
      <w:r w:rsidRPr="00B76AAC">
        <w:rPr>
          <w:rStyle w:val="FootnoteReference"/>
          <w:rFonts w:ascii="Times New Roman" w:hAnsi="Times New Roman" w:cs="Times New Roman"/>
          <w:i/>
          <w:sz w:val="24"/>
          <w:szCs w:val="24"/>
        </w:rPr>
        <w:footnoteReference w:id="6"/>
      </w:r>
      <w:r w:rsidRPr="00B76AAC">
        <w:rPr>
          <w:rFonts w:ascii="Times New Roman" w:hAnsi="Times New Roman" w:cs="Times New Roman"/>
          <w:i/>
          <w:sz w:val="24"/>
          <w:szCs w:val="24"/>
        </w:rPr>
        <w:t>.</w:t>
      </w:r>
      <w:r w:rsidR="00FE34D0" w:rsidRPr="00B76AAC">
        <w:rPr>
          <w:rFonts w:ascii="Times New Roman" w:hAnsi="Times New Roman" w:cs="Times New Roman"/>
          <w:sz w:val="24"/>
          <w:szCs w:val="24"/>
        </w:rPr>
        <w:t>There are circumstances where a court may decline to grant an order for specific performance for in instance a litigant cannot seek specific performance where it has not performed its part of the bargain. The learned author Christie</w:t>
      </w:r>
      <w:r w:rsidR="009476CC" w:rsidRPr="00B76AAC">
        <w:rPr>
          <w:rStyle w:val="FootnoteReference"/>
          <w:rFonts w:ascii="Times New Roman" w:hAnsi="Times New Roman" w:cs="Times New Roman"/>
          <w:sz w:val="24"/>
          <w:szCs w:val="24"/>
        </w:rPr>
        <w:footnoteReference w:id="7"/>
      </w:r>
      <w:r w:rsidR="00AF3277" w:rsidRPr="00B76AAC">
        <w:rPr>
          <w:rFonts w:ascii="Times New Roman" w:hAnsi="Times New Roman" w:cs="Times New Roman"/>
          <w:sz w:val="24"/>
          <w:szCs w:val="24"/>
        </w:rPr>
        <w:t xml:space="preserve"> sets outs instances in which </w:t>
      </w:r>
      <w:r w:rsidR="00FE34D0" w:rsidRPr="00B76AAC">
        <w:rPr>
          <w:rFonts w:ascii="Times New Roman" w:hAnsi="Times New Roman" w:cs="Times New Roman"/>
          <w:sz w:val="24"/>
          <w:szCs w:val="24"/>
        </w:rPr>
        <w:t xml:space="preserve"> specific performance may not be </w:t>
      </w:r>
      <w:r w:rsidR="009476CC" w:rsidRPr="00B76AAC">
        <w:rPr>
          <w:rFonts w:ascii="Times New Roman" w:hAnsi="Times New Roman" w:cs="Times New Roman"/>
          <w:sz w:val="24"/>
          <w:szCs w:val="24"/>
        </w:rPr>
        <w:t xml:space="preserve">granted. </w:t>
      </w:r>
      <w:r w:rsidR="00FE34D0" w:rsidRPr="00B76AAC">
        <w:rPr>
          <w:rFonts w:ascii="Times New Roman" w:hAnsi="Times New Roman" w:cs="Times New Roman"/>
          <w:sz w:val="24"/>
          <w:szCs w:val="24"/>
        </w:rPr>
        <w:t xml:space="preserve">Subject to the court’s discretion it cannot be </w:t>
      </w:r>
      <w:r w:rsidR="009476CC" w:rsidRPr="00B76AAC">
        <w:rPr>
          <w:rFonts w:ascii="Times New Roman" w:hAnsi="Times New Roman" w:cs="Times New Roman"/>
          <w:sz w:val="24"/>
          <w:szCs w:val="24"/>
        </w:rPr>
        <w:t>granted where</w:t>
      </w:r>
      <w:r w:rsidR="00FE34D0" w:rsidRPr="00B76AAC">
        <w:rPr>
          <w:rFonts w:ascii="Times New Roman" w:hAnsi="Times New Roman" w:cs="Times New Roman"/>
          <w:sz w:val="24"/>
          <w:szCs w:val="24"/>
        </w:rPr>
        <w:t xml:space="preserve"> </w:t>
      </w:r>
      <w:r w:rsidR="009476CC" w:rsidRPr="00B76AAC">
        <w:rPr>
          <w:rFonts w:ascii="Times New Roman" w:hAnsi="Times New Roman" w:cs="Times New Roman"/>
          <w:sz w:val="24"/>
          <w:szCs w:val="24"/>
        </w:rPr>
        <w:t>(i) it</w:t>
      </w:r>
      <w:r w:rsidR="00FE34D0" w:rsidRPr="00B76AAC">
        <w:rPr>
          <w:rFonts w:ascii="Times New Roman" w:hAnsi="Times New Roman" w:cs="Times New Roman"/>
          <w:sz w:val="24"/>
          <w:szCs w:val="24"/>
        </w:rPr>
        <w:t xml:space="preserve"> will result in undue </w:t>
      </w:r>
      <w:r w:rsidR="009476CC" w:rsidRPr="00B76AAC">
        <w:rPr>
          <w:rFonts w:ascii="Times New Roman" w:hAnsi="Times New Roman" w:cs="Times New Roman"/>
          <w:sz w:val="24"/>
          <w:szCs w:val="24"/>
        </w:rPr>
        <w:t>hardship on the defendant, an injustice or inequitable in the circumstances (ii) where compliance will be impossible (iii) in contracts for personal services and (iv) in circumstances where the obligations are imprecise.</w:t>
      </w:r>
      <w:r w:rsidRPr="00B76AAC">
        <w:rPr>
          <w:rFonts w:ascii="Times New Roman" w:hAnsi="Times New Roman" w:cs="Times New Roman"/>
          <w:i/>
          <w:sz w:val="24"/>
          <w:szCs w:val="24"/>
        </w:rPr>
        <w:t xml:space="preserve"> </w:t>
      </w:r>
    </w:p>
    <w:p w:rsidR="00867774" w:rsidRPr="005D7881" w:rsidRDefault="009476CC" w:rsidP="00B76AAC">
      <w:pPr>
        <w:spacing w:after="0" w:line="360" w:lineRule="auto"/>
        <w:ind w:firstLine="720"/>
        <w:jc w:val="both"/>
        <w:rPr>
          <w:rFonts w:ascii="Times New Roman" w:hAnsi="Times New Roman" w:cs="Times New Roman"/>
          <w:b/>
          <w:sz w:val="24"/>
          <w:szCs w:val="24"/>
        </w:rPr>
      </w:pPr>
      <w:r w:rsidRPr="00B76AAC">
        <w:rPr>
          <w:rFonts w:ascii="Times New Roman" w:hAnsi="Times New Roman" w:cs="Times New Roman"/>
          <w:sz w:val="24"/>
          <w:szCs w:val="24"/>
        </w:rPr>
        <w:t xml:space="preserve">In this case the applicant’s cause of action is based on the letter </w:t>
      </w:r>
      <w:r w:rsidR="00867774" w:rsidRPr="00B76AAC">
        <w:rPr>
          <w:rFonts w:ascii="Times New Roman" w:hAnsi="Times New Roman" w:cs="Times New Roman"/>
          <w:sz w:val="24"/>
          <w:szCs w:val="24"/>
        </w:rPr>
        <w:t>delivered to her by postal address. I reproduce the relevant part of the letter for ease of reference,</w:t>
      </w:r>
      <w:r w:rsidR="00867774" w:rsidRPr="00B76AAC">
        <w:rPr>
          <w:rFonts w:ascii="Times New Roman" w:hAnsi="Times New Roman" w:cs="Times New Roman"/>
          <w:b/>
          <w:sz w:val="24"/>
          <w:szCs w:val="24"/>
        </w:rPr>
        <w:t xml:space="preserve"> </w:t>
      </w:r>
    </w:p>
    <w:p w:rsidR="00867774" w:rsidRPr="00867774" w:rsidRDefault="00867774" w:rsidP="00867774">
      <w:pPr>
        <w:spacing w:line="240" w:lineRule="auto"/>
        <w:ind w:left="720"/>
        <w:jc w:val="both"/>
        <w:rPr>
          <w:rFonts w:ascii="Times New Roman" w:hAnsi="Times New Roman" w:cs="Times New Roman"/>
          <w:b/>
          <w:u w:val="single"/>
        </w:rPr>
      </w:pPr>
      <w:r w:rsidRPr="005D7881">
        <w:rPr>
          <w:rFonts w:ascii="Times New Roman" w:hAnsi="Times New Roman" w:cs="Times New Roman"/>
          <w:b/>
        </w:rPr>
        <w:t xml:space="preserve"> </w:t>
      </w:r>
      <w:r w:rsidRPr="00867774">
        <w:rPr>
          <w:rFonts w:ascii="Times New Roman" w:hAnsi="Times New Roman" w:cs="Times New Roman"/>
          <w:b/>
          <w:u w:val="single"/>
        </w:rPr>
        <w:t>“RE: Outstanding Development Fees and rental payment for stand 294 Carrick Creagh Township</w:t>
      </w:r>
    </w:p>
    <w:p w:rsidR="00867774" w:rsidRPr="00867774" w:rsidRDefault="00867774" w:rsidP="00867774">
      <w:pPr>
        <w:spacing w:line="240" w:lineRule="auto"/>
        <w:ind w:left="720"/>
        <w:jc w:val="both"/>
        <w:rPr>
          <w:rFonts w:ascii="Times New Roman" w:hAnsi="Times New Roman" w:cs="Times New Roman"/>
        </w:rPr>
      </w:pPr>
      <w:r w:rsidRPr="00867774">
        <w:rPr>
          <w:rFonts w:ascii="Times New Roman" w:hAnsi="Times New Roman" w:cs="Times New Roman"/>
        </w:rPr>
        <w:t>Please be advised that in terms of Clause 14 and 15 of our lease agreement with yourselves, the two clauses have not been complied with. In addition 5.2 and 5.4 of the Tripartite Agreement entered into between the three parties, you should have remitted development fees to the sum of $404 999.04 to the land developers of the project.</w:t>
      </w:r>
    </w:p>
    <w:p w:rsidR="00867774" w:rsidRPr="00867774" w:rsidRDefault="00867774" w:rsidP="00867774">
      <w:pPr>
        <w:spacing w:line="240" w:lineRule="auto"/>
        <w:ind w:left="720"/>
        <w:jc w:val="both"/>
        <w:rPr>
          <w:rFonts w:ascii="Times New Roman" w:hAnsi="Times New Roman" w:cs="Times New Roman"/>
        </w:rPr>
      </w:pPr>
      <w:r w:rsidRPr="00867774">
        <w:rPr>
          <w:rFonts w:ascii="Times New Roman" w:hAnsi="Times New Roman" w:cs="Times New Roman"/>
        </w:rPr>
        <w:t>Please remit the above mentioned sum and failure to comply with the above before 31 January 2019, shall assume that you are no longer interested in the stand, hence the offer will be withdrawn.’</w:t>
      </w:r>
    </w:p>
    <w:p w:rsidR="00364C71" w:rsidRPr="00B76AAC" w:rsidRDefault="00867774" w:rsidP="00B76AAC">
      <w:pPr>
        <w:spacing w:after="0" w:line="36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The notice to cancel</w:t>
      </w:r>
      <w:r w:rsidR="00E023B5" w:rsidRPr="00B76AAC">
        <w:rPr>
          <w:rFonts w:ascii="Times New Roman" w:hAnsi="Times New Roman" w:cs="Times New Roman"/>
          <w:sz w:val="24"/>
          <w:szCs w:val="24"/>
        </w:rPr>
        <w:t xml:space="preserve"> by the 4</w:t>
      </w:r>
      <w:r w:rsidR="00E023B5" w:rsidRPr="00B76AAC">
        <w:rPr>
          <w:rFonts w:ascii="Times New Roman" w:hAnsi="Times New Roman" w:cs="Times New Roman"/>
          <w:sz w:val="24"/>
          <w:szCs w:val="24"/>
          <w:vertAlign w:val="superscript"/>
        </w:rPr>
        <w:t>th</w:t>
      </w:r>
      <w:r w:rsidR="00E023B5" w:rsidRPr="00B76AAC">
        <w:rPr>
          <w:rFonts w:ascii="Times New Roman" w:hAnsi="Times New Roman" w:cs="Times New Roman"/>
          <w:sz w:val="24"/>
          <w:szCs w:val="24"/>
        </w:rPr>
        <w:t xml:space="preserve"> respondent</w:t>
      </w:r>
      <w:r w:rsidRPr="00B76AAC">
        <w:rPr>
          <w:rFonts w:ascii="Times New Roman" w:hAnsi="Times New Roman" w:cs="Times New Roman"/>
          <w:sz w:val="24"/>
          <w:szCs w:val="24"/>
        </w:rPr>
        <w:t xml:space="preserve"> was based on a breach of clauses 14 and 15 of the lease agreement and non-payment of development fees. Clause 14 and 15</w:t>
      </w:r>
      <w:r w:rsidR="00E023B5" w:rsidRPr="00B76AAC">
        <w:rPr>
          <w:rFonts w:ascii="Times New Roman" w:hAnsi="Times New Roman" w:cs="Times New Roman"/>
          <w:sz w:val="24"/>
          <w:szCs w:val="24"/>
        </w:rPr>
        <w:t xml:space="preserve"> sets out the </w:t>
      </w:r>
      <w:r w:rsidR="00E023B5" w:rsidRPr="00B76AAC">
        <w:rPr>
          <w:rFonts w:ascii="Times New Roman" w:hAnsi="Times New Roman" w:cs="Times New Roman"/>
          <w:sz w:val="24"/>
          <w:szCs w:val="24"/>
        </w:rPr>
        <w:lastRenderedPageBreak/>
        <w:t>consequences for non-payment of rent</w:t>
      </w:r>
      <w:r w:rsidRPr="00B76AAC">
        <w:rPr>
          <w:rFonts w:ascii="Times New Roman" w:hAnsi="Times New Roman" w:cs="Times New Roman"/>
          <w:sz w:val="24"/>
          <w:szCs w:val="24"/>
        </w:rPr>
        <w:t xml:space="preserve"> within the stipulated dates,</w:t>
      </w:r>
      <w:r w:rsidR="00E023B5" w:rsidRPr="00B76AAC">
        <w:rPr>
          <w:rFonts w:ascii="Times New Roman" w:hAnsi="Times New Roman" w:cs="Times New Roman"/>
          <w:sz w:val="24"/>
          <w:szCs w:val="24"/>
        </w:rPr>
        <w:t xml:space="preserve"> failure to</w:t>
      </w:r>
      <w:r w:rsidRPr="00B76AAC">
        <w:rPr>
          <w:rFonts w:ascii="Times New Roman" w:hAnsi="Times New Roman" w:cs="Times New Roman"/>
          <w:sz w:val="24"/>
          <w:szCs w:val="24"/>
        </w:rPr>
        <w:t xml:space="preserve"> exercise her option to purchase</w:t>
      </w:r>
      <w:r w:rsidR="00E023B5" w:rsidRPr="00B76AAC">
        <w:rPr>
          <w:rFonts w:ascii="Times New Roman" w:hAnsi="Times New Roman" w:cs="Times New Roman"/>
          <w:sz w:val="24"/>
          <w:szCs w:val="24"/>
        </w:rPr>
        <w:t xml:space="preserve"> the property</w:t>
      </w:r>
      <w:r w:rsidRPr="00B76AAC">
        <w:rPr>
          <w:rFonts w:ascii="Times New Roman" w:hAnsi="Times New Roman" w:cs="Times New Roman"/>
          <w:sz w:val="24"/>
          <w:szCs w:val="24"/>
        </w:rPr>
        <w:t xml:space="preserve"> in terms of the </w:t>
      </w:r>
      <w:r w:rsidR="00E023B5" w:rsidRPr="00B76AAC">
        <w:rPr>
          <w:rFonts w:ascii="Times New Roman" w:hAnsi="Times New Roman" w:cs="Times New Roman"/>
          <w:sz w:val="24"/>
          <w:szCs w:val="24"/>
        </w:rPr>
        <w:t xml:space="preserve">agreement, failure to commence or erect buildings as </w:t>
      </w:r>
      <w:r w:rsidR="00AF3277" w:rsidRPr="00B76AAC">
        <w:rPr>
          <w:rFonts w:ascii="Times New Roman" w:hAnsi="Times New Roman" w:cs="Times New Roman"/>
          <w:sz w:val="24"/>
          <w:szCs w:val="24"/>
        </w:rPr>
        <w:t>required. In its offer</w:t>
      </w:r>
      <w:r w:rsidR="00E023B5" w:rsidRPr="00B76AAC">
        <w:rPr>
          <w:rFonts w:ascii="Times New Roman" w:hAnsi="Times New Roman" w:cs="Times New Roman"/>
          <w:sz w:val="24"/>
          <w:szCs w:val="24"/>
        </w:rPr>
        <w:t xml:space="preserve"> letter dated 13 October 2011 the </w:t>
      </w:r>
      <w:r w:rsidR="00AF3277" w:rsidRPr="00B76AAC">
        <w:rPr>
          <w:rFonts w:ascii="Times New Roman" w:hAnsi="Times New Roman" w:cs="Times New Roman"/>
          <w:sz w:val="24"/>
          <w:szCs w:val="24"/>
        </w:rPr>
        <w:t>4</w:t>
      </w:r>
      <w:r w:rsidR="00AF3277" w:rsidRPr="00B76AAC">
        <w:rPr>
          <w:rFonts w:ascii="Times New Roman" w:hAnsi="Times New Roman" w:cs="Times New Roman"/>
          <w:sz w:val="24"/>
          <w:szCs w:val="24"/>
          <w:vertAlign w:val="superscript"/>
        </w:rPr>
        <w:t>th</w:t>
      </w:r>
      <w:r w:rsidR="00AF3277" w:rsidRPr="00B76AAC">
        <w:rPr>
          <w:rFonts w:ascii="Times New Roman" w:hAnsi="Times New Roman" w:cs="Times New Roman"/>
          <w:sz w:val="24"/>
          <w:szCs w:val="24"/>
        </w:rPr>
        <w:t xml:space="preserve"> respondent</w:t>
      </w:r>
      <w:r w:rsidR="00E023B5" w:rsidRPr="00B76AAC">
        <w:rPr>
          <w:rFonts w:ascii="Times New Roman" w:hAnsi="Times New Roman" w:cs="Times New Roman"/>
          <w:sz w:val="24"/>
          <w:szCs w:val="24"/>
        </w:rPr>
        <w:t xml:space="preserve"> specifically drew the applicant’s attention to the material terms of the agreement that is clause 3 for payment of annual rentals, clause 5 for plans to be approved and buildings commenced on the property on</w:t>
      </w:r>
      <w:r w:rsidR="00364C71" w:rsidRPr="00B76AAC">
        <w:rPr>
          <w:rFonts w:ascii="Times New Roman" w:hAnsi="Times New Roman" w:cs="Times New Roman"/>
          <w:sz w:val="24"/>
          <w:szCs w:val="24"/>
        </w:rPr>
        <w:t xml:space="preserve"> or</w:t>
      </w:r>
      <w:r w:rsidR="00E023B5" w:rsidRPr="00B76AAC">
        <w:rPr>
          <w:rFonts w:ascii="Times New Roman" w:hAnsi="Times New Roman" w:cs="Times New Roman"/>
          <w:sz w:val="24"/>
          <w:szCs w:val="24"/>
        </w:rPr>
        <w:t xml:space="preserve"> before the 1</w:t>
      </w:r>
      <w:r w:rsidR="00E023B5" w:rsidRPr="00B76AAC">
        <w:rPr>
          <w:rFonts w:ascii="Times New Roman" w:hAnsi="Times New Roman" w:cs="Times New Roman"/>
          <w:sz w:val="24"/>
          <w:szCs w:val="24"/>
          <w:vertAlign w:val="superscript"/>
        </w:rPr>
        <w:t>st</w:t>
      </w:r>
      <w:r w:rsidR="00E023B5" w:rsidRPr="00B76AAC">
        <w:rPr>
          <w:rFonts w:ascii="Times New Roman" w:hAnsi="Times New Roman" w:cs="Times New Roman"/>
          <w:sz w:val="24"/>
          <w:szCs w:val="24"/>
        </w:rPr>
        <w:t xml:space="preserve"> of July 2011 and clause 4 that buildings worth $200 000-00 be erected on or before 31 October 2014. </w:t>
      </w:r>
    </w:p>
    <w:p w:rsidR="00041E64" w:rsidRPr="00B76AAC" w:rsidRDefault="00364C71" w:rsidP="00B76AAC">
      <w:pPr>
        <w:spacing w:after="0" w:line="36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In her founding affidavit the</w:t>
      </w:r>
      <w:r w:rsidR="00867774" w:rsidRPr="00B76AAC">
        <w:rPr>
          <w:rFonts w:ascii="Times New Roman" w:hAnsi="Times New Roman" w:cs="Times New Roman"/>
          <w:sz w:val="24"/>
          <w:szCs w:val="24"/>
        </w:rPr>
        <w:t xml:space="preserve"> applicant’s claim only addresses one component of the breach that is the development fees. The applicant does not deny</w:t>
      </w:r>
      <w:r w:rsidRPr="00B76AAC">
        <w:rPr>
          <w:rFonts w:ascii="Times New Roman" w:hAnsi="Times New Roman" w:cs="Times New Roman"/>
          <w:sz w:val="24"/>
          <w:szCs w:val="24"/>
        </w:rPr>
        <w:t xml:space="preserve"> that</w:t>
      </w:r>
      <w:r w:rsidR="00867774" w:rsidRPr="00B76AAC">
        <w:rPr>
          <w:rFonts w:ascii="Times New Roman" w:hAnsi="Times New Roman" w:cs="Times New Roman"/>
          <w:sz w:val="24"/>
          <w:szCs w:val="24"/>
        </w:rPr>
        <w:t xml:space="preserve"> she did not exercise the option to purchase within the stipulated time. The applicant did not dispute that she did not erect the buildings as required by the terms of the lease agreement. There was evidence that even the rental payments were eventually settled in July 2019.</w:t>
      </w:r>
      <w:r w:rsidRPr="00B76AAC">
        <w:rPr>
          <w:rFonts w:ascii="Times New Roman" w:hAnsi="Times New Roman" w:cs="Times New Roman"/>
          <w:sz w:val="24"/>
          <w:szCs w:val="24"/>
        </w:rPr>
        <w:t xml:space="preserve">They were not paid in terms of the agreement. It is trite that which is not denied is taken as admitted. She did not tender compliance with the terms of the </w:t>
      </w:r>
      <w:r w:rsidR="00041E64" w:rsidRPr="00B76AAC">
        <w:rPr>
          <w:rFonts w:ascii="Times New Roman" w:hAnsi="Times New Roman" w:cs="Times New Roman"/>
          <w:sz w:val="24"/>
          <w:szCs w:val="24"/>
        </w:rPr>
        <w:t>agreement. In addition, even though the 3</w:t>
      </w:r>
      <w:r w:rsidR="00041E64" w:rsidRPr="00B76AAC">
        <w:rPr>
          <w:rFonts w:ascii="Times New Roman" w:hAnsi="Times New Roman" w:cs="Times New Roman"/>
          <w:sz w:val="24"/>
          <w:szCs w:val="24"/>
          <w:vertAlign w:val="superscript"/>
        </w:rPr>
        <w:t>rd</w:t>
      </w:r>
      <w:r w:rsidR="00041E64" w:rsidRPr="00B76AAC">
        <w:rPr>
          <w:rFonts w:ascii="Times New Roman" w:hAnsi="Times New Roman" w:cs="Times New Roman"/>
          <w:sz w:val="24"/>
          <w:szCs w:val="24"/>
        </w:rPr>
        <w:t xml:space="preserve"> respondent specifically highlighted the breaches in her answering affidavit the applicant neither addressed the issue whether she exercised her right to purchase nor commenced any building. </w:t>
      </w:r>
      <w:r w:rsidRPr="00B76AAC">
        <w:rPr>
          <w:rFonts w:ascii="Times New Roman" w:hAnsi="Times New Roman" w:cs="Times New Roman"/>
          <w:sz w:val="24"/>
          <w:szCs w:val="24"/>
        </w:rPr>
        <w:t xml:space="preserve"> </w:t>
      </w:r>
      <w:r w:rsidR="00041E64" w:rsidRPr="00B76AAC">
        <w:rPr>
          <w:rFonts w:ascii="Times New Roman" w:hAnsi="Times New Roman" w:cs="Times New Roman"/>
          <w:sz w:val="24"/>
          <w:szCs w:val="24"/>
        </w:rPr>
        <w:t>Even the oral submissions did not address the issue. In essence the applicant did not perform her part of the bargain neither did she tender performance.</w:t>
      </w:r>
    </w:p>
    <w:p w:rsidR="009476CC" w:rsidRPr="00B76AAC" w:rsidRDefault="00041E64" w:rsidP="00B76AAC">
      <w:pPr>
        <w:spacing w:line="36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It is common cause that the property in dispute has since been allocated to the 3</w:t>
      </w:r>
      <w:r w:rsidRPr="00B76AAC">
        <w:rPr>
          <w:rFonts w:ascii="Times New Roman" w:hAnsi="Times New Roman" w:cs="Times New Roman"/>
          <w:sz w:val="24"/>
          <w:szCs w:val="24"/>
          <w:vertAlign w:val="superscript"/>
        </w:rPr>
        <w:t>rd</w:t>
      </w:r>
      <w:r w:rsidRPr="00B76AAC">
        <w:rPr>
          <w:rFonts w:ascii="Times New Roman" w:hAnsi="Times New Roman" w:cs="Times New Roman"/>
          <w:sz w:val="24"/>
          <w:szCs w:val="24"/>
        </w:rPr>
        <w:t xml:space="preserve"> </w:t>
      </w:r>
      <w:r w:rsidR="009059A0" w:rsidRPr="00B76AAC">
        <w:rPr>
          <w:rFonts w:ascii="Times New Roman" w:hAnsi="Times New Roman" w:cs="Times New Roman"/>
          <w:sz w:val="24"/>
          <w:szCs w:val="24"/>
        </w:rPr>
        <w:t>respondent. It</w:t>
      </w:r>
      <w:r w:rsidRPr="00B76AAC">
        <w:rPr>
          <w:rFonts w:ascii="Times New Roman" w:hAnsi="Times New Roman" w:cs="Times New Roman"/>
          <w:sz w:val="24"/>
          <w:szCs w:val="24"/>
        </w:rPr>
        <w:t xml:space="preserve"> was alleged that the 1</w:t>
      </w:r>
      <w:r w:rsidRPr="00B76AAC">
        <w:rPr>
          <w:rFonts w:ascii="Times New Roman" w:hAnsi="Times New Roman" w:cs="Times New Roman"/>
          <w:sz w:val="24"/>
          <w:szCs w:val="24"/>
          <w:vertAlign w:val="superscript"/>
        </w:rPr>
        <w:t>st</w:t>
      </w:r>
      <w:r w:rsidRPr="00B76AAC">
        <w:rPr>
          <w:rFonts w:ascii="Times New Roman" w:hAnsi="Times New Roman" w:cs="Times New Roman"/>
          <w:sz w:val="24"/>
          <w:szCs w:val="24"/>
        </w:rPr>
        <w:t xml:space="preserve"> respondent </w:t>
      </w:r>
      <w:r w:rsidR="009059A0" w:rsidRPr="00B76AAC">
        <w:rPr>
          <w:rFonts w:ascii="Times New Roman" w:hAnsi="Times New Roman" w:cs="Times New Roman"/>
          <w:sz w:val="24"/>
          <w:szCs w:val="24"/>
        </w:rPr>
        <w:t>entered</w:t>
      </w:r>
      <w:r w:rsidRPr="00B76AAC">
        <w:rPr>
          <w:rFonts w:ascii="Times New Roman" w:hAnsi="Times New Roman" w:cs="Times New Roman"/>
          <w:sz w:val="24"/>
          <w:szCs w:val="24"/>
        </w:rPr>
        <w:t xml:space="preserve"> into a contract with the 3</w:t>
      </w:r>
      <w:r w:rsidRPr="00B76AAC">
        <w:rPr>
          <w:rFonts w:ascii="Times New Roman" w:hAnsi="Times New Roman" w:cs="Times New Roman"/>
          <w:sz w:val="24"/>
          <w:szCs w:val="24"/>
          <w:vertAlign w:val="superscript"/>
        </w:rPr>
        <w:t>rd</w:t>
      </w:r>
      <w:r w:rsidRPr="00B76AAC">
        <w:rPr>
          <w:rFonts w:ascii="Times New Roman" w:hAnsi="Times New Roman" w:cs="Times New Roman"/>
          <w:sz w:val="24"/>
          <w:szCs w:val="24"/>
        </w:rPr>
        <w:t xml:space="preserve"> respondent for the allocation of the property. The court was not favoured with the </w:t>
      </w:r>
      <w:r w:rsidR="009059A0" w:rsidRPr="00B76AAC">
        <w:rPr>
          <w:rFonts w:ascii="Times New Roman" w:hAnsi="Times New Roman" w:cs="Times New Roman"/>
          <w:sz w:val="24"/>
          <w:szCs w:val="24"/>
        </w:rPr>
        <w:t>agreement. Even if the allocation of the stand is not denied by the 3</w:t>
      </w:r>
      <w:r w:rsidR="009059A0" w:rsidRPr="00B76AAC">
        <w:rPr>
          <w:rFonts w:ascii="Times New Roman" w:hAnsi="Times New Roman" w:cs="Times New Roman"/>
          <w:sz w:val="24"/>
          <w:szCs w:val="24"/>
          <w:vertAlign w:val="superscript"/>
        </w:rPr>
        <w:t>rd</w:t>
      </w:r>
      <w:r w:rsidR="009059A0" w:rsidRPr="00B76AAC">
        <w:rPr>
          <w:rFonts w:ascii="Times New Roman" w:hAnsi="Times New Roman" w:cs="Times New Roman"/>
          <w:sz w:val="24"/>
          <w:szCs w:val="24"/>
        </w:rPr>
        <w:t xml:space="preserve"> respondent it would have been prudent for the applicant to place the agreement before the court for a proper assessment of the agreement. Similarly the applicant argued that the 1</w:t>
      </w:r>
      <w:r w:rsidR="009059A0" w:rsidRPr="00B76AAC">
        <w:rPr>
          <w:rFonts w:ascii="Times New Roman" w:hAnsi="Times New Roman" w:cs="Times New Roman"/>
          <w:sz w:val="24"/>
          <w:szCs w:val="24"/>
          <w:vertAlign w:val="superscript"/>
        </w:rPr>
        <w:t>st</w:t>
      </w:r>
      <w:r w:rsidR="009059A0" w:rsidRPr="00B76AAC">
        <w:rPr>
          <w:rFonts w:ascii="Times New Roman" w:hAnsi="Times New Roman" w:cs="Times New Roman"/>
          <w:sz w:val="24"/>
          <w:szCs w:val="24"/>
        </w:rPr>
        <w:t xml:space="preserve"> respondent had no right to allocate and enter into the agreement with the 3</w:t>
      </w:r>
      <w:r w:rsidR="009059A0" w:rsidRPr="00B76AAC">
        <w:rPr>
          <w:rFonts w:ascii="Times New Roman" w:hAnsi="Times New Roman" w:cs="Times New Roman"/>
          <w:sz w:val="24"/>
          <w:szCs w:val="24"/>
          <w:vertAlign w:val="superscript"/>
        </w:rPr>
        <w:t>rd</w:t>
      </w:r>
      <w:r w:rsidR="009059A0" w:rsidRPr="00B76AAC">
        <w:rPr>
          <w:rFonts w:ascii="Times New Roman" w:hAnsi="Times New Roman" w:cs="Times New Roman"/>
          <w:sz w:val="24"/>
          <w:szCs w:val="24"/>
        </w:rPr>
        <w:t xml:space="preserve"> respondent. The applicant did not favour the court with </w:t>
      </w:r>
      <w:r w:rsidR="003E0B01" w:rsidRPr="00B76AAC">
        <w:rPr>
          <w:rFonts w:ascii="Times New Roman" w:hAnsi="Times New Roman" w:cs="Times New Roman"/>
          <w:sz w:val="24"/>
          <w:szCs w:val="24"/>
        </w:rPr>
        <w:t>the Tripartite</w:t>
      </w:r>
      <w:r w:rsidR="009059A0" w:rsidRPr="00B76AAC">
        <w:rPr>
          <w:rFonts w:ascii="Times New Roman" w:hAnsi="Times New Roman" w:cs="Times New Roman"/>
          <w:sz w:val="24"/>
          <w:szCs w:val="24"/>
        </w:rPr>
        <w:t xml:space="preserve"> </w:t>
      </w:r>
      <w:r w:rsidR="003E0B01" w:rsidRPr="00B76AAC">
        <w:rPr>
          <w:rFonts w:ascii="Times New Roman" w:hAnsi="Times New Roman" w:cs="Times New Roman"/>
          <w:sz w:val="24"/>
          <w:szCs w:val="24"/>
        </w:rPr>
        <w:t>A</w:t>
      </w:r>
      <w:r w:rsidR="009059A0" w:rsidRPr="00B76AAC">
        <w:rPr>
          <w:rFonts w:ascii="Times New Roman" w:hAnsi="Times New Roman" w:cs="Times New Roman"/>
          <w:sz w:val="24"/>
          <w:szCs w:val="24"/>
        </w:rPr>
        <w:t xml:space="preserve">greement </w:t>
      </w:r>
      <w:r w:rsidR="003E0B01" w:rsidRPr="00B76AAC">
        <w:rPr>
          <w:rFonts w:ascii="Times New Roman" w:hAnsi="Times New Roman" w:cs="Times New Roman"/>
          <w:sz w:val="24"/>
          <w:szCs w:val="24"/>
        </w:rPr>
        <w:t>entered into by the 1</w:t>
      </w:r>
      <w:r w:rsidR="003E0B01" w:rsidRPr="00B76AAC">
        <w:rPr>
          <w:rFonts w:ascii="Times New Roman" w:hAnsi="Times New Roman" w:cs="Times New Roman"/>
          <w:sz w:val="24"/>
          <w:szCs w:val="24"/>
          <w:vertAlign w:val="superscript"/>
        </w:rPr>
        <w:t>st</w:t>
      </w:r>
      <w:r w:rsidR="003E0B01" w:rsidRPr="00B76AAC">
        <w:rPr>
          <w:rFonts w:ascii="Times New Roman" w:hAnsi="Times New Roman" w:cs="Times New Roman"/>
          <w:sz w:val="24"/>
          <w:szCs w:val="24"/>
        </w:rPr>
        <w:t>, 2nd and 4</w:t>
      </w:r>
      <w:r w:rsidR="003E0B01" w:rsidRPr="00B76AAC">
        <w:rPr>
          <w:rFonts w:ascii="Times New Roman" w:hAnsi="Times New Roman" w:cs="Times New Roman"/>
          <w:sz w:val="24"/>
          <w:szCs w:val="24"/>
          <w:vertAlign w:val="superscript"/>
        </w:rPr>
        <w:t>th</w:t>
      </w:r>
      <w:r w:rsidR="003E0B01" w:rsidRPr="00B76AAC">
        <w:rPr>
          <w:rFonts w:ascii="Times New Roman" w:hAnsi="Times New Roman" w:cs="Times New Roman"/>
          <w:sz w:val="24"/>
          <w:szCs w:val="24"/>
        </w:rPr>
        <w:t xml:space="preserve"> respondents </w:t>
      </w:r>
      <w:r w:rsidR="009059A0" w:rsidRPr="00B76AAC">
        <w:rPr>
          <w:rFonts w:ascii="Times New Roman" w:hAnsi="Times New Roman" w:cs="Times New Roman"/>
          <w:sz w:val="24"/>
          <w:szCs w:val="24"/>
        </w:rPr>
        <w:t xml:space="preserve">setting out the parties’ rights and obligations in respect of the properties that were subject to the lease </w:t>
      </w:r>
      <w:r w:rsidR="003E0B01" w:rsidRPr="00B76AAC">
        <w:rPr>
          <w:rFonts w:ascii="Times New Roman" w:hAnsi="Times New Roman" w:cs="Times New Roman"/>
          <w:sz w:val="24"/>
          <w:szCs w:val="24"/>
        </w:rPr>
        <w:t>agreement. The</w:t>
      </w:r>
      <w:r w:rsidR="009059A0" w:rsidRPr="00B76AAC">
        <w:rPr>
          <w:rFonts w:ascii="Times New Roman" w:hAnsi="Times New Roman" w:cs="Times New Roman"/>
          <w:sz w:val="24"/>
          <w:szCs w:val="24"/>
        </w:rPr>
        <w:t xml:space="preserve"> applicant attached a project implementation report generated by the 1</w:t>
      </w:r>
      <w:r w:rsidR="009059A0" w:rsidRPr="00B76AAC">
        <w:rPr>
          <w:rFonts w:ascii="Times New Roman" w:hAnsi="Times New Roman" w:cs="Times New Roman"/>
          <w:sz w:val="24"/>
          <w:szCs w:val="24"/>
          <w:vertAlign w:val="superscript"/>
        </w:rPr>
        <w:t>st</w:t>
      </w:r>
      <w:r w:rsidR="009059A0" w:rsidRPr="00B76AAC">
        <w:rPr>
          <w:rFonts w:ascii="Times New Roman" w:hAnsi="Times New Roman" w:cs="Times New Roman"/>
          <w:sz w:val="24"/>
          <w:szCs w:val="24"/>
        </w:rPr>
        <w:t xml:space="preserve"> </w:t>
      </w:r>
      <w:r w:rsidR="003E0B01" w:rsidRPr="00B76AAC">
        <w:rPr>
          <w:rFonts w:ascii="Times New Roman" w:hAnsi="Times New Roman" w:cs="Times New Roman"/>
          <w:sz w:val="24"/>
          <w:szCs w:val="24"/>
        </w:rPr>
        <w:t>respondent. It</w:t>
      </w:r>
      <w:r w:rsidR="009059A0" w:rsidRPr="00B76AAC">
        <w:rPr>
          <w:rFonts w:ascii="Times New Roman" w:hAnsi="Times New Roman" w:cs="Times New Roman"/>
          <w:sz w:val="24"/>
          <w:szCs w:val="24"/>
        </w:rPr>
        <w:t xml:space="preserve"> was argued that the 1</w:t>
      </w:r>
      <w:r w:rsidR="009059A0" w:rsidRPr="00B76AAC">
        <w:rPr>
          <w:rFonts w:ascii="Times New Roman" w:hAnsi="Times New Roman" w:cs="Times New Roman"/>
          <w:sz w:val="24"/>
          <w:szCs w:val="24"/>
          <w:vertAlign w:val="superscript"/>
        </w:rPr>
        <w:t>st</w:t>
      </w:r>
      <w:r w:rsidR="009059A0" w:rsidRPr="00B76AAC">
        <w:rPr>
          <w:rFonts w:ascii="Times New Roman" w:hAnsi="Times New Roman" w:cs="Times New Roman"/>
          <w:sz w:val="24"/>
          <w:szCs w:val="24"/>
        </w:rPr>
        <w:t xml:space="preserve"> respondent’s obligations wer</w:t>
      </w:r>
      <w:r w:rsidR="003E0B01" w:rsidRPr="00B76AAC">
        <w:rPr>
          <w:rFonts w:ascii="Times New Roman" w:hAnsi="Times New Roman" w:cs="Times New Roman"/>
          <w:sz w:val="24"/>
          <w:szCs w:val="24"/>
        </w:rPr>
        <w:t>e in paragraph 4 of the report. The submission was not persuasive. This</w:t>
      </w:r>
      <w:r w:rsidR="009059A0" w:rsidRPr="00B76AAC">
        <w:rPr>
          <w:rFonts w:ascii="Times New Roman" w:hAnsi="Times New Roman" w:cs="Times New Roman"/>
          <w:sz w:val="24"/>
          <w:szCs w:val="24"/>
        </w:rPr>
        <w:t xml:space="preserve"> was only a report, it is not an </w:t>
      </w:r>
      <w:r w:rsidR="003E0B01" w:rsidRPr="00B76AAC">
        <w:rPr>
          <w:rFonts w:ascii="Times New Roman" w:hAnsi="Times New Roman" w:cs="Times New Roman"/>
          <w:sz w:val="24"/>
          <w:szCs w:val="24"/>
        </w:rPr>
        <w:t>agreement. A</w:t>
      </w:r>
      <w:r w:rsidR="009059A0" w:rsidRPr="00B76AAC">
        <w:rPr>
          <w:rFonts w:ascii="Times New Roman" w:hAnsi="Times New Roman" w:cs="Times New Roman"/>
          <w:sz w:val="24"/>
          <w:szCs w:val="24"/>
        </w:rPr>
        <w:t xml:space="preserve"> report can only address its terms of </w:t>
      </w:r>
      <w:r w:rsidR="003E0B01" w:rsidRPr="00B76AAC">
        <w:rPr>
          <w:rFonts w:ascii="Times New Roman" w:hAnsi="Times New Roman" w:cs="Times New Roman"/>
          <w:sz w:val="24"/>
          <w:szCs w:val="24"/>
        </w:rPr>
        <w:t xml:space="preserve">reference. </w:t>
      </w:r>
      <w:r w:rsidR="009059A0" w:rsidRPr="00B76AAC">
        <w:rPr>
          <w:rFonts w:ascii="Times New Roman" w:hAnsi="Times New Roman" w:cs="Times New Roman"/>
          <w:sz w:val="24"/>
          <w:szCs w:val="24"/>
        </w:rPr>
        <w:t xml:space="preserve">I was not </w:t>
      </w:r>
      <w:r w:rsidR="003E0B01" w:rsidRPr="00B76AAC">
        <w:rPr>
          <w:rFonts w:ascii="Times New Roman" w:hAnsi="Times New Roman" w:cs="Times New Roman"/>
          <w:sz w:val="24"/>
          <w:szCs w:val="24"/>
        </w:rPr>
        <w:t>referred</w:t>
      </w:r>
      <w:r w:rsidR="009059A0" w:rsidRPr="00B76AAC">
        <w:rPr>
          <w:rFonts w:ascii="Times New Roman" w:hAnsi="Times New Roman" w:cs="Times New Roman"/>
          <w:sz w:val="24"/>
          <w:szCs w:val="24"/>
        </w:rPr>
        <w:t xml:space="preserve"> to such. As such the court is not clear if paragraph 4 exhaustively sets out the 1</w:t>
      </w:r>
      <w:r w:rsidR="009059A0" w:rsidRPr="00B76AAC">
        <w:rPr>
          <w:rFonts w:ascii="Times New Roman" w:hAnsi="Times New Roman" w:cs="Times New Roman"/>
          <w:sz w:val="24"/>
          <w:szCs w:val="24"/>
          <w:vertAlign w:val="superscript"/>
        </w:rPr>
        <w:t>st</w:t>
      </w:r>
      <w:r w:rsidR="009059A0" w:rsidRPr="00B76AAC">
        <w:rPr>
          <w:rFonts w:ascii="Times New Roman" w:hAnsi="Times New Roman" w:cs="Times New Roman"/>
          <w:sz w:val="24"/>
          <w:szCs w:val="24"/>
        </w:rPr>
        <w:t xml:space="preserve"> respondent’s rights and obligations in terms of the partnership </w:t>
      </w:r>
      <w:r w:rsidR="003E0B01" w:rsidRPr="00B76AAC">
        <w:rPr>
          <w:rFonts w:ascii="Times New Roman" w:hAnsi="Times New Roman" w:cs="Times New Roman"/>
          <w:sz w:val="24"/>
          <w:szCs w:val="24"/>
        </w:rPr>
        <w:t>agreement. The paucity</w:t>
      </w:r>
      <w:r w:rsidRPr="00B76AAC">
        <w:rPr>
          <w:rFonts w:ascii="Times New Roman" w:hAnsi="Times New Roman" w:cs="Times New Roman"/>
          <w:sz w:val="24"/>
          <w:szCs w:val="24"/>
        </w:rPr>
        <w:t xml:space="preserve"> </w:t>
      </w:r>
      <w:r w:rsidR="003E0B01" w:rsidRPr="00B76AAC">
        <w:rPr>
          <w:rFonts w:ascii="Times New Roman" w:hAnsi="Times New Roman" w:cs="Times New Roman"/>
          <w:sz w:val="24"/>
          <w:szCs w:val="24"/>
        </w:rPr>
        <w:t xml:space="preserve">of evidence placed before the court in respect of the agreement between </w:t>
      </w:r>
      <w:r w:rsidR="003E0B01" w:rsidRPr="00B76AAC">
        <w:rPr>
          <w:rFonts w:ascii="Times New Roman" w:hAnsi="Times New Roman" w:cs="Times New Roman"/>
          <w:sz w:val="24"/>
          <w:szCs w:val="24"/>
        </w:rPr>
        <w:lastRenderedPageBreak/>
        <w:t>the 1</w:t>
      </w:r>
      <w:r w:rsidR="003E0B01" w:rsidRPr="00B76AAC">
        <w:rPr>
          <w:rFonts w:ascii="Times New Roman" w:hAnsi="Times New Roman" w:cs="Times New Roman"/>
          <w:sz w:val="24"/>
          <w:szCs w:val="24"/>
          <w:vertAlign w:val="superscript"/>
        </w:rPr>
        <w:t>st</w:t>
      </w:r>
      <w:r w:rsidR="003E0B01" w:rsidRPr="00B76AAC">
        <w:rPr>
          <w:rFonts w:ascii="Times New Roman" w:hAnsi="Times New Roman" w:cs="Times New Roman"/>
          <w:sz w:val="24"/>
          <w:szCs w:val="24"/>
        </w:rPr>
        <w:t xml:space="preserve"> and 3</w:t>
      </w:r>
      <w:r w:rsidR="003E0B01" w:rsidRPr="00B76AAC">
        <w:rPr>
          <w:rFonts w:ascii="Times New Roman" w:hAnsi="Times New Roman" w:cs="Times New Roman"/>
          <w:sz w:val="24"/>
          <w:szCs w:val="24"/>
          <w:vertAlign w:val="superscript"/>
        </w:rPr>
        <w:t>rd</w:t>
      </w:r>
      <w:r w:rsidR="003E0B01" w:rsidRPr="00B76AAC">
        <w:rPr>
          <w:rFonts w:ascii="Times New Roman" w:hAnsi="Times New Roman" w:cs="Times New Roman"/>
          <w:sz w:val="24"/>
          <w:szCs w:val="24"/>
        </w:rPr>
        <w:t xml:space="preserve"> respondent disables the court from making an informed </w:t>
      </w:r>
      <w:r w:rsidR="00AF3277" w:rsidRPr="00B76AAC">
        <w:rPr>
          <w:rFonts w:ascii="Times New Roman" w:hAnsi="Times New Roman" w:cs="Times New Roman"/>
          <w:sz w:val="24"/>
          <w:szCs w:val="24"/>
        </w:rPr>
        <w:t>decision</w:t>
      </w:r>
      <w:r w:rsidR="003E0B01" w:rsidRPr="00B76AAC">
        <w:rPr>
          <w:rFonts w:ascii="Times New Roman" w:hAnsi="Times New Roman" w:cs="Times New Roman"/>
          <w:sz w:val="24"/>
          <w:szCs w:val="24"/>
        </w:rPr>
        <w:t>. In other words the applicant has failed to prove its case on a balance of probabilities.</w:t>
      </w:r>
    </w:p>
    <w:p w:rsidR="003E0B01" w:rsidRPr="00B76AAC" w:rsidRDefault="003E0B01" w:rsidP="00B76AAC">
      <w:pPr>
        <w:spacing w:line="36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 xml:space="preserve">From the circumstances of this case, I </w:t>
      </w:r>
      <w:r w:rsidR="0094275B" w:rsidRPr="00B76AAC">
        <w:rPr>
          <w:rFonts w:ascii="Times New Roman" w:hAnsi="Times New Roman" w:cs="Times New Roman"/>
          <w:sz w:val="24"/>
          <w:szCs w:val="24"/>
        </w:rPr>
        <w:t>am</w:t>
      </w:r>
      <w:r w:rsidRPr="00B76AAC">
        <w:rPr>
          <w:rFonts w:ascii="Times New Roman" w:hAnsi="Times New Roman" w:cs="Times New Roman"/>
          <w:sz w:val="24"/>
          <w:szCs w:val="24"/>
        </w:rPr>
        <w:t xml:space="preserve"> of the firm view that this is an appropriate case for the court to exercise its discretion against the </w:t>
      </w:r>
      <w:r w:rsidR="0094275B" w:rsidRPr="00B76AAC">
        <w:rPr>
          <w:rFonts w:ascii="Times New Roman" w:hAnsi="Times New Roman" w:cs="Times New Roman"/>
          <w:sz w:val="24"/>
          <w:szCs w:val="24"/>
        </w:rPr>
        <w:t>applicant. The</w:t>
      </w:r>
      <w:r w:rsidRPr="00B76AAC">
        <w:rPr>
          <w:rFonts w:ascii="Times New Roman" w:hAnsi="Times New Roman" w:cs="Times New Roman"/>
          <w:sz w:val="24"/>
          <w:szCs w:val="24"/>
        </w:rPr>
        <w:t xml:space="preserve"> applicant seeks a declaratory</w:t>
      </w:r>
      <w:r w:rsidR="0094275B" w:rsidRPr="00B76AAC">
        <w:rPr>
          <w:rFonts w:ascii="Times New Roman" w:hAnsi="Times New Roman" w:cs="Times New Roman"/>
          <w:sz w:val="24"/>
          <w:szCs w:val="24"/>
        </w:rPr>
        <w:t xml:space="preserve"> order</w:t>
      </w:r>
      <w:r w:rsidRPr="00B76AAC">
        <w:rPr>
          <w:rFonts w:ascii="Times New Roman" w:hAnsi="Times New Roman" w:cs="Times New Roman"/>
          <w:sz w:val="24"/>
          <w:szCs w:val="24"/>
        </w:rPr>
        <w:t xml:space="preserve"> which in essence is specific performance yet she did not comply with the terms of the agreement neither did she tender performance in her </w:t>
      </w:r>
      <w:r w:rsidR="0094275B" w:rsidRPr="00B76AAC">
        <w:rPr>
          <w:rFonts w:ascii="Times New Roman" w:hAnsi="Times New Roman" w:cs="Times New Roman"/>
          <w:sz w:val="24"/>
          <w:szCs w:val="24"/>
        </w:rPr>
        <w:t>pleadings. A</w:t>
      </w:r>
      <w:r w:rsidRPr="00B76AAC">
        <w:rPr>
          <w:rFonts w:ascii="Times New Roman" w:hAnsi="Times New Roman" w:cs="Times New Roman"/>
          <w:sz w:val="24"/>
          <w:szCs w:val="24"/>
        </w:rPr>
        <w:t xml:space="preserve"> court cannot come to the aid of a litigant who intends to hold another party accountable yet she herself has not been true to the </w:t>
      </w:r>
      <w:r w:rsidR="0094275B" w:rsidRPr="00B76AAC">
        <w:rPr>
          <w:rFonts w:ascii="Times New Roman" w:hAnsi="Times New Roman" w:cs="Times New Roman"/>
          <w:sz w:val="24"/>
          <w:szCs w:val="24"/>
        </w:rPr>
        <w:t>agreement. Secondly</w:t>
      </w:r>
      <w:r w:rsidRPr="00B76AAC">
        <w:rPr>
          <w:rFonts w:ascii="Times New Roman" w:hAnsi="Times New Roman" w:cs="Times New Roman"/>
          <w:sz w:val="24"/>
          <w:szCs w:val="24"/>
        </w:rPr>
        <w:t xml:space="preserve"> the property has been allocated to the 3</w:t>
      </w:r>
      <w:r w:rsidRPr="00B76AAC">
        <w:rPr>
          <w:rFonts w:ascii="Times New Roman" w:hAnsi="Times New Roman" w:cs="Times New Roman"/>
          <w:sz w:val="24"/>
          <w:szCs w:val="24"/>
          <w:vertAlign w:val="superscript"/>
        </w:rPr>
        <w:t>rd</w:t>
      </w:r>
      <w:r w:rsidRPr="00B76AAC">
        <w:rPr>
          <w:rFonts w:ascii="Times New Roman" w:hAnsi="Times New Roman" w:cs="Times New Roman"/>
          <w:sz w:val="24"/>
          <w:szCs w:val="24"/>
        </w:rPr>
        <w:t xml:space="preserve"> </w:t>
      </w:r>
      <w:r w:rsidR="0094275B" w:rsidRPr="00B76AAC">
        <w:rPr>
          <w:rFonts w:ascii="Times New Roman" w:hAnsi="Times New Roman" w:cs="Times New Roman"/>
          <w:sz w:val="24"/>
          <w:szCs w:val="24"/>
        </w:rPr>
        <w:t>respondent. Although there was no information on the extent of improvements made by the 3</w:t>
      </w:r>
      <w:r w:rsidR="0094275B" w:rsidRPr="00B76AAC">
        <w:rPr>
          <w:rFonts w:ascii="Times New Roman" w:hAnsi="Times New Roman" w:cs="Times New Roman"/>
          <w:sz w:val="24"/>
          <w:szCs w:val="24"/>
          <w:vertAlign w:val="superscript"/>
        </w:rPr>
        <w:t>rd</w:t>
      </w:r>
      <w:r w:rsidR="0094275B" w:rsidRPr="00B76AAC">
        <w:rPr>
          <w:rFonts w:ascii="Times New Roman" w:hAnsi="Times New Roman" w:cs="Times New Roman"/>
          <w:sz w:val="24"/>
          <w:szCs w:val="24"/>
        </w:rPr>
        <w:t xml:space="preserve"> respondent it would seem that the 3</w:t>
      </w:r>
      <w:r w:rsidR="0094275B" w:rsidRPr="00B76AAC">
        <w:rPr>
          <w:rFonts w:ascii="Times New Roman" w:hAnsi="Times New Roman" w:cs="Times New Roman"/>
          <w:sz w:val="24"/>
          <w:szCs w:val="24"/>
          <w:vertAlign w:val="superscript"/>
        </w:rPr>
        <w:t>rd</w:t>
      </w:r>
      <w:r w:rsidR="0094275B" w:rsidRPr="00B76AAC">
        <w:rPr>
          <w:rFonts w:ascii="Times New Roman" w:hAnsi="Times New Roman" w:cs="Times New Roman"/>
          <w:sz w:val="24"/>
          <w:szCs w:val="24"/>
        </w:rPr>
        <w:t xml:space="preserve"> respondent has taken occupation and effected some improvements .In view of my finding in respect of the cancellation of the agreement between the 1</w:t>
      </w:r>
      <w:r w:rsidR="0094275B" w:rsidRPr="00B76AAC">
        <w:rPr>
          <w:rFonts w:ascii="Times New Roman" w:hAnsi="Times New Roman" w:cs="Times New Roman"/>
          <w:sz w:val="24"/>
          <w:szCs w:val="24"/>
          <w:vertAlign w:val="superscript"/>
        </w:rPr>
        <w:t>st</w:t>
      </w:r>
      <w:r w:rsidR="0094275B" w:rsidRPr="00B76AAC">
        <w:rPr>
          <w:rFonts w:ascii="Times New Roman" w:hAnsi="Times New Roman" w:cs="Times New Roman"/>
          <w:sz w:val="24"/>
          <w:szCs w:val="24"/>
        </w:rPr>
        <w:t xml:space="preserve"> and 3</w:t>
      </w:r>
      <w:r w:rsidR="0094275B" w:rsidRPr="00B76AAC">
        <w:rPr>
          <w:rFonts w:ascii="Times New Roman" w:hAnsi="Times New Roman" w:cs="Times New Roman"/>
          <w:sz w:val="24"/>
          <w:szCs w:val="24"/>
          <w:vertAlign w:val="superscript"/>
        </w:rPr>
        <w:t>rd</w:t>
      </w:r>
      <w:r w:rsidR="0094275B" w:rsidRPr="00B76AAC">
        <w:rPr>
          <w:rFonts w:ascii="Times New Roman" w:hAnsi="Times New Roman" w:cs="Times New Roman"/>
          <w:sz w:val="24"/>
          <w:szCs w:val="24"/>
        </w:rPr>
        <w:t xml:space="preserve"> respondent it would then be impossible to grant the applicant’s claim.</w:t>
      </w:r>
    </w:p>
    <w:p w:rsidR="006E6C08" w:rsidRPr="00B76AAC" w:rsidRDefault="0094275B" w:rsidP="00B76AAC">
      <w:pPr>
        <w:spacing w:line="36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In the final l address</w:t>
      </w:r>
      <w:r w:rsidR="006E6C08" w:rsidRPr="00B76AAC">
        <w:rPr>
          <w:rFonts w:ascii="Times New Roman" w:hAnsi="Times New Roman" w:cs="Times New Roman"/>
          <w:sz w:val="24"/>
          <w:szCs w:val="24"/>
        </w:rPr>
        <w:t xml:space="preserve"> an ancillary issue</w:t>
      </w:r>
      <w:r w:rsidRPr="00B76AAC">
        <w:rPr>
          <w:rFonts w:ascii="Times New Roman" w:hAnsi="Times New Roman" w:cs="Times New Roman"/>
          <w:sz w:val="24"/>
          <w:szCs w:val="24"/>
        </w:rPr>
        <w:t xml:space="preserve"> raised by the applicant. It was argued that the 4</w:t>
      </w:r>
      <w:r w:rsidRPr="00B76AAC">
        <w:rPr>
          <w:rFonts w:ascii="Times New Roman" w:hAnsi="Times New Roman" w:cs="Times New Roman"/>
          <w:sz w:val="24"/>
          <w:szCs w:val="24"/>
          <w:vertAlign w:val="superscript"/>
        </w:rPr>
        <w:t>th</w:t>
      </w:r>
      <w:r w:rsidRPr="00B76AAC">
        <w:rPr>
          <w:rFonts w:ascii="Times New Roman" w:hAnsi="Times New Roman" w:cs="Times New Roman"/>
          <w:sz w:val="24"/>
          <w:szCs w:val="24"/>
        </w:rPr>
        <w:t xml:space="preserve"> </w:t>
      </w:r>
      <w:r w:rsidR="00466C1D" w:rsidRPr="00B76AAC">
        <w:rPr>
          <w:rFonts w:ascii="Times New Roman" w:hAnsi="Times New Roman" w:cs="Times New Roman"/>
          <w:sz w:val="24"/>
          <w:szCs w:val="24"/>
        </w:rPr>
        <w:t>respondent must have proceeded in terms of the Contractual Penalties Act</w:t>
      </w:r>
      <w:r w:rsidR="006E6C08" w:rsidRPr="00B76AAC">
        <w:rPr>
          <w:rFonts w:ascii="Times New Roman" w:hAnsi="Times New Roman" w:cs="Times New Roman"/>
          <w:sz w:val="24"/>
          <w:szCs w:val="24"/>
        </w:rPr>
        <w:t xml:space="preserve"> (Chapter 8:04)</w:t>
      </w:r>
      <w:r w:rsidR="00466C1D" w:rsidRPr="00B76AAC">
        <w:rPr>
          <w:rStyle w:val="FootnoteReference"/>
          <w:rFonts w:ascii="Times New Roman" w:hAnsi="Times New Roman" w:cs="Times New Roman"/>
          <w:sz w:val="24"/>
          <w:szCs w:val="24"/>
        </w:rPr>
        <w:footnoteReference w:id="8"/>
      </w:r>
      <w:r w:rsidR="00466C1D" w:rsidRPr="00B76AAC">
        <w:rPr>
          <w:rFonts w:ascii="Times New Roman" w:hAnsi="Times New Roman" w:cs="Times New Roman"/>
          <w:sz w:val="24"/>
          <w:szCs w:val="24"/>
        </w:rPr>
        <w:t xml:space="preserve">.I agree with </w:t>
      </w:r>
      <w:r w:rsidR="00466C1D" w:rsidRPr="00B76AAC">
        <w:rPr>
          <w:rFonts w:ascii="Times New Roman" w:hAnsi="Times New Roman" w:cs="Times New Roman"/>
          <w:i/>
          <w:sz w:val="24"/>
          <w:szCs w:val="24"/>
        </w:rPr>
        <w:t>Ms Saunyama’s</w:t>
      </w:r>
      <w:r w:rsidR="00466C1D" w:rsidRPr="00B76AAC">
        <w:rPr>
          <w:rFonts w:ascii="Times New Roman" w:hAnsi="Times New Roman" w:cs="Times New Roman"/>
          <w:sz w:val="24"/>
          <w:szCs w:val="24"/>
        </w:rPr>
        <w:t xml:space="preserve"> submissions that the Act is inapplicable .</w:t>
      </w:r>
      <w:r w:rsidR="006E6C08" w:rsidRPr="00B76AAC">
        <w:rPr>
          <w:rFonts w:ascii="Times New Roman" w:hAnsi="Times New Roman" w:cs="Times New Roman"/>
          <w:sz w:val="24"/>
          <w:szCs w:val="24"/>
        </w:rPr>
        <w:t>The Act is applicable to instalment sales of land.</w:t>
      </w:r>
      <w:r w:rsidR="00466C1D" w:rsidRPr="00B76AAC">
        <w:rPr>
          <w:rFonts w:ascii="Times New Roman" w:hAnsi="Times New Roman" w:cs="Times New Roman"/>
          <w:sz w:val="24"/>
          <w:szCs w:val="24"/>
        </w:rPr>
        <w:t xml:space="preserve"> The agreement between the applicant and the 4</w:t>
      </w:r>
      <w:r w:rsidR="00466C1D" w:rsidRPr="00B76AAC">
        <w:rPr>
          <w:rFonts w:ascii="Times New Roman" w:hAnsi="Times New Roman" w:cs="Times New Roman"/>
          <w:sz w:val="24"/>
          <w:szCs w:val="24"/>
          <w:vertAlign w:val="superscript"/>
        </w:rPr>
        <w:t>th</w:t>
      </w:r>
      <w:r w:rsidR="00466C1D" w:rsidRPr="00B76AAC">
        <w:rPr>
          <w:rFonts w:ascii="Times New Roman" w:hAnsi="Times New Roman" w:cs="Times New Roman"/>
          <w:sz w:val="24"/>
          <w:szCs w:val="24"/>
        </w:rPr>
        <w:t xml:space="preserve"> </w:t>
      </w:r>
      <w:r w:rsidR="006E6C08" w:rsidRPr="00B76AAC">
        <w:rPr>
          <w:rFonts w:ascii="Times New Roman" w:hAnsi="Times New Roman" w:cs="Times New Roman"/>
          <w:sz w:val="24"/>
          <w:szCs w:val="24"/>
        </w:rPr>
        <w:t xml:space="preserve">respondent was a </w:t>
      </w:r>
      <w:r w:rsidR="00466C1D" w:rsidRPr="00B76AAC">
        <w:rPr>
          <w:rFonts w:ascii="Times New Roman" w:hAnsi="Times New Roman" w:cs="Times New Roman"/>
          <w:sz w:val="24"/>
          <w:szCs w:val="24"/>
        </w:rPr>
        <w:t xml:space="preserve">phased agreement. The initial stage was the ordinary lease </w:t>
      </w:r>
      <w:r w:rsidR="006E6C08" w:rsidRPr="00B76AAC">
        <w:rPr>
          <w:rFonts w:ascii="Times New Roman" w:hAnsi="Times New Roman" w:cs="Times New Roman"/>
          <w:sz w:val="24"/>
          <w:szCs w:val="24"/>
        </w:rPr>
        <w:t xml:space="preserve">agreement, after fulfilment of certain conditions like exercising the right to purchase the agreement graduated into a sale of land agreement. This could be a sale of land agreement subject to suspensive conditions. The applicant did not fulfil the conditions precedent. There was therefore no agreement of sale of land </w:t>
      </w:r>
      <w:r w:rsidR="006E6C08" w:rsidRPr="00B76AAC">
        <w:rPr>
          <w:rFonts w:ascii="Times New Roman" w:hAnsi="Times New Roman" w:cs="Times New Roman"/>
          <w:i/>
          <w:sz w:val="24"/>
          <w:szCs w:val="24"/>
        </w:rPr>
        <w:t>instrictu</w:t>
      </w:r>
      <w:r w:rsidR="006E6C08" w:rsidRPr="00B76AAC">
        <w:rPr>
          <w:rFonts w:ascii="Times New Roman" w:hAnsi="Times New Roman" w:cs="Times New Roman"/>
          <w:sz w:val="24"/>
          <w:szCs w:val="24"/>
        </w:rPr>
        <w:t>.</w:t>
      </w:r>
      <w:r w:rsidR="00466C1D" w:rsidRPr="00B76AAC">
        <w:rPr>
          <w:rFonts w:ascii="Times New Roman" w:hAnsi="Times New Roman" w:cs="Times New Roman"/>
          <w:sz w:val="24"/>
          <w:szCs w:val="24"/>
        </w:rPr>
        <w:t xml:space="preserve"> </w:t>
      </w:r>
    </w:p>
    <w:p w:rsidR="006E6C08" w:rsidRPr="00B76AAC" w:rsidRDefault="006E6C08" w:rsidP="00B76AAC">
      <w:pPr>
        <w:spacing w:line="36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Costs always follow the cause. I was not given any reason to depart from the general principle.</w:t>
      </w:r>
    </w:p>
    <w:p w:rsidR="006E6C08" w:rsidRPr="00B76AAC" w:rsidRDefault="006E6C08" w:rsidP="009D0088">
      <w:pPr>
        <w:spacing w:line="240" w:lineRule="auto"/>
        <w:ind w:firstLine="720"/>
        <w:jc w:val="both"/>
        <w:rPr>
          <w:rFonts w:ascii="Times New Roman" w:hAnsi="Times New Roman" w:cs="Times New Roman"/>
          <w:sz w:val="24"/>
          <w:szCs w:val="24"/>
        </w:rPr>
      </w:pPr>
      <w:r w:rsidRPr="00B76AAC">
        <w:rPr>
          <w:rFonts w:ascii="Times New Roman" w:hAnsi="Times New Roman" w:cs="Times New Roman"/>
          <w:sz w:val="24"/>
          <w:szCs w:val="24"/>
        </w:rPr>
        <w:t>From the foregoing the following order is made,</w:t>
      </w:r>
    </w:p>
    <w:p w:rsidR="006E6C08" w:rsidRDefault="006E6C08" w:rsidP="009D0088">
      <w:pPr>
        <w:spacing w:line="240" w:lineRule="auto"/>
        <w:ind w:firstLine="720"/>
        <w:jc w:val="both"/>
        <w:rPr>
          <w:rFonts w:ascii="Times New Roman" w:hAnsi="Times New Roman" w:cs="Times New Roman"/>
        </w:rPr>
      </w:pPr>
      <w:r>
        <w:rPr>
          <w:rFonts w:ascii="Times New Roman" w:hAnsi="Times New Roman" w:cs="Times New Roman"/>
        </w:rPr>
        <w:t>The application is dismissed with costs.</w:t>
      </w:r>
    </w:p>
    <w:p w:rsidR="006F62E5" w:rsidRDefault="006F62E5" w:rsidP="006F62E5">
      <w:pPr>
        <w:spacing w:line="240" w:lineRule="auto"/>
        <w:jc w:val="both"/>
        <w:rPr>
          <w:rFonts w:ascii="Times New Roman" w:hAnsi="Times New Roman" w:cs="Times New Roman"/>
        </w:rPr>
      </w:pPr>
    </w:p>
    <w:p w:rsidR="009D5D26" w:rsidRPr="00B76AAC" w:rsidRDefault="006F62E5" w:rsidP="00B76AAC">
      <w:pPr>
        <w:spacing w:after="0" w:line="240" w:lineRule="auto"/>
        <w:jc w:val="both"/>
        <w:rPr>
          <w:rFonts w:ascii="Times New Roman" w:hAnsi="Times New Roman" w:cs="Times New Roman"/>
          <w:sz w:val="24"/>
          <w:szCs w:val="24"/>
        </w:rPr>
      </w:pPr>
      <w:r w:rsidRPr="00B76AAC">
        <w:rPr>
          <w:rFonts w:ascii="Times New Roman" w:hAnsi="Times New Roman" w:cs="Times New Roman"/>
          <w:i/>
          <w:sz w:val="24"/>
          <w:szCs w:val="24"/>
        </w:rPr>
        <w:t>Tave</w:t>
      </w:r>
      <w:r w:rsidR="00AF3277" w:rsidRPr="00B76AAC">
        <w:rPr>
          <w:rFonts w:ascii="Times New Roman" w:hAnsi="Times New Roman" w:cs="Times New Roman"/>
          <w:i/>
          <w:sz w:val="24"/>
          <w:szCs w:val="24"/>
        </w:rPr>
        <w:t>n</w:t>
      </w:r>
      <w:r w:rsidRPr="00B76AAC">
        <w:rPr>
          <w:rFonts w:ascii="Times New Roman" w:hAnsi="Times New Roman" w:cs="Times New Roman"/>
          <w:i/>
          <w:sz w:val="24"/>
          <w:szCs w:val="24"/>
        </w:rPr>
        <w:t>have and Machingauta</w:t>
      </w:r>
      <w:r w:rsidRPr="00B76AAC">
        <w:rPr>
          <w:rFonts w:ascii="Times New Roman" w:hAnsi="Times New Roman" w:cs="Times New Roman"/>
          <w:sz w:val="24"/>
          <w:szCs w:val="24"/>
        </w:rPr>
        <w:t>, applicant’s legal practitioners</w:t>
      </w:r>
    </w:p>
    <w:p w:rsidR="006F62E5" w:rsidRPr="00B76AAC" w:rsidRDefault="006F62E5" w:rsidP="00B76AAC">
      <w:pPr>
        <w:spacing w:after="0" w:line="240" w:lineRule="auto"/>
        <w:jc w:val="both"/>
        <w:rPr>
          <w:rFonts w:ascii="Times New Roman" w:hAnsi="Times New Roman" w:cs="Times New Roman"/>
          <w:sz w:val="24"/>
          <w:szCs w:val="24"/>
        </w:rPr>
      </w:pPr>
      <w:r w:rsidRPr="00B76AAC">
        <w:rPr>
          <w:rFonts w:ascii="Times New Roman" w:hAnsi="Times New Roman" w:cs="Times New Roman"/>
          <w:i/>
          <w:sz w:val="24"/>
          <w:szCs w:val="24"/>
        </w:rPr>
        <w:t>Nyangani Legal Practice</w:t>
      </w:r>
      <w:r w:rsidRPr="00B76AAC">
        <w:rPr>
          <w:rFonts w:ascii="Times New Roman" w:hAnsi="Times New Roman" w:cs="Times New Roman"/>
          <w:sz w:val="24"/>
          <w:szCs w:val="24"/>
        </w:rPr>
        <w:t>, 1st respondent’ legal practitioners</w:t>
      </w:r>
    </w:p>
    <w:p w:rsidR="006F62E5" w:rsidRPr="00B76AAC" w:rsidRDefault="006F62E5" w:rsidP="00B76AAC">
      <w:pPr>
        <w:spacing w:after="0" w:line="240" w:lineRule="auto"/>
        <w:jc w:val="both"/>
        <w:rPr>
          <w:rFonts w:ascii="Times New Roman" w:hAnsi="Times New Roman" w:cs="Times New Roman"/>
          <w:sz w:val="24"/>
          <w:szCs w:val="24"/>
        </w:rPr>
      </w:pPr>
      <w:r w:rsidRPr="00B76AAC">
        <w:rPr>
          <w:rFonts w:ascii="Times New Roman" w:hAnsi="Times New Roman" w:cs="Times New Roman"/>
          <w:i/>
          <w:sz w:val="24"/>
          <w:szCs w:val="24"/>
        </w:rPr>
        <w:t>Mashizha and Associates</w:t>
      </w:r>
      <w:r w:rsidRPr="00B76AAC">
        <w:rPr>
          <w:rFonts w:ascii="Times New Roman" w:hAnsi="Times New Roman" w:cs="Times New Roman"/>
          <w:sz w:val="24"/>
          <w:szCs w:val="24"/>
        </w:rPr>
        <w:t>,</w:t>
      </w:r>
      <w:r w:rsidR="00B76AAC">
        <w:rPr>
          <w:rFonts w:ascii="Times New Roman" w:hAnsi="Times New Roman" w:cs="Times New Roman"/>
          <w:sz w:val="24"/>
          <w:szCs w:val="24"/>
        </w:rPr>
        <w:t xml:space="preserve"> </w:t>
      </w:r>
      <w:r w:rsidRPr="00B76AAC">
        <w:rPr>
          <w:rFonts w:ascii="Times New Roman" w:hAnsi="Times New Roman" w:cs="Times New Roman"/>
          <w:sz w:val="24"/>
          <w:szCs w:val="24"/>
        </w:rPr>
        <w:t>2</w:t>
      </w:r>
      <w:r w:rsidRPr="00B76AAC">
        <w:rPr>
          <w:rFonts w:ascii="Times New Roman" w:hAnsi="Times New Roman" w:cs="Times New Roman"/>
          <w:sz w:val="24"/>
          <w:szCs w:val="24"/>
          <w:vertAlign w:val="superscript"/>
        </w:rPr>
        <w:t>nd</w:t>
      </w:r>
      <w:r w:rsidRPr="00B76AAC">
        <w:rPr>
          <w:rFonts w:ascii="Times New Roman" w:hAnsi="Times New Roman" w:cs="Times New Roman"/>
          <w:sz w:val="24"/>
          <w:szCs w:val="24"/>
        </w:rPr>
        <w:t xml:space="preserve"> respondent’s legal practitioners</w:t>
      </w:r>
    </w:p>
    <w:p w:rsidR="00B62CE5" w:rsidRPr="00B76AAC" w:rsidRDefault="006F62E5" w:rsidP="00B76AAC">
      <w:pPr>
        <w:spacing w:after="0" w:line="240" w:lineRule="auto"/>
        <w:jc w:val="both"/>
        <w:rPr>
          <w:rFonts w:ascii="Times New Roman" w:hAnsi="Times New Roman" w:cs="Times New Roman"/>
          <w:sz w:val="24"/>
          <w:szCs w:val="24"/>
        </w:rPr>
      </w:pPr>
      <w:r w:rsidRPr="00B76AAC">
        <w:rPr>
          <w:rFonts w:ascii="Times New Roman" w:hAnsi="Times New Roman" w:cs="Times New Roman"/>
          <w:i/>
          <w:sz w:val="24"/>
          <w:szCs w:val="24"/>
        </w:rPr>
        <w:t>Chikwangwari Tapi Attorneys</w:t>
      </w:r>
      <w:r w:rsidRPr="00B76AAC">
        <w:rPr>
          <w:rFonts w:ascii="Times New Roman" w:hAnsi="Times New Roman" w:cs="Times New Roman"/>
          <w:sz w:val="24"/>
          <w:szCs w:val="24"/>
        </w:rPr>
        <w:t>,</w:t>
      </w:r>
      <w:r w:rsidR="00B76AAC">
        <w:rPr>
          <w:rFonts w:ascii="Times New Roman" w:hAnsi="Times New Roman" w:cs="Times New Roman"/>
          <w:sz w:val="24"/>
          <w:szCs w:val="24"/>
        </w:rPr>
        <w:t xml:space="preserve"> </w:t>
      </w:r>
      <w:r w:rsidRPr="00B76AAC">
        <w:rPr>
          <w:rFonts w:ascii="Times New Roman" w:hAnsi="Times New Roman" w:cs="Times New Roman"/>
          <w:sz w:val="24"/>
          <w:szCs w:val="24"/>
        </w:rPr>
        <w:t>3</w:t>
      </w:r>
      <w:r w:rsidRPr="00B76AAC">
        <w:rPr>
          <w:rFonts w:ascii="Times New Roman" w:hAnsi="Times New Roman" w:cs="Times New Roman"/>
          <w:sz w:val="24"/>
          <w:szCs w:val="24"/>
          <w:vertAlign w:val="superscript"/>
        </w:rPr>
        <w:t>rd</w:t>
      </w:r>
      <w:r w:rsidRPr="00B76AAC">
        <w:rPr>
          <w:rFonts w:ascii="Times New Roman" w:hAnsi="Times New Roman" w:cs="Times New Roman"/>
          <w:sz w:val="24"/>
          <w:szCs w:val="24"/>
        </w:rPr>
        <w:t xml:space="preserve"> Respondent’s legal practitioners</w:t>
      </w:r>
    </w:p>
    <w:sectPr w:rsidR="00B62CE5" w:rsidRPr="00B76AA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D53" w:rsidRDefault="002D5D53" w:rsidP="00B62CE5">
      <w:pPr>
        <w:spacing w:after="0" w:line="240" w:lineRule="auto"/>
      </w:pPr>
      <w:r>
        <w:separator/>
      </w:r>
    </w:p>
  </w:endnote>
  <w:endnote w:type="continuationSeparator" w:id="0">
    <w:p w:rsidR="002D5D53" w:rsidRDefault="002D5D53" w:rsidP="00B6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9F" w:rsidRDefault="0033639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9F" w:rsidRDefault="0033639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9F" w:rsidRDefault="003363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D53" w:rsidRDefault="002D5D53" w:rsidP="00B62CE5">
      <w:pPr>
        <w:spacing w:after="0" w:line="240" w:lineRule="auto"/>
      </w:pPr>
      <w:r>
        <w:separator/>
      </w:r>
    </w:p>
  </w:footnote>
  <w:footnote w:type="continuationSeparator" w:id="0">
    <w:p w:rsidR="002D5D53" w:rsidRDefault="002D5D53" w:rsidP="00B62CE5">
      <w:pPr>
        <w:spacing w:after="0" w:line="240" w:lineRule="auto"/>
      </w:pPr>
      <w:r>
        <w:continuationSeparator/>
      </w:r>
    </w:p>
  </w:footnote>
  <w:footnote w:id="1">
    <w:p w:rsidR="00FE34D0" w:rsidRDefault="00FE34D0">
      <w:pPr>
        <w:pStyle w:val="FootnoteText"/>
      </w:pPr>
      <w:r>
        <w:rPr>
          <w:rStyle w:val="FootnoteReference"/>
        </w:rPr>
        <w:footnoteRef/>
      </w:r>
      <w:r>
        <w:t xml:space="preserve"> 1990 (1) SA (1) A. @</w:t>
      </w:r>
      <w:r w:rsidRPr="00D30069">
        <w:t xml:space="preserve"> 5J-6</w:t>
      </w:r>
    </w:p>
  </w:footnote>
  <w:footnote w:id="2">
    <w:p w:rsidR="00FE34D0" w:rsidRDefault="00FE34D0">
      <w:pPr>
        <w:pStyle w:val="FootnoteText"/>
      </w:pPr>
      <w:r>
        <w:rPr>
          <w:rStyle w:val="FootnoteReference"/>
        </w:rPr>
        <w:footnoteRef/>
      </w:r>
      <w:r>
        <w:t xml:space="preserve"> Christie’s Law of Contract in South Africa , 7</w:t>
      </w:r>
      <w:r>
        <w:rPr>
          <w:vertAlign w:val="superscript"/>
        </w:rPr>
        <w:t xml:space="preserve">th </w:t>
      </w:r>
      <w:r>
        <w:t>Ed,LexisNexis</w:t>
      </w:r>
    </w:p>
  </w:footnote>
  <w:footnote w:id="3">
    <w:p w:rsidR="00FE34D0" w:rsidRDefault="00FE34D0">
      <w:pPr>
        <w:pStyle w:val="FootnoteText"/>
      </w:pPr>
      <w:r>
        <w:rPr>
          <w:rStyle w:val="FootnoteReference"/>
        </w:rPr>
        <w:footnoteRef/>
      </w:r>
      <w:r>
        <w:t xml:space="preserve"> </w:t>
      </w:r>
      <w:r>
        <w:rPr>
          <w:rFonts w:ascii="Times New Roman" w:hAnsi="Times New Roman" w:cs="Times New Roman"/>
        </w:rPr>
        <w:t>1</w:t>
      </w:r>
      <w:r w:rsidRPr="00316081">
        <w:rPr>
          <w:rFonts w:ascii="Times New Roman" w:hAnsi="Times New Roman" w:cs="Times New Roman"/>
        </w:rPr>
        <w:t xml:space="preserve">965 (1) SA 100 (A) </w:t>
      </w:r>
      <w:r>
        <w:rPr>
          <w:rFonts w:ascii="Times New Roman" w:hAnsi="Times New Roman" w:cs="Times New Roman"/>
        </w:rPr>
        <w:t>@</w:t>
      </w:r>
      <w:r w:rsidRPr="00316081">
        <w:rPr>
          <w:rFonts w:ascii="Times New Roman" w:hAnsi="Times New Roman" w:cs="Times New Roman"/>
        </w:rPr>
        <w:t xml:space="preserve"> 105G</w:t>
      </w:r>
      <w:r>
        <w:rPr>
          <w:rFonts w:ascii="Times New Roman" w:hAnsi="Times New Roman" w:cs="Times New Roman"/>
        </w:rPr>
        <w:t>,</w:t>
      </w:r>
      <w:r w:rsidRPr="00316081">
        <w:rPr>
          <w:rFonts w:ascii="Times New Roman" w:hAnsi="Times New Roman" w:cs="Times New Roman"/>
        </w:rPr>
        <w:t xml:space="preserve"> </w:t>
      </w:r>
      <w:r>
        <w:rPr>
          <w:rFonts w:ascii="Times New Roman" w:hAnsi="Times New Roman" w:cs="Times New Roman"/>
        </w:rPr>
        <w:t>1986(1) SA 729(A) @</w:t>
      </w:r>
      <w:r w:rsidRPr="00316081">
        <w:rPr>
          <w:rFonts w:ascii="Times New Roman" w:hAnsi="Times New Roman" w:cs="Times New Roman"/>
        </w:rPr>
        <w:t xml:space="preserve"> 751A-G</w:t>
      </w:r>
    </w:p>
  </w:footnote>
  <w:footnote w:id="4">
    <w:p w:rsidR="00FE34D0" w:rsidRDefault="00FE34D0">
      <w:pPr>
        <w:pStyle w:val="FootnoteText"/>
      </w:pPr>
      <w:r>
        <w:rPr>
          <w:rStyle w:val="FootnoteReference"/>
        </w:rPr>
        <w:footnoteRef/>
      </w:r>
      <w:r>
        <w:t xml:space="preserve"> </w:t>
      </w:r>
      <w:r w:rsidRPr="001D7392">
        <w:t xml:space="preserve">1987 (2) SA 244 (T) </w:t>
      </w:r>
      <w:r>
        <w:t>@</w:t>
      </w:r>
      <w:r w:rsidRPr="001D7392">
        <w:t xml:space="preserve"> 249A-G. </w:t>
      </w:r>
    </w:p>
  </w:footnote>
  <w:footnote w:id="5">
    <w:p w:rsidR="00FE34D0" w:rsidRPr="009D5D26" w:rsidRDefault="00FE34D0">
      <w:pPr>
        <w:pStyle w:val="FootnoteText"/>
        <w:rPr>
          <w:lang w:val="en-US"/>
        </w:rPr>
      </w:pPr>
      <w:r>
        <w:rPr>
          <w:rStyle w:val="FootnoteReference"/>
        </w:rPr>
        <w:footnoteRef/>
      </w:r>
      <w:r>
        <w:t xml:space="preserve"> Christie’s Law of Contract @ p 599</w:t>
      </w:r>
    </w:p>
  </w:footnote>
  <w:footnote w:id="6">
    <w:p w:rsidR="00FE34D0" w:rsidRPr="00FB0FCC" w:rsidRDefault="00FE34D0">
      <w:pPr>
        <w:pStyle w:val="FootnoteText"/>
        <w:rPr>
          <w:lang w:val="en-US"/>
        </w:rPr>
      </w:pPr>
      <w:r>
        <w:rPr>
          <w:rStyle w:val="FootnoteReference"/>
        </w:rPr>
        <w:footnoteRef/>
      </w:r>
      <w:r>
        <w:t xml:space="preserve"> </w:t>
      </w:r>
      <w:r>
        <w:rPr>
          <w:lang w:val="en-US"/>
        </w:rPr>
        <w:t>SC 42/15@16</w:t>
      </w:r>
    </w:p>
  </w:footnote>
  <w:footnote w:id="7">
    <w:p w:rsidR="009476CC" w:rsidRPr="009476CC" w:rsidRDefault="009476CC">
      <w:pPr>
        <w:pStyle w:val="FootnoteText"/>
        <w:rPr>
          <w:lang w:val="en-US"/>
        </w:rPr>
      </w:pPr>
      <w:r>
        <w:rPr>
          <w:rStyle w:val="FootnoteReference"/>
        </w:rPr>
        <w:footnoteRef/>
      </w:r>
      <w:r>
        <w:t xml:space="preserve"> </w:t>
      </w:r>
      <w:r>
        <w:rPr>
          <w:lang w:val="en-US"/>
        </w:rPr>
        <w:t xml:space="preserve">IBID @620-626 </w:t>
      </w:r>
    </w:p>
  </w:footnote>
  <w:footnote w:id="8">
    <w:p w:rsidR="00466C1D" w:rsidRPr="00466C1D" w:rsidRDefault="00466C1D">
      <w:pPr>
        <w:pStyle w:val="FootnoteText"/>
        <w:rPr>
          <w:lang w:val="en-US"/>
        </w:rPr>
      </w:pPr>
      <w:r>
        <w:rPr>
          <w:rStyle w:val="FootnoteReference"/>
        </w:rPr>
        <w:footnoteRef/>
      </w:r>
      <w:r>
        <w:t xml:space="preserve"> </w:t>
      </w:r>
      <w:r>
        <w:rPr>
          <w:lang w:val="en-US"/>
        </w:rPr>
        <w:t xml:space="preserve">Section 8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9F" w:rsidRDefault="0033639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696201"/>
      <w:docPartObj>
        <w:docPartGallery w:val="Page Numbers (Top of Page)"/>
        <w:docPartUnique/>
      </w:docPartObj>
    </w:sdtPr>
    <w:sdtEndPr>
      <w:rPr>
        <w:noProof/>
      </w:rPr>
    </w:sdtEndPr>
    <w:sdtContent>
      <w:p w:rsidR="00FE34D0" w:rsidRDefault="00FE34D0">
        <w:pPr>
          <w:pStyle w:val="Header"/>
          <w:jc w:val="right"/>
          <w:rPr>
            <w:noProof/>
          </w:rPr>
        </w:pPr>
        <w:r>
          <w:fldChar w:fldCharType="begin"/>
        </w:r>
        <w:r>
          <w:instrText xml:space="preserve"> PAGE   \* MERGEFORMAT </w:instrText>
        </w:r>
        <w:r>
          <w:fldChar w:fldCharType="separate"/>
        </w:r>
        <w:r w:rsidR="00F925AD">
          <w:rPr>
            <w:noProof/>
          </w:rPr>
          <w:t>1</w:t>
        </w:r>
        <w:r>
          <w:rPr>
            <w:noProof/>
          </w:rPr>
          <w:fldChar w:fldCharType="end"/>
        </w:r>
      </w:p>
      <w:p w:rsidR="00FE34D0" w:rsidRDefault="00FE34D0">
        <w:pPr>
          <w:pStyle w:val="Header"/>
          <w:jc w:val="right"/>
          <w:rPr>
            <w:noProof/>
          </w:rPr>
        </w:pPr>
        <w:r>
          <w:rPr>
            <w:noProof/>
          </w:rPr>
          <w:t>HH</w:t>
        </w:r>
        <w:r w:rsidR="00157E39">
          <w:rPr>
            <w:noProof/>
          </w:rPr>
          <w:t xml:space="preserve"> 398-21</w:t>
        </w:r>
      </w:p>
      <w:p w:rsidR="00FE34D0" w:rsidRDefault="00FE34D0">
        <w:pPr>
          <w:pStyle w:val="Header"/>
          <w:jc w:val="right"/>
        </w:pPr>
        <w:r>
          <w:rPr>
            <w:noProof/>
          </w:rPr>
          <w:t>HC</w:t>
        </w:r>
        <w:r w:rsidR="0033639F">
          <w:rPr>
            <w:noProof/>
          </w:rPr>
          <w:t xml:space="preserve"> 6650/19</w:t>
        </w:r>
        <w:r>
          <w:rPr>
            <w:noProof/>
          </w:rPr>
          <w:t xml:space="preserve"> </w:t>
        </w:r>
      </w:p>
    </w:sdtContent>
  </w:sdt>
  <w:p w:rsidR="00FE34D0" w:rsidRDefault="00FE34D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39F" w:rsidRDefault="003363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910FB"/>
    <w:multiLevelType w:val="hybridMultilevel"/>
    <w:tmpl w:val="1D14C978"/>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42"/>
    <w:rsid w:val="00041E64"/>
    <w:rsid w:val="00097C3D"/>
    <w:rsid w:val="000A1775"/>
    <w:rsid w:val="000B41A9"/>
    <w:rsid w:val="000D4F51"/>
    <w:rsid w:val="000F53A7"/>
    <w:rsid w:val="0010766E"/>
    <w:rsid w:val="00157E39"/>
    <w:rsid w:val="001C629A"/>
    <w:rsid w:val="001C7C72"/>
    <w:rsid w:val="001D7392"/>
    <w:rsid w:val="002056F1"/>
    <w:rsid w:val="00242542"/>
    <w:rsid w:val="0029614F"/>
    <w:rsid w:val="002A4E5E"/>
    <w:rsid w:val="002D5D53"/>
    <w:rsid w:val="002F380C"/>
    <w:rsid w:val="00316081"/>
    <w:rsid w:val="0033639F"/>
    <w:rsid w:val="003437A1"/>
    <w:rsid w:val="00364C71"/>
    <w:rsid w:val="003978B1"/>
    <w:rsid w:val="003E0B01"/>
    <w:rsid w:val="00444BE6"/>
    <w:rsid w:val="00454F16"/>
    <w:rsid w:val="004551C4"/>
    <w:rsid w:val="00466C1D"/>
    <w:rsid w:val="0047582F"/>
    <w:rsid w:val="004961B0"/>
    <w:rsid w:val="005D7881"/>
    <w:rsid w:val="00633E43"/>
    <w:rsid w:val="00644644"/>
    <w:rsid w:val="006458E4"/>
    <w:rsid w:val="006D48DD"/>
    <w:rsid w:val="006E6C08"/>
    <w:rsid w:val="006F010C"/>
    <w:rsid w:val="006F62E5"/>
    <w:rsid w:val="00782D71"/>
    <w:rsid w:val="00792503"/>
    <w:rsid w:val="007E1D89"/>
    <w:rsid w:val="007E7E88"/>
    <w:rsid w:val="0086368B"/>
    <w:rsid w:val="00867774"/>
    <w:rsid w:val="008F566E"/>
    <w:rsid w:val="009059A0"/>
    <w:rsid w:val="0094275B"/>
    <w:rsid w:val="009476CC"/>
    <w:rsid w:val="00970B7E"/>
    <w:rsid w:val="00987A63"/>
    <w:rsid w:val="009D0088"/>
    <w:rsid w:val="009D5D26"/>
    <w:rsid w:val="00A32FD0"/>
    <w:rsid w:val="00AF3277"/>
    <w:rsid w:val="00B052F5"/>
    <w:rsid w:val="00B07B3A"/>
    <w:rsid w:val="00B62CE5"/>
    <w:rsid w:val="00B76AAC"/>
    <w:rsid w:val="00BC7404"/>
    <w:rsid w:val="00C65466"/>
    <w:rsid w:val="00C74970"/>
    <w:rsid w:val="00CC2B2B"/>
    <w:rsid w:val="00CC5A43"/>
    <w:rsid w:val="00D30069"/>
    <w:rsid w:val="00D57DA8"/>
    <w:rsid w:val="00DB6A52"/>
    <w:rsid w:val="00DE21FD"/>
    <w:rsid w:val="00E023B5"/>
    <w:rsid w:val="00E30DF0"/>
    <w:rsid w:val="00E37339"/>
    <w:rsid w:val="00F05D47"/>
    <w:rsid w:val="00F925AD"/>
    <w:rsid w:val="00FB0FCC"/>
    <w:rsid w:val="00FE34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45FC3-3223-4161-A16C-DDDF64A5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5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542"/>
    <w:pPr>
      <w:ind w:left="720"/>
      <w:contextualSpacing/>
    </w:pPr>
  </w:style>
  <w:style w:type="paragraph" w:styleId="FootnoteText">
    <w:name w:val="footnote text"/>
    <w:basedOn w:val="Normal"/>
    <w:link w:val="FootnoteTextChar"/>
    <w:uiPriority w:val="99"/>
    <w:semiHidden/>
    <w:unhideWhenUsed/>
    <w:rsid w:val="00B62C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CE5"/>
    <w:rPr>
      <w:sz w:val="20"/>
      <w:szCs w:val="20"/>
    </w:rPr>
  </w:style>
  <w:style w:type="character" w:styleId="FootnoteReference">
    <w:name w:val="footnote reference"/>
    <w:basedOn w:val="DefaultParagraphFont"/>
    <w:uiPriority w:val="99"/>
    <w:semiHidden/>
    <w:unhideWhenUsed/>
    <w:rsid w:val="00B62CE5"/>
    <w:rPr>
      <w:vertAlign w:val="superscript"/>
    </w:rPr>
  </w:style>
  <w:style w:type="paragraph" w:styleId="NormalWeb">
    <w:name w:val="Normal (Web)"/>
    <w:basedOn w:val="Normal"/>
    <w:uiPriority w:val="99"/>
    <w:semiHidden/>
    <w:unhideWhenUsed/>
    <w:rsid w:val="00782D71"/>
    <w:rPr>
      <w:rFonts w:ascii="Times New Roman" w:hAnsi="Times New Roman" w:cs="Times New Roman"/>
      <w:sz w:val="24"/>
      <w:szCs w:val="24"/>
    </w:rPr>
  </w:style>
  <w:style w:type="paragraph" w:styleId="Header">
    <w:name w:val="header"/>
    <w:basedOn w:val="Normal"/>
    <w:link w:val="HeaderChar"/>
    <w:uiPriority w:val="99"/>
    <w:unhideWhenUsed/>
    <w:rsid w:val="00D30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069"/>
  </w:style>
  <w:style w:type="paragraph" w:styleId="Footer">
    <w:name w:val="footer"/>
    <w:basedOn w:val="Normal"/>
    <w:link w:val="FooterChar"/>
    <w:uiPriority w:val="99"/>
    <w:unhideWhenUsed/>
    <w:rsid w:val="00D30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069"/>
  </w:style>
  <w:style w:type="character" w:styleId="Hyperlink">
    <w:name w:val="Hyperlink"/>
    <w:basedOn w:val="DefaultParagraphFont"/>
    <w:uiPriority w:val="99"/>
    <w:semiHidden/>
    <w:unhideWhenUsed/>
    <w:rsid w:val="002F38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1831">
      <w:bodyDiv w:val="1"/>
      <w:marLeft w:val="0"/>
      <w:marRight w:val="0"/>
      <w:marTop w:val="0"/>
      <w:marBottom w:val="0"/>
      <w:divBdr>
        <w:top w:val="none" w:sz="0" w:space="0" w:color="auto"/>
        <w:left w:val="none" w:sz="0" w:space="0" w:color="auto"/>
        <w:bottom w:val="none" w:sz="0" w:space="0" w:color="auto"/>
        <w:right w:val="none" w:sz="0" w:space="0" w:color="auto"/>
      </w:divBdr>
    </w:div>
    <w:div w:id="44250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DD79-A1A4-461B-9ECC-036D45B0F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Muzofa</dc:creator>
  <cp:keywords/>
  <dc:description/>
  <cp:lastModifiedBy>JSC</cp:lastModifiedBy>
  <cp:revision>2</cp:revision>
  <dcterms:created xsi:type="dcterms:W3CDTF">2021-08-13T06:59:00Z</dcterms:created>
  <dcterms:modified xsi:type="dcterms:W3CDTF">2021-08-13T06:59:00Z</dcterms:modified>
</cp:coreProperties>
</file>