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D3B" w:rsidRDefault="00E80095" w:rsidP="00577D3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NATSA FAMILY TRUST</w:t>
      </w:r>
    </w:p>
    <w:p w:rsidR="00577D3B" w:rsidRDefault="00E80095" w:rsidP="0057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77D3B" w:rsidRDefault="00E80095" w:rsidP="0057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EDWARD MASHIRINGWANI</w:t>
      </w:r>
    </w:p>
    <w:p w:rsidR="00577D3B" w:rsidRDefault="00E80095" w:rsidP="0057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77D3B" w:rsidRDefault="00E80095" w:rsidP="0057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NICOLA KRIENKE </w:t>
      </w:r>
      <w:r w:rsidR="00AC44D9">
        <w:rPr>
          <w:rFonts w:ascii="Times New Roman" w:hAnsi="Times New Roman" w:cs="Times New Roman"/>
          <w:sz w:val="24"/>
          <w:szCs w:val="24"/>
        </w:rPr>
        <w:t xml:space="preserve"> </w:t>
      </w:r>
    </w:p>
    <w:p w:rsidR="00577D3B" w:rsidRDefault="00577D3B" w:rsidP="00577D3B">
      <w:pPr>
        <w:spacing w:after="0" w:line="240" w:lineRule="auto"/>
        <w:jc w:val="both"/>
        <w:rPr>
          <w:rFonts w:ascii="Times New Roman" w:hAnsi="Times New Roman" w:cs="Times New Roman"/>
          <w:sz w:val="24"/>
          <w:szCs w:val="24"/>
        </w:rPr>
      </w:pPr>
    </w:p>
    <w:p w:rsidR="00577D3B" w:rsidRDefault="00577D3B" w:rsidP="00577D3B">
      <w:pPr>
        <w:spacing w:after="0" w:line="240" w:lineRule="auto"/>
        <w:jc w:val="both"/>
        <w:rPr>
          <w:rFonts w:ascii="Times New Roman" w:hAnsi="Times New Roman" w:cs="Times New Roman"/>
          <w:sz w:val="24"/>
          <w:szCs w:val="24"/>
        </w:rPr>
      </w:pPr>
    </w:p>
    <w:p w:rsidR="00577D3B" w:rsidRDefault="00577D3B" w:rsidP="0057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77D3B" w:rsidRDefault="00577D3B" w:rsidP="0057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577D3B" w:rsidRDefault="00577D3B" w:rsidP="0057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E80095">
        <w:rPr>
          <w:rFonts w:ascii="Times New Roman" w:hAnsi="Times New Roman" w:cs="Times New Roman"/>
          <w:sz w:val="24"/>
          <w:szCs w:val="24"/>
        </w:rPr>
        <w:t>15 September</w:t>
      </w:r>
      <w:r w:rsidR="00F707F1">
        <w:rPr>
          <w:rFonts w:ascii="Times New Roman" w:hAnsi="Times New Roman" w:cs="Times New Roman"/>
          <w:sz w:val="24"/>
          <w:szCs w:val="24"/>
        </w:rPr>
        <w:t>,</w:t>
      </w:r>
      <w:r w:rsidR="00E80095">
        <w:rPr>
          <w:rFonts w:ascii="Times New Roman" w:hAnsi="Times New Roman" w:cs="Times New Roman"/>
          <w:sz w:val="24"/>
          <w:szCs w:val="24"/>
        </w:rPr>
        <w:t xml:space="preserve"> 2021</w:t>
      </w:r>
      <w:r w:rsidR="008953EE">
        <w:rPr>
          <w:rFonts w:ascii="Times New Roman" w:hAnsi="Times New Roman" w:cs="Times New Roman"/>
          <w:sz w:val="24"/>
          <w:szCs w:val="24"/>
        </w:rPr>
        <w:t xml:space="preserve"> and 19 January</w:t>
      </w:r>
      <w:r w:rsidR="00F707F1">
        <w:rPr>
          <w:rFonts w:ascii="Times New Roman" w:hAnsi="Times New Roman" w:cs="Times New Roman"/>
          <w:sz w:val="24"/>
          <w:szCs w:val="24"/>
        </w:rPr>
        <w:t>,</w:t>
      </w:r>
      <w:r w:rsidR="008953EE">
        <w:rPr>
          <w:rFonts w:ascii="Times New Roman" w:hAnsi="Times New Roman" w:cs="Times New Roman"/>
          <w:sz w:val="24"/>
          <w:szCs w:val="24"/>
        </w:rPr>
        <w:t xml:space="preserve"> 2022</w:t>
      </w:r>
    </w:p>
    <w:p w:rsidR="00577D3B" w:rsidRDefault="00F707F1" w:rsidP="00F707F1">
      <w:pPr>
        <w:tabs>
          <w:tab w:val="left" w:pos="3105"/>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577D3B" w:rsidRPr="00B61691" w:rsidRDefault="008953EE" w:rsidP="00577D3B">
      <w:pPr>
        <w:spacing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A85EC5" w:rsidRDefault="00A85EC5" w:rsidP="00577D3B">
      <w:pPr>
        <w:spacing w:after="0" w:line="240" w:lineRule="auto"/>
        <w:jc w:val="both"/>
        <w:rPr>
          <w:rFonts w:ascii="Times New Roman" w:hAnsi="Times New Roman" w:cs="Times New Roman"/>
          <w:i/>
          <w:sz w:val="24"/>
          <w:szCs w:val="24"/>
        </w:rPr>
      </w:pPr>
    </w:p>
    <w:p w:rsidR="00577D3B" w:rsidRDefault="00DC1193" w:rsidP="00577D3B">
      <w:pPr>
        <w:spacing w:after="0" w:line="240" w:lineRule="auto"/>
        <w:jc w:val="both"/>
        <w:rPr>
          <w:rFonts w:ascii="Times New Roman" w:hAnsi="Times New Roman" w:cs="Times New Roman"/>
          <w:sz w:val="24"/>
          <w:szCs w:val="24"/>
        </w:rPr>
      </w:pPr>
      <w:r w:rsidRPr="00DC1193">
        <w:rPr>
          <w:rFonts w:ascii="Times New Roman" w:hAnsi="Times New Roman" w:cs="Times New Roman"/>
          <w:i/>
          <w:sz w:val="24"/>
          <w:szCs w:val="24"/>
        </w:rPr>
        <w:t>A. Masango,</w:t>
      </w:r>
      <w:r w:rsidR="00577D3B">
        <w:rPr>
          <w:rFonts w:ascii="Times New Roman" w:hAnsi="Times New Roman" w:cs="Times New Roman"/>
          <w:sz w:val="24"/>
          <w:szCs w:val="24"/>
        </w:rPr>
        <w:t xml:space="preserve"> for the applicant</w:t>
      </w:r>
    </w:p>
    <w:p w:rsidR="00577D3B" w:rsidRDefault="00DC1193" w:rsidP="00577D3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 Dondo, </w:t>
      </w:r>
      <w:r w:rsidR="00577D3B">
        <w:rPr>
          <w:rFonts w:ascii="Times New Roman" w:hAnsi="Times New Roman" w:cs="Times New Roman"/>
          <w:sz w:val="24"/>
          <w:szCs w:val="24"/>
        </w:rPr>
        <w:t>for the respondent</w:t>
      </w:r>
    </w:p>
    <w:p w:rsidR="00577D3B" w:rsidRDefault="00577D3B" w:rsidP="00577D3B">
      <w:pPr>
        <w:spacing w:after="0" w:line="240" w:lineRule="auto"/>
        <w:jc w:val="both"/>
        <w:rPr>
          <w:rFonts w:ascii="Times New Roman" w:hAnsi="Times New Roman" w:cs="Times New Roman"/>
          <w:sz w:val="24"/>
          <w:szCs w:val="24"/>
        </w:rPr>
      </w:pPr>
    </w:p>
    <w:p w:rsidR="00DC1193" w:rsidRDefault="00DC1193" w:rsidP="00E80095">
      <w:pPr>
        <w:spacing w:after="0" w:line="360" w:lineRule="auto"/>
        <w:jc w:val="both"/>
        <w:rPr>
          <w:rFonts w:ascii="Times New Roman" w:hAnsi="Times New Roman" w:cs="Times New Roman"/>
          <w:sz w:val="24"/>
          <w:szCs w:val="24"/>
        </w:rPr>
      </w:pPr>
    </w:p>
    <w:p w:rsidR="000A00F5" w:rsidRDefault="00577D3B" w:rsidP="00E800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w:t>
      </w:r>
      <w:r w:rsidR="00DC1193">
        <w:rPr>
          <w:rFonts w:ascii="Times New Roman" w:hAnsi="Times New Roman" w:cs="Times New Roman"/>
          <w:sz w:val="24"/>
          <w:szCs w:val="24"/>
        </w:rPr>
        <w:t xml:space="preserve"> </w:t>
      </w:r>
      <w:r>
        <w:rPr>
          <w:rFonts w:ascii="Times New Roman" w:hAnsi="Times New Roman" w:cs="Times New Roman"/>
          <w:sz w:val="24"/>
          <w:szCs w:val="24"/>
        </w:rPr>
        <w:t xml:space="preserve">I heard this matter on </w:t>
      </w:r>
      <w:r w:rsidR="00E80095">
        <w:rPr>
          <w:rFonts w:ascii="Times New Roman" w:hAnsi="Times New Roman" w:cs="Times New Roman"/>
          <w:sz w:val="24"/>
          <w:szCs w:val="24"/>
        </w:rPr>
        <w:t>15 September 2021</w:t>
      </w:r>
      <w:r>
        <w:rPr>
          <w:rFonts w:ascii="Times New Roman" w:hAnsi="Times New Roman" w:cs="Times New Roman"/>
          <w:sz w:val="24"/>
          <w:szCs w:val="24"/>
        </w:rPr>
        <w:t>.</w:t>
      </w:r>
      <w:r w:rsidR="000A00F5">
        <w:rPr>
          <w:rFonts w:ascii="Times New Roman" w:hAnsi="Times New Roman" w:cs="Times New Roman"/>
          <w:sz w:val="24"/>
          <w:szCs w:val="24"/>
        </w:rPr>
        <w:t xml:space="preserve">  I delivered an </w:t>
      </w:r>
      <w:r w:rsidR="000A00F5" w:rsidRPr="000A00F5">
        <w:rPr>
          <w:rFonts w:ascii="Times New Roman" w:hAnsi="Times New Roman" w:cs="Times New Roman"/>
          <w:i/>
          <w:sz w:val="24"/>
          <w:szCs w:val="24"/>
        </w:rPr>
        <w:t>ex tempore</w:t>
      </w:r>
      <w:r w:rsidR="000A00F5">
        <w:rPr>
          <w:rFonts w:ascii="Times New Roman" w:hAnsi="Times New Roman" w:cs="Times New Roman"/>
          <w:sz w:val="24"/>
          <w:szCs w:val="24"/>
        </w:rPr>
        <w:t xml:space="preserve"> judgement in terms of which I granted the applicant’s prayer as contained in the latter’s draft order. </w:t>
      </w:r>
    </w:p>
    <w:p w:rsidR="000A00F5" w:rsidRDefault="000A00F5" w:rsidP="00E800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following day, the respondents addressed a letter to me.  They advised that they have appealed my decision.  The</w:t>
      </w:r>
      <w:r w:rsidR="004512DA">
        <w:rPr>
          <w:rFonts w:ascii="Times New Roman" w:hAnsi="Times New Roman" w:cs="Times New Roman"/>
          <w:sz w:val="24"/>
          <w:szCs w:val="24"/>
        </w:rPr>
        <w:t>y</w:t>
      </w:r>
      <w:r>
        <w:rPr>
          <w:rFonts w:ascii="Times New Roman" w:hAnsi="Times New Roman" w:cs="Times New Roman"/>
          <w:sz w:val="24"/>
          <w:szCs w:val="24"/>
        </w:rPr>
        <w:t xml:space="preserve"> requested what they termed a full written judgement to enable them to appeal.  This is it:</w:t>
      </w:r>
    </w:p>
    <w:p w:rsidR="00321670" w:rsidRDefault="000A00F5" w:rsidP="00E800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6 June 2020, the applicant, a Trust, purchased from the first respondent one Edward Mashiringwani (“Edward”) an undivided 4.81 share being share number 13 in certain piece of land situated in the Distric</w:t>
      </w:r>
      <w:r w:rsidR="004512DA">
        <w:rPr>
          <w:rFonts w:ascii="Times New Roman" w:hAnsi="Times New Roman" w:cs="Times New Roman"/>
          <w:sz w:val="24"/>
          <w:szCs w:val="24"/>
        </w:rPr>
        <w:t>t of Salisbury called Lot 1 of S</w:t>
      </w:r>
      <w:r>
        <w:rPr>
          <w:rFonts w:ascii="Times New Roman" w:hAnsi="Times New Roman" w:cs="Times New Roman"/>
          <w:sz w:val="24"/>
          <w:szCs w:val="24"/>
        </w:rPr>
        <w:t>tand 1720 Sali</w:t>
      </w:r>
      <w:r w:rsidR="00321670">
        <w:rPr>
          <w:rFonts w:ascii="Times New Roman" w:hAnsi="Times New Roman" w:cs="Times New Roman"/>
          <w:sz w:val="24"/>
          <w:szCs w:val="24"/>
        </w:rPr>
        <w:t>s</w:t>
      </w:r>
      <w:r>
        <w:rPr>
          <w:rFonts w:ascii="Times New Roman" w:hAnsi="Times New Roman" w:cs="Times New Roman"/>
          <w:sz w:val="24"/>
          <w:szCs w:val="24"/>
        </w:rPr>
        <w:t xml:space="preserve">bury </w:t>
      </w:r>
      <w:r w:rsidR="00321670">
        <w:rPr>
          <w:rFonts w:ascii="Times New Roman" w:hAnsi="Times New Roman" w:cs="Times New Roman"/>
          <w:sz w:val="24"/>
          <w:szCs w:val="24"/>
        </w:rPr>
        <w:t>Township measuring 1478 square metres (“the property”).</w:t>
      </w:r>
    </w:p>
    <w:p w:rsidR="00321670" w:rsidRDefault="00321670" w:rsidP="00E800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property which is commonly known as flat number 13 Gainsborough is at the corner of Leopold Takawira and Josiah Chinamano Avenue.  It was, at the time of the sale, held</w:t>
      </w:r>
      <w:r w:rsidR="00DC1193">
        <w:rPr>
          <w:rFonts w:ascii="Times New Roman" w:hAnsi="Times New Roman" w:cs="Times New Roman"/>
          <w:sz w:val="24"/>
          <w:szCs w:val="24"/>
        </w:rPr>
        <w:t xml:space="preserve"> under deed of transfer number </w:t>
      </w:r>
      <w:r>
        <w:rPr>
          <w:rFonts w:ascii="Times New Roman" w:hAnsi="Times New Roman" w:cs="Times New Roman"/>
          <w:sz w:val="24"/>
          <w:szCs w:val="24"/>
        </w:rPr>
        <w:t>4</w:t>
      </w:r>
      <w:r w:rsidR="00DC1193">
        <w:rPr>
          <w:rFonts w:ascii="Times New Roman" w:hAnsi="Times New Roman" w:cs="Times New Roman"/>
          <w:sz w:val="24"/>
          <w:szCs w:val="24"/>
        </w:rPr>
        <w:t>1</w:t>
      </w:r>
      <w:r>
        <w:rPr>
          <w:rFonts w:ascii="Times New Roman" w:hAnsi="Times New Roman" w:cs="Times New Roman"/>
          <w:sz w:val="24"/>
          <w:szCs w:val="24"/>
        </w:rPr>
        <w:t xml:space="preserve">40/20.  Staying at the same was Edward’s customary law wife who is the second respondent in </w:t>
      </w:r>
      <w:r w:rsidRPr="00321670">
        <w:rPr>
          <w:rFonts w:ascii="Times New Roman" w:hAnsi="Times New Roman" w:cs="Times New Roman"/>
          <w:i/>
          <w:sz w:val="24"/>
          <w:szCs w:val="24"/>
        </w:rPr>
        <w:t>casu</w:t>
      </w:r>
      <w:r>
        <w:rPr>
          <w:rFonts w:ascii="Times New Roman" w:hAnsi="Times New Roman" w:cs="Times New Roman"/>
          <w:sz w:val="24"/>
          <w:szCs w:val="24"/>
        </w:rPr>
        <w:t>.</w:t>
      </w:r>
    </w:p>
    <w:p w:rsidR="00321670" w:rsidRDefault="00321670" w:rsidP="00E800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selling price of the property was US$25 000 and the terms of payment were that the applicant would</w:t>
      </w:r>
      <w:r w:rsidR="00DC1193">
        <w:rPr>
          <w:rFonts w:ascii="Times New Roman" w:hAnsi="Times New Roman" w:cs="Times New Roman"/>
          <w:sz w:val="24"/>
          <w:szCs w:val="24"/>
        </w:rPr>
        <w:t xml:space="preserve"> pay</w:t>
      </w:r>
      <w:r>
        <w:rPr>
          <w:rFonts w:ascii="Times New Roman" w:hAnsi="Times New Roman" w:cs="Times New Roman"/>
          <w:sz w:val="24"/>
          <w:szCs w:val="24"/>
        </w:rPr>
        <w:t>:</w:t>
      </w:r>
    </w:p>
    <w:p w:rsidR="00381832" w:rsidRDefault="00DC1193" w:rsidP="0032167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321670">
        <w:rPr>
          <w:rFonts w:ascii="Times New Roman" w:hAnsi="Times New Roman" w:cs="Times New Roman"/>
          <w:sz w:val="24"/>
          <w:szCs w:val="24"/>
        </w:rPr>
        <w:t>he sum of US$5 000 upon the parties signing of the agreement;</w:t>
      </w:r>
    </w:p>
    <w:p w:rsidR="00321670" w:rsidRDefault="00DC1193" w:rsidP="0032167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321670">
        <w:rPr>
          <w:rFonts w:ascii="Times New Roman" w:hAnsi="Times New Roman" w:cs="Times New Roman"/>
          <w:sz w:val="24"/>
          <w:szCs w:val="24"/>
        </w:rPr>
        <w:t xml:space="preserve"> further sum of US$5 000 on or before 12 June 2000; and</w:t>
      </w:r>
    </w:p>
    <w:p w:rsidR="00AB6737" w:rsidRDefault="00DC1193" w:rsidP="00AB673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321670">
        <w:rPr>
          <w:rFonts w:ascii="Times New Roman" w:hAnsi="Times New Roman" w:cs="Times New Roman"/>
          <w:sz w:val="24"/>
          <w:szCs w:val="24"/>
        </w:rPr>
        <w:t>he outstanding balance of US$15 000 on or before 31 June 2020.</w:t>
      </w:r>
    </w:p>
    <w:p w:rsidR="00AB6737" w:rsidRDefault="00AB6737" w:rsidP="00AB67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 paid full purchase price for the property and, on 22 October 2020, Edward transferred title in the property to the applicant as a result of which the latter applied, on 7 December 2020, to evict </w:t>
      </w:r>
      <w:r w:rsidR="00DC1193">
        <w:rPr>
          <w:rFonts w:ascii="Times New Roman" w:hAnsi="Times New Roman" w:cs="Times New Roman"/>
          <w:sz w:val="24"/>
          <w:szCs w:val="24"/>
        </w:rPr>
        <w:t xml:space="preserve">from the property </w:t>
      </w:r>
      <w:r>
        <w:rPr>
          <w:rFonts w:ascii="Times New Roman" w:hAnsi="Times New Roman" w:cs="Times New Roman"/>
          <w:sz w:val="24"/>
          <w:szCs w:val="24"/>
        </w:rPr>
        <w:t>the respondents, their tenants, assignees and all those who claim occupation through them</w:t>
      </w:r>
      <w:r w:rsidR="00DC1193">
        <w:rPr>
          <w:rFonts w:ascii="Times New Roman" w:hAnsi="Times New Roman" w:cs="Times New Roman"/>
          <w:sz w:val="24"/>
          <w:szCs w:val="24"/>
        </w:rPr>
        <w:t>.</w:t>
      </w:r>
      <w:r>
        <w:rPr>
          <w:rFonts w:ascii="Times New Roman" w:hAnsi="Times New Roman" w:cs="Times New Roman"/>
          <w:sz w:val="24"/>
          <w:szCs w:val="24"/>
        </w:rPr>
        <w:t xml:space="preserve">  </w:t>
      </w:r>
    </w:p>
    <w:p w:rsidR="00AB6737" w:rsidRDefault="00AB6737" w:rsidP="00AB67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current is, therefore, an application for vindication.  The applicant, in an application for vindication, must allege and prove, on a balance of probabilities, that:</w:t>
      </w:r>
    </w:p>
    <w:p w:rsidR="00AB6737" w:rsidRDefault="00AB6737" w:rsidP="00AB6737">
      <w:pPr>
        <w:pStyle w:val="ListParagraph"/>
        <w:numPr>
          <w:ilvl w:val="0"/>
          <w:numId w:val="4"/>
        </w:numPr>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 </w:t>
      </w:r>
      <w:r w:rsidR="008B687B">
        <w:rPr>
          <w:rFonts w:ascii="Times New Roman" w:hAnsi="Times New Roman" w:cs="Times New Roman"/>
          <w:sz w:val="24"/>
          <w:szCs w:val="24"/>
        </w:rPr>
        <w:t>h</w:t>
      </w:r>
      <w:r w:rsidRPr="00AB6737">
        <w:rPr>
          <w:rFonts w:ascii="Times New Roman" w:hAnsi="Times New Roman" w:cs="Times New Roman"/>
          <w:sz w:val="24"/>
          <w:szCs w:val="24"/>
        </w:rPr>
        <w:t>e is the owner of the property which is the subject of the application;</w:t>
      </w:r>
    </w:p>
    <w:p w:rsidR="00AB6737" w:rsidRDefault="008B687B" w:rsidP="00AB6737">
      <w:pPr>
        <w:pStyle w:val="ListParagraph"/>
        <w:numPr>
          <w:ilvl w:val="0"/>
          <w:numId w:val="4"/>
        </w:numPr>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 t</w:t>
      </w:r>
      <w:r w:rsidR="00AB6737">
        <w:rPr>
          <w:rFonts w:ascii="Times New Roman" w:hAnsi="Times New Roman" w:cs="Times New Roman"/>
          <w:sz w:val="24"/>
          <w:szCs w:val="24"/>
        </w:rPr>
        <w:t xml:space="preserve">he property is in the possession of the respondent at the commencement of the </w:t>
      </w:r>
      <w:r w:rsidR="00AB6737">
        <w:rPr>
          <w:rFonts w:ascii="Times New Roman" w:hAnsi="Times New Roman" w:cs="Times New Roman"/>
          <w:sz w:val="24"/>
          <w:szCs w:val="24"/>
        </w:rPr>
        <w:tab/>
      </w:r>
      <w:r w:rsidR="00AB6737">
        <w:rPr>
          <w:rFonts w:ascii="Times New Roman" w:hAnsi="Times New Roman" w:cs="Times New Roman"/>
          <w:sz w:val="24"/>
          <w:szCs w:val="24"/>
        </w:rPr>
        <w:tab/>
        <w:t xml:space="preserve">  suit; and </w:t>
      </w:r>
    </w:p>
    <w:p w:rsidR="00AB6737" w:rsidRDefault="00AB6737" w:rsidP="00AB6737">
      <w:pPr>
        <w:pStyle w:val="ListParagraph"/>
        <w:numPr>
          <w:ilvl w:val="0"/>
          <w:numId w:val="4"/>
        </w:numPr>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  </w:t>
      </w:r>
      <w:r w:rsidR="008B687B">
        <w:rPr>
          <w:rFonts w:ascii="Times New Roman" w:hAnsi="Times New Roman" w:cs="Times New Roman"/>
          <w:sz w:val="24"/>
          <w:szCs w:val="24"/>
        </w:rPr>
        <w:t>t</w:t>
      </w:r>
      <w:r>
        <w:rPr>
          <w:rFonts w:ascii="Times New Roman" w:hAnsi="Times New Roman" w:cs="Times New Roman"/>
          <w:sz w:val="24"/>
          <w:szCs w:val="24"/>
        </w:rPr>
        <w:t xml:space="preserve">he possession of the property by the respondent is without the authority and/or </w:t>
      </w:r>
      <w:r>
        <w:rPr>
          <w:rFonts w:ascii="Times New Roman" w:hAnsi="Times New Roman" w:cs="Times New Roman"/>
          <w:sz w:val="24"/>
          <w:szCs w:val="24"/>
        </w:rPr>
        <w:tab/>
        <w:t xml:space="preserve">  </w:t>
      </w:r>
      <w:r>
        <w:rPr>
          <w:rFonts w:ascii="Times New Roman" w:hAnsi="Times New Roman" w:cs="Times New Roman"/>
          <w:sz w:val="24"/>
          <w:szCs w:val="24"/>
        </w:rPr>
        <w:tab/>
        <w:t xml:space="preserve">  consent of the applicant.</w:t>
      </w:r>
    </w:p>
    <w:p w:rsidR="00C0291D" w:rsidRDefault="00AB6737" w:rsidP="00AB6737">
      <w:pPr>
        <w:pStyle w:val="ListParagraph"/>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b/>
        <w:t xml:space="preserve">The action </w:t>
      </w:r>
      <w:r w:rsidRPr="00AB6737">
        <w:rPr>
          <w:rFonts w:ascii="Times New Roman" w:hAnsi="Times New Roman" w:cs="Times New Roman"/>
          <w:i/>
          <w:sz w:val="24"/>
          <w:szCs w:val="24"/>
        </w:rPr>
        <w:t>rei vindicatio</w:t>
      </w:r>
      <w:r>
        <w:rPr>
          <w:rFonts w:ascii="Times New Roman" w:hAnsi="Times New Roman" w:cs="Times New Roman"/>
          <w:sz w:val="24"/>
          <w:szCs w:val="24"/>
        </w:rPr>
        <w:t>, as it is commonly referred to</w:t>
      </w:r>
      <w:r w:rsidR="00C0291D">
        <w:rPr>
          <w:rFonts w:ascii="Times New Roman" w:hAnsi="Times New Roman" w:cs="Times New Roman"/>
          <w:sz w:val="24"/>
          <w:szCs w:val="24"/>
        </w:rPr>
        <w:t>, is premised on the principle that</w:t>
      </w:r>
    </w:p>
    <w:p w:rsidR="00C0291D" w:rsidRDefault="00C0291D" w:rsidP="00AB6737">
      <w:pPr>
        <w:pStyle w:val="ListParagraph"/>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an owner cannot be deprived of his property against his will.  The principle was aptly enunciated </w:t>
      </w:r>
    </w:p>
    <w:p w:rsidR="00C0291D" w:rsidRDefault="00C0291D" w:rsidP="00AB6737">
      <w:pPr>
        <w:pStyle w:val="ListParagraph"/>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in </w:t>
      </w:r>
      <w:r w:rsidRPr="00C0291D">
        <w:rPr>
          <w:rFonts w:ascii="Times New Roman" w:hAnsi="Times New Roman" w:cs="Times New Roman"/>
          <w:i/>
          <w:sz w:val="24"/>
          <w:szCs w:val="24"/>
        </w:rPr>
        <w:t xml:space="preserve">Zavaza </w:t>
      </w:r>
      <w:r w:rsidRPr="00C0291D">
        <w:rPr>
          <w:rFonts w:ascii="Times New Roman" w:hAnsi="Times New Roman" w:cs="Times New Roman"/>
          <w:sz w:val="24"/>
          <w:szCs w:val="24"/>
        </w:rPr>
        <w:t>v</w:t>
      </w:r>
      <w:r w:rsidRPr="00C0291D">
        <w:rPr>
          <w:rFonts w:ascii="Times New Roman" w:hAnsi="Times New Roman" w:cs="Times New Roman"/>
          <w:i/>
          <w:sz w:val="24"/>
          <w:szCs w:val="24"/>
        </w:rPr>
        <w:t xml:space="preserve"> Tenderere &amp; Ors,</w:t>
      </w:r>
      <w:r>
        <w:rPr>
          <w:rFonts w:ascii="Times New Roman" w:hAnsi="Times New Roman" w:cs="Times New Roman"/>
          <w:sz w:val="24"/>
          <w:szCs w:val="24"/>
        </w:rPr>
        <w:t xml:space="preserve"> HH 740/15 which stressed that an owner is entitled to recover his </w:t>
      </w:r>
    </w:p>
    <w:p w:rsidR="00C0291D" w:rsidRDefault="00C0291D" w:rsidP="00AB6737">
      <w:pPr>
        <w:pStyle w:val="ListParagraph"/>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property from any person who is in the possession of it without his consent.</w:t>
      </w:r>
    </w:p>
    <w:p w:rsidR="00C0291D" w:rsidRDefault="00C0291D" w:rsidP="00933EB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right of an owner to vindicate his property from </w:t>
      </w:r>
      <w:r w:rsidR="00933EB1">
        <w:rPr>
          <w:rFonts w:ascii="Times New Roman" w:hAnsi="Times New Roman" w:cs="Times New Roman"/>
          <w:sz w:val="24"/>
          <w:szCs w:val="24"/>
        </w:rPr>
        <w:t>whosoever</w:t>
      </w:r>
      <w:r>
        <w:rPr>
          <w:rFonts w:ascii="Times New Roman" w:hAnsi="Times New Roman" w:cs="Times New Roman"/>
          <w:sz w:val="24"/>
          <w:szCs w:val="24"/>
        </w:rPr>
        <w:t xml:space="preserve"> is holding it against his w</w:t>
      </w:r>
      <w:r w:rsidR="00933EB1">
        <w:rPr>
          <w:rFonts w:ascii="Times New Roman" w:hAnsi="Times New Roman" w:cs="Times New Roman"/>
          <w:sz w:val="24"/>
          <w:szCs w:val="24"/>
        </w:rPr>
        <w:t>ill is, by and large, absolute.  It is not open to debate.  The court spelt out the s</w:t>
      </w:r>
      <w:r w:rsidR="00DA1C7E">
        <w:rPr>
          <w:rFonts w:ascii="Times New Roman" w:hAnsi="Times New Roman" w:cs="Times New Roman"/>
          <w:sz w:val="24"/>
          <w:szCs w:val="24"/>
        </w:rPr>
        <w:t>t</w:t>
      </w:r>
      <w:r w:rsidR="00933EB1">
        <w:rPr>
          <w:rFonts w:ascii="Times New Roman" w:hAnsi="Times New Roman" w:cs="Times New Roman"/>
          <w:sz w:val="24"/>
          <w:szCs w:val="24"/>
        </w:rPr>
        <w:t xml:space="preserve">ated right in </w:t>
      </w:r>
      <w:r w:rsidR="00933EB1" w:rsidRPr="00933EB1">
        <w:rPr>
          <w:rFonts w:ascii="Times New Roman" w:hAnsi="Times New Roman" w:cs="Times New Roman"/>
          <w:i/>
          <w:sz w:val="24"/>
          <w:szCs w:val="24"/>
        </w:rPr>
        <w:t xml:space="preserve">Alspite Investments (Pvt) Ltd </w:t>
      </w:r>
      <w:r w:rsidR="00933EB1" w:rsidRPr="00933EB1">
        <w:rPr>
          <w:rFonts w:ascii="Times New Roman" w:hAnsi="Times New Roman" w:cs="Times New Roman"/>
          <w:sz w:val="24"/>
          <w:szCs w:val="24"/>
        </w:rPr>
        <w:t xml:space="preserve">v </w:t>
      </w:r>
      <w:r w:rsidR="00933EB1" w:rsidRPr="00933EB1">
        <w:rPr>
          <w:rFonts w:ascii="Times New Roman" w:hAnsi="Times New Roman" w:cs="Times New Roman"/>
          <w:i/>
          <w:sz w:val="24"/>
          <w:szCs w:val="24"/>
        </w:rPr>
        <w:t>Westerhoff</w:t>
      </w:r>
      <w:r w:rsidR="00DA1C7E">
        <w:rPr>
          <w:rFonts w:ascii="Times New Roman" w:hAnsi="Times New Roman" w:cs="Times New Roman"/>
          <w:sz w:val="24"/>
          <w:szCs w:val="24"/>
        </w:rPr>
        <w:t xml:space="preserve"> </w:t>
      </w:r>
      <w:r w:rsidR="00933EB1">
        <w:rPr>
          <w:rFonts w:ascii="Times New Roman" w:hAnsi="Times New Roman" w:cs="Times New Roman"/>
          <w:sz w:val="24"/>
          <w:szCs w:val="24"/>
        </w:rPr>
        <w:t>2009 (2) ZLR 226 (H) at 237 C-D wherein it remarked that:</w:t>
      </w:r>
    </w:p>
    <w:p w:rsidR="00933EB1" w:rsidRDefault="00933EB1" w:rsidP="00351309">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“There are no equities in the application for </w:t>
      </w:r>
      <w:r w:rsidRPr="00DA1C7E">
        <w:rPr>
          <w:rFonts w:ascii="Times New Roman" w:hAnsi="Times New Roman" w:cs="Times New Roman"/>
          <w:i/>
        </w:rPr>
        <w:t>rei vindication</w:t>
      </w:r>
      <w:r>
        <w:rPr>
          <w:rFonts w:ascii="Times New Roman" w:hAnsi="Times New Roman" w:cs="Times New Roman"/>
        </w:rPr>
        <w:t xml:space="preserve">. Thus, in applying the principle, the </w:t>
      </w:r>
      <w:r w:rsidR="00351309">
        <w:rPr>
          <w:rFonts w:ascii="Times New Roman" w:hAnsi="Times New Roman" w:cs="Times New Roman"/>
        </w:rPr>
        <w:tab/>
      </w:r>
      <w:r>
        <w:rPr>
          <w:rFonts w:ascii="Times New Roman" w:hAnsi="Times New Roman" w:cs="Times New Roman"/>
        </w:rPr>
        <w:t xml:space="preserve">court may not </w:t>
      </w:r>
      <w:r w:rsidR="00A637D7">
        <w:rPr>
          <w:rFonts w:ascii="Times New Roman" w:hAnsi="Times New Roman" w:cs="Times New Roman"/>
        </w:rPr>
        <w:t>accept</w:t>
      </w:r>
      <w:r>
        <w:rPr>
          <w:rFonts w:ascii="Times New Roman" w:hAnsi="Times New Roman" w:cs="Times New Roman"/>
        </w:rPr>
        <w:t xml:space="preserve"> and grant pleas of mercy or for extension of possession of the property by the </w:t>
      </w:r>
      <w:r w:rsidR="00351309">
        <w:rPr>
          <w:rFonts w:ascii="Times New Roman" w:hAnsi="Times New Roman" w:cs="Times New Roman"/>
        </w:rPr>
        <w:tab/>
      </w:r>
      <w:r>
        <w:rPr>
          <w:rFonts w:ascii="Times New Roman" w:hAnsi="Times New Roman" w:cs="Times New Roman"/>
        </w:rPr>
        <w:t xml:space="preserve">defendant against an </w:t>
      </w:r>
      <w:r w:rsidR="00A637D7">
        <w:rPr>
          <w:rFonts w:ascii="Times New Roman" w:hAnsi="Times New Roman" w:cs="Times New Roman"/>
        </w:rPr>
        <w:t>order</w:t>
      </w:r>
      <w:r>
        <w:rPr>
          <w:rFonts w:ascii="Times New Roman" w:hAnsi="Times New Roman" w:cs="Times New Roman"/>
        </w:rPr>
        <w:t xml:space="preserve"> for the </w:t>
      </w:r>
      <w:r w:rsidR="00A637D7">
        <w:rPr>
          <w:rFonts w:ascii="Times New Roman" w:hAnsi="Times New Roman" w:cs="Times New Roman"/>
        </w:rPr>
        <w:t xml:space="preserve">convenience or comfort of the possessor once it is accepted that </w:t>
      </w:r>
      <w:r w:rsidR="00351309">
        <w:rPr>
          <w:rFonts w:ascii="Times New Roman" w:hAnsi="Times New Roman" w:cs="Times New Roman"/>
        </w:rPr>
        <w:tab/>
      </w:r>
      <w:r w:rsidR="00A637D7">
        <w:rPr>
          <w:rFonts w:ascii="Times New Roman" w:hAnsi="Times New Roman" w:cs="Times New Roman"/>
        </w:rPr>
        <w:t xml:space="preserve">the plaintiff is the owner of the property and does not consent to the defendant holding it. It is a </w:t>
      </w:r>
      <w:r w:rsidR="00351309">
        <w:rPr>
          <w:rFonts w:ascii="Times New Roman" w:hAnsi="Times New Roman" w:cs="Times New Roman"/>
        </w:rPr>
        <w:tab/>
      </w:r>
      <w:r w:rsidR="00A637D7">
        <w:rPr>
          <w:rFonts w:ascii="Times New Roman" w:hAnsi="Times New Roman" w:cs="Times New Roman"/>
        </w:rPr>
        <w:t xml:space="preserve">rule or principle of law that admits no discretion on the part of the court. It is a legal principle </w:t>
      </w:r>
      <w:r w:rsidR="00351309">
        <w:rPr>
          <w:rFonts w:ascii="Times New Roman" w:hAnsi="Times New Roman" w:cs="Times New Roman"/>
        </w:rPr>
        <w:tab/>
      </w:r>
      <w:r w:rsidR="00A637D7">
        <w:rPr>
          <w:rFonts w:ascii="Times New Roman" w:hAnsi="Times New Roman" w:cs="Times New Roman"/>
        </w:rPr>
        <w:t xml:space="preserve">heavily weighted in favour of property owners against the whole </w:t>
      </w:r>
      <w:r w:rsidR="00351309">
        <w:rPr>
          <w:rFonts w:ascii="Times New Roman" w:hAnsi="Times New Roman" w:cs="Times New Roman"/>
        </w:rPr>
        <w:t>world</w:t>
      </w:r>
      <w:r w:rsidR="00A637D7">
        <w:rPr>
          <w:rFonts w:ascii="Times New Roman" w:hAnsi="Times New Roman" w:cs="Times New Roman"/>
        </w:rPr>
        <w:t xml:space="preserve"> and is used ruthlessly to </w:t>
      </w:r>
      <w:r w:rsidR="00351309">
        <w:rPr>
          <w:rFonts w:ascii="Times New Roman" w:hAnsi="Times New Roman" w:cs="Times New Roman"/>
        </w:rPr>
        <w:tab/>
      </w:r>
      <w:r w:rsidR="00A637D7">
        <w:rPr>
          <w:rFonts w:ascii="Times New Roman" w:hAnsi="Times New Roman" w:cs="Times New Roman"/>
        </w:rPr>
        <w:t xml:space="preserve">protect </w:t>
      </w:r>
      <w:r w:rsidR="00351309">
        <w:rPr>
          <w:rFonts w:ascii="Times New Roman" w:hAnsi="Times New Roman" w:cs="Times New Roman"/>
        </w:rPr>
        <w:t>ownership</w:t>
      </w:r>
      <w:r w:rsidR="00A637D7">
        <w:rPr>
          <w:rFonts w:ascii="Times New Roman" w:hAnsi="Times New Roman" w:cs="Times New Roman"/>
        </w:rPr>
        <w:t>.”</w:t>
      </w:r>
    </w:p>
    <w:p w:rsidR="00351309" w:rsidRDefault="00351309" w:rsidP="00351309">
      <w:pPr>
        <w:pStyle w:val="ListParagraph"/>
        <w:spacing w:after="0" w:line="240" w:lineRule="auto"/>
        <w:ind w:left="0"/>
        <w:jc w:val="both"/>
        <w:rPr>
          <w:rFonts w:ascii="Times New Roman" w:hAnsi="Times New Roman" w:cs="Times New Roman"/>
        </w:rPr>
      </w:pPr>
      <w:r>
        <w:rPr>
          <w:rFonts w:ascii="Times New Roman" w:hAnsi="Times New Roman" w:cs="Times New Roman"/>
        </w:rPr>
        <w:tab/>
      </w:r>
    </w:p>
    <w:p w:rsidR="00351309" w:rsidRDefault="00351309" w:rsidP="0035130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Annexures B, C and G which respectively appear at pages 7, 12 and 41 show, in clear and unambiguous terms, that the applicant purchased the property which Edward transferred into its name after it had </w:t>
      </w:r>
      <w:r w:rsidR="008B687B">
        <w:rPr>
          <w:rFonts w:ascii="Times New Roman" w:hAnsi="Times New Roman" w:cs="Times New Roman"/>
          <w:sz w:val="24"/>
          <w:szCs w:val="24"/>
        </w:rPr>
        <w:t xml:space="preserve">paid </w:t>
      </w:r>
      <w:r>
        <w:rPr>
          <w:rFonts w:ascii="Times New Roman" w:hAnsi="Times New Roman" w:cs="Times New Roman"/>
          <w:sz w:val="24"/>
          <w:szCs w:val="24"/>
        </w:rPr>
        <w:t>purchase price for the same.  The applicant has</w:t>
      </w:r>
      <w:r w:rsidR="006861FE">
        <w:rPr>
          <w:rFonts w:ascii="Times New Roman" w:hAnsi="Times New Roman" w:cs="Times New Roman"/>
          <w:sz w:val="24"/>
          <w:szCs w:val="24"/>
        </w:rPr>
        <w:t xml:space="preserve">, therefore, the requisite </w:t>
      </w:r>
      <w:r w:rsidR="006861FE" w:rsidRPr="008B687B">
        <w:rPr>
          <w:rFonts w:ascii="Times New Roman" w:hAnsi="Times New Roman" w:cs="Times New Roman"/>
          <w:i/>
          <w:sz w:val="24"/>
          <w:szCs w:val="24"/>
        </w:rPr>
        <w:t>locus</w:t>
      </w:r>
      <w:r w:rsidR="006861FE">
        <w:rPr>
          <w:rFonts w:ascii="Times New Roman" w:hAnsi="Times New Roman" w:cs="Times New Roman"/>
          <w:sz w:val="24"/>
          <w:szCs w:val="24"/>
        </w:rPr>
        <w:t xml:space="preserve"> to sue and vindicate its property from the respondents.</w:t>
      </w:r>
    </w:p>
    <w:p w:rsidR="006861FE" w:rsidRDefault="006861FE" w:rsidP="0035130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Because the applicant proved its </w:t>
      </w:r>
      <w:r w:rsidRPr="008B687B">
        <w:rPr>
          <w:rFonts w:ascii="Times New Roman" w:hAnsi="Times New Roman" w:cs="Times New Roman"/>
          <w:i/>
          <w:sz w:val="24"/>
          <w:szCs w:val="24"/>
        </w:rPr>
        <w:t>locus</w:t>
      </w:r>
      <w:r>
        <w:rPr>
          <w:rFonts w:ascii="Times New Roman" w:hAnsi="Times New Roman" w:cs="Times New Roman"/>
          <w:sz w:val="24"/>
          <w:szCs w:val="24"/>
        </w:rPr>
        <w:t xml:space="preserve">, on a balance of probabilities, the </w:t>
      </w:r>
      <w:r w:rsidRPr="008B687B">
        <w:rPr>
          <w:rFonts w:ascii="Times New Roman" w:hAnsi="Times New Roman" w:cs="Times New Roman"/>
          <w:i/>
          <w:sz w:val="24"/>
          <w:szCs w:val="24"/>
        </w:rPr>
        <w:t>onus</w:t>
      </w:r>
      <w:r>
        <w:rPr>
          <w:rFonts w:ascii="Times New Roman" w:hAnsi="Times New Roman" w:cs="Times New Roman"/>
          <w:sz w:val="24"/>
          <w:szCs w:val="24"/>
        </w:rPr>
        <w:t xml:space="preserve"> shifts onto the respondents to rebut the assertions of the applicant.  They, in other words, should prove a right </w:t>
      </w:r>
      <w:r>
        <w:rPr>
          <w:rFonts w:ascii="Times New Roman" w:hAnsi="Times New Roman" w:cs="Times New Roman"/>
          <w:sz w:val="24"/>
          <w:szCs w:val="24"/>
        </w:rPr>
        <w:lastRenderedPageBreak/>
        <w:t>of retention</w:t>
      </w:r>
      <w:r w:rsidR="008B68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861FE">
        <w:rPr>
          <w:rFonts w:ascii="Times New Roman" w:hAnsi="Times New Roman" w:cs="Times New Roman"/>
          <w:i/>
          <w:sz w:val="24"/>
          <w:szCs w:val="24"/>
        </w:rPr>
        <w:t xml:space="preserve">Jolly </w:t>
      </w:r>
      <w:r w:rsidRPr="006861FE">
        <w:rPr>
          <w:rFonts w:ascii="Times New Roman" w:hAnsi="Times New Roman" w:cs="Times New Roman"/>
          <w:sz w:val="24"/>
          <w:szCs w:val="24"/>
        </w:rPr>
        <w:t>v</w:t>
      </w:r>
      <w:r w:rsidRPr="006861FE">
        <w:rPr>
          <w:rFonts w:ascii="Times New Roman" w:hAnsi="Times New Roman" w:cs="Times New Roman"/>
          <w:i/>
          <w:sz w:val="24"/>
          <w:szCs w:val="24"/>
        </w:rPr>
        <w:t xml:space="preserve"> Asharon &amp; Anor</w:t>
      </w:r>
      <w:r>
        <w:rPr>
          <w:rFonts w:ascii="Times New Roman" w:hAnsi="Times New Roman" w:cs="Times New Roman"/>
          <w:sz w:val="24"/>
          <w:szCs w:val="24"/>
        </w:rPr>
        <w:t xml:space="preserve"> 1998 (2) ZRL 78 (H) at 88 A-B, </w:t>
      </w:r>
      <w:r w:rsidRPr="006861FE">
        <w:rPr>
          <w:rFonts w:ascii="Times New Roman" w:hAnsi="Times New Roman" w:cs="Times New Roman"/>
          <w:i/>
          <w:sz w:val="24"/>
          <w:szCs w:val="24"/>
        </w:rPr>
        <w:t xml:space="preserve">Chetty </w:t>
      </w:r>
      <w:r w:rsidRPr="006861FE">
        <w:rPr>
          <w:rFonts w:ascii="Times New Roman" w:hAnsi="Times New Roman" w:cs="Times New Roman"/>
          <w:sz w:val="24"/>
          <w:szCs w:val="24"/>
        </w:rPr>
        <w:t>v</w:t>
      </w:r>
      <w:r w:rsidRPr="006861FE">
        <w:rPr>
          <w:rFonts w:ascii="Times New Roman" w:hAnsi="Times New Roman" w:cs="Times New Roman"/>
          <w:i/>
          <w:sz w:val="24"/>
          <w:szCs w:val="24"/>
        </w:rPr>
        <w:t xml:space="preserve"> Naidoo</w:t>
      </w:r>
      <w:r>
        <w:rPr>
          <w:rFonts w:ascii="Times New Roman" w:hAnsi="Times New Roman" w:cs="Times New Roman"/>
          <w:sz w:val="24"/>
          <w:szCs w:val="24"/>
        </w:rPr>
        <w:t xml:space="preserve"> 1974 (3) SA 13 (A) at 20 A-C and </w:t>
      </w:r>
      <w:r w:rsidRPr="006861FE">
        <w:rPr>
          <w:rFonts w:ascii="Times New Roman" w:hAnsi="Times New Roman" w:cs="Times New Roman"/>
          <w:i/>
          <w:sz w:val="24"/>
          <w:szCs w:val="24"/>
        </w:rPr>
        <w:t xml:space="preserve">Stanbic Finance Zimbabwe Ltd </w:t>
      </w:r>
      <w:r w:rsidRPr="006861FE">
        <w:rPr>
          <w:rFonts w:ascii="Times New Roman" w:hAnsi="Times New Roman" w:cs="Times New Roman"/>
          <w:sz w:val="24"/>
          <w:szCs w:val="24"/>
        </w:rPr>
        <w:t>v</w:t>
      </w:r>
      <w:r w:rsidRPr="006861FE">
        <w:rPr>
          <w:rFonts w:ascii="Times New Roman" w:hAnsi="Times New Roman" w:cs="Times New Roman"/>
          <w:i/>
          <w:sz w:val="24"/>
          <w:szCs w:val="24"/>
        </w:rPr>
        <w:t xml:space="preserve"> Chivhungwa</w:t>
      </w:r>
      <w:r>
        <w:rPr>
          <w:rFonts w:ascii="Times New Roman" w:hAnsi="Times New Roman" w:cs="Times New Roman"/>
          <w:sz w:val="24"/>
          <w:szCs w:val="24"/>
        </w:rPr>
        <w:t xml:space="preserve"> 1999 (1) ZLR 262 (H).</w:t>
      </w:r>
    </w:p>
    <w:p w:rsidR="002128E0" w:rsidRDefault="006861FE" w:rsidP="0035130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defences which are available to a defendant or respondent who faces a suit under the remedy of </w:t>
      </w:r>
      <w:r w:rsidR="008B687B">
        <w:rPr>
          <w:rFonts w:ascii="Times New Roman" w:hAnsi="Times New Roman" w:cs="Times New Roman"/>
          <w:i/>
          <w:sz w:val="24"/>
          <w:szCs w:val="24"/>
        </w:rPr>
        <w:t>rei vindicatio</w:t>
      </w:r>
      <w:r>
        <w:rPr>
          <w:rFonts w:ascii="Times New Roman" w:hAnsi="Times New Roman" w:cs="Times New Roman"/>
          <w:sz w:val="24"/>
          <w:szCs w:val="24"/>
        </w:rPr>
        <w:t xml:space="preserve"> were enunciated in </w:t>
      </w:r>
      <w:r w:rsidRPr="002128E0">
        <w:rPr>
          <w:rFonts w:ascii="Times New Roman" w:hAnsi="Times New Roman" w:cs="Times New Roman"/>
          <w:i/>
          <w:sz w:val="24"/>
          <w:szCs w:val="24"/>
        </w:rPr>
        <w:t xml:space="preserve">African Sun Zimbabwe (Pvt) Ltd </w:t>
      </w:r>
      <w:r w:rsidRPr="002128E0">
        <w:rPr>
          <w:rFonts w:ascii="Times New Roman" w:hAnsi="Times New Roman" w:cs="Times New Roman"/>
          <w:sz w:val="24"/>
          <w:szCs w:val="24"/>
        </w:rPr>
        <w:t>v</w:t>
      </w:r>
      <w:r w:rsidRPr="002128E0">
        <w:rPr>
          <w:rFonts w:ascii="Times New Roman" w:hAnsi="Times New Roman" w:cs="Times New Roman"/>
          <w:i/>
          <w:sz w:val="24"/>
          <w:szCs w:val="24"/>
        </w:rPr>
        <w:t xml:space="preserve"> Mlongoni</w:t>
      </w:r>
      <w:r>
        <w:rPr>
          <w:rFonts w:ascii="Times New Roman" w:hAnsi="Times New Roman" w:cs="Times New Roman"/>
          <w:sz w:val="24"/>
          <w:szCs w:val="24"/>
        </w:rPr>
        <w:t xml:space="preserve"> ZWHHC 332/15 wherein it was remarked that:   </w:t>
      </w:r>
    </w:p>
    <w:p w:rsidR="00156BA7" w:rsidRDefault="002128E0" w:rsidP="00156BA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respondent…must establish a claim of right in respect </w:t>
      </w:r>
      <w:r w:rsidR="00156BA7">
        <w:rPr>
          <w:rFonts w:ascii="Times New Roman" w:hAnsi="Times New Roman" w:cs="Times New Roman"/>
          <w:sz w:val="24"/>
          <w:szCs w:val="24"/>
        </w:rPr>
        <w:t xml:space="preserve">of the property sought to be </w:t>
      </w:r>
      <w:r w:rsidR="00156BA7">
        <w:rPr>
          <w:rFonts w:ascii="Times New Roman" w:hAnsi="Times New Roman" w:cs="Times New Roman"/>
          <w:sz w:val="24"/>
          <w:szCs w:val="24"/>
        </w:rPr>
        <w:tab/>
        <w:t xml:space="preserve">vindicated.  </w:t>
      </w:r>
      <w:r w:rsidR="00156BA7" w:rsidRPr="008B687B">
        <w:rPr>
          <w:rFonts w:ascii="Times New Roman" w:hAnsi="Times New Roman" w:cs="Times New Roman"/>
          <w:i/>
          <w:sz w:val="24"/>
          <w:szCs w:val="24"/>
        </w:rPr>
        <w:t>In Introduction to Law</w:t>
      </w:r>
      <w:r w:rsidR="00156BA7">
        <w:rPr>
          <w:rFonts w:ascii="Times New Roman" w:hAnsi="Times New Roman" w:cs="Times New Roman"/>
          <w:sz w:val="24"/>
          <w:szCs w:val="24"/>
        </w:rPr>
        <w:t xml:space="preserve">, C.G. Van der Merwe &amp; Je Du Plessis summarises (sic) </w:t>
      </w:r>
      <w:r w:rsidR="00156BA7">
        <w:rPr>
          <w:rFonts w:ascii="Times New Roman" w:hAnsi="Times New Roman" w:cs="Times New Roman"/>
          <w:sz w:val="24"/>
          <w:szCs w:val="24"/>
        </w:rPr>
        <w:tab/>
        <w:t xml:space="preserve">defences available to a claim for vindication as follows: </w:t>
      </w:r>
    </w:p>
    <w:p w:rsidR="00156BA7" w:rsidRDefault="00156BA7" w:rsidP="00156BA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156BA7" w:rsidRDefault="008B687B" w:rsidP="00156BA7">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156BA7">
        <w:rPr>
          <w:rFonts w:ascii="Times New Roman" w:hAnsi="Times New Roman" w:cs="Times New Roman"/>
          <w:sz w:val="24"/>
          <w:szCs w:val="24"/>
        </w:rPr>
        <w:t>he defendant had acquired the property by prescription;</w:t>
      </w:r>
    </w:p>
    <w:p w:rsidR="00156BA7" w:rsidRDefault="008B687B" w:rsidP="00156BA7">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156BA7">
        <w:rPr>
          <w:rFonts w:ascii="Times New Roman" w:hAnsi="Times New Roman" w:cs="Times New Roman"/>
          <w:sz w:val="24"/>
          <w:szCs w:val="24"/>
        </w:rPr>
        <w:t>he third party is the owner;</w:t>
      </w:r>
    </w:p>
    <w:p w:rsidR="006861FE" w:rsidRDefault="008B687B" w:rsidP="00156BA7">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156BA7">
        <w:rPr>
          <w:rFonts w:ascii="Times New Roman" w:hAnsi="Times New Roman" w:cs="Times New Roman"/>
          <w:sz w:val="24"/>
          <w:szCs w:val="24"/>
        </w:rPr>
        <w:t>he property was alienated and destroyed; or</w:t>
      </w:r>
    </w:p>
    <w:p w:rsidR="00156BA7" w:rsidRDefault="008B687B" w:rsidP="00156BA7">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156BA7">
        <w:rPr>
          <w:rFonts w:ascii="Times New Roman" w:hAnsi="Times New Roman" w:cs="Times New Roman"/>
          <w:sz w:val="24"/>
          <w:szCs w:val="24"/>
        </w:rPr>
        <w:t>he defendant has a superior contractual right to possess.”</w:t>
      </w:r>
    </w:p>
    <w:p w:rsidR="0054488A" w:rsidRDefault="00156BA7" w:rsidP="005448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4488A" w:rsidRDefault="0054488A" w:rsidP="005448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56BA7">
        <w:rPr>
          <w:rFonts w:ascii="Times New Roman" w:hAnsi="Times New Roman" w:cs="Times New Roman"/>
          <w:sz w:val="24"/>
          <w:szCs w:val="24"/>
        </w:rPr>
        <w:t>That the second respondent is in occupation of the property of the applicant requires little, if any, debate.  The affidavit, Annexure C, which she filed in opposition to the application confirms the observed matter.  That she remains in occupation of the property against the authority and/or consent of the applicant require</w:t>
      </w:r>
      <w:r w:rsidR="008B687B">
        <w:rPr>
          <w:rFonts w:ascii="Times New Roman" w:hAnsi="Times New Roman" w:cs="Times New Roman"/>
          <w:sz w:val="24"/>
          <w:szCs w:val="24"/>
        </w:rPr>
        <w:t>s</w:t>
      </w:r>
      <w:r w:rsidR="00156BA7">
        <w:rPr>
          <w:rFonts w:ascii="Times New Roman" w:hAnsi="Times New Roman" w:cs="Times New Roman"/>
          <w:sz w:val="24"/>
          <w:szCs w:val="24"/>
        </w:rPr>
        <w:t xml:space="preserve"> no debate at all.  She is, in fact, resisting</w:t>
      </w:r>
      <w:r w:rsidR="008B687B">
        <w:rPr>
          <w:rFonts w:ascii="Times New Roman" w:hAnsi="Times New Roman" w:cs="Times New Roman"/>
          <w:sz w:val="24"/>
          <w:szCs w:val="24"/>
        </w:rPr>
        <w:t xml:space="preserve"> the application for</w:t>
      </w:r>
      <w:r w:rsidR="00156BA7">
        <w:rPr>
          <w:rFonts w:ascii="Times New Roman" w:hAnsi="Times New Roman" w:cs="Times New Roman"/>
          <w:sz w:val="24"/>
          <w:szCs w:val="24"/>
        </w:rPr>
        <w:t xml:space="preserve"> eviction</w:t>
      </w:r>
      <w:r w:rsidR="008B687B">
        <w:rPr>
          <w:rFonts w:ascii="Times New Roman" w:hAnsi="Times New Roman" w:cs="Times New Roman"/>
          <w:sz w:val="24"/>
          <w:szCs w:val="24"/>
        </w:rPr>
        <w:t>.</w:t>
      </w:r>
      <w:r w:rsidR="00156BA7">
        <w:rPr>
          <w:rFonts w:ascii="Times New Roman" w:hAnsi="Times New Roman" w:cs="Times New Roman"/>
          <w:sz w:val="24"/>
          <w:szCs w:val="24"/>
        </w:rPr>
        <w:t xml:space="preserve">  She states, in paragraphs </w:t>
      </w:r>
      <w:r w:rsidR="00F879A9">
        <w:rPr>
          <w:rFonts w:ascii="Times New Roman" w:hAnsi="Times New Roman" w:cs="Times New Roman"/>
          <w:sz w:val="24"/>
          <w:szCs w:val="24"/>
        </w:rPr>
        <w:t xml:space="preserve">2 and 6 </w:t>
      </w:r>
      <w:r w:rsidR="00156BA7">
        <w:rPr>
          <w:rFonts w:ascii="Times New Roman" w:hAnsi="Times New Roman" w:cs="Times New Roman"/>
          <w:sz w:val="24"/>
          <w:szCs w:val="24"/>
        </w:rPr>
        <w:t>of her affidavit, page 27 of the record</w:t>
      </w:r>
      <w:r>
        <w:rPr>
          <w:rFonts w:ascii="Times New Roman" w:hAnsi="Times New Roman" w:cs="Times New Roman"/>
          <w:sz w:val="24"/>
          <w:szCs w:val="24"/>
        </w:rPr>
        <w:t>, that:</w:t>
      </w:r>
    </w:p>
    <w:p w:rsidR="00A54AB5" w:rsidRDefault="0054488A" w:rsidP="00A54A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sidR="00A54AB5">
        <w:rPr>
          <w:rFonts w:ascii="Times New Roman" w:hAnsi="Times New Roman" w:cs="Times New Roman"/>
          <w:sz w:val="24"/>
          <w:szCs w:val="24"/>
        </w:rPr>
        <w:t>. I</w:t>
      </w:r>
      <w:r>
        <w:rPr>
          <w:rFonts w:ascii="Times New Roman" w:hAnsi="Times New Roman" w:cs="Times New Roman"/>
          <w:sz w:val="24"/>
          <w:szCs w:val="24"/>
        </w:rPr>
        <w:t xml:space="preserve"> was never told that the flat had been sold by my husband</w:t>
      </w:r>
      <w:r w:rsidR="00A54AB5">
        <w:rPr>
          <w:rFonts w:ascii="Times New Roman" w:hAnsi="Times New Roman" w:cs="Times New Roman"/>
          <w:sz w:val="24"/>
          <w:szCs w:val="24"/>
        </w:rPr>
        <w:t>…..</w:t>
      </w:r>
    </w:p>
    <w:p w:rsidR="00A54AB5" w:rsidRDefault="00A54AB5" w:rsidP="00A54A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3.  …….</w:t>
      </w:r>
    </w:p>
    <w:p w:rsidR="00A54AB5" w:rsidRDefault="00A54AB5" w:rsidP="00A54A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4.  …….</w:t>
      </w:r>
    </w:p>
    <w:p w:rsidR="00A54AB5" w:rsidRDefault="00A54AB5" w:rsidP="00A54A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5.  …….</w:t>
      </w:r>
    </w:p>
    <w:p w:rsidR="00A54AB5" w:rsidRDefault="00A54AB5" w:rsidP="00A54A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6.  I never agreed to vacate the flat permanently.  I have only expressed to </w:t>
      </w:r>
      <w:r w:rsidR="00F879A9">
        <w:rPr>
          <w:rFonts w:ascii="Times New Roman" w:hAnsi="Times New Roman" w:cs="Times New Roman"/>
          <w:sz w:val="24"/>
          <w:szCs w:val="24"/>
        </w:rPr>
        <w:t>A</w:t>
      </w:r>
      <w:r>
        <w:rPr>
          <w:rFonts w:ascii="Times New Roman" w:hAnsi="Times New Roman" w:cs="Times New Roman"/>
          <w:sz w:val="24"/>
          <w:szCs w:val="24"/>
        </w:rPr>
        <w:t xml:space="preserve">pplicant utter </w:t>
      </w:r>
      <w:r>
        <w:rPr>
          <w:rFonts w:ascii="Times New Roman" w:hAnsi="Times New Roman" w:cs="Times New Roman"/>
          <w:sz w:val="24"/>
          <w:szCs w:val="24"/>
        </w:rPr>
        <w:tab/>
        <w:t xml:space="preserve">      surprise and disbelief upon it being indicated that the place I call home for myself and </w:t>
      </w:r>
      <w:r>
        <w:rPr>
          <w:rFonts w:ascii="Times New Roman" w:hAnsi="Times New Roman" w:cs="Times New Roman"/>
          <w:sz w:val="24"/>
          <w:szCs w:val="24"/>
        </w:rPr>
        <w:tab/>
        <w:t xml:space="preserve">      my minor children had been apparently sold without my knowledge and/or consent.”  </w:t>
      </w:r>
      <w:r w:rsidR="00156BA7">
        <w:rPr>
          <w:rFonts w:ascii="Times New Roman" w:hAnsi="Times New Roman" w:cs="Times New Roman"/>
          <w:sz w:val="24"/>
          <w:szCs w:val="24"/>
        </w:rPr>
        <w:t xml:space="preserve"> </w:t>
      </w:r>
    </w:p>
    <w:p w:rsidR="00A54AB5" w:rsidRDefault="00A54AB5" w:rsidP="00A54AB5">
      <w:pPr>
        <w:spacing w:after="0" w:line="240" w:lineRule="auto"/>
        <w:jc w:val="both"/>
        <w:rPr>
          <w:rFonts w:ascii="Times New Roman" w:hAnsi="Times New Roman" w:cs="Times New Roman"/>
          <w:sz w:val="24"/>
          <w:szCs w:val="24"/>
        </w:rPr>
      </w:pPr>
    </w:p>
    <w:p w:rsidR="003D1E4C" w:rsidRDefault="00A54AB5" w:rsidP="00A54A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attitude of the second respondent</w:t>
      </w:r>
      <w:r w:rsidR="00F879A9">
        <w:rPr>
          <w:rFonts w:ascii="Times New Roman" w:hAnsi="Times New Roman" w:cs="Times New Roman"/>
          <w:sz w:val="24"/>
          <w:szCs w:val="24"/>
        </w:rPr>
        <w:t>,</w:t>
      </w:r>
      <w:r>
        <w:rPr>
          <w:rFonts w:ascii="Times New Roman" w:hAnsi="Times New Roman" w:cs="Times New Roman"/>
          <w:sz w:val="24"/>
          <w:szCs w:val="24"/>
        </w:rPr>
        <w:t xml:space="preserve"> as is capture</w:t>
      </w:r>
      <w:r w:rsidR="006878FA">
        <w:rPr>
          <w:rFonts w:ascii="Times New Roman" w:hAnsi="Times New Roman" w:cs="Times New Roman"/>
          <w:sz w:val="24"/>
          <w:szCs w:val="24"/>
        </w:rPr>
        <w:t>d</w:t>
      </w:r>
      <w:r>
        <w:rPr>
          <w:rFonts w:ascii="Times New Roman" w:hAnsi="Times New Roman" w:cs="Times New Roman"/>
          <w:sz w:val="24"/>
          <w:szCs w:val="24"/>
        </w:rPr>
        <w:t xml:space="preserve"> in her above cited words</w:t>
      </w:r>
      <w:r w:rsidR="00F879A9">
        <w:rPr>
          <w:rFonts w:ascii="Times New Roman" w:hAnsi="Times New Roman" w:cs="Times New Roman"/>
          <w:sz w:val="24"/>
          <w:szCs w:val="24"/>
        </w:rPr>
        <w:t>,</w:t>
      </w:r>
      <w:r>
        <w:rPr>
          <w:rFonts w:ascii="Times New Roman" w:hAnsi="Times New Roman" w:cs="Times New Roman"/>
          <w:sz w:val="24"/>
          <w:szCs w:val="24"/>
        </w:rPr>
        <w:t xml:space="preserve"> creates an issue between</w:t>
      </w:r>
      <w:r w:rsidR="009E0EBF">
        <w:rPr>
          <w:rFonts w:ascii="Times New Roman" w:hAnsi="Times New Roman" w:cs="Times New Roman"/>
          <w:sz w:val="24"/>
          <w:szCs w:val="24"/>
        </w:rPr>
        <w:t xml:space="preserve"> the applicant, on the one hand, and the respondents, on the other.  The second respondent is at the property with the knowledge, authority, if not encouragement, of Edward who sold the same to the applicant and transferred title to it.  The presence of the second respondent at the property constitutes the applicant’s cause of action against both respondents.  Her apparent resistance to</w:t>
      </w:r>
      <w:r w:rsidR="003D1E4C">
        <w:rPr>
          <w:rFonts w:ascii="Times New Roman" w:hAnsi="Times New Roman" w:cs="Times New Roman"/>
          <w:sz w:val="24"/>
          <w:szCs w:val="24"/>
        </w:rPr>
        <w:t xml:space="preserve"> vacate the property justifies the present application.  The applicant has no remedy which is available to it other than to apply as it did.  Its suit against both respondents is therefore not without merit.</w:t>
      </w:r>
    </w:p>
    <w:p w:rsidR="009B795C" w:rsidRDefault="003D1E4C" w:rsidP="00A54A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defence which the respondents raise to the application is outside the traditionally recognised defences which a</w:t>
      </w:r>
      <w:r w:rsidR="006878FA">
        <w:rPr>
          <w:rFonts w:ascii="Times New Roman" w:hAnsi="Times New Roman" w:cs="Times New Roman"/>
          <w:sz w:val="24"/>
          <w:szCs w:val="24"/>
        </w:rPr>
        <w:t>re</w:t>
      </w:r>
      <w:r>
        <w:rPr>
          <w:rFonts w:ascii="Times New Roman" w:hAnsi="Times New Roman" w:cs="Times New Roman"/>
          <w:sz w:val="24"/>
          <w:szCs w:val="24"/>
        </w:rPr>
        <w:t xml:space="preserve"> available to a defendant or respondent against whom a suit for vindication is filed.  The defence is </w:t>
      </w:r>
      <w:r w:rsidR="00CF5B17">
        <w:rPr>
          <w:rFonts w:ascii="Times New Roman" w:hAnsi="Times New Roman" w:cs="Times New Roman"/>
          <w:sz w:val="24"/>
          <w:szCs w:val="24"/>
        </w:rPr>
        <w:t xml:space="preserve">not </w:t>
      </w:r>
      <w:r>
        <w:rPr>
          <w:rFonts w:ascii="Times New Roman" w:hAnsi="Times New Roman" w:cs="Times New Roman"/>
          <w:sz w:val="24"/>
          <w:szCs w:val="24"/>
        </w:rPr>
        <w:t xml:space="preserve">only unique.  It is also </w:t>
      </w:r>
      <w:r w:rsidR="009B795C">
        <w:rPr>
          <w:rFonts w:ascii="Times New Roman" w:hAnsi="Times New Roman" w:cs="Times New Roman"/>
          <w:sz w:val="24"/>
          <w:szCs w:val="24"/>
        </w:rPr>
        <w:t>different from, and additional to</w:t>
      </w:r>
      <w:r w:rsidR="00CF5B17">
        <w:rPr>
          <w:rFonts w:ascii="Times New Roman" w:hAnsi="Times New Roman" w:cs="Times New Roman"/>
          <w:sz w:val="24"/>
          <w:szCs w:val="24"/>
        </w:rPr>
        <w:t>,</w:t>
      </w:r>
      <w:r w:rsidR="009B795C">
        <w:rPr>
          <w:rFonts w:ascii="Times New Roman" w:hAnsi="Times New Roman" w:cs="Times New Roman"/>
          <w:sz w:val="24"/>
          <w:szCs w:val="24"/>
        </w:rPr>
        <w:t xml:space="preserve"> the recognised four defences which have been mention</w:t>
      </w:r>
      <w:r w:rsidR="006878FA">
        <w:rPr>
          <w:rFonts w:ascii="Times New Roman" w:hAnsi="Times New Roman" w:cs="Times New Roman"/>
          <w:sz w:val="24"/>
          <w:szCs w:val="24"/>
        </w:rPr>
        <w:t>ed</w:t>
      </w:r>
      <w:r w:rsidR="009B795C">
        <w:rPr>
          <w:rFonts w:ascii="Times New Roman" w:hAnsi="Times New Roman" w:cs="Times New Roman"/>
          <w:sz w:val="24"/>
          <w:szCs w:val="24"/>
        </w:rPr>
        <w:t xml:space="preserve"> in the foregoing part of this judgement. </w:t>
      </w:r>
    </w:p>
    <w:p w:rsidR="00F96F3F" w:rsidRDefault="008953EE" w:rsidP="00A54A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w:t>
      </w:r>
      <w:r w:rsidR="009B795C">
        <w:rPr>
          <w:rFonts w:ascii="Times New Roman" w:hAnsi="Times New Roman" w:cs="Times New Roman"/>
          <w:sz w:val="24"/>
          <w:szCs w:val="24"/>
        </w:rPr>
        <w:t xml:space="preserve"> challenge the efficacy of the contract which Edward concluded with the applicant.</w:t>
      </w:r>
      <w:r w:rsidR="005765FE">
        <w:rPr>
          <w:rFonts w:ascii="Times New Roman" w:hAnsi="Times New Roman" w:cs="Times New Roman"/>
          <w:sz w:val="24"/>
          <w:szCs w:val="24"/>
        </w:rPr>
        <w:t xml:space="preserve">  </w:t>
      </w:r>
      <w:r w:rsidR="009B795C">
        <w:rPr>
          <w:rFonts w:ascii="Times New Roman" w:hAnsi="Times New Roman" w:cs="Times New Roman"/>
          <w:sz w:val="24"/>
          <w:szCs w:val="24"/>
        </w:rPr>
        <w:t xml:space="preserve">They insist that the contract </w:t>
      </w:r>
      <w:r w:rsidR="00515F47">
        <w:rPr>
          <w:rFonts w:ascii="Times New Roman" w:hAnsi="Times New Roman" w:cs="Times New Roman"/>
          <w:sz w:val="24"/>
          <w:szCs w:val="24"/>
        </w:rPr>
        <w:t xml:space="preserve">is </w:t>
      </w:r>
      <w:r w:rsidR="009B795C">
        <w:rPr>
          <w:rFonts w:ascii="Times New Roman" w:hAnsi="Times New Roman" w:cs="Times New Roman"/>
          <w:sz w:val="24"/>
          <w:szCs w:val="24"/>
        </w:rPr>
        <w:t xml:space="preserve">null and void </w:t>
      </w:r>
      <w:r w:rsidR="009B795C" w:rsidRPr="009B795C">
        <w:rPr>
          <w:rFonts w:ascii="Times New Roman" w:hAnsi="Times New Roman" w:cs="Times New Roman"/>
          <w:i/>
          <w:sz w:val="24"/>
          <w:szCs w:val="24"/>
        </w:rPr>
        <w:t>ab initio</w:t>
      </w:r>
      <w:r w:rsidR="009B795C">
        <w:rPr>
          <w:rFonts w:ascii="Times New Roman" w:hAnsi="Times New Roman" w:cs="Times New Roman"/>
          <w:sz w:val="24"/>
          <w:szCs w:val="24"/>
        </w:rPr>
        <w:t xml:space="preserve">.  The nullity of the contract, they claim, is born out of the allegation that Edward was not </w:t>
      </w:r>
      <w:r w:rsidR="00CF5B17">
        <w:rPr>
          <w:rFonts w:ascii="Times New Roman" w:hAnsi="Times New Roman" w:cs="Times New Roman"/>
          <w:sz w:val="24"/>
          <w:szCs w:val="24"/>
        </w:rPr>
        <w:t xml:space="preserve">of </w:t>
      </w:r>
      <w:r w:rsidR="009B795C">
        <w:rPr>
          <w:rFonts w:ascii="Times New Roman" w:hAnsi="Times New Roman" w:cs="Times New Roman"/>
          <w:sz w:val="24"/>
          <w:szCs w:val="24"/>
        </w:rPr>
        <w:t>a sound mind at the time that he entered into the contract with the applicant.  The transfer of the property</w:t>
      </w:r>
      <w:r w:rsidR="009F0710">
        <w:rPr>
          <w:rFonts w:ascii="Times New Roman" w:hAnsi="Times New Roman" w:cs="Times New Roman"/>
          <w:sz w:val="24"/>
          <w:szCs w:val="24"/>
        </w:rPr>
        <w:t xml:space="preserve"> from Edward to the applicant is fatally </w:t>
      </w:r>
      <w:r w:rsidR="00F96F3F">
        <w:rPr>
          <w:rFonts w:ascii="Times New Roman" w:hAnsi="Times New Roman" w:cs="Times New Roman"/>
          <w:sz w:val="24"/>
          <w:szCs w:val="24"/>
        </w:rPr>
        <w:t xml:space="preserve">defective, according to them.  They, in short, challenge the validity of the contract of the parties as well as </w:t>
      </w:r>
      <w:r w:rsidR="00CF5B17">
        <w:rPr>
          <w:rFonts w:ascii="Times New Roman" w:hAnsi="Times New Roman" w:cs="Times New Roman"/>
          <w:sz w:val="24"/>
          <w:szCs w:val="24"/>
        </w:rPr>
        <w:t>the title</w:t>
      </w:r>
      <w:r w:rsidR="00F96F3F">
        <w:rPr>
          <w:rFonts w:ascii="Times New Roman" w:hAnsi="Times New Roman" w:cs="Times New Roman"/>
          <w:sz w:val="24"/>
          <w:szCs w:val="24"/>
        </w:rPr>
        <w:t xml:space="preserve"> deed in terms of which Edward transferred his rights</w:t>
      </w:r>
      <w:r w:rsidR="00C944DE">
        <w:rPr>
          <w:rFonts w:ascii="Times New Roman" w:hAnsi="Times New Roman" w:cs="Times New Roman"/>
          <w:sz w:val="24"/>
          <w:szCs w:val="24"/>
        </w:rPr>
        <w:t xml:space="preserve"> and interests in the property t</w:t>
      </w:r>
      <w:r w:rsidR="00F96F3F">
        <w:rPr>
          <w:rFonts w:ascii="Times New Roman" w:hAnsi="Times New Roman" w:cs="Times New Roman"/>
          <w:sz w:val="24"/>
          <w:szCs w:val="24"/>
        </w:rPr>
        <w:t xml:space="preserve">o the applicant. </w:t>
      </w:r>
    </w:p>
    <w:p w:rsidR="00506E66" w:rsidRDefault="00F96F3F" w:rsidP="00A54A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centre of the respondent</w:t>
      </w:r>
      <w:r w:rsidR="00CF5B17">
        <w:rPr>
          <w:rFonts w:ascii="Times New Roman" w:hAnsi="Times New Roman" w:cs="Times New Roman"/>
          <w:sz w:val="24"/>
          <w:szCs w:val="24"/>
        </w:rPr>
        <w:t>s</w:t>
      </w:r>
      <w:r>
        <w:rPr>
          <w:rFonts w:ascii="Times New Roman" w:hAnsi="Times New Roman" w:cs="Times New Roman"/>
          <w:sz w:val="24"/>
          <w:szCs w:val="24"/>
        </w:rPr>
        <w:t xml:space="preserve">’ defence is HC 1764/17.  They attached this to their notice of </w:t>
      </w:r>
      <w:r w:rsidR="00CF5B17">
        <w:rPr>
          <w:rFonts w:ascii="Times New Roman" w:hAnsi="Times New Roman" w:cs="Times New Roman"/>
          <w:sz w:val="24"/>
          <w:szCs w:val="24"/>
        </w:rPr>
        <w:t>o</w:t>
      </w:r>
      <w:r>
        <w:rPr>
          <w:rFonts w:ascii="Times New Roman" w:hAnsi="Times New Roman" w:cs="Times New Roman"/>
          <w:sz w:val="24"/>
          <w:szCs w:val="24"/>
        </w:rPr>
        <w:t>pposition.  They called it Annexure A</w:t>
      </w:r>
      <w:r w:rsidR="00CF5B17">
        <w:rPr>
          <w:rFonts w:ascii="Times New Roman" w:hAnsi="Times New Roman" w:cs="Times New Roman"/>
          <w:sz w:val="24"/>
          <w:szCs w:val="24"/>
        </w:rPr>
        <w:t>.  I</w:t>
      </w:r>
      <w:r>
        <w:rPr>
          <w:rFonts w:ascii="Times New Roman" w:hAnsi="Times New Roman" w:cs="Times New Roman"/>
          <w:sz w:val="24"/>
          <w:szCs w:val="24"/>
        </w:rPr>
        <w:t>t appears at page 24 of the record.  I</w:t>
      </w:r>
      <w:r w:rsidR="00515F47">
        <w:rPr>
          <w:rFonts w:ascii="Times New Roman" w:hAnsi="Times New Roman" w:cs="Times New Roman"/>
          <w:sz w:val="24"/>
          <w:szCs w:val="24"/>
        </w:rPr>
        <w:t>t is in t</w:t>
      </w:r>
      <w:r w:rsidR="00506E66">
        <w:rPr>
          <w:rFonts w:ascii="Times New Roman" w:hAnsi="Times New Roman" w:cs="Times New Roman"/>
          <w:sz w:val="24"/>
          <w:szCs w:val="24"/>
        </w:rPr>
        <w:t xml:space="preserve">he same that the court appointed one Eprem Whingwiri (“Eprem”), who deposed to the respondents’ opposing affidavit, </w:t>
      </w:r>
      <w:r w:rsidR="00515F47">
        <w:rPr>
          <w:rFonts w:ascii="Times New Roman" w:hAnsi="Times New Roman" w:cs="Times New Roman"/>
          <w:sz w:val="24"/>
          <w:szCs w:val="24"/>
        </w:rPr>
        <w:t>a</w:t>
      </w:r>
      <w:r w:rsidR="00506E66">
        <w:rPr>
          <w:rFonts w:ascii="Times New Roman" w:hAnsi="Times New Roman" w:cs="Times New Roman"/>
          <w:sz w:val="24"/>
          <w:szCs w:val="24"/>
        </w:rPr>
        <w:t xml:space="preserve">s curator </w:t>
      </w:r>
      <w:r w:rsidR="00506E66" w:rsidRPr="00515F47">
        <w:rPr>
          <w:rFonts w:ascii="Times New Roman" w:hAnsi="Times New Roman" w:cs="Times New Roman"/>
          <w:i/>
          <w:sz w:val="24"/>
          <w:szCs w:val="24"/>
        </w:rPr>
        <w:t>ad litem</w:t>
      </w:r>
      <w:r w:rsidR="00506E66">
        <w:rPr>
          <w:rFonts w:ascii="Times New Roman" w:hAnsi="Times New Roman" w:cs="Times New Roman"/>
          <w:sz w:val="24"/>
          <w:szCs w:val="24"/>
        </w:rPr>
        <w:t xml:space="preserve"> in the matter.  The order in terms of which Eprem was appointed curator reads as follows:</w:t>
      </w:r>
      <w:r>
        <w:rPr>
          <w:rFonts w:ascii="Times New Roman" w:hAnsi="Times New Roman" w:cs="Times New Roman"/>
          <w:sz w:val="24"/>
          <w:szCs w:val="24"/>
        </w:rPr>
        <w:t xml:space="preserve">   </w:t>
      </w:r>
    </w:p>
    <w:p w:rsidR="00506E66" w:rsidRDefault="00506E66" w:rsidP="00A54A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rsidR="00506E66" w:rsidRDefault="00506E66" w:rsidP="00A54A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Eprem Whingwiri be and is hereby appointed curator </w:t>
      </w:r>
      <w:r w:rsidRPr="00515F47">
        <w:rPr>
          <w:rFonts w:ascii="Times New Roman" w:hAnsi="Times New Roman" w:cs="Times New Roman"/>
          <w:i/>
          <w:sz w:val="24"/>
          <w:szCs w:val="24"/>
        </w:rPr>
        <w:t>ad litem</w:t>
      </w:r>
      <w:r>
        <w:rPr>
          <w:rFonts w:ascii="Times New Roman" w:hAnsi="Times New Roman" w:cs="Times New Roman"/>
          <w:sz w:val="24"/>
          <w:szCs w:val="24"/>
        </w:rPr>
        <w:t xml:space="preserve"> </w:t>
      </w:r>
      <w:r w:rsidRPr="00C944DE">
        <w:rPr>
          <w:rFonts w:ascii="Times New Roman" w:hAnsi="Times New Roman" w:cs="Times New Roman"/>
          <w:i/>
          <w:sz w:val="24"/>
          <w:szCs w:val="24"/>
        </w:rPr>
        <w:t>in this matter</w:t>
      </w:r>
      <w:r>
        <w:rPr>
          <w:rFonts w:ascii="Times New Roman" w:hAnsi="Times New Roman" w:cs="Times New Roman"/>
          <w:sz w:val="24"/>
          <w:szCs w:val="24"/>
        </w:rPr>
        <w:t>.”</w:t>
      </w:r>
    </w:p>
    <w:p w:rsidR="003F373C" w:rsidRDefault="00506E66" w:rsidP="00A54A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order, it is observed, does not state or define the </w:t>
      </w:r>
      <w:r w:rsidRPr="00C944DE">
        <w:rPr>
          <w:rFonts w:ascii="Times New Roman" w:hAnsi="Times New Roman" w:cs="Times New Roman"/>
          <w:i/>
          <w:sz w:val="24"/>
          <w:szCs w:val="24"/>
        </w:rPr>
        <w:t>matter</w:t>
      </w:r>
      <w:r>
        <w:rPr>
          <w:rFonts w:ascii="Times New Roman" w:hAnsi="Times New Roman" w:cs="Times New Roman"/>
          <w:sz w:val="24"/>
          <w:szCs w:val="24"/>
        </w:rPr>
        <w:t xml:space="preserve"> in respect of which Eprem was appointed curator.  However, a reading of the affidavit which one Jonas Dondo, counsel for Edward, deposed to on 17 February 2017 under HC 1764/17, shows that the </w:t>
      </w:r>
      <w:r w:rsidRPr="00C944DE">
        <w:rPr>
          <w:rFonts w:ascii="Times New Roman" w:hAnsi="Times New Roman" w:cs="Times New Roman"/>
          <w:i/>
          <w:sz w:val="24"/>
          <w:szCs w:val="24"/>
        </w:rPr>
        <w:t>matter</w:t>
      </w:r>
      <w:r>
        <w:rPr>
          <w:rFonts w:ascii="Times New Roman" w:hAnsi="Times New Roman" w:cs="Times New Roman"/>
          <w:sz w:val="24"/>
          <w:szCs w:val="24"/>
        </w:rPr>
        <w:t xml:space="preserve"> for which Eprem was appointed curator was/is HC 3679/16.  Reference is made </w:t>
      </w:r>
      <w:r w:rsidR="00D672A2">
        <w:rPr>
          <w:rFonts w:ascii="Times New Roman" w:hAnsi="Times New Roman" w:cs="Times New Roman"/>
          <w:sz w:val="24"/>
          <w:szCs w:val="24"/>
        </w:rPr>
        <w:t>in the mentioned regard to para 10 of counsel’s affidavit.  This appears at page 39 of the record</w:t>
      </w:r>
      <w:r w:rsidR="00CF5B17">
        <w:rPr>
          <w:rFonts w:ascii="Times New Roman" w:hAnsi="Times New Roman" w:cs="Times New Roman"/>
          <w:sz w:val="24"/>
          <w:szCs w:val="24"/>
        </w:rPr>
        <w:t>.</w:t>
      </w:r>
      <w:r w:rsidR="00117F9B">
        <w:rPr>
          <w:rFonts w:ascii="Times New Roman" w:hAnsi="Times New Roman" w:cs="Times New Roman"/>
          <w:sz w:val="24"/>
          <w:szCs w:val="24"/>
        </w:rPr>
        <w:t xml:space="preserve">  It reads:</w:t>
      </w:r>
    </w:p>
    <w:p w:rsidR="00367AEB" w:rsidRDefault="003F373C" w:rsidP="003F37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rPr>
        <w:t xml:space="preserve">“10.  For </w:t>
      </w:r>
      <w:r w:rsidR="00CE36BA">
        <w:rPr>
          <w:rFonts w:ascii="Times New Roman" w:hAnsi="Times New Roman" w:cs="Times New Roman"/>
        </w:rPr>
        <w:t xml:space="preserve">EDWARD MASHIRINGWANI’S </w:t>
      </w:r>
      <w:r>
        <w:rPr>
          <w:rFonts w:ascii="Times New Roman" w:hAnsi="Times New Roman" w:cs="Times New Roman"/>
        </w:rPr>
        <w:t xml:space="preserve">interests to be adequately protected as per case number </w:t>
      </w:r>
      <w:r w:rsidR="00CE36BA">
        <w:rPr>
          <w:rFonts w:ascii="Times New Roman" w:hAnsi="Times New Roman" w:cs="Times New Roman"/>
        </w:rPr>
        <w:tab/>
        <w:t xml:space="preserve">        </w:t>
      </w:r>
      <w:r>
        <w:rPr>
          <w:rFonts w:ascii="Times New Roman" w:hAnsi="Times New Roman" w:cs="Times New Roman"/>
        </w:rPr>
        <w:t>HC</w:t>
      </w:r>
      <w:r w:rsidR="00CE36BA">
        <w:rPr>
          <w:rFonts w:ascii="Times New Roman" w:hAnsi="Times New Roman" w:cs="Times New Roman"/>
        </w:rPr>
        <w:t xml:space="preserve"> </w:t>
      </w:r>
      <w:r>
        <w:rPr>
          <w:rFonts w:ascii="Times New Roman" w:hAnsi="Times New Roman" w:cs="Times New Roman"/>
        </w:rPr>
        <w:t xml:space="preserve">3679/16 and other threatened lawsuits, it is imperative that a curator </w:t>
      </w:r>
      <w:r w:rsidRPr="00CE36BA">
        <w:rPr>
          <w:rFonts w:ascii="Times New Roman" w:hAnsi="Times New Roman" w:cs="Times New Roman"/>
          <w:i/>
        </w:rPr>
        <w:t>ad litem</w:t>
      </w:r>
      <w:r>
        <w:rPr>
          <w:rFonts w:ascii="Times New Roman" w:hAnsi="Times New Roman" w:cs="Times New Roman"/>
        </w:rPr>
        <w:t xml:space="preserve"> be appointed </w:t>
      </w:r>
      <w:r w:rsidR="00CE36BA">
        <w:rPr>
          <w:rFonts w:ascii="Times New Roman" w:hAnsi="Times New Roman" w:cs="Times New Roman"/>
        </w:rPr>
        <w:tab/>
        <w:t xml:space="preserve">         </w:t>
      </w:r>
      <w:r>
        <w:rPr>
          <w:rFonts w:ascii="Times New Roman" w:hAnsi="Times New Roman" w:cs="Times New Roman"/>
        </w:rPr>
        <w:t>to step into Edward’s shoes.”</w:t>
      </w:r>
      <w:r w:rsidR="00D672A2">
        <w:rPr>
          <w:rFonts w:ascii="Times New Roman" w:hAnsi="Times New Roman" w:cs="Times New Roman"/>
          <w:sz w:val="24"/>
          <w:szCs w:val="24"/>
        </w:rPr>
        <w:t xml:space="preserve"> </w:t>
      </w:r>
    </w:p>
    <w:p w:rsidR="00367AEB" w:rsidRDefault="00367AEB" w:rsidP="003F373C">
      <w:pPr>
        <w:spacing w:after="0" w:line="240" w:lineRule="auto"/>
        <w:jc w:val="both"/>
        <w:rPr>
          <w:rFonts w:ascii="Times New Roman" w:hAnsi="Times New Roman" w:cs="Times New Roman"/>
          <w:sz w:val="24"/>
          <w:szCs w:val="24"/>
        </w:rPr>
      </w:pPr>
    </w:p>
    <w:p w:rsidR="0036326E" w:rsidRDefault="00367AEB" w:rsidP="00363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intention of the application which counsel filed for, and on behalf of, Edward under HC 1764/17 was clear.  Its import was to appoint Eprem as curator for Edward’s estate as well as his affairs.  Eprem</w:t>
      </w:r>
      <w:r w:rsidR="0036326E">
        <w:rPr>
          <w:rFonts w:ascii="Times New Roman" w:hAnsi="Times New Roman" w:cs="Times New Roman"/>
          <w:sz w:val="24"/>
          <w:szCs w:val="24"/>
        </w:rPr>
        <w:t xml:space="preserve"> was, according to the application, to step into the shoes of Edward and manage the latter’s estate and/or his affairs without any exception or limitation. </w:t>
      </w:r>
    </w:p>
    <w:p w:rsidR="0036326E" w:rsidRDefault="0036326E" w:rsidP="00363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unfortunate that the order which the court issued under HC 1764/17 does not reflect the intention of the application.  If it did, Eprem</w:t>
      </w:r>
      <w:r w:rsidR="00040FDD">
        <w:rPr>
          <w:rFonts w:ascii="Times New Roman" w:hAnsi="Times New Roman" w:cs="Times New Roman"/>
          <w:sz w:val="24"/>
          <w:szCs w:val="24"/>
        </w:rPr>
        <w:t>’s</w:t>
      </w:r>
      <w:r>
        <w:rPr>
          <w:rFonts w:ascii="Times New Roman" w:hAnsi="Times New Roman" w:cs="Times New Roman"/>
          <w:sz w:val="24"/>
          <w:szCs w:val="24"/>
        </w:rPr>
        <w:t xml:space="preserve"> appointment as a curator would have been </w:t>
      </w:r>
      <w:r w:rsidRPr="00335AE8">
        <w:rPr>
          <w:rFonts w:ascii="Times New Roman" w:hAnsi="Times New Roman" w:cs="Times New Roman"/>
          <w:i/>
          <w:sz w:val="24"/>
          <w:szCs w:val="24"/>
        </w:rPr>
        <w:t>in sync</w:t>
      </w:r>
      <w:r>
        <w:rPr>
          <w:rFonts w:ascii="Times New Roman" w:hAnsi="Times New Roman" w:cs="Times New Roman"/>
          <w:sz w:val="24"/>
          <w:szCs w:val="24"/>
        </w:rPr>
        <w:t xml:space="preserve"> with the definition of the word. A curator is, according to Thesaurus Learner’s Dictionary, a guardian of a minor, lunatic or other incompetent person, especially with regard to the latter’s property.</w:t>
      </w:r>
    </w:p>
    <w:p w:rsidR="0036326E" w:rsidRDefault="0036326E" w:rsidP="00363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order which the court issued under HC 1764/17 was not of a general nature. It was specific to HC 3679/16.  It is for the mentioned reason, if for no other, that the court allowed it to read in the form and substance that it appears.  The curatorship of Eprem was not, therefore, for all purposes.  He was appointed curator to assist Edward in the latter’s prosecution or defence under HC 3679/16 and no more than that.</w:t>
      </w:r>
    </w:p>
    <w:p w:rsidR="0036326E" w:rsidRDefault="0036326E" w:rsidP="00363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respondents cannot therefore be allowed to hide behind HC 1764/17 and move to challenge the contract which Edward concluded with the applicant on 6 June, 2020. The contract was properly concluded between the two of them.  It, accordingly, remains not only valid but also enforceable as between both of them.  Equally valid are the payment of the purchase price by the applicant and Edward’s transfer of title in the property </w:t>
      </w:r>
      <w:r w:rsidR="000820CE">
        <w:rPr>
          <w:rFonts w:ascii="Times New Roman" w:hAnsi="Times New Roman" w:cs="Times New Roman"/>
          <w:sz w:val="24"/>
          <w:szCs w:val="24"/>
        </w:rPr>
        <w:t>t</w:t>
      </w:r>
      <w:r>
        <w:rPr>
          <w:rFonts w:ascii="Times New Roman" w:hAnsi="Times New Roman" w:cs="Times New Roman"/>
          <w:sz w:val="24"/>
          <w:szCs w:val="24"/>
        </w:rPr>
        <w:t>o the applicant.</w:t>
      </w:r>
    </w:p>
    <w:p w:rsidR="0036326E" w:rsidRDefault="0036326E" w:rsidP="00363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HC 1764/17 was premised on a report which one Dr Walter Mangezi, a psychiatrist, prepared on 13 August 2016.  The report related to Edward’s mental condition as at the mentioned date.  It states that Edward had been a patient of his since 25 June 2015.  I quote </w:t>
      </w:r>
      <w:r w:rsidRPr="00C944DE">
        <w:rPr>
          <w:rFonts w:ascii="Times New Roman" w:hAnsi="Times New Roman" w:cs="Times New Roman"/>
          <w:i/>
          <w:sz w:val="24"/>
          <w:szCs w:val="24"/>
        </w:rPr>
        <w:t>in extensor</w:t>
      </w:r>
      <w:r>
        <w:rPr>
          <w:rFonts w:ascii="Times New Roman" w:hAnsi="Times New Roman" w:cs="Times New Roman"/>
          <w:sz w:val="24"/>
          <w:szCs w:val="24"/>
        </w:rPr>
        <w:t xml:space="preserve"> what the doctor told of his patient on 13 August 2016</w:t>
      </w:r>
      <w:r w:rsidR="00C944DE">
        <w:rPr>
          <w:rFonts w:ascii="Times New Roman" w:hAnsi="Times New Roman" w:cs="Times New Roman"/>
          <w:sz w:val="24"/>
          <w:szCs w:val="24"/>
        </w:rPr>
        <w:t>.  He said</w:t>
      </w:r>
      <w:r>
        <w:rPr>
          <w:rFonts w:ascii="Times New Roman" w:hAnsi="Times New Roman" w:cs="Times New Roman"/>
          <w:sz w:val="24"/>
          <w:szCs w:val="24"/>
        </w:rPr>
        <w:t>:</w:t>
      </w:r>
    </w:p>
    <w:p w:rsidR="0036326E" w:rsidRPr="00C944DE" w:rsidRDefault="0036326E" w:rsidP="0036326E">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D47136">
        <w:rPr>
          <w:rFonts w:ascii="Times New Roman" w:hAnsi="Times New Roman" w:cs="Times New Roman"/>
        </w:rPr>
        <w:t xml:space="preserve">I interviewed Jane Mashiringwani, Passport number BN 832053, on 26 August 2016 and examined Edward Mashiringwani on 25 June 2015, 11 February 2016, 25 July 2016 and </w:t>
      </w:r>
      <w:r w:rsidRPr="00C944DE">
        <w:rPr>
          <w:rFonts w:ascii="Times New Roman" w:hAnsi="Times New Roman" w:cs="Times New Roman"/>
          <w:i/>
        </w:rPr>
        <w:t>26 August 2016</w:t>
      </w:r>
      <w:r w:rsidRPr="00C944DE">
        <w:rPr>
          <w:rFonts w:ascii="Times New Roman" w:hAnsi="Times New Roman" w:cs="Times New Roman"/>
          <w:i/>
          <w:sz w:val="24"/>
          <w:szCs w:val="24"/>
        </w:rPr>
        <w:t>”</w:t>
      </w:r>
    </w:p>
    <w:p w:rsidR="0036326E" w:rsidRDefault="0036326E" w:rsidP="0036326E">
      <w:pPr>
        <w:spacing w:after="0" w:line="240" w:lineRule="auto"/>
        <w:ind w:left="720"/>
        <w:jc w:val="both"/>
        <w:rPr>
          <w:rFonts w:ascii="Times New Roman" w:hAnsi="Times New Roman" w:cs="Times New Roman"/>
          <w:sz w:val="24"/>
          <w:szCs w:val="24"/>
        </w:rPr>
      </w:pPr>
    </w:p>
    <w:p w:rsidR="0036326E" w:rsidRDefault="0036326E" w:rsidP="00363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psychiatrist’s conclusion was that, in his opinion, Edward was not able to manage his estates and affairs as a result of mental disorder.</w:t>
      </w:r>
    </w:p>
    <w:p w:rsidR="0036326E" w:rsidRDefault="0036326E" w:rsidP="00363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report of the doctor, in my view, was either hurriedly or negligently prepared. It did not pay attention to necessary detail.  It was, for instance, written on </w:t>
      </w:r>
      <w:r w:rsidRPr="00C944DE">
        <w:rPr>
          <w:rFonts w:ascii="Times New Roman" w:hAnsi="Times New Roman" w:cs="Times New Roman"/>
          <w:i/>
          <w:sz w:val="24"/>
          <w:szCs w:val="24"/>
        </w:rPr>
        <w:t>13 August 2016</w:t>
      </w:r>
      <w:r>
        <w:rPr>
          <w:rFonts w:ascii="Times New Roman" w:hAnsi="Times New Roman" w:cs="Times New Roman"/>
          <w:sz w:val="24"/>
          <w:szCs w:val="24"/>
        </w:rPr>
        <w:t>.</w:t>
      </w:r>
      <w:r w:rsidR="00C944DE">
        <w:rPr>
          <w:rFonts w:ascii="Times New Roman" w:hAnsi="Times New Roman" w:cs="Times New Roman"/>
          <w:sz w:val="24"/>
          <w:szCs w:val="24"/>
        </w:rPr>
        <w:t xml:space="preserve"> </w:t>
      </w:r>
      <w:r>
        <w:rPr>
          <w:rFonts w:ascii="Times New Roman" w:hAnsi="Times New Roman" w:cs="Times New Roman"/>
          <w:sz w:val="24"/>
          <w:szCs w:val="24"/>
        </w:rPr>
        <w:t xml:space="preserve"> Its statement which is to the effect that the doctor examined Edward </w:t>
      </w:r>
      <w:r w:rsidRPr="00C944DE">
        <w:rPr>
          <w:rFonts w:ascii="Times New Roman" w:hAnsi="Times New Roman" w:cs="Times New Roman"/>
          <w:i/>
          <w:sz w:val="24"/>
          <w:szCs w:val="24"/>
        </w:rPr>
        <w:t>on 26 August 2016 cannot possibly</w:t>
      </w:r>
      <w:r>
        <w:rPr>
          <w:rFonts w:ascii="Times New Roman" w:hAnsi="Times New Roman" w:cs="Times New Roman"/>
          <w:sz w:val="24"/>
          <w:szCs w:val="24"/>
        </w:rPr>
        <w:t xml:space="preserve"> be correct.  He could not have examined Edward on 26 August 2016 when he prepared his report o</w:t>
      </w:r>
      <w:r w:rsidR="00D93D34">
        <w:rPr>
          <w:rFonts w:ascii="Times New Roman" w:hAnsi="Times New Roman" w:cs="Times New Roman"/>
          <w:sz w:val="24"/>
          <w:szCs w:val="24"/>
        </w:rPr>
        <w:t>n 13 August 2016. The statement</w:t>
      </w:r>
      <w:r>
        <w:rPr>
          <w:rFonts w:ascii="Times New Roman" w:hAnsi="Times New Roman" w:cs="Times New Roman"/>
          <w:sz w:val="24"/>
          <w:szCs w:val="24"/>
        </w:rPr>
        <w:t xml:space="preserve"> is untrue and it defies simple logic.  It is devoid of sense</w:t>
      </w:r>
      <w:r w:rsidR="00C944DE">
        <w:rPr>
          <w:rFonts w:ascii="Times New Roman" w:hAnsi="Times New Roman" w:cs="Times New Roman"/>
          <w:sz w:val="24"/>
          <w:szCs w:val="24"/>
        </w:rPr>
        <w:t xml:space="preserve"> as well as a merit</w:t>
      </w:r>
      <w:r>
        <w:rPr>
          <w:rFonts w:ascii="Times New Roman" w:hAnsi="Times New Roman" w:cs="Times New Roman"/>
          <w:sz w:val="24"/>
          <w:szCs w:val="24"/>
        </w:rPr>
        <w:t>.</w:t>
      </w:r>
    </w:p>
    <w:p w:rsidR="0036326E" w:rsidRDefault="0036326E" w:rsidP="0036326E">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Apart from the alleged examination of Edward on 26 August 2016 as is contained in para 2 of the report, Annexure B, which the respondents attached to their notice of opposition and the medicines which the doctor prescribed to Edward on the mentioned date, there is no evidence which shows that Edward:</w:t>
      </w:r>
    </w:p>
    <w:p w:rsidR="0036326E" w:rsidRDefault="00D93D34" w:rsidP="0036326E">
      <w:pPr>
        <w:pStyle w:val="ListParagraph"/>
        <w:numPr>
          <w:ilvl w:val="0"/>
          <w:numId w:val="6"/>
        </w:numPr>
        <w:spacing w:after="0" w:line="360" w:lineRule="auto"/>
        <w:jc w:val="both"/>
        <w:rPr>
          <w:rFonts w:ascii="Times New Roman" w:hAnsi="Times New Roman"/>
          <w:sz w:val="24"/>
          <w:szCs w:val="24"/>
        </w:rPr>
      </w:pPr>
      <w:r>
        <w:rPr>
          <w:rFonts w:ascii="Times New Roman" w:hAnsi="Times New Roman"/>
          <w:sz w:val="24"/>
          <w:szCs w:val="24"/>
        </w:rPr>
        <w:t>c</w:t>
      </w:r>
      <w:r w:rsidR="0036326E">
        <w:rPr>
          <w:rFonts w:ascii="Times New Roman" w:hAnsi="Times New Roman"/>
          <w:sz w:val="24"/>
          <w:szCs w:val="24"/>
        </w:rPr>
        <w:t>ontinued to suffer organic mental disorder after 26 August 2016;</w:t>
      </w:r>
    </w:p>
    <w:p w:rsidR="0036326E" w:rsidRDefault="00D93D34" w:rsidP="0036326E">
      <w:pPr>
        <w:pStyle w:val="ListParagraph"/>
        <w:numPr>
          <w:ilvl w:val="0"/>
          <w:numId w:val="6"/>
        </w:numPr>
        <w:spacing w:after="0" w:line="360" w:lineRule="auto"/>
        <w:jc w:val="both"/>
        <w:rPr>
          <w:rFonts w:ascii="Times New Roman" w:hAnsi="Times New Roman"/>
          <w:sz w:val="24"/>
          <w:szCs w:val="24"/>
        </w:rPr>
      </w:pPr>
      <w:r>
        <w:rPr>
          <w:rFonts w:ascii="Times New Roman" w:hAnsi="Times New Roman"/>
          <w:sz w:val="24"/>
          <w:szCs w:val="24"/>
        </w:rPr>
        <w:t>c</w:t>
      </w:r>
      <w:r w:rsidR="0036326E">
        <w:rPr>
          <w:rFonts w:ascii="Times New Roman" w:hAnsi="Times New Roman"/>
          <w:sz w:val="24"/>
          <w:szCs w:val="24"/>
        </w:rPr>
        <w:t>ontinued to take the medicines which the doctor prescribed to him after 26 August 2016; and /or that</w:t>
      </w:r>
    </w:p>
    <w:p w:rsidR="0036326E" w:rsidRDefault="00D93D34" w:rsidP="0036326E">
      <w:pPr>
        <w:pStyle w:val="ListParagraph"/>
        <w:numPr>
          <w:ilvl w:val="0"/>
          <w:numId w:val="6"/>
        </w:numPr>
        <w:spacing w:after="0" w:line="360" w:lineRule="auto"/>
        <w:jc w:val="both"/>
        <w:rPr>
          <w:rFonts w:ascii="Times New Roman" w:hAnsi="Times New Roman"/>
          <w:sz w:val="24"/>
          <w:szCs w:val="24"/>
        </w:rPr>
      </w:pPr>
      <w:r>
        <w:rPr>
          <w:rFonts w:ascii="Times New Roman" w:hAnsi="Times New Roman"/>
          <w:sz w:val="24"/>
          <w:szCs w:val="24"/>
        </w:rPr>
        <w:t>w</w:t>
      </w:r>
      <w:r w:rsidR="0036326E">
        <w:rPr>
          <w:rFonts w:ascii="Times New Roman" w:hAnsi="Times New Roman"/>
          <w:sz w:val="24"/>
          <w:szCs w:val="24"/>
        </w:rPr>
        <w:t>as of an unsound mind when he concluded the contract with the applicant.</w:t>
      </w:r>
    </w:p>
    <w:p w:rsidR="0036326E" w:rsidRDefault="0036326E" w:rsidP="0036326E">
      <w:pPr>
        <w:spacing w:after="0" w:line="360" w:lineRule="auto"/>
        <w:ind w:firstLine="720"/>
        <w:jc w:val="both"/>
        <w:rPr>
          <w:rFonts w:ascii="Times New Roman" w:hAnsi="Times New Roman"/>
          <w:sz w:val="24"/>
          <w:szCs w:val="24"/>
        </w:rPr>
      </w:pPr>
      <w:r>
        <w:rPr>
          <w:rFonts w:ascii="Times New Roman" w:hAnsi="Times New Roman"/>
          <w:sz w:val="24"/>
          <w:szCs w:val="24"/>
        </w:rPr>
        <w:t>Edward, in fact, appears to have enjoyed a lull of his mental condition from 26 August 2016 to 7 December 2020 when the doctor examined him for the second time and concluded that Edward still had imp</w:t>
      </w:r>
      <w:r w:rsidR="00D93D34">
        <w:rPr>
          <w:rFonts w:ascii="Times New Roman" w:hAnsi="Times New Roman"/>
          <w:sz w:val="24"/>
          <w:szCs w:val="24"/>
        </w:rPr>
        <w:t>airment</w:t>
      </w:r>
      <w:r>
        <w:rPr>
          <w:rFonts w:ascii="Times New Roman" w:hAnsi="Times New Roman"/>
          <w:sz w:val="24"/>
          <w:szCs w:val="24"/>
        </w:rPr>
        <w:t xml:space="preserve"> of what he termed short memory. There is no report of Edward’s mental condition for the four years that he appears to have enjoyed a lull i.e. from 13 August 2016 to 7 December, 2020, when the doctor filed yet another report apparently in reaction to the application for vindication which had been filed. </w:t>
      </w:r>
    </w:p>
    <w:p w:rsidR="0036326E" w:rsidRDefault="0036326E" w:rsidP="0036326E">
      <w:pPr>
        <w:spacing w:after="0" w:line="360" w:lineRule="auto"/>
        <w:ind w:firstLine="720"/>
        <w:jc w:val="both"/>
        <w:rPr>
          <w:rFonts w:ascii="Times New Roman" w:hAnsi="Times New Roman"/>
          <w:sz w:val="24"/>
          <w:szCs w:val="24"/>
        </w:rPr>
      </w:pPr>
      <w:r>
        <w:rPr>
          <w:rFonts w:ascii="Times New Roman" w:hAnsi="Times New Roman"/>
          <w:sz w:val="24"/>
          <w:szCs w:val="24"/>
        </w:rPr>
        <w:t>The report and the affidavit</w:t>
      </w:r>
      <w:r w:rsidR="00D93D34">
        <w:rPr>
          <w:rFonts w:ascii="Times New Roman" w:hAnsi="Times New Roman"/>
          <w:sz w:val="24"/>
          <w:szCs w:val="24"/>
        </w:rPr>
        <w:t xml:space="preserve"> which</w:t>
      </w:r>
      <w:r>
        <w:rPr>
          <w:rFonts w:ascii="Times New Roman" w:hAnsi="Times New Roman"/>
          <w:sz w:val="24"/>
          <w:szCs w:val="24"/>
        </w:rPr>
        <w:t xml:space="preserve"> the doctor prepared on 7 December 2020, Annexure B2 of the respondent’s notice of opposition, do not appear to have been prepared with the professionalism of a psychiatrist. They appear to have been used as a cover-up to what was totally missing in the narrative of Edward’s mental condition.</w:t>
      </w:r>
    </w:p>
    <w:p w:rsidR="0036326E" w:rsidRDefault="0036326E" w:rsidP="0036326E">
      <w:pPr>
        <w:spacing w:after="0" w:line="360" w:lineRule="auto"/>
        <w:ind w:firstLine="720"/>
        <w:jc w:val="both"/>
        <w:rPr>
          <w:rFonts w:ascii="Times New Roman" w:hAnsi="Times New Roman"/>
          <w:sz w:val="24"/>
          <w:szCs w:val="24"/>
        </w:rPr>
      </w:pPr>
      <w:r>
        <w:rPr>
          <w:rFonts w:ascii="Times New Roman" w:hAnsi="Times New Roman"/>
          <w:sz w:val="24"/>
          <w:szCs w:val="24"/>
        </w:rPr>
        <w:t xml:space="preserve"> If Edward was of</w:t>
      </w:r>
      <w:r w:rsidR="00D93D34">
        <w:rPr>
          <w:rFonts w:ascii="Times New Roman" w:hAnsi="Times New Roman"/>
          <w:sz w:val="24"/>
          <w:szCs w:val="24"/>
        </w:rPr>
        <w:t xml:space="preserve"> an</w:t>
      </w:r>
      <w:r>
        <w:rPr>
          <w:rFonts w:ascii="Times New Roman" w:hAnsi="Times New Roman"/>
          <w:sz w:val="24"/>
          <w:szCs w:val="24"/>
        </w:rPr>
        <w:t xml:space="preserve"> unsound mind during the period which extended from 13 August 2016 to December 2020, as Edward would have the applicant and me believe, he would have filed evidence of his continuous examination by the doctor as well as the medicines which the latter prescribed for him to take with a view to improving his mental condition. The fact that he was neither examined by the doctor nor had medicines prescribed for him to</w:t>
      </w:r>
      <w:r w:rsidR="00C944DE">
        <w:rPr>
          <w:rFonts w:ascii="Times New Roman" w:hAnsi="Times New Roman"/>
          <w:sz w:val="24"/>
          <w:szCs w:val="24"/>
        </w:rPr>
        <w:t xml:space="preserve"> take during the stated period points to the probability</w:t>
      </w:r>
      <w:r>
        <w:rPr>
          <w:rFonts w:ascii="Times New Roman" w:hAnsi="Times New Roman"/>
          <w:sz w:val="24"/>
          <w:szCs w:val="24"/>
        </w:rPr>
        <w:t xml:space="preserve"> that Edward was not suffering from any mental challenges during the period of the lull.</w:t>
      </w:r>
    </w:p>
    <w:p w:rsidR="0036326E" w:rsidRDefault="0036326E" w:rsidP="0036326E">
      <w:pPr>
        <w:spacing w:after="0" w:line="360" w:lineRule="auto"/>
        <w:ind w:firstLine="720"/>
        <w:jc w:val="both"/>
        <w:rPr>
          <w:rFonts w:ascii="Times New Roman" w:hAnsi="Times New Roman"/>
          <w:sz w:val="24"/>
          <w:szCs w:val="24"/>
        </w:rPr>
      </w:pPr>
      <w:r>
        <w:rPr>
          <w:rFonts w:ascii="Times New Roman" w:hAnsi="Times New Roman"/>
          <w:sz w:val="24"/>
          <w:szCs w:val="24"/>
        </w:rPr>
        <w:t xml:space="preserve"> My views in the abovementioned regard find support from the below-mentioned observations. These are that Edward:</w:t>
      </w:r>
    </w:p>
    <w:p w:rsidR="0036326E" w:rsidRDefault="00A9223F" w:rsidP="0036326E">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d</w:t>
      </w:r>
      <w:r w:rsidR="0036326E">
        <w:rPr>
          <w:rFonts w:ascii="Times New Roman" w:hAnsi="Times New Roman"/>
          <w:sz w:val="24"/>
          <w:szCs w:val="24"/>
        </w:rPr>
        <w:t>eposed to an affidavit in respect of his lost title deed;</w:t>
      </w:r>
    </w:p>
    <w:p w:rsidR="0036326E" w:rsidRDefault="00A9223F" w:rsidP="0036326E">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a</w:t>
      </w:r>
      <w:r w:rsidR="0036326E">
        <w:rPr>
          <w:rFonts w:ascii="Times New Roman" w:hAnsi="Times New Roman"/>
          <w:sz w:val="24"/>
          <w:szCs w:val="24"/>
        </w:rPr>
        <w:t>ccepted purchase price from the applicant;</w:t>
      </w:r>
    </w:p>
    <w:p w:rsidR="0036326E" w:rsidRDefault="00A9223F" w:rsidP="0036326E">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d</w:t>
      </w:r>
      <w:r w:rsidR="0036326E">
        <w:rPr>
          <w:rFonts w:ascii="Times New Roman" w:hAnsi="Times New Roman"/>
          <w:sz w:val="24"/>
          <w:szCs w:val="24"/>
        </w:rPr>
        <w:t>emanded balance of the purchase price from the applicant- and</w:t>
      </w:r>
    </w:p>
    <w:p w:rsidR="0036326E" w:rsidRDefault="00C944DE" w:rsidP="0036326E">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lastRenderedPageBreak/>
        <w:t>s</w:t>
      </w:r>
      <w:r w:rsidR="0036326E">
        <w:rPr>
          <w:rFonts w:ascii="Times New Roman" w:hAnsi="Times New Roman"/>
          <w:sz w:val="24"/>
          <w:szCs w:val="24"/>
        </w:rPr>
        <w:t>old his number 155 Groombridge Township 2 of Lot 89 A, Mount Pleasant to one Fidelis Mawe</w:t>
      </w:r>
      <w:r w:rsidR="00A9223F">
        <w:rPr>
          <w:rFonts w:ascii="Times New Roman" w:hAnsi="Times New Roman"/>
          <w:sz w:val="24"/>
          <w:szCs w:val="24"/>
        </w:rPr>
        <w:t>n</w:t>
      </w:r>
      <w:r w:rsidR="0036326E">
        <w:rPr>
          <w:rFonts w:ascii="Times New Roman" w:hAnsi="Times New Roman"/>
          <w:sz w:val="24"/>
          <w:szCs w:val="24"/>
        </w:rPr>
        <w:t>a in September 2020.</w:t>
      </w:r>
    </w:p>
    <w:p w:rsidR="0036326E" w:rsidRDefault="0036326E" w:rsidP="0036326E">
      <w:pPr>
        <w:spacing w:after="0" w:line="360" w:lineRule="auto"/>
        <w:ind w:firstLine="360"/>
        <w:jc w:val="both"/>
        <w:rPr>
          <w:rFonts w:ascii="Times New Roman" w:hAnsi="Times New Roman"/>
          <w:sz w:val="24"/>
          <w:szCs w:val="24"/>
        </w:rPr>
      </w:pPr>
      <w:r>
        <w:rPr>
          <w:rFonts w:ascii="Times New Roman" w:hAnsi="Times New Roman"/>
          <w:sz w:val="24"/>
          <w:szCs w:val="24"/>
        </w:rPr>
        <w:t>Annexure B1 is the affidavit of Dr Mangezi.  It appears at page 25 of the record.  It is to effect that he (the doctor) interviewed Jane Mashiringwani’s on 13 August 2016. It is also to the effect that he, at about the mentioned date, examine</w:t>
      </w:r>
      <w:r w:rsidR="00C944DE">
        <w:rPr>
          <w:rFonts w:ascii="Times New Roman" w:hAnsi="Times New Roman"/>
          <w:sz w:val="24"/>
          <w:szCs w:val="24"/>
        </w:rPr>
        <w:t>d</w:t>
      </w:r>
      <w:r>
        <w:rPr>
          <w:rFonts w:ascii="Times New Roman" w:hAnsi="Times New Roman"/>
          <w:sz w:val="24"/>
          <w:szCs w:val="24"/>
        </w:rPr>
        <w:t xml:space="preserve"> Edward to whom he prescribed some medicines after he formed the opinion that Edward was not able to manage his estates and affairs.</w:t>
      </w:r>
    </w:p>
    <w:p w:rsidR="0036326E" w:rsidRDefault="0036326E" w:rsidP="0036326E">
      <w:pPr>
        <w:spacing w:after="0" w:line="360" w:lineRule="auto"/>
        <w:jc w:val="both"/>
        <w:rPr>
          <w:rFonts w:ascii="Times New Roman" w:hAnsi="Times New Roman"/>
          <w:sz w:val="24"/>
          <w:szCs w:val="24"/>
        </w:rPr>
      </w:pPr>
      <w:r>
        <w:rPr>
          <w:rFonts w:ascii="Times New Roman" w:hAnsi="Times New Roman"/>
          <w:sz w:val="24"/>
          <w:szCs w:val="24"/>
        </w:rPr>
        <w:tab/>
        <w:t>The above findings of the doctor place Jane Mashiringwani who is Edward’s wife at the centre of Edward’s mental condition.  She, it would appear, knew as far back as 13 August 2016 that her husband, Edward, was not of a sound mind.  She also knew, as at the time, that he could not manage his estates and/or affairs. She, in all probability, was aware of HC 1764/17 in terms of which Eprem was appointed Edward’s curator.</w:t>
      </w:r>
    </w:p>
    <w:p w:rsidR="0036326E" w:rsidRDefault="0036326E" w:rsidP="0036326E">
      <w:pPr>
        <w:spacing w:after="0" w:line="360" w:lineRule="auto"/>
        <w:jc w:val="both"/>
        <w:rPr>
          <w:rFonts w:ascii="Times New Roman" w:hAnsi="Times New Roman"/>
          <w:sz w:val="24"/>
          <w:szCs w:val="24"/>
        </w:rPr>
      </w:pPr>
      <w:r>
        <w:rPr>
          <w:rFonts w:ascii="Times New Roman" w:hAnsi="Times New Roman"/>
          <w:sz w:val="24"/>
          <w:szCs w:val="24"/>
        </w:rPr>
        <w:tab/>
        <w:t>Annexure J which the applicant attached to its answering affidavit is an agreement of sale of Edward’s Mount Pleasant property to one Fidelis Mawe</w:t>
      </w:r>
      <w:r w:rsidR="00A9223F">
        <w:rPr>
          <w:rFonts w:ascii="Times New Roman" w:hAnsi="Times New Roman"/>
          <w:sz w:val="24"/>
          <w:szCs w:val="24"/>
        </w:rPr>
        <w:t>n</w:t>
      </w:r>
      <w:r>
        <w:rPr>
          <w:rFonts w:ascii="Times New Roman" w:hAnsi="Times New Roman"/>
          <w:sz w:val="24"/>
          <w:szCs w:val="24"/>
        </w:rPr>
        <w:t xml:space="preserve">a.  The annexure appears at </w:t>
      </w:r>
      <w:r w:rsidR="00A9223F">
        <w:rPr>
          <w:rFonts w:ascii="Times New Roman" w:hAnsi="Times New Roman"/>
          <w:sz w:val="24"/>
          <w:szCs w:val="24"/>
        </w:rPr>
        <w:t>page 45 of the record. It is dat</w:t>
      </w:r>
      <w:r>
        <w:rPr>
          <w:rFonts w:ascii="Times New Roman" w:hAnsi="Times New Roman"/>
          <w:sz w:val="24"/>
          <w:szCs w:val="24"/>
        </w:rPr>
        <w:t>ed December 2020. The sellers of the mentioned property are Edward Mashiringwani and Jane Mashiringwani.</w:t>
      </w:r>
    </w:p>
    <w:p w:rsidR="0036326E" w:rsidRDefault="0036326E" w:rsidP="0036326E">
      <w:pPr>
        <w:spacing w:after="0" w:line="360" w:lineRule="auto"/>
        <w:jc w:val="both"/>
        <w:rPr>
          <w:rFonts w:ascii="Times New Roman" w:hAnsi="Times New Roman"/>
          <w:sz w:val="24"/>
          <w:szCs w:val="24"/>
        </w:rPr>
      </w:pPr>
      <w:r>
        <w:rPr>
          <w:rFonts w:ascii="Times New Roman" w:hAnsi="Times New Roman"/>
          <w:sz w:val="24"/>
          <w:szCs w:val="24"/>
        </w:rPr>
        <w:tab/>
        <w:t>One is left to wonder why Jane who knew of her husband’s mental condition as well as the fact that Eprem had been appointed curator t</w:t>
      </w:r>
      <w:r w:rsidR="00A9223F">
        <w:rPr>
          <w:rFonts w:ascii="Times New Roman" w:hAnsi="Times New Roman"/>
          <w:sz w:val="24"/>
          <w:szCs w:val="24"/>
        </w:rPr>
        <w:t>o</w:t>
      </w:r>
      <w:r w:rsidR="00C944DE">
        <w:rPr>
          <w:rFonts w:ascii="Times New Roman" w:hAnsi="Times New Roman"/>
          <w:sz w:val="24"/>
          <w:szCs w:val="24"/>
        </w:rPr>
        <w:t xml:space="preserve"> Edward’s estate</w:t>
      </w:r>
      <w:r>
        <w:rPr>
          <w:rFonts w:ascii="Times New Roman" w:hAnsi="Times New Roman"/>
          <w:sz w:val="24"/>
          <w:szCs w:val="24"/>
        </w:rPr>
        <w:t xml:space="preserve"> and affairs proceeded to sell the Mount Pleasant home without the knowledge and /or consent of Eprem.  She was, at all material times, in her very sober sense</w:t>
      </w:r>
      <w:r w:rsidR="00A9223F">
        <w:rPr>
          <w:rFonts w:ascii="Times New Roman" w:hAnsi="Times New Roman"/>
          <w:sz w:val="24"/>
          <w:szCs w:val="24"/>
        </w:rPr>
        <w:t>s</w:t>
      </w:r>
      <w:r>
        <w:rPr>
          <w:rFonts w:ascii="Times New Roman" w:hAnsi="Times New Roman"/>
          <w:sz w:val="24"/>
          <w:szCs w:val="24"/>
        </w:rPr>
        <w:t xml:space="preserve">.  No evidence is led to justify Jane Mashiringwani’s involvement in the sale of the Mount Pleasant </w:t>
      </w:r>
      <w:r w:rsidR="003F4197">
        <w:rPr>
          <w:rFonts w:ascii="Times New Roman" w:hAnsi="Times New Roman"/>
          <w:sz w:val="24"/>
          <w:szCs w:val="24"/>
        </w:rPr>
        <w:t>p</w:t>
      </w:r>
      <w:r>
        <w:rPr>
          <w:rFonts w:ascii="Times New Roman" w:hAnsi="Times New Roman"/>
          <w:sz w:val="24"/>
          <w:szCs w:val="24"/>
        </w:rPr>
        <w:t>roperty.</w:t>
      </w:r>
      <w:r w:rsidRPr="00094CBF">
        <w:rPr>
          <w:rFonts w:ascii="Times New Roman" w:hAnsi="Times New Roman"/>
          <w:sz w:val="24"/>
          <w:szCs w:val="24"/>
        </w:rPr>
        <w:t xml:space="preserve"> </w:t>
      </w:r>
    </w:p>
    <w:p w:rsidR="0036326E" w:rsidRDefault="0036326E" w:rsidP="0036326E">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It is when such matters </w:t>
      </w:r>
      <w:r w:rsidR="007F28A8">
        <w:rPr>
          <w:rFonts w:ascii="Times New Roman" w:hAnsi="Times New Roman"/>
          <w:sz w:val="24"/>
          <w:szCs w:val="24"/>
        </w:rPr>
        <w:t xml:space="preserve">as </w:t>
      </w:r>
      <w:r>
        <w:rPr>
          <w:rFonts w:ascii="Times New Roman" w:hAnsi="Times New Roman"/>
          <w:sz w:val="24"/>
          <w:szCs w:val="24"/>
        </w:rPr>
        <w:t xml:space="preserve">have been observed in the forgoing paragraphs of </w:t>
      </w:r>
      <w:r w:rsidR="00C944DE">
        <w:rPr>
          <w:rFonts w:ascii="Times New Roman" w:hAnsi="Times New Roman"/>
          <w:sz w:val="24"/>
          <w:szCs w:val="24"/>
        </w:rPr>
        <w:t>t</w:t>
      </w:r>
      <w:r>
        <w:rPr>
          <w:rFonts w:ascii="Times New Roman" w:hAnsi="Times New Roman"/>
          <w:sz w:val="24"/>
          <w:szCs w:val="24"/>
        </w:rPr>
        <w:t xml:space="preserve">his judgement are taken account of that I cannot fail to associate myself with the remarks which </w:t>
      </w:r>
      <w:r w:rsidRPr="00093A2C">
        <w:rPr>
          <w:rFonts w:ascii="Times New Roman" w:hAnsi="Times New Roman"/>
          <w:smallCaps/>
          <w:sz w:val="24"/>
          <w:szCs w:val="24"/>
        </w:rPr>
        <w:t>De Villiers</w:t>
      </w:r>
      <w:r>
        <w:rPr>
          <w:rFonts w:ascii="Times New Roman" w:hAnsi="Times New Roman"/>
          <w:sz w:val="24"/>
          <w:szCs w:val="24"/>
        </w:rPr>
        <w:t xml:space="preserve"> JP was pleased to make in </w:t>
      </w:r>
      <w:r w:rsidRPr="00F57BF6">
        <w:rPr>
          <w:rFonts w:ascii="Times New Roman" w:hAnsi="Times New Roman"/>
          <w:i/>
          <w:sz w:val="24"/>
          <w:szCs w:val="24"/>
        </w:rPr>
        <w:t>Piennar v Piennar’s</w:t>
      </w:r>
      <w:r>
        <w:rPr>
          <w:rFonts w:ascii="Times New Roman" w:hAnsi="Times New Roman"/>
          <w:sz w:val="24"/>
          <w:szCs w:val="24"/>
        </w:rPr>
        <w:t xml:space="preserve"> Curator, 1930 OPD 171 at 174-175 wherein he said:</w:t>
      </w:r>
    </w:p>
    <w:p w:rsidR="0036326E" w:rsidRDefault="0036326E" w:rsidP="0036326E">
      <w:pPr>
        <w:spacing w:after="0" w:line="240" w:lineRule="auto"/>
        <w:ind w:left="720"/>
        <w:jc w:val="both"/>
        <w:rPr>
          <w:rFonts w:ascii="Times New Roman" w:hAnsi="Times New Roman"/>
        </w:rPr>
      </w:pPr>
      <w:r w:rsidRPr="00093A2C">
        <w:rPr>
          <w:rFonts w:ascii="Times New Roman" w:hAnsi="Times New Roman"/>
        </w:rPr>
        <w:t xml:space="preserve">“there mere fact that such a person has been declared insane or incapable of managing his affairs, and that a curator is appointed to such person, does not deprive him of the right of administering his own property and entering into contracts and other legal dispositions to the extent of which he may </w:t>
      </w:r>
      <w:r w:rsidRPr="00093A2C">
        <w:rPr>
          <w:rFonts w:ascii="Times New Roman" w:hAnsi="Times New Roman"/>
          <w:i/>
        </w:rPr>
        <w:t xml:space="preserve">de facto </w:t>
      </w:r>
      <w:r w:rsidRPr="00093A2C">
        <w:rPr>
          <w:rFonts w:ascii="Times New Roman" w:hAnsi="Times New Roman"/>
        </w:rPr>
        <w:t>be capable, mentally and physically, of doing. Such mental or physical capacity may vary from day to day, but at all times it remains a question of fact. The object of appointing a curator is merely to assist the person in question in performing legal acts to the extent of which such assistance is from day to day, in varying degrees necessary. Thus even a person who has been declared insane and to whose estate a curator has been appointed can dispose of his property and enter into contract whenever he is mentally capable of doing so”</w:t>
      </w:r>
    </w:p>
    <w:p w:rsidR="0036326E" w:rsidRPr="00093A2C" w:rsidRDefault="0036326E" w:rsidP="0036326E">
      <w:pPr>
        <w:spacing w:after="0" w:line="240" w:lineRule="auto"/>
        <w:jc w:val="both"/>
        <w:rPr>
          <w:rFonts w:ascii="Times New Roman" w:hAnsi="Times New Roman"/>
        </w:rPr>
      </w:pPr>
    </w:p>
    <w:p w:rsidR="0036326E" w:rsidRDefault="0036326E" w:rsidP="0036326E">
      <w:pPr>
        <w:spacing w:after="0" w:line="360" w:lineRule="auto"/>
        <w:jc w:val="both"/>
        <w:rPr>
          <w:rFonts w:ascii="Times New Roman" w:hAnsi="Times New Roman"/>
          <w:sz w:val="24"/>
          <w:szCs w:val="24"/>
        </w:rPr>
      </w:pPr>
      <w:r>
        <w:rPr>
          <w:rFonts w:ascii="Times New Roman" w:hAnsi="Times New Roman"/>
          <w:sz w:val="24"/>
          <w:szCs w:val="24"/>
        </w:rPr>
        <w:lastRenderedPageBreak/>
        <w:tab/>
      </w:r>
      <w:r w:rsidRPr="00F57BF6">
        <w:rPr>
          <w:rFonts w:ascii="Times New Roman" w:hAnsi="Times New Roman"/>
          <w:i/>
          <w:sz w:val="24"/>
          <w:szCs w:val="24"/>
        </w:rPr>
        <w:t xml:space="preserve"> Pienaar </w:t>
      </w:r>
      <w:r w:rsidRPr="00093A2C">
        <w:rPr>
          <w:rFonts w:ascii="Times New Roman" w:hAnsi="Times New Roman"/>
          <w:sz w:val="24"/>
          <w:szCs w:val="24"/>
        </w:rPr>
        <w:t>v</w:t>
      </w:r>
      <w:r>
        <w:rPr>
          <w:rFonts w:ascii="Times New Roman" w:hAnsi="Times New Roman"/>
          <w:i/>
          <w:sz w:val="24"/>
          <w:szCs w:val="24"/>
        </w:rPr>
        <w:t xml:space="preserve"> P</w:t>
      </w:r>
      <w:r w:rsidRPr="00F57BF6">
        <w:rPr>
          <w:rFonts w:ascii="Times New Roman" w:hAnsi="Times New Roman"/>
          <w:i/>
          <w:sz w:val="24"/>
          <w:szCs w:val="24"/>
        </w:rPr>
        <w:t>ienaar</w:t>
      </w:r>
      <w:r>
        <w:rPr>
          <w:rFonts w:ascii="Times New Roman" w:hAnsi="Times New Roman"/>
          <w:sz w:val="24"/>
          <w:szCs w:val="24"/>
        </w:rPr>
        <w:t xml:space="preserve"> is not from </w:t>
      </w:r>
      <w:r w:rsidR="007F28A8">
        <w:rPr>
          <w:rFonts w:ascii="Times New Roman" w:hAnsi="Times New Roman"/>
          <w:sz w:val="24"/>
          <w:szCs w:val="24"/>
        </w:rPr>
        <w:t>t</w:t>
      </w:r>
      <w:r>
        <w:rPr>
          <w:rFonts w:ascii="Times New Roman" w:hAnsi="Times New Roman"/>
          <w:sz w:val="24"/>
          <w:szCs w:val="24"/>
        </w:rPr>
        <w:t>his jurisdiction.  It, accordingly, has no binding effect on me.  It is only of persuasive value.  However, the wisdom w</w:t>
      </w:r>
      <w:r w:rsidR="00AE4214">
        <w:rPr>
          <w:rFonts w:ascii="Times New Roman" w:hAnsi="Times New Roman"/>
          <w:sz w:val="24"/>
          <w:szCs w:val="24"/>
        </w:rPr>
        <w:t xml:space="preserve">hich is contained in the above </w:t>
      </w:r>
      <w:r>
        <w:rPr>
          <w:rFonts w:ascii="Times New Roman" w:hAnsi="Times New Roman"/>
          <w:sz w:val="24"/>
          <w:szCs w:val="24"/>
        </w:rPr>
        <w:t xml:space="preserve">cited </w:t>
      </w:r>
      <w:r w:rsidRPr="00BA2115">
        <w:rPr>
          <w:rFonts w:ascii="Times New Roman" w:hAnsi="Times New Roman"/>
          <w:i/>
          <w:sz w:val="24"/>
          <w:szCs w:val="24"/>
        </w:rPr>
        <w:t xml:space="preserve">dictum </w:t>
      </w:r>
      <w:r>
        <w:rPr>
          <w:rFonts w:ascii="Times New Roman" w:hAnsi="Times New Roman"/>
          <w:sz w:val="24"/>
          <w:szCs w:val="24"/>
        </w:rPr>
        <w:t>cannot be wished away.  The wisdom depicts a real situation which</w:t>
      </w:r>
      <w:r w:rsidR="005253A4">
        <w:rPr>
          <w:rFonts w:ascii="Times New Roman" w:hAnsi="Times New Roman"/>
          <w:sz w:val="24"/>
          <w:szCs w:val="24"/>
        </w:rPr>
        <w:t>,</w:t>
      </w:r>
      <w:r>
        <w:rPr>
          <w:rFonts w:ascii="Times New Roman" w:hAnsi="Times New Roman"/>
          <w:sz w:val="24"/>
          <w:szCs w:val="24"/>
        </w:rPr>
        <w:t xml:space="preserve"> more often than not</w:t>
      </w:r>
      <w:r w:rsidR="005253A4">
        <w:rPr>
          <w:rFonts w:ascii="Times New Roman" w:hAnsi="Times New Roman"/>
          <w:sz w:val="24"/>
          <w:szCs w:val="24"/>
        </w:rPr>
        <w:t>,</w:t>
      </w:r>
      <w:r>
        <w:rPr>
          <w:rFonts w:ascii="Times New Roman" w:hAnsi="Times New Roman"/>
          <w:sz w:val="24"/>
          <w:szCs w:val="24"/>
        </w:rPr>
        <w:t xml:space="preserve"> occurs with persons who are alleged to be of unsound mind. Their mental state, judicial notice is taken, tends to vary from day to day.</w:t>
      </w:r>
      <w:r w:rsidR="00BA2115">
        <w:rPr>
          <w:rFonts w:ascii="Times New Roman" w:hAnsi="Times New Roman"/>
          <w:sz w:val="24"/>
          <w:szCs w:val="24"/>
        </w:rPr>
        <w:t xml:space="preserve">  They can therefore enter into valid contracts even in </w:t>
      </w:r>
      <w:r w:rsidR="005253A4">
        <w:rPr>
          <w:rFonts w:ascii="Times New Roman" w:hAnsi="Times New Roman"/>
          <w:sz w:val="24"/>
          <w:szCs w:val="24"/>
        </w:rPr>
        <w:t>a situation</w:t>
      </w:r>
      <w:r w:rsidR="00BA2115">
        <w:rPr>
          <w:rFonts w:ascii="Times New Roman" w:hAnsi="Times New Roman"/>
          <w:sz w:val="24"/>
          <w:szCs w:val="24"/>
        </w:rPr>
        <w:t xml:space="preserve"> where a curator is appointed for the</w:t>
      </w:r>
      <w:r w:rsidR="005253A4">
        <w:rPr>
          <w:rFonts w:ascii="Times New Roman" w:hAnsi="Times New Roman"/>
          <w:sz w:val="24"/>
          <w:szCs w:val="24"/>
        </w:rPr>
        <w:t>m.</w:t>
      </w:r>
      <w:r w:rsidR="00BA2115">
        <w:rPr>
          <w:rFonts w:ascii="Times New Roman" w:hAnsi="Times New Roman"/>
          <w:sz w:val="24"/>
          <w:szCs w:val="24"/>
        </w:rPr>
        <w:t xml:space="preserve"> </w:t>
      </w:r>
    </w:p>
    <w:p w:rsidR="0036326E" w:rsidRDefault="0036326E" w:rsidP="0036326E">
      <w:pPr>
        <w:spacing w:after="0" w:line="360" w:lineRule="auto"/>
        <w:jc w:val="both"/>
        <w:rPr>
          <w:rFonts w:ascii="Times New Roman" w:hAnsi="Times New Roman"/>
          <w:sz w:val="24"/>
          <w:szCs w:val="24"/>
        </w:rPr>
      </w:pPr>
      <w:r>
        <w:rPr>
          <w:rFonts w:ascii="Times New Roman" w:hAnsi="Times New Roman"/>
          <w:sz w:val="24"/>
          <w:szCs w:val="24"/>
        </w:rPr>
        <w:tab/>
        <w:t xml:space="preserve">Edward, it has been observed, enjoyed a lull of his mental state for a considerable duration.  He was in that lull state when he concluded the contract with the applicant and transferred title in the property to the applicant.  He cannot therefore be allowed to hide behind HC 1764/17 which did not apply to him in general, but only in specific, terms.  He cannot, in short, successfully challenge the contract which he entered into with the applicant. Nor can he challenge the applicant’s title in the property. </w:t>
      </w:r>
    </w:p>
    <w:p w:rsidR="0036326E" w:rsidRPr="0033667E" w:rsidRDefault="0036326E" w:rsidP="0036326E">
      <w:pPr>
        <w:spacing w:after="0" w:line="360" w:lineRule="auto"/>
        <w:jc w:val="both"/>
        <w:rPr>
          <w:rFonts w:ascii="Times New Roman" w:hAnsi="Times New Roman"/>
          <w:sz w:val="24"/>
          <w:szCs w:val="24"/>
        </w:rPr>
      </w:pPr>
      <w:r>
        <w:rPr>
          <w:rFonts w:ascii="Times New Roman" w:hAnsi="Times New Roman"/>
          <w:sz w:val="24"/>
          <w:szCs w:val="24"/>
        </w:rPr>
        <w:tab/>
        <w:t>The applicant proved its case on a balance of probabilities. The application is, therefore, granted as prayed</w:t>
      </w:r>
      <w:r w:rsidR="00AE4214">
        <w:rPr>
          <w:rFonts w:ascii="Times New Roman" w:hAnsi="Times New Roman"/>
          <w:sz w:val="24"/>
          <w:szCs w:val="24"/>
        </w:rPr>
        <w:t>.</w:t>
      </w:r>
    </w:p>
    <w:p w:rsidR="00156BA7" w:rsidRPr="00156BA7" w:rsidRDefault="00A54AB5" w:rsidP="001869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6BA7">
        <w:rPr>
          <w:rFonts w:ascii="Times New Roman" w:hAnsi="Times New Roman" w:cs="Times New Roman"/>
          <w:sz w:val="24"/>
          <w:szCs w:val="24"/>
        </w:rPr>
        <w:t xml:space="preserve"> </w:t>
      </w:r>
    </w:p>
    <w:p w:rsidR="00AB6737" w:rsidRPr="00AB6737" w:rsidRDefault="00C0291D" w:rsidP="00186984">
      <w:pPr>
        <w:pStyle w:val="ListParagraph"/>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b/>
        <w:t xml:space="preserve">  </w:t>
      </w:r>
      <w:r w:rsidR="00AB6737">
        <w:rPr>
          <w:rFonts w:ascii="Times New Roman" w:hAnsi="Times New Roman" w:cs="Times New Roman"/>
          <w:sz w:val="24"/>
          <w:szCs w:val="24"/>
        </w:rPr>
        <w:t xml:space="preserve"> </w:t>
      </w:r>
    </w:p>
    <w:p w:rsidR="00381832" w:rsidRDefault="00BA2115" w:rsidP="00AB527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Muronda Malinga Legal Practice, </w:t>
      </w:r>
      <w:r w:rsidR="00381832">
        <w:rPr>
          <w:rFonts w:ascii="Times New Roman" w:hAnsi="Times New Roman" w:cs="Times New Roman"/>
          <w:sz w:val="24"/>
          <w:szCs w:val="24"/>
        </w:rPr>
        <w:t>applicant</w:t>
      </w:r>
      <w:r w:rsidR="000A00F5">
        <w:rPr>
          <w:rFonts w:ascii="Times New Roman" w:hAnsi="Times New Roman" w:cs="Times New Roman"/>
          <w:sz w:val="24"/>
          <w:szCs w:val="24"/>
        </w:rPr>
        <w:t>’</w:t>
      </w:r>
      <w:r w:rsidR="00381832">
        <w:rPr>
          <w:rFonts w:ascii="Times New Roman" w:hAnsi="Times New Roman" w:cs="Times New Roman"/>
          <w:sz w:val="24"/>
          <w:szCs w:val="24"/>
        </w:rPr>
        <w:t>s legal practitioners</w:t>
      </w:r>
    </w:p>
    <w:p w:rsidR="00381832" w:rsidRPr="005109C1" w:rsidRDefault="000A00F5" w:rsidP="00AB527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Dondo &amp; Partners</w:t>
      </w:r>
      <w:r w:rsidR="00381832">
        <w:rPr>
          <w:rFonts w:ascii="Times New Roman" w:hAnsi="Times New Roman" w:cs="Times New Roman"/>
          <w:sz w:val="24"/>
          <w:szCs w:val="24"/>
        </w:rPr>
        <w:t xml:space="preserve">, </w:t>
      </w:r>
      <w:r>
        <w:rPr>
          <w:rFonts w:ascii="Times New Roman" w:hAnsi="Times New Roman" w:cs="Times New Roman"/>
          <w:sz w:val="24"/>
          <w:szCs w:val="24"/>
        </w:rPr>
        <w:t>1</w:t>
      </w:r>
      <w:r w:rsidRPr="000A00F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A00F5">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381832">
        <w:rPr>
          <w:rFonts w:ascii="Times New Roman" w:hAnsi="Times New Roman" w:cs="Times New Roman"/>
          <w:sz w:val="24"/>
          <w:szCs w:val="24"/>
        </w:rPr>
        <w:t>respondents</w:t>
      </w:r>
      <w:r>
        <w:rPr>
          <w:rFonts w:ascii="Times New Roman" w:hAnsi="Times New Roman" w:cs="Times New Roman"/>
          <w:sz w:val="24"/>
          <w:szCs w:val="24"/>
        </w:rPr>
        <w:t>’</w:t>
      </w:r>
      <w:r w:rsidR="00381832">
        <w:rPr>
          <w:rFonts w:ascii="Times New Roman" w:hAnsi="Times New Roman" w:cs="Times New Roman"/>
          <w:sz w:val="24"/>
          <w:szCs w:val="24"/>
        </w:rPr>
        <w:t xml:space="preserve"> legal practitioners</w:t>
      </w:r>
    </w:p>
    <w:p w:rsidR="00826F87" w:rsidRDefault="00826F87" w:rsidP="00AB5270">
      <w:pPr>
        <w:spacing w:after="0" w:line="240" w:lineRule="auto"/>
        <w:jc w:val="both"/>
      </w:pPr>
    </w:p>
    <w:sectPr w:rsidR="00826F8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41B" w:rsidRDefault="0014741B" w:rsidP="00381832">
      <w:pPr>
        <w:spacing w:after="0" w:line="240" w:lineRule="auto"/>
      </w:pPr>
      <w:r>
        <w:separator/>
      </w:r>
    </w:p>
  </w:endnote>
  <w:endnote w:type="continuationSeparator" w:id="0">
    <w:p w:rsidR="0014741B" w:rsidRDefault="0014741B" w:rsidP="00381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41B" w:rsidRDefault="0014741B" w:rsidP="00381832">
      <w:pPr>
        <w:spacing w:after="0" w:line="240" w:lineRule="auto"/>
      </w:pPr>
      <w:r>
        <w:separator/>
      </w:r>
    </w:p>
  </w:footnote>
  <w:footnote w:type="continuationSeparator" w:id="0">
    <w:p w:rsidR="0014741B" w:rsidRDefault="0014741B" w:rsidP="00381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763921"/>
      <w:docPartObj>
        <w:docPartGallery w:val="Page Numbers (Top of Page)"/>
        <w:docPartUnique/>
      </w:docPartObj>
    </w:sdtPr>
    <w:sdtEndPr>
      <w:rPr>
        <w:noProof/>
      </w:rPr>
    </w:sdtEndPr>
    <w:sdtContent>
      <w:p w:rsidR="00381832" w:rsidRDefault="00381832">
        <w:pPr>
          <w:pStyle w:val="Header"/>
          <w:jc w:val="right"/>
          <w:rPr>
            <w:noProof/>
          </w:rPr>
        </w:pPr>
        <w:r>
          <w:fldChar w:fldCharType="begin"/>
        </w:r>
        <w:r>
          <w:instrText xml:space="preserve"> PAGE   \* MERGEFORMAT </w:instrText>
        </w:r>
        <w:r>
          <w:fldChar w:fldCharType="separate"/>
        </w:r>
        <w:r w:rsidR="005D07B4">
          <w:rPr>
            <w:noProof/>
          </w:rPr>
          <w:t>1</w:t>
        </w:r>
        <w:r>
          <w:rPr>
            <w:noProof/>
          </w:rPr>
          <w:fldChar w:fldCharType="end"/>
        </w:r>
      </w:p>
      <w:p w:rsidR="00381832" w:rsidRDefault="00381832">
        <w:pPr>
          <w:pStyle w:val="Header"/>
          <w:jc w:val="right"/>
          <w:rPr>
            <w:noProof/>
          </w:rPr>
        </w:pPr>
        <w:r>
          <w:rPr>
            <w:noProof/>
          </w:rPr>
          <w:t>HH</w:t>
        </w:r>
        <w:r w:rsidR="005F7364">
          <w:rPr>
            <w:noProof/>
          </w:rPr>
          <w:t xml:space="preserve"> 40-22</w:t>
        </w:r>
        <w:r w:rsidR="00BD2ACF">
          <w:rPr>
            <w:noProof/>
          </w:rPr>
          <w:t xml:space="preserve"> </w:t>
        </w:r>
      </w:p>
      <w:p w:rsidR="00381832" w:rsidRDefault="00381832">
        <w:pPr>
          <w:pStyle w:val="Header"/>
          <w:jc w:val="right"/>
        </w:pPr>
        <w:r>
          <w:rPr>
            <w:noProof/>
          </w:rPr>
          <w:t xml:space="preserve">HC </w:t>
        </w:r>
        <w:r w:rsidR="00E80095">
          <w:rPr>
            <w:noProof/>
          </w:rPr>
          <w:t>7263</w:t>
        </w:r>
        <w:r w:rsidR="00BD2ACF">
          <w:rPr>
            <w:noProof/>
          </w:rPr>
          <w:t>/</w:t>
        </w:r>
        <w:r>
          <w:rPr>
            <w:noProof/>
          </w:rPr>
          <w:t>20</w:t>
        </w:r>
      </w:p>
    </w:sdtContent>
  </w:sdt>
  <w:p w:rsidR="00381832" w:rsidRDefault="003818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48BC"/>
    <w:multiLevelType w:val="hybridMultilevel"/>
    <w:tmpl w:val="4CDAB6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D4B6C"/>
    <w:multiLevelType w:val="hybridMultilevel"/>
    <w:tmpl w:val="4C9C95BA"/>
    <w:lvl w:ilvl="0" w:tplc="04090017">
      <w:start w:val="1"/>
      <w:numFmt w:val="lowerLetter"/>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 w15:restartNumberingAfterBreak="0">
    <w:nsid w:val="3D507380"/>
    <w:multiLevelType w:val="hybridMultilevel"/>
    <w:tmpl w:val="ADBCA1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881E6B"/>
    <w:multiLevelType w:val="hybridMultilevel"/>
    <w:tmpl w:val="36523D8E"/>
    <w:lvl w:ilvl="0" w:tplc="04090017">
      <w:start w:val="1"/>
      <w:numFmt w:val="lowerLetter"/>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4" w15:restartNumberingAfterBreak="0">
    <w:nsid w:val="52B24D90"/>
    <w:multiLevelType w:val="hybridMultilevel"/>
    <w:tmpl w:val="C54EF5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C4319C"/>
    <w:multiLevelType w:val="hybridMultilevel"/>
    <w:tmpl w:val="373E9FD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AC402D"/>
    <w:multiLevelType w:val="hybridMultilevel"/>
    <w:tmpl w:val="0E68052A"/>
    <w:lvl w:ilvl="0" w:tplc="3D1A6F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3B"/>
    <w:rsid w:val="0001199B"/>
    <w:rsid w:val="00040FDD"/>
    <w:rsid w:val="000820CE"/>
    <w:rsid w:val="000A00F5"/>
    <w:rsid w:val="00117F9B"/>
    <w:rsid w:val="0014741B"/>
    <w:rsid w:val="00156BA7"/>
    <w:rsid w:val="00162BC9"/>
    <w:rsid w:val="001810E9"/>
    <w:rsid w:val="00186984"/>
    <w:rsid w:val="001E727E"/>
    <w:rsid w:val="002128E0"/>
    <w:rsid w:val="00217946"/>
    <w:rsid w:val="002C06E5"/>
    <w:rsid w:val="002E3ADA"/>
    <w:rsid w:val="00321670"/>
    <w:rsid w:val="00336690"/>
    <w:rsid w:val="00351309"/>
    <w:rsid w:val="00355224"/>
    <w:rsid w:val="0036326E"/>
    <w:rsid w:val="00367AEB"/>
    <w:rsid w:val="00381832"/>
    <w:rsid w:val="003D1E4C"/>
    <w:rsid w:val="003D32A3"/>
    <w:rsid w:val="003E0D99"/>
    <w:rsid w:val="003F373C"/>
    <w:rsid w:val="003F4197"/>
    <w:rsid w:val="00410D7F"/>
    <w:rsid w:val="004512DA"/>
    <w:rsid w:val="004D618C"/>
    <w:rsid w:val="00506E66"/>
    <w:rsid w:val="00515F47"/>
    <w:rsid w:val="005253A4"/>
    <w:rsid w:val="0054488A"/>
    <w:rsid w:val="005765FE"/>
    <w:rsid w:val="00576DE5"/>
    <w:rsid w:val="00577D3B"/>
    <w:rsid w:val="00585507"/>
    <w:rsid w:val="00590119"/>
    <w:rsid w:val="005D07B4"/>
    <w:rsid w:val="005F7364"/>
    <w:rsid w:val="006758CF"/>
    <w:rsid w:val="006861FE"/>
    <w:rsid w:val="006878FA"/>
    <w:rsid w:val="006B45C3"/>
    <w:rsid w:val="007F28A8"/>
    <w:rsid w:val="00804244"/>
    <w:rsid w:val="00826F87"/>
    <w:rsid w:val="008953EE"/>
    <w:rsid w:val="008B687B"/>
    <w:rsid w:val="009129DB"/>
    <w:rsid w:val="00933EB1"/>
    <w:rsid w:val="009B57A4"/>
    <w:rsid w:val="009B795C"/>
    <w:rsid w:val="009E0EBF"/>
    <w:rsid w:val="009E465A"/>
    <w:rsid w:val="009F0710"/>
    <w:rsid w:val="00A33394"/>
    <w:rsid w:val="00A54AB5"/>
    <w:rsid w:val="00A637D7"/>
    <w:rsid w:val="00A85EC5"/>
    <w:rsid w:val="00A91340"/>
    <w:rsid w:val="00A9223F"/>
    <w:rsid w:val="00AB5270"/>
    <w:rsid w:val="00AB6737"/>
    <w:rsid w:val="00AC0584"/>
    <w:rsid w:val="00AC44D9"/>
    <w:rsid w:val="00AE4214"/>
    <w:rsid w:val="00B07923"/>
    <w:rsid w:val="00B63423"/>
    <w:rsid w:val="00BA2115"/>
    <w:rsid w:val="00BD2ACF"/>
    <w:rsid w:val="00BF38C2"/>
    <w:rsid w:val="00C01147"/>
    <w:rsid w:val="00C0291D"/>
    <w:rsid w:val="00C02941"/>
    <w:rsid w:val="00C944DE"/>
    <w:rsid w:val="00CE36BA"/>
    <w:rsid w:val="00CF5B17"/>
    <w:rsid w:val="00D672A2"/>
    <w:rsid w:val="00D93D34"/>
    <w:rsid w:val="00DA1C7E"/>
    <w:rsid w:val="00DC00CF"/>
    <w:rsid w:val="00DC1193"/>
    <w:rsid w:val="00DF6A48"/>
    <w:rsid w:val="00E6531E"/>
    <w:rsid w:val="00E80095"/>
    <w:rsid w:val="00F427DD"/>
    <w:rsid w:val="00F707F1"/>
    <w:rsid w:val="00F879A9"/>
    <w:rsid w:val="00F90DE9"/>
    <w:rsid w:val="00F96F3F"/>
    <w:rsid w:val="00FA0166"/>
    <w:rsid w:val="00FB2F33"/>
    <w:rsid w:val="00FB4BE0"/>
    <w:rsid w:val="00FC4AF4"/>
    <w:rsid w:val="00FF0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A9E5F-D708-4D60-B428-F3874950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D3B"/>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832"/>
    <w:rPr>
      <w:lang w:val="en-ZW"/>
    </w:rPr>
  </w:style>
  <w:style w:type="paragraph" w:styleId="Footer">
    <w:name w:val="footer"/>
    <w:basedOn w:val="Normal"/>
    <w:link w:val="FooterChar"/>
    <w:uiPriority w:val="99"/>
    <w:unhideWhenUsed/>
    <w:rsid w:val="00381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832"/>
    <w:rPr>
      <w:lang w:val="en-ZW"/>
    </w:rPr>
  </w:style>
  <w:style w:type="paragraph" w:styleId="ListParagraph">
    <w:name w:val="List Paragraph"/>
    <w:basedOn w:val="Normal"/>
    <w:uiPriority w:val="34"/>
    <w:qFormat/>
    <w:rsid w:val="00321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2666</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2022-01-20T06:59:00Z</cp:lastPrinted>
  <dcterms:created xsi:type="dcterms:W3CDTF">2022-01-21T07:53:00Z</dcterms:created>
  <dcterms:modified xsi:type="dcterms:W3CDTF">2022-01-21T07:53:00Z</dcterms:modified>
</cp:coreProperties>
</file>