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F7" w:rsidRPr="00753768" w:rsidRDefault="00EE16F7" w:rsidP="00EE16F7">
      <w:pPr>
        <w:rPr>
          <w:b/>
        </w:rPr>
      </w:pPr>
      <w:r w:rsidRPr="00753768">
        <w:rPr>
          <w:b/>
        </w:rPr>
        <w:t xml:space="preserve">IN THE LABOUR COURT </w:t>
      </w:r>
      <w:r>
        <w:rPr>
          <w:b/>
        </w:rPr>
        <w:t>OF ZIMBABWE</w:t>
      </w:r>
      <w:r>
        <w:rPr>
          <w:b/>
        </w:rPr>
        <w:tab/>
        <w:t xml:space="preserve"> </w:t>
      </w:r>
      <w:r w:rsidRPr="00753768">
        <w:rPr>
          <w:b/>
        </w:rPr>
        <w:t>JUDGMENT NO. LC/H/</w:t>
      </w:r>
      <w:r w:rsidR="002515E7">
        <w:rPr>
          <w:b/>
        </w:rPr>
        <w:t>330</w:t>
      </w:r>
      <w:r w:rsidR="003D4689">
        <w:rPr>
          <w:b/>
        </w:rPr>
        <w:t>/2016</w:t>
      </w:r>
    </w:p>
    <w:p w:rsidR="00EE16F7" w:rsidRPr="00753768" w:rsidRDefault="00EE16F7" w:rsidP="00EE16F7">
      <w:pPr>
        <w:rPr>
          <w:b/>
        </w:rPr>
      </w:pPr>
      <w:r w:rsidRPr="00753768">
        <w:rPr>
          <w:b/>
        </w:rPr>
        <w:t xml:space="preserve">HARARE, </w:t>
      </w:r>
      <w:r>
        <w:rPr>
          <w:b/>
        </w:rPr>
        <w:t>19 MAY</w:t>
      </w:r>
      <w:r w:rsidRPr="00753768">
        <w:rPr>
          <w:b/>
        </w:rPr>
        <w:t xml:space="preserve"> 2015</w:t>
      </w:r>
      <w:r w:rsidR="00017357">
        <w:rPr>
          <w:b/>
        </w:rPr>
        <w:t xml:space="preserve"> &amp; 3 FEBRUARY 2016           </w:t>
      </w:r>
      <w:r w:rsidRPr="00753768">
        <w:rPr>
          <w:b/>
        </w:rPr>
        <w:t>CASE NO. LC/H/</w:t>
      </w:r>
      <w:r>
        <w:rPr>
          <w:b/>
        </w:rPr>
        <w:t>22/14</w:t>
      </w:r>
    </w:p>
    <w:p w:rsidR="00EE16F7" w:rsidRPr="00753768" w:rsidRDefault="00EE16F7" w:rsidP="00EE16F7">
      <w:pPr>
        <w:rPr>
          <w:b/>
        </w:rPr>
      </w:pPr>
      <w:r w:rsidRPr="00753768">
        <w:rPr>
          <w:b/>
        </w:rPr>
        <w:t xml:space="preserve">AND </w:t>
      </w:r>
      <w:r w:rsidR="002515E7">
        <w:rPr>
          <w:b/>
        </w:rPr>
        <w:t>13 MAY</w:t>
      </w:r>
      <w:r w:rsidR="003D4689">
        <w:rPr>
          <w:b/>
        </w:rPr>
        <w:t xml:space="preserve"> 2016</w:t>
      </w:r>
    </w:p>
    <w:p w:rsidR="00EE16F7" w:rsidRDefault="00EE16F7" w:rsidP="00EE16F7">
      <w:r>
        <w:t>In the matter between:-</w:t>
      </w:r>
    </w:p>
    <w:p w:rsidR="00EE16F7" w:rsidRDefault="00EE16F7" w:rsidP="00EE16F7"/>
    <w:p w:rsidR="00EE16F7" w:rsidRPr="00753768" w:rsidRDefault="00EE16F7" w:rsidP="00EE16F7">
      <w:pPr>
        <w:rPr>
          <w:b/>
        </w:rPr>
      </w:pPr>
      <w:r>
        <w:rPr>
          <w:b/>
        </w:rPr>
        <w:t>NATPAK</w:t>
      </w:r>
      <w:r w:rsidRPr="00753768">
        <w:rPr>
          <w:b/>
        </w:rPr>
        <w:tab/>
      </w:r>
      <w:r w:rsidRPr="00753768">
        <w:rPr>
          <w:b/>
        </w:rPr>
        <w:tab/>
      </w:r>
      <w:r w:rsidRPr="00753768">
        <w:rPr>
          <w:b/>
        </w:rPr>
        <w:tab/>
      </w:r>
      <w:r w:rsidRPr="00753768">
        <w:rPr>
          <w:b/>
        </w:rPr>
        <w:tab/>
        <w:t>Appellant</w:t>
      </w:r>
    </w:p>
    <w:p w:rsidR="00EE16F7" w:rsidRPr="00EE16F7" w:rsidRDefault="00EE16F7" w:rsidP="00EE16F7">
      <w:r w:rsidRPr="00EE16F7">
        <w:t>And</w:t>
      </w:r>
    </w:p>
    <w:p w:rsidR="00EE16F7" w:rsidRPr="00753768" w:rsidRDefault="00EE16F7" w:rsidP="00EE16F7">
      <w:pPr>
        <w:rPr>
          <w:b/>
        </w:rPr>
      </w:pPr>
      <w:r>
        <w:rPr>
          <w:b/>
        </w:rPr>
        <w:t>FRANCIS KUNYAVAPA</w:t>
      </w:r>
      <w:r>
        <w:rPr>
          <w:b/>
        </w:rPr>
        <w:tab/>
      </w:r>
      <w:r>
        <w:rPr>
          <w:b/>
        </w:rPr>
        <w:tab/>
      </w:r>
      <w:r w:rsidRPr="00753768">
        <w:rPr>
          <w:b/>
        </w:rPr>
        <w:t>Respondent</w:t>
      </w:r>
    </w:p>
    <w:p w:rsidR="00EE16F7" w:rsidRDefault="00EE16F7" w:rsidP="00EE16F7"/>
    <w:p w:rsidR="00EE16F7" w:rsidRDefault="00EE16F7" w:rsidP="00EE16F7">
      <w:r>
        <w:t>Before The Honourable E. Makamure, Judge</w:t>
      </w:r>
    </w:p>
    <w:p w:rsidR="00EE16F7" w:rsidRDefault="00EE16F7" w:rsidP="00EE16F7"/>
    <w:p w:rsidR="00EE16F7" w:rsidRPr="00753768" w:rsidRDefault="00EE16F7" w:rsidP="00EE16F7">
      <w:pPr>
        <w:rPr>
          <w:b/>
        </w:rPr>
      </w:pPr>
      <w:r w:rsidRPr="00753768">
        <w:rPr>
          <w:b/>
        </w:rPr>
        <w:t>For Appellant</w:t>
      </w:r>
      <w:r w:rsidRPr="00753768">
        <w:rPr>
          <w:b/>
        </w:rPr>
        <w:tab/>
      </w:r>
      <w:r w:rsidRPr="00753768">
        <w:rPr>
          <w:b/>
        </w:rPr>
        <w:tab/>
        <w:t xml:space="preserve">Mr. </w:t>
      </w:r>
      <w:r>
        <w:rPr>
          <w:b/>
        </w:rPr>
        <w:t xml:space="preserve">A.K. Maguchu </w:t>
      </w:r>
      <w:r w:rsidRPr="00753768">
        <w:rPr>
          <w:b/>
        </w:rPr>
        <w:t>(Legal Practitioner)</w:t>
      </w:r>
      <w:r w:rsidRPr="00753768">
        <w:rPr>
          <w:b/>
        </w:rPr>
        <w:tab/>
      </w:r>
      <w:r w:rsidRPr="00753768">
        <w:rPr>
          <w:b/>
        </w:rPr>
        <w:tab/>
      </w:r>
    </w:p>
    <w:p w:rsidR="00EE16F7" w:rsidRPr="00753768" w:rsidRDefault="00EE16F7" w:rsidP="00EE16F7">
      <w:pPr>
        <w:rPr>
          <w:b/>
        </w:rPr>
      </w:pPr>
      <w:r w:rsidRPr="00753768">
        <w:rPr>
          <w:b/>
        </w:rPr>
        <w:t>For Respondent</w:t>
      </w:r>
      <w:r>
        <w:rPr>
          <w:b/>
        </w:rPr>
        <w:tab/>
      </w:r>
      <w:r w:rsidRPr="00753768">
        <w:rPr>
          <w:b/>
        </w:rPr>
        <w:tab/>
      </w:r>
      <w:r>
        <w:rPr>
          <w:b/>
        </w:rPr>
        <w:t xml:space="preserve">Mr. E.E. Matika </w:t>
      </w:r>
      <w:r w:rsidRPr="00753768">
        <w:rPr>
          <w:b/>
        </w:rPr>
        <w:t>(Legal Practitioner)</w:t>
      </w:r>
      <w:r w:rsidRPr="00753768">
        <w:rPr>
          <w:b/>
        </w:rPr>
        <w:tab/>
      </w:r>
    </w:p>
    <w:p w:rsidR="00EE16F7" w:rsidRDefault="00EE16F7" w:rsidP="00EE16F7"/>
    <w:p w:rsidR="00EE16F7" w:rsidRPr="00753768" w:rsidRDefault="00EE16F7" w:rsidP="00EE16F7">
      <w:pPr>
        <w:rPr>
          <w:b/>
        </w:rPr>
      </w:pPr>
      <w:r w:rsidRPr="00753768">
        <w:rPr>
          <w:b/>
        </w:rPr>
        <w:t>MAKAMURE</w:t>
      </w:r>
      <w:r>
        <w:rPr>
          <w:b/>
        </w:rPr>
        <w:t>,</w:t>
      </w:r>
      <w:r w:rsidRPr="00753768">
        <w:rPr>
          <w:b/>
        </w:rPr>
        <w:t xml:space="preserve"> J:</w:t>
      </w:r>
    </w:p>
    <w:p w:rsidR="00B12D1D" w:rsidRDefault="00B12D1D"/>
    <w:p w:rsidR="00641B78" w:rsidRDefault="00641B78" w:rsidP="0087395C">
      <w:pPr>
        <w:ind w:firstLine="720"/>
      </w:pPr>
      <w:r>
        <w:t xml:space="preserve">This is an appeal against a decision by the </w:t>
      </w:r>
      <w:r w:rsidR="004876A1">
        <w:t>relevant National Employment Council (NEC)</w:t>
      </w:r>
      <w:r>
        <w:t xml:space="preserve"> Appeals Board.</w:t>
      </w:r>
    </w:p>
    <w:p w:rsidR="007C6D78" w:rsidRDefault="007C6D78" w:rsidP="007C6D78">
      <w:pPr>
        <w:spacing w:line="240" w:lineRule="auto"/>
        <w:ind w:firstLine="720"/>
      </w:pPr>
    </w:p>
    <w:p w:rsidR="007C6D78" w:rsidRDefault="007C6D78" w:rsidP="007C6D78">
      <w:pPr>
        <w:ind w:firstLine="720"/>
      </w:pPr>
      <w:r>
        <w:t>The responden</w:t>
      </w:r>
      <w:r w:rsidR="00FC23BE">
        <w:t>t was employed by the appellant.</w:t>
      </w:r>
      <w:r>
        <w:t xml:space="preserve"> </w:t>
      </w:r>
      <w:r w:rsidR="00FC23BE">
        <w:t>He</w:t>
      </w:r>
      <w:r>
        <w:t xml:space="preserve"> </w:t>
      </w:r>
      <w:r w:rsidR="00FC23BE">
        <w:t>was</w:t>
      </w:r>
      <w:r>
        <w:t xml:space="preserve"> advised that he was due to retire at age sixty-five (p.16). He was later advised that he would retire at age 60.  When he raised a query he was </w:t>
      </w:r>
      <w:r w:rsidR="00FC23BE">
        <w:t>told</w:t>
      </w:r>
      <w:r>
        <w:t xml:space="preserve"> that his retirement age was sixty.  </w:t>
      </w:r>
      <w:r w:rsidR="00FC23BE">
        <w:t xml:space="preserve">Being </w:t>
      </w:r>
      <w:r>
        <w:t>not satisfied with the answer</w:t>
      </w:r>
      <w:r w:rsidR="00F337A6">
        <w:t>,</w:t>
      </w:r>
      <w:r>
        <w:t xml:space="preserve"> he raised a grievance with his employer. </w:t>
      </w:r>
      <w:r w:rsidR="0046386C">
        <w:t xml:space="preserve"> A grievance hearing was conducted. </w:t>
      </w:r>
      <w:r>
        <w:t>The hearing ruled that his retirement age be sixty.  He appealed the decision within the domestic remedies forum.  The appellate tribunal, the NEC Appeals Board, reversed the initial decision and ruled that his retirement age is sixty five.  That aggrieved the appellant leading to the present appeal.</w:t>
      </w:r>
    </w:p>
    <w:p w:rsidR="004876A1" w:rsidRDefault="004876A1" w:rsidP="004876A1">
      <w:pPr>
        <w:spacing w:line="240" w:lineRule="auto"/>
        <w:ind w:firstLine="720"/>
      </w:pPr>
    </w:p>
    <w:p w:rsidR="000C481C" w:rsidRDefault="000C481C">
      <w:r>
        <w:tab/>
        <w:t>The following are the grounds of appe</w:t>
      </w:r>
      <w:r w:rsidR="004876A1">
        <w:t>al:</w:t>
      </w:r>
    </w:p>
    <w:p w:rsidR="000C481C" w:rsidRPr="00F35997" w:rsidRDefault="00AF067F" w:rsidP="00AF067F">
      <w:pPr>
        <w:pStyle w:val="ListParagraph"/>
        <w:spacing w:line="276" w:lineRule="auto"/>
        <w:ind w:left="2160" w:hanging="1080"/>
        <w:rPr>
          <w:sz w:val="22"/>
          <w:szCs w:val="22"/>
        </w:rPr>
      </w:pPr>
      <w:r>
        <w:rPr>
          <w:sz w:val="22"/>
          <w:szCs w:val="22"/>
        </w:rPr>
        <w:t>“</w:t>
      </w:r>
      <w:r w:rsidR="00576126">
        <w:rPr>
          <w:sz w:val="22"/>
          <w:szCs w:val="22"/>
        </w:rPr>
        <w:t>1.</w:t>
      </w:r>
      <w:r w:rsidR="00576126">
        <w:rPr>
          <w:sz w:val="22"/>
          <w:szCs w:val="22"/>
        </w:rPr>
        <w:tab/>
      </w:r>
      <w:r w:rsidR="000C481C" w:rsidRPr="00F35997">
        <w:rPr>
          <w:sz w:val="22"/>
          <w:szCs w:val="22"/>
        </w:rPr>
        <w:t>The Appeals Board erred grossly both on the facts at</w:t>
      </w:r>
      <w:r w:rsidR="00576126">
        <w:rPr>
          <w:sz w:val="22"/>
          <w:szCs w:val="22"/>
        </w:rPr>
        <w:t xml:space="preserve"> and</w:t>
      </w:r>
      <w:r w:rsidR="000C481C" w:rsidRPr="00F35997">
        <w:rPr>
          <w:sz w:val="22"/>
          <w:szCs w:val="22"/>
        </w:rPr>
        <w:t xml:space="preserve"> law in finding that there were two </w:t>
      </w:r>
      <w:r w:rsidR="009404FC" w:rsidRPr="00F35997">
        <w:rPr>
          <w:sz w:val="22"/>
          <w:szCs w:val="22"/>
        </w:rPr>
        <w:t xml:space="preserve">(2) valid pension certificates with different </w:t>
      </w:r>
      <w:r w:rsidR="00B329D3" w:rsidRPr="00F35997">
        <w:rPr>
          <w:sz w:val="22"/>
          <w:szCs w:val="22"/>
        </w:rPr>
        <w:t>retirement date</w:t>
      </w:r>
      <w:r w:rsidR="00576126">
        <w:rPr>
          <w:sz w:val="22"/>
          <w:szCs w:val="22"/>
        </w:rPr>
        <w:t>s</w:t>
      </w:r>
      <w:r w:rsidR="00B329D3" w:rsidRPr="00F35997">
        <w:rPr>
          <w:sz w:val="22"/>
          <w:szCs w:val="22"/>
        </w:rPr>
        <w:t>.</w:t>
      </w:r>
    </w:p>
    <w:p w:rsidR="009404FC" w:rsidRPr="00576126" w:rsidRDefault="00576126" w:rsidP="00576126">
      <w:pPr>
        <w:spacing w:line="276" w:lineRule="auto"/>
        <w:ind w:left="2160" w:hanging="1080"/>
        <w:rPr>
          <w:sz w:val="22"/>
          <w:szCs w:val="22"/>
        </w:rPr>
      </w:pPr>
      <w:r>
        <w:rPr>
          <w:sz w:val="22"/>
          <w:szCs w:val="22"/>
        </w:rPr>
        <w:lastRenderedPageBreak/>
        <w:t>2</w:t>
      </w:r>
      <w:r>
        <w:rPr>
          <w:sz w:val="22"/>
          <w:szCs w:val="22"/>
        </w:rPr>
        <w:tab/>
      </w:r>
      <w:r w:rsidR="00B329D3" w:rsidRPr="00576126">
        <w:rPr>
          <w:sz w:val="22"/>
          <w:szCs w:val="22"/>
        </w:rPr>
        <w:t>The Appeals Board erred grossly on the facts</w:t>
      </w:r>
      <w:r w:rsidR="00877490" w:rsidRPr="00576126">
        <w:rPr>
          <w:sz w:val="22"/>
          <w:szCs w:val="22"/>
        </w:rPr>
        <w:t xml:space="preserve"> in finding that the Respondent was not informed of the error in the one certificate before his notice of retirement.  In any event such failure to inform had/has no legal effect on the retirement date.</w:t>
      </w:r>
    </w:p>
    <w:p w:rsidR="00877490" w:rsidRPr="00F35997" w:rsidRDefault="004A6FA3" w:rsidP="004A6FA3">
      <w:pPr>
        <w:pStyle w:val="ListParagraph"/>
        <w:spacing w:line="276" w:lineRule="auto"/>
        <w:ind w:left="2160" w:hanging="1080"/>
        <w:rPr>
          <w:sz w:val="22"/>
          <w:szCs w:val="22"/>
        </w:rPr>
      </w:pPr>
      <w:r>
        <w:rPr>
          <w:sz w:val="22"/>
          <w:szCs w:val="22"/>
        </w:rPr>
        <w:t>3</w:t>
      </w:r>
      <w:r>
        <w:rPr>
          <w:sz w:val="22"/>
          <w:szCs w:val="22"/>
        </w:rPr>
        <w:tab/>
      </w:r>
      <w:r w:rsidR="00877490" w:rsidRPr="00F35997">
        <w:rPr>
          <w:sz w:val="22"/>
          <w:szCs w:val="22"/>
        </w:rPr>
        <w:t>The Appeals Bo</w:t>
      </w:r>
      <w:r w:rsidR="00D862A2" w:rsidRPr="00F35997">
        <w:rPr>
          <w:sz w:val="22"/>
          <w:szCs w:val="22"/>
        </w:rPr>
        <w:t>ard erred at law in determining</w:t>
      </w:r>
      <w:r w:rsidR="00877490" w:rsidRPr="00F35997">
        <w:rPr>
          <w:sz w:val="22"/>
          <w:szCs w:val="22"/>
        </w:rPr>
        <w:t xml:space="preserve"> Respondent’s retirement date on the basis of inconveniences suffered by the Respondent</w:t>
      </w:r>
    </w:p>
    <w:p w:rsidR="00FE338A" w:rsidRPr="00196729" w:rsidRDefault="00196729" w:rsidP="006438A9">
      <w:pPr>
        <w:spacing w:line="276" w:lineRule="auto"/>
        <w:ind w:left="2160" w:hanging="1008"/>
        <w:rPr>
          <w:sz w:val="22"/>
          <w:szCs w:val="22"/>
        </w:rPr>
      </w:pPr>
      <w:r>
        <w:rPr>
          <w:sz w:val="22"/>
          <w:szCs w:val="22"/>
        </w:rPr>
        <w:t>4</w:t>
      </w:r>
      <w:r>
        <w:rPr>
          <w:sz w:val="22"/>
          <w:szCs w:val="22"/>
        </w:rPr>
        <w:tab/>
      </w:r>
      <w:r w:rsidR="00FE338A" w:rsidRPr="00196729">
        <w:rPr>
          <w:sz w:val="22"/>
          <w:szCs w:val="22"/>
        </w:rPr>
        <w:t>In any event, the finding on inconveniencies is erroneous and even if there were any such inconveniences, Respondent was not innocent of their cause and Appellant was never the cause.</w:t>
      </w:r>
    </w:p>
    <w:p w:rsidR="00FE338A" w:rsidRPr="006438A9" w:rsidRDefault="006046E8" w:rsidP="006046E8">
      <w:pPr>
        <w:spacing w:line="276" w:lineRule="auto"/>
        <w:ind w:left="2160" w:hanging="1008"/>
        <w:rPr>
          <w:sz w:val="22"/>
          <w:szCs w:val="22"/>
        </w:rPr>
      </w:pPr>
      <w:r>
        <w:rPr>
          <w:sz w:val="22"/>
          <w:szCs w:val="22"/>
        </w:rPr>
        <w:t>5</w:t>
      </w:r>
      <w:r>
        <w:rPr>
          <w:sz w:val="22"/>
          <w:szCs w:val="22"/>
        </w:rPr>
        <w:tab/>
      </w:r>
      <w:r w:rsidR="00FE338A" w:rsidRPr="006438A9">
        <w:rPr>
          <w:sz w:val="22"/>
          <w:szCs w:val="22"/>
        </w:rPr>
        <w:t>The Appeals Board erred grossly both on the facts and at law in finding that one of the Appellant/Applicant’s occupational pension schemes provided and therefore entitled Respondent to retire at the attainment of 65 years.</w:t>
      </w:r>
    </w:p>
    <w:p w:rsidR="00FE338A" w:rsidRPr="006046E8" w:rsidRDefault="00EA4F56" w:rsidP="00EA4F56">
      <w:pPr>
        <w:pStyle w:val="ListParagraph"/>
        <w:spacing w:line="276" w:lineRule="auto"/>
        <w:ind w:left="2160" w:hanging="1008"/>
        <w:rPr>
          <w:sz w:val="22"/>
          <w:szCs w:val="22"/>
        </w:rPr>
      </w:pPr>
      <w:r>
        <w:rPr>
          <w:sz w:val="22"/>
          <w:szCs w:val="22"/>
        </w:rPr>
        <w:t>6</w:t>
      </w:r>
      <w:r>
        <w:rPr>
          <w:sz w:val="22"/>
          <w:szCs w:val="22"/>
        </w:rPr>
        <w:tab/>
      </w:r>
      <w:r w:rsidR="009C0F3D" w:rsidRPr="006046E8">
        <w:rPr>
          <w:sz w:val="22"/>
          <w:szCs w:val="22"/>
        </w:rPr>
        <w:t>The Appeals Board erred grossly at law in finding that the applicable occupational pension schemes were ambiguous in as far as Respondent’s date of retirement.</w:t>
      </w:r>
    </w:p>
    <w:p w:rsidR="009C0F3D" w:rsidRPr="00EA4F56" w:rsidRDefault="005B2ED3" w:rsidP="005B2ED3">
      <w:pPr>
        <w:spacing w:line="276" w:lineRule="auto"/>
        <w:ind w:left="2160" w:hanging="1008"/>
        <w:rPr>
          <w:sz w:val="22"/>
          <w:szCs w:val="22"/>
        </w:rPr>
      </w:pPr>
      <w:r>
        <w:rPr>
          <w:sz w:val="22"/>
          <w:szCs w:val="22"/>
        </w:rPr>
        <w:t>7</w:t>
      </w:r>
      <w:r>
        <w:rPr>
          <w:sz w:val="22"/>
          <w:szCs w:val="22"/>
        </w:rPr>
        <w:tab/>
      </w:r>
      <w:r w:rsidR="009C0F3D" w:rsidRPr="00EA4F56">
        <w:rPr>
          <w:sz w:val="22"/>
          <w:szCs w:val="22"/>
        </w:rPr>
        <w:t>The Appeals Board erred grossly at law in directing that Respondent should be retired in terms of Statutory Instrument 170/2012, an inapplicable instrument.</w:t>
      </w:r>
    </w:p>
    <w:p w:rsidR="009C0F3D" w:rsidRPr="005B2ED3" w:rsidRDefault="00087D49" w:rsidP="00087D49">
      <w:pPr>
        <w:pStyle w:val="ListParagraph"/>
        <w:spacing w:line="276" w:lineRule="auto"/>
        <w:ind w:left="2160" w:hanging="1008"/>
        <w:rPr>
          <w:sz w:val="22"/>
          <w:szCs w:val="22"/>
        </w:rPr>
      </w:pPr>
      <w:r>
        <w:rPr>
          <w:sz w:val="22"/>
          <w:szCs w:val="22"/>
        </w:rPr>
        <w:t>8</w:t>
      </w:r>
      <w:r>
        <w:rPr>
          <w:sz w:val="22"/>
          <w:szCs w:val="22"/>
        </w:rPr>
        <w:tab/>
      </w:r>
      <w:r w:rsidR="009C0F3D" w:rsidRPr="005B2ED3">
        <w:rPr>
          <w:sz w:val="22"/>
          <w:szCs w:val="22"/>
        </w:rPr>
        <w:t xml:space="preserve">Generally the Appeals Board erred grossly at law in finding that the Respondent’s retirement age was not 60 years and that </w:t>
      </w:r>
      <w:proofErr w:type="gramStart"/>
      <w:r w:rsidR="009C0F3D" w:rsidRPr="005B2ED3">
        <w:rPr>
          <w:sz w:val="22"/>
          <w:szCs w:val="22"/>
        </w:rPr>
        <w:t>instead,</w:t>
      </w:r>
      <w:proofErr w:type="gramEnd"/>
      <w:r w:rsidR="009C0F3D" w:rsidRPr="005B2ED3">
        <w:rPr>
          <w:sz w:val="22"/>
          <w:szCs w:val="22"/>
        </w:rPr>
        <w:t xml:space="preserve"> he should retire at 65 years.</w:t>
      </w:r>
    </w:p>
    <w:p w:rsidR="00EE5DE1" w:rsidRPr="00097069" w:rsidRDefault="00097069" w:rsidP="00097069">
      <w:pPr>
        <w:spacing w:line="276" w:lineRule="auto"/>
        <w:ind w:left="2160" w:hanging="1008"/>
        <w:rPr>
          <w:sz w:val="22"/>
          <w:szCs w:val="22"/>
        </w:rPr>
      </w:pPr>
      <w:r>
        <w:rPr>
          <w:sz w:val="22"/>
          <w:szCs w:val="22"/>
        </w:rPr>
        <w:t>9</w:t>
      </w:r>
      <w:r>
        <w:rPr>
          <w:sz w:val="22"/>
          <w:szCs w:val="22"/>
        </w:rPr>
        <w:tab/>
      </w:r>
      <w:r w:rsidR="00EE5DE1" w:rsidRPr="00097069">
        <w:rPr>
          <w:sz w:val="22"/>
          <w:szCs w:val="22"/>
        </w:rPr>
        <w:t>The findings of the Appeals Board set out above are so grossly unreasonable such that no reasonable person properly applying himself to the matter would have made such findings.</w:t>
      </w:r>
      <w:r w:rsidR="00F35997" w:rsidRPr="00097069">
        <w:rPr>
          <w:sz w:val="22"/>
          <w:szCs w:val="22"/>
        </w:rPr>
        <w:t>”</w:t>
      </w:r>
    </w:p>
    <w:p w:rsidR="00F35997" w:rsidRPr="00F35997" w:rsidRDefault="00F35997" w:rsidP="00F35997">
      <w:pPr>
        <w:pStyle w:val="ListParagraph"/>
        <w:spacing w:line="276" w:lineRule="auto"/>
        <w:ind w:left="1080"/>
        <w:rPr>
          <w:sz w:val="22"/>
          <w:szCs w:val="22"/>
        </w:rPr>
      </w:pPr>
    </w:p>
    <w:p w:rsidR="00581832" w:rsidRDefault="001A2C23" w:rsidP="0098744A">
      <w:r>
        <w:tab/>
        <w:t>The Appeals Board found that the respondent was not advised about the chan</w:t>
      </w:r>
      <w:r w:rsidR="00964B79">
        <w:t>ge of</w:t>
      </w:r>
      <w:r>
        <w:t xml:space="preserve"> retirement date </w:t>
      </w:r>
      <w:r w:rsidR="00964B79">
        <w:t>before he was notified of the im</w:t>
      </w:r>
      <w:r>
        <w:t xml:space="preserve">pending retirement.  </w:t>
      </w:r>
      <w:r w:rsidR="00A7789C">
        <w:t>The A</w:t>
      </w:r>
      <w:r w:rsidR="00885921">
        <w:t>ppeals Board also noted that one of the compan</w:t>
      </w:r>
      <w:r w:rsidR="00F35997">
        <w:t xml:space="preserve">y’s occupational pension schemes </w:t>
      </w:r>
      <w:r w:rsidR="00581832">
        <w:t>provided</w:t>
      </w:r>
      <w:r w:rsidR="006E50E0">
        <w:t xml:space="preserve"> for retirement at the age of 65. The Appeals Board found that the </w:t>
      </w:r>
      <w:r w:rsidR="00AC4E14">
        <w:t>occupational</w:t>
      </w:r>
      <w:r w:rsidR="006E50E0">
        <w:t xml:space="preserve"> pen</w:t>
      </w:r>
      <w:r w:rsidR="00D044E1">
        <w:t>sion schemes created an ambiguity. Consequently</w:t>
      </w:r>
      <w:r w:rsidR="00581832">
        <w:t xml:space="preserve"> the</w:t>
      </w:r>
      <w:r w:rsidR="00AE4248">
        <w:t xml:space="preserve"> </w:t>
      </w:r>
      <w:r>
        <w:t>Appeals Board ruled that</w:t>
      </w:r>
      <w:r w:rsidR="00AC4E14">
        <w:t>,</w:t>
      </w:r>
      <w:r>
        <w:t xml:space="preserve"> in view of </w:t>
      </w:r>
      <w:r w:rsidR="00A72EAD">
        <w:t>the</w:t>
      </w:r>
      <w:r>
        <w:t xml:space="preserve"> ambiguity of the occupational pension schemes</w:t>
      </w:r>
      <w:r w:rsidR="00AD1D81">
        <w:t>,</w:t>
      </w:r>
      <w:r>
        <w:t xml:space="preserve"> the appellant should retire at age 65 in terms of S.I. 170 of 2012.</w:t>
      </w:r>
      <w:r w:rsidR="0052240F">
        <w:t xml:space="preserve"> </w:t>
      </w:r>
    </w:p>
    <w:p w:rsidR="00581832" w:rsidRDefault="00581832" w:rsidP="00581832">
      <w:pPr>
        <w:spacing w:line="240" w:lineRule="auto"/>
        <w:ind w:firstLine="720"/>
      </w:pPr>
    </w:p>
    <w:p w:rsidR="00AD1D81" w:rsidRDefault="0052240F" w:rsidP="00581832">
      <w:pPr>
        <w:ind w:firstLine="720"/>
      </w:pPr>
      <w:r>
        <w:t xml:space="preserve">It is an established principle of </w:t>
      </w:r>
      <w:proofErr w:type="gramStart"/>
      <w:r>
        <w:t>an</w:t>
      </w:r>
      <w:proofErr w:type="gramEnd"/>
      <w:r>
        <w:t xml:space="preserve"> law that the law should </w:t>
      </w:r>
      <w:r w:rsidR="008275A9">
        <w:t>lean</w:t>
      </w:r>
      <w:r>
        <w:t xml:space="preserve"> more towards restoring rather than removing</w:t>
      </w:r>
      <w:r w:rsidR="007F09F7">
        <w:t xml:space="preserve"> a person’s</w:t>
      </w:r>
      <w:r>
        <w:t xml:space="preserve"> </w:t>
      </w:r>
      <w:r w:rsidR="00CA5F49">
        <w:t xml:space="preserve">rights. In </w:t>
      </w:r>
      <w:r w:rsidR="00CA5F49" w:rsidRPr="007325BB">
        <w:rPr>
          <w:i/>
        </w:rPr>
        <w:t>Transvaal Investment Co</w:t>
      </w:r>
      <w:r w:rsidR="00CA5F49">
        <w:t xml:space="preserve"> v </w:t>
      </w:r>
      <w:r w:rsidR="00CA5F49" w:rsidRPr="007325BB">
        <w:rPr>
          <w:i/>
        </w:rPr>
        <w:t>Springs Municipality</w:t>
      </w:r>
      <w:r w:rsidR="00CA5F49">
        <w:t xml:space="preserve"> 19</w:t>
      </w:r>
      <w:r w:rsidR="00262F51">
        <w:t xml:space="preserve">22 AD 337 it was held that: </w:t>
      </w:r>
    </w:p>
    <w:p w:rsidR="006C2EF2" w:rsidRDefault="00AD1D81" w:rsidP="006C2EF2">
      <w:pPr>
        <w:spacing w:line="276" w:lineRule="auto"/>
        <w:ind w:left="720"/>
        <w:rPr>
          <w:sz w:val="22"/>
          <w:szCs w:val="22"/>
        </w:rPr>
      </w:pPr>
      <w:r w:rsidRPr="006C2EF2">
        <w:rPr>
          <w:sz w:val="22"/>
          <w:szCs w:val="22"/>
        </w:rPr>
        <w:t>“</w:t>
      </w:r>
      <w:r w:rsidR="00262F51" w:rsidRPr="006C2EF2">
        <w:rPr>
          <w:sz w:val="22"/>
          <w:szCs w:val="22"/>
        </w:rPr>
        <w:t xml:space="preserve">It is a </w:t>
      </w:r>
      <w:r w:rsidRPr="006C2EF2">
        <w:rPr>
          <w:sz w:val="22"/>
          <w:szCs w:val="22"/>
        </w:rPr>
        <w:t>well-established</w:t>
      </w:r>
      <w:r w:rsidR="00262F51" w:rsidRPr="006C2EF2">
        <w:rPr>
          <w:sz w:val="22"/>
          <w:szCs w:val="22"/>
        </w:rPr>
        <w:t xml:space="preserve"> rule in the construction of statute</w:t>
      </w:r>
      <w:r w:rsidR="00D4033A" w:rsidRPr="006C2EF2">
        <w:rPr>
          <w:sz w:val="22"/>
          <w:szCs w:val="22"/>
        </w:rPr>
        <w:t>s that where the Act is capable of two interpretations that one should be preferred</w:t>
      </w:r>
      <w:r w:rsidR="00B07BCF" w:rsidRPr="006C2EF2">
        <w:rPr>
          <w:sz w:val="22"/>
          <w:szCs w:val="22"/>
        </w:rPr>
        <w:t xml:space="preserve"> which does not take away existing rights unless it is plain that such was the intention of the legislature</w:t>
      </w:r>
      <w:r w:rsidR="004C23DA" w:rsidRPr="006C2EF2">
        <w:rPr>
          <w:sz w:val="22"/>
          <w:szCs w:val="22"/>
        </w:rPr>
        <w:t xml:space="preserve">”.  </w:t>
      </w:r>
    </w:p>
    <w:p w:rsidR="006C2EF2" w:rsidRPr="006C2EF2" w:rsidRDefault="006C2EF2" w:rsidP="006C2EF2">
      <w:pPr>
        <w:spacing w:line="276" w:lineRule="auto"/>
        <w:ind w:left="720"/>
        <w:rPr>
          <w:sz w:val="22"/>
          <w:szCs w:val="22"/>
        </w:rPr>
      </w:pPr>
    </w:p>
    <w:p w:rsidR="00A81C29" w:rsidRDefault="004C23DA" w:rsidP="002D2F9B">
      <w:pPr>
        <w:ind w:firstLine="720"/>
      </w:pPr>
      <w:r>
        <w:t>In the present case we are not</w:t>
      </w:r>
      <w:r w:rsidR="00467A44">
        <w:t xml:space="preserve"> necessarily interpreting </w:t>
      </w:r>
      <w:r w:rsidR="00602E67">
        <w:t>statutes but two certificates emanating from the same institution were issued</w:t>
      </w:r>
      <w:r w:rsidR="002D0F18">
        <w:t xml:space="preserve"> </w:t>
      </w:r>
      <w:r w:rsidR="00AD2578">
        <w:t>and</w:t>
      </w:r>
      <w:r w:rsidR="00B44B22">
        <w:t xml:space="preserve"> that created uncertainty</w:t>
      </w:r>
      <w:r w:rsidR="00AD2578">
        <w:t xml:space="preserve"> requiring </w:t>
      </w:r>
      <w:r w:rsidR="00A96573">
        <w:t>the intervention</w:t>
      </w:r>
      <w:r w:rsidR="00AD2578">
        <w:t xml:space="preserve"> of this </w:t>
      </w:r>
      <w:r w:rsidR="00E81A05">
        <w:t>court.</w:t>
      </w:r>
      <w:r w:rsidR="00467A44">
        <w:t xml:space="preserve">  The earlier tribunal</w:t>
      </w:r>
      <w:r w:rsidR="008D3CB9">
        <w:t xml:space="preserve"> found that </w:t>
      </w:r>
      <w:r w:rsidR="000A74F7">
        <w:t>there</w:t>
      </w:r>
      <w:r w:rsidR="008D3CB9">
        <w:t xml:space="preserve"> was some ambiguity in the </w:t>
      </w:r>
      <w:r w:rsidR="00A96573">
        <w:t>pension</w:t>
      </w:r>
      <w:r w:rsidR="008D3CB9">
        <w:t xml:space="preserve"> schemes and </w:t>
      </w:r>
      <w:r w:rsidR="00A96573">
        <w:t>determined</w:t>
      </w:r>
      <w:r w:rsidR="008D3CB9">
        <w:t xml:space="preserve"> that the appellant should retire at 65.</w:t>
      </w:r>
      <w:r w:rsidR="003A6299">
        <w:t xml:space="preserve">  It appears not to be the </w:t>
      </w:r>
      <w:r w:rsidR="00E81A05">
        <w:t>respondent’s</w:t>
      </w:r>
      <w:r w:rsidR="003A6299">
        <w:t xml:space="preserve"> error that he was issued first with a certificate showing that he would retire </w:t>
      </w:r>
      <w:r w:rsidR="00E81A05">
        <w:t>at 65 and then another one showing</w:t>
      </w:r>
      <w:r w:rsidR="003A6299">
        <w:t xml:space="preserve"> that he would retire at 60</w:t>
      </w:r>
      <w:r w:rsidR="008F0C40">
        <w:t xml:space="preserve">.  </w:t>
      </w:r>
      <w:r w:rsidR="00A22C52">
        <w:t xml:space="preserve">The NEC having found that there was some ambiguity </w:t>
      </w:r>
      <w:r w:rsidR="0075335E">
        <w:t>found in favour</w:t>
      </w:r>
      <w:r w:rsidR="00994BE8">
        <w:t xml:space="preserve"> of the respondent.</w:t>
      </w:r>
      <w:r w:rsidR="002C67CB">
        <w:t xml:space="preserve"> The NEC is part of the domestic remedies.  It is conversant with issues at hand</w:t>
      </w:r>
      <w:r w:rsidR="00611288">
        <w:t>.  Where therefore it has made</w:t>
      </w:r>
      <w:r w:rsidR="005E65DA">
        <w:t xml:space="preserve"> a</w:t>
      </w:r>
      <w:r w:rsidR="00611288">
        <w:t xml:space="preserve"> </w:t>
      </w:r>
      <w:r w:rsidR="002228DA">
        <w:t>particular finding, unless the finding is unreasonable</w:t>
      </w:r>
      <w:r w:rsidR="00A96573">
        <w:t>,</w:t>
      </w:r>
      <w:r w:rsidR="00B030AE">
        <w:t xml:space="preserve"> it</w:t>
      </w:r>
      <w:r w:rsidR="002228DA">
        <w:t xml:space="preserve"> </w:t>
      </w:r>
      <w:r w:rsidR="0086650B">
        <w:t xml:space="preserve">should not be </w:t>
      </w:r>
      <w:r w:rsidR="00225EB7">
        <w:t>interfered with.</w:t>
      </w:r>
      <w:r w:rsidR="00A22C52">
        <w:t xml:space="preserve"> </w:t>
      </w:r>
    </w:p>
    <w:p w:rsidR="007231C1" w:rsidRDefault="007231C1" w:rsidP="007231C1">
      <w:pPr>
        <w:spacing w:line="240" w:lineRule="auto"/>
        <w:ind w:firstLine="720"/>
      </w:pPr>
    </w:p>
    <w:p w:rsidR="0051646B" w:rsidRPr="00D23AFD" w:rsidRDefault="00774749" w:rsidP="00A81C29">
      <w:pPr>
        <w:ind w:firstLine="720"/>
      </w:pPr>
      <w:r>
        <w:t>It would appear that</w:t>
      </w:r>
      <w:r w:rsidR="000D25EE">
        <w:t xml:space="preserve"> the applicable code does not provide for what happens in a situation</w:t>
      </w:r>
      <w:r w:rsidR="006C79DE">
        <w:t xml:space="preserve"> where</w:t>
      </w:r>
      <w:r w:rsidR="000D25EE">
        <w:t xml:space="preserve"> an ambiguity has arisen</w:t>
      </w:r>
      <w:r w:rsidR="00A9558C">
        <w:t xml:space="preserve">. </w:t>
      </w:r>
      <w:r w:rsidR="00894B47">
        <w:t>The NEC being part of the domestic remedies, made a decision which best solved the problem.</w:t>
      </w:r>
      <w:r w:rsidR="00A9558C">
        <w:t xml:space="preserve"> It is therefore my considered view that the decision by the NEC is reasonable.   It did not</w:t>
      </w:r>
      <w:r w:rsidR="006C79DE">
        <w:t xml:space="preserve"> err</w:t>
      </w:r>
      <w:r w:rsidR="00A76FA2">
        <w:t xml:space="preserve"> in its findings in all circumstances.</w:t>
      </w:r>
    </w:p>
    <w:p w:rsidR="00585C72" w:rsidRDefault="00585C72" w:rsidP="00602E67">
      <w:pPr>
        <w:spacing w:line="240" w:lineRule="auto"/>
      </w:pPr>
    </w:p>
    <w:p w:rsidR="001D3C8D" w:rsidRDefault="00901580" w:rsidP="00EE5DE1">
      <w:r>
        <w:tab/>
        <w:t xml:space="preserve">It is </w:t>
      </w:r>
      <w:r w:rsidR="0052240F">
        <w:t>trite</w:t>
      </w:r>
      <w:r>
        <w:t xml:space="preserve"> that an appeal court does not </w:t>
      </w:r>
      <w:r w:rsidR="00A72EAD">
        <w:t>interfere</w:t>
      </w:r>
      <w:r>
        <w:t xml:space="preserve"> with the decision </w:t>
      </w:r>
      <w:r w:rsidR="009C299F">
        <w:t xml:space="preserve">of a </w:t>
      </w:r>
      <w:r w:rsidR="00E006A2">
        <w:t>lower c</w:t>
      </w:r>
      <w:r w:rsidR="009C299F">
        <w:t>ourt</w:t>
      </w:r>
      <w:r w:rsidR="00E006A2">
        <w:t xml:space="preserve"> or</w:t>
      </w:r>
      <w:r w:rsidR="009C299F">
        <w:t xml:space="preserve"> tribunal unless the c</w:t>
      </w:r>
      <w:r>
        <w:t>ourt</w:t>
      </w:r>
      <w:r w:rsidR="009C299F">
        <w:t xml:space="preserve"> or</w:t>
      </w:r>
      <w:r>
        <w:t xml:space="preserve"> tribunal exercised its discretion improp</w:t>
      </w:r>
      <w:r w:rsidR="00A72EAD">
        <w:t xml:space="preserve">erly. </w:t>
      </w:r>
      <w:proofErr w:type="spellStart"/>
      <w:r w:rsidR="00A72EAD" w:rsidRPr="00A72EAD">
        <w:rPr>
          <w:i/>
        </w:rPr>
        <w:t>Passmore</w:t>
      </w:r>
      <w:proofErr w:type="spellEnd"/>
      <w:r w:rsidR="00A72EAD" w:rsidRPr="00A72EAD">
        <w:rPr>
          <w:i/>
        </w:rPr>
        <w:t xml:space="preserve"> </w:t>
      </w:r>
      <w:proofErr w:type="spellStart"/>
      <w:r w:rsidR="00A72EAD" w:rsidRPr="00A72EAD">
        <w:rPr>
          <w:i/>
        </w:rPr>
        <w:t>Malimanjani</w:t>
      </w:r>
      <w:proofErr w:type="spellEnd"/>
      <w:r w:rsidR="00A72EAD">
        <w:t xml:space="preserve"> </w:t>
      </w:r>
      <w:r>
        <w:t xml:space="preserve">v </w:t>
      </w:r>
      <w:r w:rsidRPr="00A72EAD">
        <w:rPr>
          <w:i/>
        </w:rPr>
        <w:t xml:space="preserve">Central Africa Building Society </w:t>
      </w:r>
      <w:r w:rsidR="006F782C" w:rsidRPr="00A72EAD">
        <w:rPr>
          <w:i/>
        </w:rPr>
        <w:t>[CABS]</w:t>
      </w:r>
      <w:r w:rsidR="006F782C">
        <w:t xml:space="preserve"> SC 47/07.</w:t>
      </w:r>
      <w:r w:rsidR="009C299F">
        <w:t xml:space="preserve"> In</w:t>
      </w:r>
      <w:r w:rsidR="00F803C0">
        <w:t xml:space="preserve"> </w:t>
      </w:r>
      <w:r w:rsidR="00F803C0" w:rsidRPr="00F803C0">
        <w:rPr>
          <w:i/>
        </w:rPr>
        <w:t>Ba</w:t>
      </w:r>
      <w:r w:rsidR="001D3C8D" w:rsidRPr="00F803C0">
        <w:rPr>
          <w:i/>
        </w:rPr>
        <w:t xml:space="preserve">rros &amp; </w:t>
      </w:r>
      <w:proofErr w:type="spellStart"/>
      <w:r w:rsidR="001D3C8D" w:rsidRPr="00F803C0">
        <w:rPr>
          <w:i/>
        </w:rPr>
        <w:t>Anor</w:t>
      </w:r>
      <w:proofErr w:type="spellEnd"/>
      <w:r w:rsidR="001D3C8D">
        <w:t xml:space="preserve"> v </w:t>
      </w:r>
      <w:proofErr w:type="spellStart"/>
      <w:r w:rsidR="0025779E">
        <w:rPr>
          <w:i/>
        </w:rPr>
        <w:t>Chimponda</w:t>
      </w:r>
      <w:proofErr w:type="spellEnd"/>
      <w:r w:rsidR="001D3C8D">
        <w:t xml:space="preserve"> 1991 (1) ZLR 58 (S</w:t>
      </w:r>
      <w:r w:rsidR="009C299F">
        <w:t>) the Supreme Court stated that:</w:t>
      </w:r>
    </w:p>
    <w:p w:rsidR="00A31507" w:rsidRDefault="00A31507" w:rsidP="00A31507">
      <w:pPr>
        <w:spacing w:line="240" w:lineRule="auto"/>
      </w:pPr>
    </w:p>
    <w:p w:rsidR="001D3C8D" w:rsidRDefault="001D3C8D" w:rsidP="001D3C8D">
      <w:pPr>
        <w:spacing w:line="276" w:lineRule="auto"/>
        <w:ind w:left="720"/>
        <w:rPr>
          <w:sz w:val="22"/>
          <w:szCs w:val="22"/>
        </w:rPr>
      </w:pPr>
      <w:r w:rsidRPr="001D3C8D">
        <w:rPr>
          <w:sz w:val="22"/>
          <w:szCs w:val="22"/>
        </w:rPr>
        <w:t xml:space="preserve">“It is not enough that the appellate court considers that if it had been in the position of the primary court it would have taken a different </w:t>
      </w:r>
      <w:r>
        <w:rPr>
          <w:sz w:val="22"/>
          <w:szCs w:val="22"/>
        </w:rPr>
        <w:t>course.  It must appear that so</w:t>
      </w:r>
      <w:r w:rsidRPr="001D3C8D">
        <w:rPr>
          <w:sz w:val="22"/>
          <w:szCs w:val="22"/>
        </w:rPr>
        <w:t>me error has been made in exercising the discretion.”</w:t>
      </w:r>
    </w:p>
    <w:p w:rsidR="00D4538D" w:rsidRPr="001D3C8D" w:rsidRDefault="00D4538D" w:rsidP="00D4538D">
      <w:pPr>
        <w:spacing w:line="240" w:lineRule="auto"/>
        <w:ind w:left="720"/>
        <w:rPr>
          <w:sz w:val="22"/>
          <w:szCs w:val="22"/>
        </w:rPr>
      </w:pPr>
    </w:p>
    <w:p w:rsidR="006F782C" w:rsidRDefault="006F782C" w:rsidP="00EE5DE1">
      <w:r>
        <w:tab/>
        <w:t xml:space="preserve">In the present matter the </w:t>
      </w:r>
      <w:r w:rsidR="002D2F9B">
        <w:t xml:space="preserve">NEC Appeals Board </w:t>
      </w:r>
      <w:r w:rsidR="005540D0">
        <w:t>is part of the</w:t>
      </w:r>
      <w:r w:rsidR="00AA5655">
        <w:t xml:space="preserve"> domestic remedies.  </w:t>
      </w:r>
      <w:r w:rsidR="005540D0">
        <w:t>It</w:t>
      </w:r>
      <w:r w:rsidR="00AA5655">
        <w:t xml:space="preserve"> </w:t>
      </w:r>
      <w:r w:rsidR="005540D0">
        <w:t>applies</w:t>
      </w:r>
      <w:r w:rsidR="00AA5655">
        <w:t xml:space="preserve"> the rules and statutes applicable to the relevant industry on a regular basis.</w:t>
      </w:r>
      <w:r w:rsidR="0071546D">
        <w:t xml:space="preserve"> </w:t>
      </w:r>
      <w:r w:rsidR="00D056E6">
        <w:t>Its</w:t>
      </w:r>
      <w:r w:rsidR="0071546D">
        <w:t xml:space="preserve"> findings should therefore be taken seriously and not </w:t>
      </w:r>
      <w:r w:rsidR="00A24586">
        <w:t xml:space="preserve">be unnecessarily </w:t>
      </w:r>
      <w:r w:rsidR="002B2177">
        <w:t>overturned.</w:t>
      </w:r>
    </w:p>
    <w:p w:rsidR="004C18D1" w:rsidRDefault="004C18D1" w:rsidP="004C18D1">
      <w:pPr>
        <w:spacing w:line="240" w:lineRule="auto"/>
      </w:pPr>
    </w:p>
    <w:p w:rsidR="00AA5655" w:rsidRDefault="00AA5655" w:rsidP="00EE5DE1">
      <w:r>
        <w:lastRenderedPageBreak/>
        <w:tab/>
        <w:t>In the result, I cannot say that there was an error o</w:t>
      </w:r>
      <w:r w:rsidR="00237EB7">
        <w:t>r</w:t>
      </w:r>
      <w:r>
        <w:t xml:space="preserve"> misdirection by the earlier tribunal</w:t>
      </w:r>
      <w:r w:rsidR="002E01F4">
        <w:t>,</w:t>
      </w:r>
      <w:r w:rsidR="00A24586">
        <w:t xml:space="preserve"> as averred in the grounds of appeal</w:t>
      </w:r>
      <w:r w:rsidR="002E01F4">
        <w:t>,</w:t>
      </w:r>
      <w:r>
        <w:t xml:space="preserve"> which warrants interference by this Court.</w:t>
      </w:r>
    </w:p>
    <w:p w:rsidR="004C18D1" w:rsidRDefault="004C18D1" w:rsidP="004C18D1">
      <w:pPr>
        <w:spacing w:line="240" w:lineRule="auto"/>
      </w:pPr>
    </w:p>
    <w:p w:rsidR="00AA5655" w:rsidRDefault="00AA5655" w:rsidP="00EE5DE1">
      <w:r>
        <w:tab/>
        <w:t>In view of the foregoing</w:t>
      </w:r>
      <w:r w:rsidR="00A24586">
        <w:t xml:space="preserve"> I find that there is no merit i</w:t>
      </w:r>
      <w:r>
        <w:t xml:space="preserve">n </w:t>
      </w:r>
      <w:r w:rsidR="00A24586">
        <w:t xml:space="preserve">all </w:t>
      </w:r>
      <w:r>
        <w:t>the grounds of appeal.  The appeal fails.</w:t>
      </w:r>
    </w:p>
    <w:p w:rsidR="00AA5655" w:rsidRDefault="00AA5655" w:rsidP="00EE5DE1"/>
    <w:p w:rsidR="00AA5655" w:rsidRDefault="00AA5655" w:rsidP="00EE5DE1">
      <w:r>
        <w:t>Accordingly it is ordered that the appeal be and is hereby dismissed</w:t>
      </w:r>
      <w:r w:rsidR="00574164">
        <w:t xml:space="preserve"> with costs</w:t>
      </w:r>
      <w:bookmarkStart w:id="0" w:name="_GoBack"/>
      <w:bookmarkEnd w:id="0"/>
      <w:r>
        <w:t>.</w:t>
      </w:r>
    </w:p>
    <w:p w:rsidR="00AA5655" w:rsidRDefault="00AA5655" w:rsidP="00EE5DE1"/>
    <w:p w:rsidR="00AA5655" w:rsidRDefault="00AA5655" w:rsidP="00EE5DE1"/>
    <w:p w:rsidR="00AA5655" w:rsidRDefault="00AA5655" w:rsidP="00EE5DE1"/>
    <w:p w:rsidR="00AA5655" w:rsidRDefault="00AA5655" w:rsidP="00EE5DE1">
      <w:r w:rsidRPr="002477CF">
        <w:rPr>
          <w:i/>
        </w:rPr>
        <w:t>Dube, Manikai &amp; Hwacha</w:t>
      </w:r>
      <w:r>
        <w:t>, appellant’s legal practitioners</w:t>
      </w:r>
    </w:p>
    <w:p w:rsidR="00AA5655" w:rsidRDefault="00AA5655" w:rsidP="00EE5DE1">
      <w:r w:rsidRPr="002477CF">
        <w:rPr>
          <w:i/>
        </w:rPr>
        <w:t>Munyaradzi Gwisai &amp; Partners</w:t>
      </w:r>
      <w:r>
        <w:t>, respondent’s legal practitioners</w:t>
      </w:r>
    </w:p>
    <w:p w:rsidR="00641B78" w:rsidRDefault="00641B78"/>
    <w:sectPr w:rsidR="00641B78" w:rsidSect="005F111B">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02E" w:rsidRDefault="0023702E" w:rsidP="005F111B">
      <w:pPr>
        <w:spacing w:line="240" w:lineRule="auto"/>
      </w:pPr>
      <w:r>
        <w:separator/>
      </w:r>
    </w:p>
  </w:endnote>
  <w:endnote w:type="continuationSeparator" w:id="0">
    <w:p w:rsidR="0023702E" w:rsidRDefault="0023702E" w:rsidP="005F1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131123"/>
      <w:docPartObj>
        <w:docPartGallery w:val="Page Numbers (Bottom of Page)"/>
        <w:docPartUnique/>
      </w:docPartObj>
    </w:sdtPr>
    <w:sdtEndPr>
      <w:rPr>
        <w:noProof/>
      </w:rPr>
    </w:sdtEndPr>
    <w:sdtContent>
      <w:p w:rsidR="0051646B" w:rsidRDefault="0051646B">
        <w:pPr>
          <w:pStyle w:val="Footer"/>
          <w:jc w:val="center"/>
        </w:pPr>
        <w:r>
          <w:fldChar w:fldCharType="begin"/>
        </w:r>
        <w:r>
          <w:instrText xml:space="preserve"> PAGE   \* MERGEFORMAT </w:instrText>
        </w:r>
        <w:r>
          <w:fldChar w:fldCharType="separate"/>
        </w:r>
        <w:r w:rsidR="00574164">
          <w:rPr>
            <w:noProof/>
          </w:rPr>
          <w:t>4</w:t>
        </w:r>
        <w:r>
          <w:rPr>
            <w:noProof/>
          </w:rPr>
          <w:fldChar w:fldCharType="end"/>
        </w:r>
      </w:p>
    </w:sdtContent>
  </w:sdt>
  <w:p w:rsidR="0051646B" w:rsidRDefault="00516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02E" w:rsidRDefault="0023702E" w:rsidP="005F111B">
      <w:pPr>
        <w:spacing w:line="240" w:lineRule="auto"/>
      </w:pPr>
      <w:r>
        <w:separator/>
      </w:r>
    </w:p>
  </w:footnote>
  <w:footnote w:type="continuationSeparator" w:id="0">
    <w:p w:rsidR="0023702E" w:rsidRDefault="0023702E" w:rsidP="005F11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6B" w:rsidRDefault="0051646B">
    <w:pPr>
      <w:pStyle w:val="Header"/>
    </w:pPr>
    <w:r>
      <w:tab/>
    </w:r>
    <w:r>
      <w:tab/>
      <w:t>JUDGMENT N0. LC/H/</w:t>
    </w:r>
    <w:r w:rsidR="002515E7">
      <w:t>330</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DA3"/>
    <w:multiLevelType w:val="hybridMultilevel"/>
    <w:tmpl w:val="B3565F22"/>
    <w:lvl w:ilvl="0" w:tplc="A8205B1C">
      <w:start w:val="9"/>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28701AE"/>
    <w:multiLevelType w:val="hybridMultilevel"/>
    <w:tmpl w:val="CF600ADC"/>
    <w:lvl w:ilvl="0" w:tplc="28BE4F7C">
      <w:start w:val="8"/>
      <w:numFmt w:val="decimal"/>
      <w:lvlText w:val="%1"/>
      <w:lvlJc w:val="left"/>
      <w:pPr>
        <w:ind w:left="1512" w:hanging="360"/>
      </w:pPr>
      <w:rPr>
        <w:rFonts w:hint="default"/>
      </w:rPr>
    </w:lvl>
    <w:lvl w:ilvl="1" w:tplc="30090019" w:tentative="1">
      <w:start w:val="1"/>
      <w:numFmt w:val="lowerLetter"/>
      <w:lvlText w:val="%2."/>
      <w:lvlJc w:val="left"/>
      <w:pPr>
        <w:ind w:left="2232" w:hanging="360"/>
      </w:pPr>
    </w:lvl>
    <w:lvl w:ilvl="2" w:tplc="3009001B" w:tentative="1">
      <w:start w:val="1"/>
      <w:numFmt w:val="lowerRoman"/>
      <w:lvlText w:val="%3."/>
      <w:lvlJc w:val="right"/>
      <w:pPr>
        <w:ind w:left="2952" w:hanging="180"/>
      </w:pPr>
    </w:lvl>
    <w:lvl w:ilvl="3" w:tplc="3009000F" w:tentative="1">
      <w:start w:val="1"/>
      <w:numFmt w:val="decimal"/>
      <w:lvlText w:val="%4."/>
      <w:lvlJc w:val="left"/>
      <w:pPr>
        <w:ind w:left="3672" w:hanging="360"/>
      </w:pPr>
    </w:lvl>
    <w:lvl w:ilvl="4" w:tplc="30090019" w:tentative="1">
      <w:start w:val="1"/>
      <w:numFmt w:val="lowerLetter"/>
      <w:lvlText w:val="%5."/>
      <w:lvlJc w:val="left"/>
      <w:pPr>
        <w:ind w:left="4392" w:hanging="360"/>
      </w:pPr>
    </w:lvl>
    <w:lvl w:ilvl="5" w:tplc="3009001B" w:tentative="1">
      <w:start w:val="1"/>
      <w:numFmt w:val="lowerRoman"/>
      <w:lvlText w:val="%6."/>
      <w:lvlJc w:val="right"/>
      <w:pPr>
        <w:ind w:left="5112" w:hanging="180"/>
      </w:pPr>
    </w:lvl>
    <w:lvl w:ilvl="6" w:tplc="3009000F" w:tentative="1">
      <w:start w:val="1"/>
      <w:numFmt w:val="decimal"/>
      <w:lvlText w:val="%7."/>
      <w:lvlJc w:val="left"/>
      <w:pPr>
        <w:ind w:left="5832" w:hanging="360"/>
      </w:pPr>
    </w:lvl>
    <w:lvl w:ilvl="7" w:tplc="30090019" w:tentative="1">
      <w:start w:val="1"/>
      <w:numFmt w:val="lowerLetter"/>
      <w:lvlText w:val="%8."/>
      <w:lvlJc w:val="left"/>
      <w:pPr>
        <w:ind w:left="6552" w:hanging="360"/>
      </w:pPr>
    </w:lvl>
    <w:lvl w:ilvl="8" w:tplc="3009001B" w:tentative="1">
      <w:start w:val="1"/>
      <w:numFmt w:val="lowerRoman"/>
      <w:lvlText w:val="%9."/>
      <w:lvlJc w:val="right"/>
      <w:pPr>
        <w:ind w:left="7272" w:hanging="180"/>
      </w:pPr>
    </w:lvl>
  </w:abstractNum>
  <w:abstractNum w:abstractNumId="2">
    <w:nsid w:val="13497933"/>
    <w:multiLevelType w:val="hybridMultilevel"/>
    <w:tmpl w:val="5ADACBB2"/>
    <w:lvl w:ilvl="0" w:tplc="9E103C50">
      <w:start w:val="9"/>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1C92485F"/>
    <w:multiLevelType w:val="hybridMultilevel"/>
    <w:tmpl w:val="98F0DC2C"/>
    <w:lvl w:ilvl="0" w:tplc="A6B621DE">
      <w:start w:val="6"/>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1D8951C2"/>
    <w:multiLevelType w:val="hybridMultilevel"/>
    <w:tmpl w:val="D5D4A2F8"/>
    <w:lvl w:ilvl="0" w:tplc="29DA116C">
      <w:start w:val="3"/>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2BD4113F"/>
    <w:multiLevelType w:val="multilevel"/>
    <w:tmpl w:val="C0DE82DC"/>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760" w:hanging="2160"/>
      </w:pPr>
      <w:rPr>
        <w:rFonts w:hint="default"/>
      </w:rPr>
    </w:lvl>
    <w:lvl w:ilvl="8">
      <w:start w:val="1"/>
      <w:numFmt w:val="decimal"/>
      <w:isLgl/>
      <w:lvlText w:val="%1.%2.%3.%4.%5.%6.%7.%8.%9"/>
      <w:lvlJc w:val="left"/>
      <w:pPr>
        <w:ind w:left="6120" w:hanging="2160"/>
      </w:pPr>
      <w:rPr>
        <w:rFonts w:hint="default"/>
      </w:rPr>
    </w:lvl>
  </w:abstractNum>
  <w:abstractNum w:abstractNumId="6">
    <w:nsid w:val="419D5D8C"/>
    <w:multiLevelType w:val="hybridMultilevel"/>
    <w:tmpl w:val="C9160B54"/>
    <w:lvl w:ilvl="0" w:tplc="BF0E0492">
      <w:start w:val="8"/>
      <w:numFmt w:val="decimal"/>
      <w:lvlText w:val="%1"/>
      <w:lvlJc w:val="left"/>
      <w:pPr>
        <w:ind w:left="1512" w:hanging="360"/>
      </w:pPr>
      <w:rPr>
        <w:rFonts w:hint="default"/>
      </w:rPr>
    </w:lvl>
    <w:lvl w:ilvl="1" w:tplc="30090019" w:tentative="1">
      <w:start w:val="1"/>
      <w:numFmt w:val="lowerLetter"/>
      <w:lvlText w:val="%2."/>
      <w:lvlJc w:val="left"/>
      <w:pPr>
        <w:ind w:left="2232" w:hanging="360"/>
      </w:pPr>
    </w:lvl>
    <w:lvl w:ilvl="2" w:tplc="3009001B" w:tentative="1">
      <w:start w:val="1"/>
      <w:numFmt w:val="lowerRoman"/>
      <w:lvlText w:val="%3."/>
      <w:lvlJc w:val="right"/>
      <w:pPr>
        <w:ind w:left="2952" w:hanging="180"/>
      </w:pPr>
    </w:lvl>
    <w:lvl w:ilvl="3" w:tplc="3009000F" w:tentative="1">
      <w:start w:val="1"/>
      <w:numFmt w:val="decimal"/>
      <w:lvlText w:val="%4."/>
      <w:lvlJc w:val="left"/>
      <w:pPr>
        <w:ind w:left="3672" w:hanging="360"/>
      </w:pPr>
    </w:lvl>
    <w:lvl w:ilvl="4" w:tplc="30090019" w:tentative="1">
      <w:start w:val="1"/>
      <w:numFmt w:val="lowerLetter"/>
      <w:lvlText w:val="%5."/>
      <w:lvlJc w:val="left"/>
      <w:pPr>
        <w:ind w:left="4392" w:hanging="360"/>
      </w:pPr>
    </w:lvl>
    <w:lvl w:ilvl="5" w:tplc="3009001B" w:tentative="1">
      <w:start w:val="1"/>
      <w:numFmt w:val="lowerRoman"/>
      <w:lvlText w:val="%6."/>
      <w:lvlJc w:val="right"/>
      <w:pPr>
        <w:ind w:left="5112" w:hanging="180"/>
      </w:pPr>
    </w:lvl>
    <w:lvl w:ilvl="6" w:tplc="3009000F" w:tentative="1">
      <w:start w:val="1"/>
      <w:numFmt w:val="decimal"/>
      <w:lvlText w:val="%7."/>
      <w:lvlJc w:val="left"/>
      <w:pPr>
        <w:ind w:left="5832" w:hanging="360"/>
      </w:pPr>
    </w:lvl>
    <w:lvl w:ilvl="7" w:tplc="30090019" w:tentative="1">
      <w:start w:val="1"/>
      <w:numFmt w:val="lowerLetter"/>
      <w:lvlText w:val="%8."/>
      <w:lvlJc w:val="left"/>
      <w:pPr>
        <w:ind w:left="6552" w:hanging="360"/>
      </w:pPr>
    </w:lvl>
    <w:lvl w:ilvl="8" w:tplc="3009001B" w:tentative="1">
      <w:start w:val="1"/>
      <w:numFmt w:val="lowerRoman"/>
      <w:lvlText w:val="%9."/>
      <w:lvlJc w:val="right"/>
      <w:pPr>
        <w:ind w:left="7272" w:hanging="180"/>
      </w:pPr>
    </w:lvl>
  </w:abstractNum>
  <w:abstractNum w:abstractNumId="7">
    <w:nsid w:val="41F6466F"/>
    <w:multiLevelType w:val="hybridMultilevel"/>
    <w:tmpl w:val="13DC3C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67B1597"/>
    <w:multiLevelType w:val="hybridMultilevel"/>
    <w:tmpl w:val="4D066922"/>
    <w:lvl w:ilvl="0" w:tplc="1436A2E2">
      <w:start w:val="9"/>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nsid w:val="5D25122E"/>
    <w:multiLevelType w:val="hybridMultilevel"/>
    <w:tmpl w:val="2D9401D2"/>
    <w:lvl w:ilvl="0" w:tplc="2DC2FBA2">
      <w:start w:val="7"/>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5E1B082C"/>
    <w:multiLevelType w:val="hybridMultilevel"/>
    <w:tmpl w:val="79567E8A"/>
    <w:lvl w:ilvl="0" w:tplc="11FC5438">
      <w:start w:val="9"/>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60FA1415"/>
    <w:multiLevelType w:val="hybridMultilevel"/>
    <w:tmpl w:val="82D22CEC"/>
    <w:lvl w:ilvl="0" w:tplc="E8C43108">
      <w:start w:val="4"/>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67A32212"/>
    <w:multiLevelType w:val="hybridMultilevel"/>
    <w:tmpl w:val="D688A21E"/>
    <w:lvl w:ilvl="0" w:tplc="61B01408">
      <w:start w:val="8"/>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nsid w:val="6ED5273F"/>
    <w:multiLevelType w:val="hybridMultilevel"/>
    <w:tmpl w:val="7E76ECB6"/>
    <w:lvl w:ilvl="0" w:tplc="35FED532">
      <w:start w:val="4"/>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nsid w:val="732D56BD"/>
    <w:multiLevelType w:val="hybridMultilevel"/>
    <w:tmpl w:val="CBE0E91E"/>
    <w:lvl w:ilvl="0" w:tplc="7D269176">
      <w:start w:val="9"/>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7F5C45B0"/>
    <w:multiLevelType w:val="hybridMultilevel"/>
    <w:tmpl w:val="86CA997C"/>
    <w:lvl w:ilvl="0" w:tplc="E8A2480C">
      <w:start w:val="4"/>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nsid w:val="7F8C03BB"/>
    <w:multiLevelType w:val="hybridMultilevel"/>
    <w:tmpl w:val="63FAC2EA"/>
    <w:lvl w:ilvl="0" w:tplc="A25ACF54">
      <w:start w:val="4"/>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7"/>
  </w:num>
  <w:num w:numId="2">
    <w:abstractNumId w:val="5"/>
  </w:num>
  <w:num w:numId="3">
    <w:abstractNumId w:val="4"/>
  </w:num>
  <w:num w:numId="4">
    <w:abstractNumId w:val="13"/>
  </w:num>
  <w:num w:numId="5">
    <w:abstractNumId w:val="16"/>
  </w:num>
  <w:num w:numId="6">
    <w:abstractNumId w:val="11"/>
  </w:num>
  <w:num w:numId="7">
    <w:abstractNumId w:val="15"/>
  </w:num>
  <w:num w:numId="8">
    <w:abstractNumId w:val="3"/>
  </w:num>
  <w:num w:numId="9">
    <w:abstractNumId w:val="9"/>
  </w:num>
  <w:num w:numId="10">
    <w:abstractNumId w:val="6"/>
  </w:num>
  <w:num w:numId="11">
    <w:abstractNumId w:val="1"/>
  </w:num>
  <w:num w:numId="12">
    <w:abstractNumId w:val="12"/>
  </w:num>
  <w:num w:numId="13">
    <w:abstractNumId w:val="0"/>
  </w:num>
  <w:num w:numId="14">
    <w:abstractNumId w:val="10"/>
  </w:num>
  <w:num w:numId="15">
    <w:abstractNumId w:val="2"/>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F7"/>
    <w:rsid w:val="00017357"/>
    <w:rsid w:val="000567C0"/>
    <w:rsid w:val="00087D49"/>
    <w:rsid w:val="00093CEC"/>
    <w:rsid w:val="00097069"/>
    <w:rsid w:val="000A74F7"/>
    <w:rsid w:val="000C481C"/>
    <w:rsid w:val="000D135D"/>
    <w:rsid w:val="000D25EE"/>
    <w:rsid w:val="000D74B1"/>
    <w:rsid w:val="000E7167"/>
    <w:rsid w:val="000F4248"/>
    <w:rsid w:val="0019425D"/>
    <w:rsid w:val="00196729"/>
    <w:rsid w:val="001A2C23"/>
    <w:rsid w:val="001D3C8D"/>
    <w:rsid w:val="0020494C"/>
    <w:rsid w:val="002228DA"/>
    <w:rsid w:val="00225EB7"/>
    <w:rsid w:val="0023702E"/>
    <w:rsid w:val="00237EB7"/>
    <w:rsid w:val="002477CF"/>
    <w:rsid w:val="002515E7"/>
    <w:rsid w:val="0025749D"/>
    <w:rsid w:val="0025779E"/>
    <w:rsid w:val="00262F51"/>
    <w:rsid w:val="00275A92"/>
    <w:rsid w:val="002766A4"/>
    <w:rsid w:val="002A2E26"/>
    <w:rsid w:val="002B2177"/>
    <w:rsid w:val="002C67CB"/>
    <w:rsid w:val="002D0F18"/>
    <w:rsid w:val="002D2F9B"/>
    <w:rsid w:val="002E01F4"/>
    <w:rsid w:val="00304C9E"/>
    <w:rsid w:val="00326E9B"/>
    <w:rsid w:val="00335A59"/>
    <w:rsid w:val="00357630"/>
    <w:rsid w:val="00366FA6"/>
    <w:rsid w:val="00383F33"/>
    <w:rsid w:val="00385FA8"/>
    <w:rsid w:val="003A6299"/>
    <w:rsid w:val="003D4689"/>
    <w:rsid w:val="004061CA"/>
    <w:rsid w:val="00452A9A"/>
    <w:rsid w:val="0046386C"/>
    <w:rsid w:val="00467A44"/>
    <w:rsid w:val="004770DE"/>
    <w:rsid w:val="004876A1"/>
    <w:rsid w:val="00494872"/>
    <w:rsid w:val="004A6FA3"/>
    <w:rsid w:val="004C18D1"/>
    <w:rsid w:val="004C23DA"/>
    <w:rsid w:val="0051646B"/>
    <w:rsid w:val="0052240F"/>
    <w:rsid w:val="005243C1"/>
    <w:rsid w:val="005540D0"/>
    <w:rsid w:val="0057131B"/>
    <w:rsid w:val="00574164"/>
    <w:rsid w:val="00576126"/>
    <w:rsid w:val="005801B4"/>
    <w:rsid w:val="00581832"/>
    <w:rsid w:val="00585C72"/>
    <w:rsid w:val="005A2332"/>
    <w:rsid w:val="005B2ED3"/>
    <w:rsid w:val="005C2DBE"/>
    <w:rsid w:val="005E65DA"/>
    <w:rsid w:val="005F111B"/>
    <w:rsid w:val="00602E67"/>
    <w:rsid w:val="006046E8"/>
    <w:rsid w:val="006070D4"/>
    <w:rsid w:val="00611288"/>
    <w:rsid w:val="00641B78"/>
    <w:rsid w:val="006438A9"/>
    <w:rsid w:val="00667E5C"/>
    <w:rsid w:val="006C2EF2"/>
    <w:rsid w:val="006C79DE"/>
    <w:rsid w:val="006E50E0"/>
    <w:rsid w:val="006F0492"/>
    <w:rsid w:val="006F782C"/>
    <w:rsid w:val="0071546D"/>
    <w:rsid w:val="007231C1"/>
    <w:rsid w:val="007325BB"/>
    <w:rsid w:val="0075335E"/>
    <w:rsid w:val="00774749"/>
    <w:rsid w:val="0079477F"/>
    <w:rsid w:val="007B2498"/>
    <w:rsid w:val="007C14B0"/>
    <w:rsid w:val="007C6D78"/>
    <w:rsid w:val="007E5AC2"/>
    <w:rsid w:val="007F09F7"/>
    <w:rsid w:val="008275A9"/>
    <w:rsid w:val="00851C74"/>
    <w:rsid w:val="00857A33"/>
    <w:rsid w:val="0086650B"/>
    <w:rsid w:val="0087395C"/>
    <w:rsid w:val="00877490"/>
    <w:rsid w:val="00885921"/>
    <w:rsid w:val="00894B47"/>
    <w:rsid w:val="008A3A26"/>
    <w:rsid w:val="008D3CB9"/>
    <w:rsid w:val="008E09FC"/>
    <w:rsid w:val="008E71E0"/>
    <w:rsid w:val="008F0C40"/>
    <w:rsid w:val="00901580"/>
    <w:rsid w:val="009404FC"/>
    <w:rsid w:val="00964B79"/>
    <w:rsid w:val="0098744A"/>
    <w:rsid w:val="00994BE8"/>
    <w:rsid w:val="009A1A06"/>
    <w:rsid w:val="009C0F3D"/>
    <w:rsid w:val="009C299F"/>
    <w:rsid w:val="009C47C4"/>
    <w:rsid w:val="009F7EC3"/>
    <w:rsid w:val="00A22C52"/>
    <w:rsid w:val="00A24586"/>
    <w:rsid w:val="00A31507"/>
    <w:rsid w:val="00A53A28"/>
    <w:rsid w:val="00A72EAD"/>
    <w:rsid w:val="00A76FA2"/>
    <w:rsid w:val="00A7789C"/>
    <w:rsid w:val="00A81C29"/>
    <w:rsid w:val="00A94D76"/>
    <w:rsid w:val="00A9558C"/>
    <w:rsid w:val="00A96573"/>
    <w:rsid w:val="00AA5655"/>
    <w:rsid w:val="00AC135B"/>
    <w:rsid w:val="00AC4E14"/>
    <w:rsid w:val="00AD1D81"/>
    <w:rsid w:val="00AD2578"/>
    <w:rsid w:val="00AE4248"/>
    <w:rsid w:val="00AF067F"/>
    <w:rsid w:val="00B030AE"/>
    <w:rsid w:val="00B07BCF"/>
    <w:rsid w:val="00B12D1D"/>
    <w:rsid w:val="00B329D3"/>
    <w:rsid w:val="00B44B22"/>
    <w:rsid w:val="00B469C5"/>
    <w:rsid w:val="00BB7C9A"/>
    <w:rsid w:val="00BE27D7"/>
    <w:rsid w:val="00CA5F49"/>
    <w:rsid w:val="00D044E1"/>
    <w:rsid w:val="00D056E6"/>
    <w:rsid w:val="00D13D43"/>
    <w:rsid w:val="00D23AFD"/>
    <w:rsid w:val="00D4033A"/>
    <w:rsid w:val="00D4538D"/>
    <w:rsid w:val="00D572B5"/>
    <w:rsid w:val="00D80D5B"/>
    <w:rsid w:val="00D862A2"/>
    <w:rsid w:val="00DE363D"/>
    <w:rsid w:val="00E006A2"/>
    <w:rsid w:val="00E418DD"/>
    <w:rsid w:val="00E671AA"/>
    <w:rsid w:val="00E81A05"/>
    <w:rsid w:val="00EA14F2"/>
    <w:rsid w:val="00EA4F56"/>
    <w:rsid w:val="00EE16F7"/>
    <w:rsid w:val="00EE5DE1"/>
    <w:rsid w:val="00EF4A67"/>
    <w:rsid w:val="00F31854"/>
    <w:rsid w:val="00F337A6"/>
    <w:rsid w:val="00F35997"/>
    <w:rsid w:val="00F54AA9"/>
    <w:rsid w:val="00F803C0"/>
    <w:rsid w:val="00F869AC"/>
    <w:rsid w:val="00FC23BE"/>
    <w:rsid w:val="00FE338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F7"/>
    <w:pPr>
      <w:spacing w:after="0" w:line="360" w:lineRule="auto"/>
      <w:jc w:val="both"/>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81C"/>
    <w:pPr>
      <w:ind w:left="720"/>
      <w:contextualSpacing/>
    </w:pPr>
  </w:style>
  <w:style w:type="paragraph" w:styleId="Header">
    <w:name w:val="header"/>
    <w:basedOn w:val="Normal"/>
    <w:link w:val="HeaderChar"/>
    <w:uiPriority w:val="99"/>
    <w:unhideWhenUsed/>
    <w:rsid w:val="005F111B"/>
    <w:pPr>
      <w:tabs>
        <w:tab w:val="center" w:pos="4513"/>
        <w:tab w:val="right" w:pos="9026"/>
      </w:tabs>
      <w:spacing w:line="240" w:lineRule="auto"/>
    </w:pPr>
  </w:style>
  <w:style w:type="character" w:customStyle="1" w:styleId="HeaderChar">
    <w:name w:val="Header Char"/>
    <w:basedOn w:val="DefaultParagraphFont"/>
    <w:link w:val="Header"/>
    <w:uiPriority w:val="99"/>
    <w:rsid w:val="005F111B"/>
    <w:rPr>
      <w:rFonts w:ascii="Tahoma" w:eastAsia="Times New Roman" w:hAnsi="Tahoma" w:cs="Times New Roman"/>
      <w:sz w:val="24"/>
      <w:szCs w:val="24"/>
      <w:lang w:val="en-US"/>
    </w:rPr>
  </w:style>
  <w:style w:type="paragraph" w:styleId="Footer">
    <w:name w:val="footer"/>
    <w:basedOn w:val="Normal"/>
    <w:link w:val="FooterChar"/>
    <w:uiPriority w:val="99"/>
    <w:unhideWhenUsed/>
    <w:rsid w:val="005F111B"/>
    <w:pPr>
      <w:tabs>
        <w:tab w:val="center" w:pos="4513"/>
        <w:tab w:val="right" w:pos="9026"/>
      </w:tabs>
      <w:spacing w:line="240" w:lineRule="auto"/>
    </w:pPr>
  </w:style>
  <w:style w:type="character" w:customStyle="1" w:styleId="FooterChar">
    <w:name w:val="Footer Char"/>
    <w:basedOn w:val="DefaultParagraphFont"/>
    <w:link w:val="Footer"/>
    <w:uiPriority w:val="99"/>
    <w:rsid w:val="005F111B"/>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3D4689"/>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3D468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F7"/>
    <w:pPr>
      <w:spacing w:after="0" w:line="360" w:lineRule="auto"/>
      <w:jc w:val="both"/>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81C"/>
    <w:pPr>
      <w:ind w:left="720"/>
      <w:contextualSpacing/>
    </w:pPr>
  </w:style>
  <w:style w:type="paragraph" w:styleId="Header">
    <w:name w:val="header"/>
    <w:basedOn w:val="Normal"/>
    <w:link w:val="HeaderChar"/>
    <w:uiPriority w:val="99"/>
    <w:unhideWhenUsed/>
    <w:rsid w:val="005F111B"/>
    <w:pPr>
      <w:tabs>
        <w:tab w:val="center" w:pos="4513"/>
        <w:tab w:val="right" w:pos="9026"/>
      </w:tabs>
      <w:spacing w:line="240" w:lineRule="auto"/>
    </w:pPr>
  </w:style>
  <w:style w:type="character" w:customStyle="1" w:styleId="HeaderChar">
    <w:name w:val="Header Char"/>
    <w:basedOn w:val="DefaultParagraphFont"/>
    <w:link w:val="Header"/>
    <w:uiPriority w:val="99"/>
    <w:rsid w:val="005F111B"/>
    <w:rPr>
      <w:rFonts w:ascii="Tahoma" w:eastAsia="Times New Roman" w:hAnsi="Tahoma" w:cs="Times New Roman"/>
      <w:sz w:val="24"/>
      <w:szCs w:val="24"/>
      <w:lang w:val="en-US"/>
    </w:rPr>
  </w:style>
  <w:style w:type="paragraph" w:styleId="Footer">
    <w:name w:val="footer"/>
    <w:basedOn w:val="Normal"/>
    <w:link w:val="FooterChar"/>
    <w:uiPriority w:val="99"/>
    <w:unhideWhenUsed/>
    <w:rsid w:val="005F111B"/>
    <w:pPr>
      <w:tabs>
        <w:tab w:val="center" w:pos="4513"/>
        <w:tab w:val="right" w:pos="9026"/>
      </w:tabs>
      <w:spacing w:line="240" w:lineRule="auto"/>
    </w:pPr>
  </w:style>
  <w:style w:type="character" w:customStyle="1" w:styleId="FooterChar">
    <w:name w:val="Footer Char"/>
    <w:basedOn w:val="DefaultParagraphFont"/>
    <w:link w:val="Footer"/>
    <w:uiPriority w:val="99"/>
    <w:rsid w:val="005F111B"/>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3D4689"/>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3D468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FB72-5C0E-4098-8546-516C809E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dc:creator>
  <cp:lastModifiedBy>HP</cp:lastModifiedBy>
  <cp:revision>49</cp:revision>
  <cp:lastPrinted>2016-01-20T07:06:00Z</cp:lastPrinted>
  <dcterms:created xsi:type="dcterms:W3CDTF">2016-01-20T07:05:00Z</dcterms:created>
  <dcterms:modified xsi:type="dcterms:W3CDTF">2016-05-11T14:12:00Z</dcterms:modified>
</cp:coreProperties>
</file>