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206" w:rsidRPr="00902F2A" w:rsidRDefault="00A444F8" w:rsidP="00550CAB">
      <w:pPr>
        <w:pStyle w:val="NoSpacing"/>
        <w:rPr>
          <w:rFonts w:ascii="Times New Roman" w:hAnsi="Times New Roman" w:cs="Times New Roman"/>
          <w:sz w:val="24"/>
          <w:szCs w:val="24"/>
        </w:rPr>
      </w:pPr>
      <w:bookmarkStart w:id="0" w:name="_GoBack"/>
      <w:bookmarkEnd w:id="0"/>
      <w:r>
        <w:rPr>
          <w:rFonts w:ascii="Times New Roman" w:hAnsi="Times New Roman" w:cs="Times New Roman"/>
          <w:sz w:val="24"/>
          <w:szCs w:val="24"/>
        </w:rPr>
        <w:t>NATIONAL SOCIAL SECURITY AUTHORITY</w:t>
      </w:r>
      <w:r w:rsidR="007973BB">
        <w:rPr>
          <w:rFonts w:ascii="Times New Roman" w:hAnsi="Times New Roman" w:cs="Times New Roman"/>
          <w:sz w:val="24"/>
          <w:szCs w:val="24"/>
        </w:rPr>
        <w:t xml:space="preserve"> </w:t>
      </w:r>
      <w:r w:rsidR="00DA4E3D">
        <w:rPr>
          <w:rFonts w:ascii="Times New Roman" w:hAnsi="Times New Roman" w:cs="Times New Roman"/>
          <w:sz w:val="24"/>
          <w:szCs w:val="24"/>
        </w:rPr>
        <w:t xml:space="preserve"> </w:t>
      </w:r>
    </w:p>
    <w:p w:rsidR="0081013D" w:rsidRPr="00902F2A" w:rsidRDefault="009B4612" w:rsidP="00DC2A46">
      <w:pPr>
        <w:pStyle w:val="NoSpacing"/>
        <w:rPr>
          <w:rFonts w:ascii="Times New Roman" w:hAnsi="Times New Roman" w:cs="Times New Roman"/>
          <w:sz w:val="24"/>
          <w:szCs w:val="24"/>
        </w:rPr>
      </w:pPr>
      <w:r w:rsidRPr="00902F2A">
        <w:rPr>
          <w:rFonts w:ascii="Times New Roman" w:hAnsi="Times New Roman" w:cs="Times New Roman"/>
          <w:sz w:val="24"/>
          <w:szCs w:val="24"/>
        </w:rPr>
        <w:t>v</w:t>
      </w:r>
      <w:r w:rsidR="00673887" w:rsidRPr="00902F2A">
        <w:rPr>
          <w:rFonts w:ascii="Times New Roman" w:hAnsi="Times New Roman" w:cs="Times New Roman"/>
          <w:sz w:val="24"/>
          <w:szCs w:val="24"/>
        </w:rPr>
        <w:t>ersus</w:t>
      </w:r>
    </w:p>
    <w:p w:rsidR="00A444F8" w:rsidRDefault="00A444F8" w:rsidP="00274260">
      <w:pPr>
        <w:pStyle w:val="NoSpacing"/>
        <w:rPr>
          <w:rFonts w:ascii="Times New Roman" w:hAnsi="Times New Roman" w:cs="Times New Roman"/>
          <w:sz w:val="24"/>
          <w:szCs w:val="24"/>
        </w:rPr>
      </w:pPr>
      <w:r>
        <w:rPr>
          <w:rFonts w:ascii="Times New Roman" w:hAnsi="Times New Roman" w:cs="Times New Roman"/>
          <w:sz w:val="24"/>
          <w:szCs w:val="24"/>
        </w:rPr>
        <w:t>CAPITAL BANK CORPORATION LIMITED</w:t>
      </w:r>
    </w:p>
    <w:p w:rsidR="00A444F8" w:rsidRDefault="00545F1B" w:rsidP="00274260">
      <w:pPr>
        <w:pStyle w:val="NoSpacing"/>
        <w:rPr>
          <w:rFonts w:ascii="Times New Roman" w:hAnsi="Times New Roman" w:cs="Times New Roman"/>
          <w:sz w:val="24"/>
          <w:szCs w:val="24"/>
        </w:rPr>
      </w:pPr>
      <w:r>
        <w:rPr>
          <w:rFonts w:ascii="Times New Roman" w:hAnsi="Times New Roman" w:cs="Times New Roman"/>
          <w:sz w:val="24"/>
          <w:szCs w:val="24"/>
        </w:rPr>
        <w:t>a</w:t>
      </w:r>
      <w:r w:rsidR="00A444F8">
        <w:rPr>
          <w:rFonts w:ascii="Times New Roman" w:hAnsi="Times New Roman" w:cs="Times New Roman"/>
          <w:sz w:val="24"/>
          <w:szCs w:val="24"/>
        </w:rPr>
        <w:t>nd</w:t>
      </w:r>
    </w:p>
    <w:p w:rsidR="00A444F8" w:rsidRDefault="00A444F8" w:rsidP="00274260">
      <w:pPr>
        <w:pStyle w:val="NoSpacing"/>
        <w:rPr>
          <w:rFonts w:ascii="Times New Roman" w:hAnsi="Times New Roman" w:cs="Times New Roman"/>
          <w:sz w:val="24"/>
          <w:szCs w:val="24"/>
        </w:rPr>
      </w:pPr>
      <w:r>
        <w:rPr>
          <w:rFonts w:ascii="Times New Roman" w:hAnsi="Times New Roman" w:cs="Times New Roman"/>
          <w:sz w:val="24"/>
          <w:szCs w:val="24"/>
        </w:rPr>
        <w:t>RENNAISANCE FINANCIAL HOLDINGS (PVT) LTD</w:t>
      </w:r>
    </w:p>
    <w:p w:rsidR="00A444F8" w:rsidRDefault="00545F1B" w:rsidP="00274260">
      <w:pPr>
        <w:pStyle w:val="NoSpacing"/>
        <w:rPr>
          <w:rFonts w:ascii="Times New Roman" w:hAnsi="Times New Roman" w:cs="Times New Roman"/>
          <w:sz w:val="24"/>
          <w:szCs w:val="24"/>
        </w:rPr>
      </w:pPr>
      <w:r>
        <w:rPr>
          <w:rFonts w:ascii="Times New Roman" w:hAnsi="Times New Roman" w:cs="Times New Roman"/>
          <w:sz w:val="24"/>
          <w:szCs w:val="24"/>
        </w:rPr>
        <w:t>a</w:t>
      </w:r>
      <w:r w:rsidR="00A444F8">
        <w:rPr>
          <w:rFonts w:ascii="Times New Roman" w:hAnsi="Times New Roman" w:cs="Times New Roman"/>
          <w:sz w:val="24"/>
          <w:szCs w:val="24"/>
        </w:rPr>
        <w:t xml:space="preserve">nd </w:t>
      </w:r>
    </w:p>
    <w:p w:rsidR="00A444F8" w:rsidRDefault="00A444F8" w:rsidP="00274260">
      <w:pPr>
        <w:pStyle w:val="NoSpacing"/>
        <w:rPr>
          <w:rFonts w:ascii="Times New Roman" w:hAnsi="Times New Roman" w:cs="Times New Roman"/>
          <w:sz w:val="24"/>
          <w:szCs w:val="24"/>
        </w:rPr>
      </w:pPr>
      <w:r>
        <w:rPr>
          <w:rFonts w:ascii="Times New Roman" w:hAnsi="Times New Roman" w:cs="Times New Roman"/>
          <w:sz w:val="24"/>
          <w:szCs w:val="24"/>
        </w:rPr>
        <w:t>EDWIN CHAVORA</w:t>
      </w:r>
    </w:p>
    <w:p w:rsidR="00A444F8" w:rsidRDefault="00545F1B" w:rsidP="00274260">
      <w:pPr>
        <w:pStyle w:val="NoSpacing"/>
        <w:rPr>
          <w:rFonts w:ascii="Times New Roman" w:hAnsi="Times New Roman" w:cs="Times New Roman"/>
          <w:sz w:val="24"/>
          <w:szCs w:val="24"/>
        </w:rPr>
      </w:pPr>
      <w:r>
        <w:rPr>
          <w:rFonts w:ascii="Times New Roman" w:hAnsi="Times New Roman" w:cs="Times New Roman"/>
          <w:sz w:val="24"/>
          <w:szCs w:val="24"/>
        </w:rPr>
        <w:t>a</w:t>
      </w:r>
      <w:r w:rsidR="00A444F8">
        <w:rPr>
          <w:rFonts w:ascii="Times New Roman" w:hAnsi="Times New Roman" w:cs="Times New Roman"/>
          <w:sz w:val="24"/>
          <w:szCs w:val="24"/>
        </w:rPr>
        <w:t xml:space="preserve">nd </w:t>
      </w:r>
    </w:p>
    <w:p w:rsidR="00A444F8" w:rsidRDefault="00A444F8" w:rsidP="00274260">
      <w:pPr>
        <w:pStyle w:val="NoSpacing"/>
        <w:rPr>
          <w:rFonts w:ascii="Times New Roman" w:hAnsi="Times New Roman" w:cs="Times New Roman"/>
          <w:sz w:val="24"/>
          <w:szCs w:val="24"/>
        </w:rPr>
      </w:pPr>
      <w:r>
        <w:rPr>
          <w:rFonts w:ascii="Times New Roman" w:hAnsi="Times New Roman" w:cs="Times New Roman"/>
          <w:sz w:val="24"/>
          <w:szCs w:val="24"/>
        </w:rPr>
        <w:t>JENITIAS RODZE</w:t>
      </w:r>
    </w:p>
    <w:p w:rsidR="00A444F8" w:rsidRDefault="00545F1B" w:rsidP="00274260">
      <w:pPr>
        <w:pStyle w:val="NoSpacing"/>
        <w:rPr>
          <w:rFonts w:ascii="Times New Roman" w:hAnsi="Times New Roman" w:cs="Times New Roman"/>
          <w:sz w:val="24"/>
          <w:szCs w:val="24"/>
        </w:rPr>
      </w:pPr>
      <w:r>
        <w:rPr>
          <w:rFonts w:ascii="Times New Roman" w:hAnsi="Times New Roman" w:cs="Times New Roman"/>
          <w:sz w:val="24"/>
          <w:szCs w:val="24"/>
        </w:rPr>
        <w:t>a</w:t>
      </w:r>
      <w:r w:rsidR="00A444F8">
        <w:rPr>
          <w:rFonts w:ascii="Times New Roman" w:hAnsi="Times New Roman" w:cs="Times New Roman"/>
          <w:sz w:val="24"/>
          <w:szCs w:val="24"/>
        </w:rPr>
        <w:t>nd</w:t>
      </w:r>
    </w:p>
    <w:p w:rsidR="00DA4E3D" w:rsidRDefault="00A444F8" w:rsidP="00274260">
      <w:pPr>
        <w:pStyle w:val="NoSpacing"/>
        <w:rPr>
          <w:rFonts w:ascii="Times New Roman" w:hAnsi="Times New Roman" w:cs="Times New Roman"/>
          <w:sz w:val="24"/>
          <w:szCs w:val="24"/>
        </w:rPr>
      </w:pPr>
      <w:r>
        <w:rPr>
          <w:rFonts w:ascii="Times New Roman" w:hAnsi="Times New Roman" w:cs="Times New Roman"/>
          <w:sz w:val="24"/>
          <w:szCs w:val="24"/>
        </w:rPr>
        <w:t>MIRIAM MUZA</w:t>
      </w:r>
    </w:p>
    <w:p w:rsidR="00A444F8" w:rsidRDefault="00545F1B" w:rsidP="00274260">
      <w:pPr>
        <w:pStyle w:val="NoSpacing"/>
        <w:rPr>
          <w:rFonts w:ascii="Times New Roman" w:hAnsi="Times New Roman" w:cs="Times New Roman"/>
          <w:sz w:val="24"/>
          <w:szCs w:val="24"/>
        </w:rPr>
      </w:pPr>
      <w:r>
        <w:rPr>
          <w:rFonts w:ascii="Times New Roman" w:hAnsi="Times New Roman" w:cs="Times New Roman"/>
          <w:sz w:val="24"/>
          <w:szCs w:val="24"/>
        </w:rPr>
        <w:t>a</w:t>
      </w:r>
      <w:r w:rsidR="00A444F8">
        <w:rPr>
          <w:rFonts w:ascii="Times New Roman" w:hAnsi="Times New Roman" w:cs="Times New Roman"/>
          <w:sz w:val="24"/>
          <w:szCs w:val="24"/>
        </w:rPr>
        <w:t>nd</w:t>
      </w:r>
    </w:p>
    <w:p w:rsidR="00A444F8" w:rsidRDefault="00A444F8" w:rsidP="00274260">
      <w:pPr>
        <w:pStyle w:val="NoSpacing"/>
        <w:rPr>
          <w:rFonts w:ascii="Times New Roman" w:hAnsi="Times New Roman" w:cs="Times New Roman"/>
          <w:sz w:val="24"/>
          <w:szCs w:val="24"/>
        </w:rPr>
      </w:pPr>
      <w:r>
        <w:rPr>
          <w:rFonts w:ascii="Times New Roman" w:hAnsi="Times New Roman" w:cs="Times New Roman"/>
          <w:sz w:val="24"/>
          <w:szCs w:val="24"/>
        </w:rPr>
        <w:t>FORD THINDWA</w:t>
      </w:r>
    </w:p>
    <w:p w:rsidR="00A444F8" w:rsidRDefault="00545F1B" w:rsidP="00274260">
      <w:pPr>
        <w:pStyle w:val="NoSpacing"/>
        <w:rPr>
          <w:rFonts w:ascii="Times New Roman" w:hAnsi="Times New Roman" w:cs="Times New Roman"/>
          <w:sz w:val="24"/>
          <w:szCs w:val="24"/>
        </w:rPr>
      </w:pPr>
      <w:r>
        <w:rPr>
          <w:rFonts w:ascii="Times New Roman" w:hAnsi="Times New Roman" w:cs="Times New Roman"/>
          <w:sz w:val="24"/>
          <w:szCs w:val="24"/>
        </w:rPr>
        <w:t>a</w:t>
      </w:r>
      <w:r w:rsidR="00A444F8">
        <w:rPr>
          <w:rFonts w:ascii="Times New Roman" w:hAnsi="Times New Roman" w:cs="Times New Roman"/>
          <w:sz w:val="24"/>
          <w:szCs w:val="24"/>
        </w:rPr>
        <w:t>nd</w:t>
      </w:r>
    </w:p>
    <w:p w:rsidR="00A444F8" w:rsidRDefault="00A444F8" w:rsidP="00274260">
      <w:pPr>
        <w:pStyle w:val="NoSpacing"/>
        <w:rPr>
          <w:rFonts w:ascii="Times New Roman" w:hAnsi="Times New Roman" w:cs="Times New Roman"/>
          <w:sz w:val="24"/>
          <w:szCs w:val="24"/>
        </w:rPr>
      </w:pPr>
      <w:r>
        <w:rPr>
          <w:rFonts w:ascii="Times New Roman" w:hAnsi="Times New Roman" w:cs="Times New Roman"/>
          <w:sz w:val="24"/>
          <w:szCs w:val="24"/>
        </w:rPr>
        <w:t>RONALD MUDZIMBA</w:t>
      </w:r>
    </w:p>
    <w:p w:rsidR="00A444F8" w:rsidRDefault="00545F1B" w:rsidP="00274260">
      <w:pPr>
        <w:pStyle w:val="NoSpacing"/>
        <w:rPr>
          <w:rFonts w:ascii="Times New Roman" w:hAnsi="Times New Roman" w:cs="Times New Roman"/>
          <w:sz w:val="24"/>
          <w:szCs w:val="24"/>
        </w:rPr>
      </w:pPr>
      <w:r>
        <w:rPr>
          <w:rFonts w:ascii="Times New Roman" w:hAnsi="Times New Roman" w:cs="Times New Roman"/>
          <w:sz w:val="24"/>
          <w:szCs w:val="24"/>
        </w:rPr>
        <w:t>a</w:t>
      </w:r>
      <w:r w:rsidR="00A444F8">
        <w:rPr>
          <w:rFonts w:ascii="Times New Roman" w:hAnsi="Times New Roman" w:cs="Times New Roman"/>
          <w:sz w:val="24"/>
          <w:szCs w:val="24"/>
        </w:rPr>
        <w:t>nd</w:t>
      </w:r>
    </w:p>
    <w:p w:rsidR="00A444F8" w:rsidRDefault="00A444F8" w:rsidP="00274260">
      <w:pPr>
        <w:pStyle w:val="NoSpacing"/>
        <w:rPr>
          <w:rFonts w:ascii="Times New Roman" w:hAnsi="Times New Roman" w:cs="Times New Roman"/>
          <w:sz w:val="24"/>
          <w:szCs w:val="24"/>
        </w:rPr>
      </w:pPr>
      <w:r>
        <w:rPr>
          <w:rFonts w:ascii="Times New Roman" w:hAnsi="Times New Roman" w:cs="Times New Roman"/>
          <w:sz w:val="24"/>
          <w:szCs w:val="24"/>
        </w:rPr>
        <w:t>BERNARD MUSONZA</w:t>
      </w:r>
    </w:p>
    <w:p w:rsidR="00A444F8" w:rsidRDefault="00545F1B" w:rsidP="00274260">
      <w:pPr>
        <w:pStyle w:val="NoSpacing"/>
        <w:rPr>
          <w:rFonts w:ascii="Times New Roman" w:hAnsi="Times New Roman" w:cs="Times New Roman"/>
          <w:sz w:val="24"/>
          <w:szCs w:val="24"/>
        </w:rPr>
      </w:pPr>
      <w:r>
        <w:rPr>
          <w:rFonts w:ascii="Times New Roman" w:hAnsi="Times New Roman" w:cs="Times New Roman"/>
          <w:sz w:val="24"/>
          <w:szCs w:val="24"/>
        </w:rPr>
        <w:t>a</w:t>
      </w:r>
      <w:r w:rsidR="00A444F8">
        <w:rPr>
          <w:rFonts w:ascii="Times New Roman" w:hAnsi="Times New Roman" w:cs="Times New Roman"/>
          <w:sz w:val="24"/>
          <w:szCs w:val="24"/>
        </w:rPr>
        <w:t>nd</w:t>
      </w:r>
    </w:p>
    <w:p w:rsidR="00A444F8" w:rsidRDefault="00A444F8" w:rsidP="00274260">
      <w:pPr>
        <w:pStyle w:val="NoSpacing"/>
        <w:rPr>
          <w:rFonts w:ascii="Times New Roman" w:hAnsi="Times New Roman" w:cs="Times New Roman"/>
          <w:sz w:val="24"/>
          <w:szCs w:val="24"/>
        </w:rPr>
      </w:pPr>
      <w:r>
        <w:rPr>
          <w:rFonts w:ascii="Times New Roman" w:hAnsi="Times New Roman" w:cs="Times New Roman"/>
          <w:sz w:val="24"/>
          <w:szCs w:val="24"/>
        </w:rPr>
        <w:t>KUMBULANI MATHEMA</w:t>
      </w:r>
    </w:p>
    <w:p w:rsidR="00A444F8" w:rsidRDefault="00545F1B" w:rsidP="00274260">
      <w:pPr>
        <w:pStyle w:val="NoSpacing"/>
        <w:rPr>
          <w:rFonts w:ascii="Times New Roman" w:hAnsi="Times New Roman" w:cs="Times New Roman"/>
          <w:sz w:val="24"/>
          <w:szCs w:val="24"/>
        </w:rPr>
      </w:pPr>
      <w:r>
        <w:rPr>
          <w:rFonts w:ascii="Times New Roman" w:hAnsi="Times New Roman" w:cs="Times New Roman"/>
          <w:sz w:val="24"/>
          <w:szCs w:val="24"/>
        </w:rPr>
        <w:t>a</w:t>
      </w:r>
      <w:r w:rsidR="00A444F8">
        <w:rPr>
          <w:rFonts w:ascii="Times New Roman" w:hAnsi="Times New Roman" w:cs="Times New Roman"/>
          <w:sz w:val="24"/>
          <w:szCs w:val="24"/>
        </w:rPr>
        <w:t>nd</w:t>
      </w:r>
    </w:p>
    <w:p w:rsidR="00A444F8" w:rsidRDefault="00A444F8" w:rsidP="00274260">
      <w:pPr>
        <w:pStyle w:val="NoSpacing"/>
        <w:rPr>
          <w:rFonts w:ascii="Times New Roman" w:hAnsi="Times New Roman" w:cs="Times New Roman"/>
          <w:sz w:val="24"/>
          <w:szCs w:val="24"/>
        </w:rPr>
      </w:pPr>
      <w:r>
        <w:rPr>
          <w:rFonts w:ascii="Times New Roman" w:hAnsi="Times New Roman" w:cs="Times New Roman"/>
          <w:sz w:val="24"/>
          <w:szCs w:val="24"/>
        </w:rPr>
        <w:t>SIDMORE MATIKITI</w:t>
      </w:r>
    </w:p>
    <w:p w:rsidR="00A444F8" w:rsidRDefault="00545F1B" w:rsidP="00274260">
      <w:pPr>
        <w:pStyle w:val="NoSpacing"/>
        <w:rPr>
          <w:rFonts w:ascii="Times New Roman" w:hAnsi="Times New Roman" w:cs="Times New Roman"/>
          <w:sz w:val="24"/>
          <w:szCs w:val="24"/>
        </w:rPr>
      </w:pPr>
      <w:r>
        <w:rPr>
          <w:rFonts w:ascii="Times New Roman" w:hAnsi="Times New Roman" w:cs="Times New Roman"/>
          <w:sz w:val="24"/>
          <w:szCs w:val="24"/>
        </w:rPr>
        <w:t>a</w:t>
      </w:r>
      <w:r w:rsidR="00A444F8">
        <w:rPr>
          <w:rFonts w:ascii="Times New Roman" w:hAnsi="Times New Roman" w:cs="Times New Roman"/>
          <w:sz w:val="24"/>
          <w:szCs w:val="24"/>
        </w:rPr>
        <w:t>nd</w:t>
      </w:r>
    </w:p>
    <w:p w:rsidR="00A444F8" w:rsidRDefault="00A444F8" w:rsidP="00274260">
      <w:pPr>
        <w:pStyle w:val="NoSpacing"/>
        <w:rPr>
          <w:rFonts w:ascii="Times New Roman" w:hAnsi="Times New Roman" w:cs="Times New Roman"/>
          <w:sz w:val="24"/>
          <w:szCs w:val="24"/>
        </w:rPr>
      </w:pPr>
      <w:r>
        <w:rPr>
          <w:rFonts w:ascii="Times New Roman" w:hAnsi="Times New Roman" w:cs="Times New Roman"/>
          <w:sz w:val="24"/>
          <w:szCs w:val="24"/>
        </w:rPr>
        <w:t>ALBERT KABANDE</w:t>
      </w:r>
    </w:p>
    <w:p w:rsidR="00A444F8" w:rsidRDefault="00545F1B" w:rsidP="00274260">
      <w:pPr>
        <w:pStyle w:val="NoSpacing"/>
        <w:rPr>
          <w:rFonts w:ascii="Times New Roman" w:hAnsi="Times New Roman" w:cs="Times New Roman"/>
          <w:sz w:val="24"/>
          <w:szCs w:val="24"/>
        </w:rPr>
      </w:pPr>
      <w:r>
        <w:rPr>
          <w:rFonts w:ascii="Times New Roman" w:hAnsi="Times New Roman" w:cs="Times New Roman"/>
          <w:sz w:val="24"/>
          <w:szCs w:val="24"/>
        </w:rPr>
        <w:t>a</w:t>
      </w:r>
      <w:r w:rsidR="00A444F8">
        <w:rPr>
          <w:rFonts w:ascii="Times New Roman" w:hAnsi="Times New Roman" w:cs="Times New Roman"/>
          <w:sz w:val="24"/>
          <w:szCs w:val="24"/>
        </w:rPr>
        <w:t>nd</w:t>
      </w:r>
    </w:p>
    <w:p w:rsidR="00A444F8" w:rsidRDefault="00A444F8" w:rsidP="00274260">
      <w:pPr>
        <w:pStyle w:val="NoSpacing"/>
        <w:rPr>
          <w:rFonts w:ascii="Times New Roman" w:hAnsi="Times New Roman" w:cs="Times New Roman"/>
          <w:sz w:val="24"/>
          <w:szCs w:val="24"/>
        </w:rPr>
      </w:pPr>
      <w:r>
        <w:rPr>
          <w:rFonts w:ascii="Times New Roman" w:hAnsi="Times New Roman" w:cs="Times New Roman"/>
          <w:sz w:val="24"/>
          <w:szCs w:val="24"/>
        </w:rPr>
        <w:t>MARLONE MATAVIRE</w:t>
      </w:r>
    </w:p>
    <w:p w:rsidR="00A444F8" w:rsidRDefault="00545F1B" w:rsidP="00274260">
      <w:pPr>
        <w:pStyle w:val="NoSpacing"/>
        <w:rPr>
          <w:rFonts w:ascii="Times New Roman" w:hAnsi="Times New Roman" w:cs="Times New Roman"/>
          <w:sz w:val="24"/>
          <w:szCs w:val="24"/>
        </w:rPr>
      </w:pPr>
      <w:r>
        <w:rPr>
          <w:rFonts w:ascii="Times New Roman" w:hAnsi="Times New Roman" w:cs="Times New Roman"/>
          <w:sz w:val="24"/>
          <w:szCs w:val="24"/>
        </w:rPr>
        <w:t>a</w:t>
      </w:r>
      <w:r w:rsidR="00A444F8">
        <w:rPr>
          <w:rFonts w:ascii="Times New Roman" w:hAnsi="Times New Roman" w:cs="Times New Roman"/>
          <w:sz w:val="24"/>
          <w:szCs w:val="24"/>
        </w:rPr>
        <w:t>nd</w:t>
      </w:r>
    </w:p>
    <w:p w:rsidR="00A444F8" w:rsidRDefault="00A444F8" w:rsidP="00545F1B">
      <w:pPr>
        <w:pStyle w:val="NoSpacing"/>
        <w:rPr>
          <w:rFonts w:ascii="Times New Roman" w:hAnsi="Times New Roman" w:cs="Times New Roman"/>
          <w:sz w:val="24"/>
          <w:szCs w:val="24"/>
        </w:rPr>
      </w:pPr>
      <w:r>
        <w:rPr>
          <w:rFonts w:ascii="Times New Roman" w:hAnsi="Times New Roman" w:cs="Times New Roman"/>
          <w:sz w:val="24"/>
          <w:szCs w:val="24"/>
        </w:rPr>
        <w:t>O</w:t>
      </w:r>
      <w:r w:rsidR="00545F1B">
        <w:rPr>
          <w:rFonts w:ascii="Times New Roman" w:hAnsi="Times New Roman" w:cs="Times New Roman"/>
          <w:sz w:val="24"/>
          <w:szCs w:val="24"/>
        </w:rPr>
        <w:t>SWARD JONGWE</w:t>
      </w:r>
    </w:p>
    <w:p w:rsidR="00545F1B" w:rsidRDefault="00545F1B" w:rsidP="00545F1B">
      <w:pPr>
        <w:pStyle w:val="NoSpacing"/>
        <w:rPr>
          <w:rFonts w:ascii="Times New Roman" w:hAnsi="Times New Roman" w:cs="Times New Roman"/>
          <w:sz w:val="24"/>
          <w:szCs w:val="24"/>
        </w:rPr>
      </w:pPr>
      <w:r>
        <w:rPr>
          <w:rFonts w:ascii="Times New Roman" w:hAnsi="Times New Roman" w:cs="Times New Roman"/>
          <w:sz w:val="24"/>
          <w:szCs w:val="24"/>
        </w:rPr>
        <w:t>and</w:t>
      </w:r>
    </w:p>
    <w:p w:rsidR="00A444F8" w:rsidRDefault="00A444F8" w:rsidP="00274260">
      <w:pPr>
        <w:pStyle w:val="NoSpacing"/>
        <w:rPr>
          <w:rFonts w:ascii="Times New Roman" w:hAnsi="Times New Roman" w:cs="Times New Roman"/>
          <w:sz w:val="24"/>
          <w:szCs w:val="24"/>
        </w:rPr>
      </w:pPr>
      <w:r>
        <w:rPr>
          <w:rFonts w:ascii="Times New Roman" w:hAnsi="Times New Roman" w:cs="Times New Roman"/>
          <w:sz w:val="24"/>
          <w:szCs w:val="24"/>
        </w:rPr>
        <w:t>LUCKSON MUTIWEKUZIVA</w:t>
      </w:r>
    </w:p>
    <w:p w:rsidR="00A444F8" w:rsidRDefault="00545F1B" w:rsidP="00274260">
      <w:pPr>
        <w:pStyle w:val="NoSpacing"/>
        <w:rPr>
          <w:rFonts w:ascii="Times New Roman" w:hAnsi="Times New Roman" w:cs="Times New Roman"/>
          <w:sz w:val="24"/>
          <w:szCs w:val="24"/>
        </w:rPr>
      </w:pPr>
      <w:r>
        <w:rPr>
          <w:rFonts w:ascii="Times New Roman" w:hAnsi="Times New Roman" w:cs="Times New Roman"/>
          <w:sz w:val="24"/>
          <w:szCs w:val="24"/>
        </w:rPr>
        <w:t>a</w:t>
      </w:r>
      <w:r w:rsidR="00A444F8">
        <w:rPr>
          <w:rFonts w:ascii="Times New Roman" w:hAnsi="Times New Roman" w:cs="Times New Roman"/>
          <w:sz w:val="24"/>
          <w:szCs w:val="24"/>
        </w:rPr>
        <w:t>nd</w:t>
      </w:r>
    </w:p>
    <w:p w:rsidR="00A444F8" w:rsidRDefault="00A444F8" w:rsidP="00274260">
      <w:pPr>
        <w:pStyle w:val="NoSpacing"/>
        <w:rPr>
          <w:rFonts w:ascii="Times New Roman" w:hAnsi="Times New Roman" w:cs="Times New Roman"/>
          <w:sz w:val="24"/>
          <w:szCs w:val="24"/>
        </w:rPr>
      </w:pPr>
      <w:r>
        <w:rPr>
          <w:rFonts w:ascii="Times New Roman" w:hAnsi="Times New Roman" w:cs="Times New Roman"/>
          <w:sz w:val="24"/>
          <w:szCs w:val="24"/>
        </w:rPr>
        <w:t>MUCHINERIPI CHIGWENDERE</w:t>
      </w:r>
    </w:p>
    <w:p w:rsidR="00A444F8" w:rsidRDefault="00545F1B" w:rsidP="00274260">
      <w:pPr>
        <w:pStyle w:val="NoSpacing"/>
        <w:rPr>
          <w:rFonts w:ascii="Times New Roman" w:hAnsi="Times New Roman" w:cs="Times New Roman"/>
          <w:sz w:val="24"/>
          <w:szCs w:val="24"/>
        </w:rPr>
      </w:pPr>
      <w:r>
        <w:rPr>
          <w:rFonts w:ascii="Times New Roman" w:hAnsi="Times New Roman" w:cs="Times New Roman"/>
          <w:sz w:val="24"/>
          <w:szCs w:val="24"/>
        </w:rPr>
        <w:t>a</w:t>
      </w:r>
      <w:r w:rsidR="00A444F8">
        <w:rPr>
          <w:rFonts w:ascii="Times New Roman" w:hAnsi="Times New Roman" w:cs="Times New Roman"/>
          <w:sz w:val="24"/>
          <w:szCs w:val="24"/>
        </w:rPr>
        <w:t>nd</w:t>
      </w:r>
    </w:p>
    <w:p w:rsidR="00A444F8" w:rsidRDefault="00A444F8" w:rsidP="00274260">
      <w:pPr>
        <w:pStyle w:val="NoSpacing"/>
        <w:rPr>
          <w:rFonts w:ascii="Times New Roman" w:hAnsi="Times New Roman" w:cs="Times New Roman"/>
          <w:sz w:val="24"/>
          <w:szCs w:val="24"/>
        </w:rPr>
      </w:pPr>
      <w:r>
        <w:rPr>
          <w:rFonts w:ascii="Times New Roman" w:hAnsi="Times New Roman" w:cs="Times New Roman"/>
          <w:sz w:val="24"/>
          <w:szCs w:val="24"/>
        </w:rPr>
        <w:t>ANDERSON MURONGERWI</w:t>
      </w:r>
    </w:p>
    <w:p w:rsidR="00A444F8" w:rsidRDefault="00545F1B" w:rsidP="00274260">
      <w:pPr>
        <w:pStyle w:val="NoSpacing"/>
        <w:rPr>
          <w:rFonts w:ascii="Times New Roman" w:hAnsi="Times New Roman" w:cs="Times New Roman"/>
          <w:sz w:val="24"/>
          <w:szCs w:val="24"/>
        </w:rPr>
      </w:pPr>
      <w:r>
        <w:rPr>
          <w:rFonts w:ascii="Times New Roman" w:hAnsi="Times New Roman" w:cs="Times New Roman"/>
          <w:sz w:val="24"/>
          <w:szCs w:val="24"/>
        </w:rPr>
        <w:t>a</w:t>
      </w:r>
      <w:r w:rsidR="00A444F8">
        <w:rPr>
          <w:rFonts w:ascii="Times New Roman" w:hAnsi="Times New Roman" w:cs="Times New Roman"/>
          <w:sz w:val="24"/>
          <w:szCs w:val="24"/>
        </w:rPr>
        <w:t>nd</w:t>
      </w:r>
    </w:p>
    <w:p w:rsidR="00A444F8" w:rsidRDefault="00A444F8" w:rsidP="00274260">
      <w:pPr>
        <w:pStyle w:val="NoSpacing"/>
        <w:rPr>
          <w:rFonts w:ascii="Times New Roman" w:hAnsi="Times New Roman" w:cs="Times New Roman"/>
          <w:sz w:val="24"/>
          <w:szCs w:val="24"/>
        </w:rPr>
      </w:pPr>
      <w:r>
        <w:rPr>
          <w:rFonts w:ascii="Times New Roman" w:hAnsi="Times New Roman" w:cs="Times New Roman"/>
          <w:sz w:val="24"/>
          <w:szCs w:val="24"/>
        </w:rPr>
        <w:t>STEPHEN MASHOZHERA</w:t>
      </w:r>
    </w:p>
    <w:p w:rsidR="00A444F8" w:rsidRDefault="00545F1B" w:rsidP="00274260">
      <w:pPr>
        <w:pStyle w:val="NoSpacing"/>
        <w:rPr>
          <w:rFonts w:ascii="Times New Roman" w:hAnsi="Times New Roman" w:cs="Times New Roman"/>
          <w:sz w:val="24"/>
          <w:szCs w:val="24"/>
        </w:rPr>
      </w:pPr>
      <w:r>
        <w:rPr>
          <w:rFonts w:ascii="Times New Roman" w:hAnsi="Times New Roman" w:cs="Times New Roman"/>
          <w:sz w:val="24"/>
          <w:szCs w:val="24"/>
        </w:rPr>
        <w:t>a</w:t>
      </w:r>
      <w:r w:rsidR="00A444F8">
        <w:rPr>
          <w:rFonts w:ascii="Times New Roman" w:hAnsi="Times New Roman" w:cs="Times New Roman"/>
          <w:sz w:val="24"/>
          <w:szCs w:val="24"/>
        </w:rPr>
        <w:t>nd</w:t>
      </w:r>
    </w:p>
    <w:p w:rsidR="00A444F8" w:rsidRDefault="00A444F8" w:rsidP="00274260">
      <w:pPr>
        <w:pStyle w:val="NoSpacing"/>
        <w:rPr>
          <w:rFonts w:ascii="Times New Roman" w:hAnsi="Times New Roman" w:cs="Times New Roman"/>
          <w:sz w:val="24"/>
          <w:szCs w:val="24"/>
        </w:rPr>
      </w:pPr>
      <w:r>
        <w:rPr>
          <w:rFonts w:ascii="Times New Roman" w:hAnsi="Times New Roman" w:cs="Times New Roman"/>
          <w:sz w:val="24"/>
          <w:szCs w:val="24"/>
        </w:rPr>
        <w:t>WASHINGTON VAMBE</w:t>
      </w:r>
    </w:p>
    <w:p w:rsidR="00A444F8" w:rsidRDefault="00545F1B" w:rsidP="00274260">
      <w:pPr>
        <w:pStyle w:val="NoSpacing"/>
        <w:rPr>
          <w:rFonts w:ascii="Times New Roman" w:hAnsi="Times New Roman" w:cs="Times New Roman"/>
          <w:sz w:val="24"/>
          <w:szCs w:val="24"/>
        </w:rPr>
      </w:pPr>
      <w:r>
        <w:rPr>
          <w:rFonts w:ascii="Times New Roman" w:hAnsi="Times New Roman" w:cs="Times New Roman"/>
          <w:sz w:val="24"/>
          <w:szCs w:val="24"/>
        </w:rPr>
        <w:t>a</w:t>
      </w:r>
      <w:r w:rsidR="00A444F8">
        <w:rPr>
          <w:rFonts w:ascii="Times New Roman" w:hAnsi="Times New Roman" w:cs="Times New Roman"/>
          <w:sz w:val="24"/>
          <w:szCs w:val="24"/>
        </w:rPr>
        <w:t>nd</w:t>
      </w:r>
    </w:p>
    <w:p w:rsidR="00A444F8" w:rsidRDefault="00A444F8" w:rsidP="00274260">
      <w:pPr>
        <w:pStyle w:val="NoSpacing"/>
        <w:rPr>
          <w:rFonts w:ascii="Times New Roman" w:hAnsi="Times New Roman" w:cs="Times New Roman"/>
          <w:sz w:val="24"/>
          <w:szCs w:val="24"/>
        </w:rPr>
      </w:pPr>
      <w:r>
        <w:rPr>
          <w:rFonts w:ascii="Times New Roman" w:hAnsi="Times New Roman" w:cs="Times New Roman"/>
          <w:sz w:val="24"/>
          <w:szCs w:val="24"/>
        </w:rPr>
        <w:t>LAWRENCE MUSENDEKWA</w:t>
      </w:r>
    </w:p>
    <w:p w:rsidR="00A444F8" w:rsidRDefault="00545F1B" w:rsidP="00274260">
      <w:pPr>
        <w:pStyle w:val="NoSpacing"/>
        <w:rPr>
          <w:rFonts w:ascii="Times New Roman" w:hAnsi="Times New Roman" w:cs="Times New Roman"/>
          <w:sz w:val="24"/>
          <w:szCs w:val="24"/>
        </w:rPr>
      </w:pPr>
      <w:r>
        <w:rPr>
          <w:rFonts w:ascii="Times New Roman" w:hAnsi="Times New Roman" w:cs="Times New Roman"/>
          <w:sz w:val="24"/>
          <w:szCs w:val="24"/>
        </w:rPr>
        <w:t>a</w:t>
      </w:r>
      <w:r w:rsidR="00A444F8">
        <w:rPr>
          <w:rFonts w:ascii="Times New Roman" w:hAnsi="Times New Roman" w:cs="Times New Roman"/>
          <w:sz w:val="24"/>
          <w:szCs w:val="24"/>
        </w:rPr>
        <w:t>nd</w:t>
      </w:r>
    </w:p>
    <w:p w:rsidR="00A444F8" w:rsidRDefault="00A444F8" w:rsidP="00274260">
      <w:pPr>
        <w:pStyle w:val="NoSpacing"/>
        <w:rPr>
          <w:rFonts w:ascii="Times New Roman" w:hAnsi="Times New Roman" w:cs="Times New Roman"/>
          <w:sz w:val="24"/>
          <w:szCs w:val="24"/>
        </w:rPr>
      </w:pPr>
      <w:r>
        <w:rPr>
          <w:rFonts w:ascii="Times New Roman" w:hAnsi="Times New Roman" w:cs="Times New Roman"/>
          <w:sz w:val="24"/>
          <w:szCs w:val="24"/>
        </w:rPr>
        <w:t>NGONIDZASHE CHIKOWORE</w:t>
      </w:r>
    </w:p>
    <w:p w:rsidR="00A444F8" w:rsidRDefault="00545F1B" w:rsidP="00274260">
      <w:pPr>
        <w:pStyle w:val="NoSpacing"/>
        <w:rPr>
          <w:rFonts w:ascii="Times New Roman" w:hAnsi="Times New Roman" w:cs="Times New Roman"/>
          <w:sz w:val="24"/>
          <w:szCs w:val="24"/>
        </w:rPr>
      </w:pPr>
      <w:r>
        <w:rPr>
          <w:rFonts w:ascii="Times New Roman" w:hAnsi="Times New Roman" w:cs="Times New Roman"/>
          <w:sz w:val="24"/>
          <w:szCs w:val="24"/>
        </w:rPr>
        <w:t>a</w:t>
      </w:r>
      <w:r w:rsidR="00A444F8">
        <w:rPr>
          <w:rFonts w:ascii="Times New Roman" w:hAnsi="Times New Roman" w:cs="Times New Roman"/>
          <w:sz w:val="24"/>
          <w:szCs w:val="24"/>
        </w:rPr>
        <w:t>nd</w:t>
      </w:r>
    </w:p>
    <w:p w:rsidR="00A444F8" w:rsidRDefault="00A444F8" w:rsidP="00274260">
      <w:pPr>
        <w:pStyle w:val="NoSpacing"/>
        <w:rPr>
          <w:rFonts w:ascii="Times New Roman" w:hAnsi="Times New Roman" w:cs="Times New Roman"/>
          <w:sz w:val="24"/>
          <w:szCs w:val="24"/>
        </w:rPr>
      </w:pPr>
      <w:r>
        <w:rPr>
          <w:rFonts w:ascii="Times New Roman" w:hAnsi="Times New Roman" w:cs="Times New Roman"/>
          <w:sz w:val="24"/>
          <w:szCs w:val="24"/>
        </w:rPr>
        <w:t>SHINGIRAI MAZAMBANI</w:t>
      </w:r>
    </w:p>
    <w:p w:rsidR="00A444F8" w:rsidRDefault="00545F1B" w:rsidP="00274260">
      <w:pPr>
        <w:pStyle w:val="NoSpacing"/>
        <w:rPr>
          <w:rFonts w:ascii="Times New Roman" w:hAnsi="Times New Roman" w:cs="Times New Roman"/>
          <w:sz w:val="24"/>
          <w:szCs w:val="24"/>
        </w:rPr>
      </w:pPr>
      <w:r>
        <w:rPr>
          <w:rFonts w:ascii="Times New Roman" w:hAnsi="Times New Roman" w:cs="Times New Roman"/>
          <w:sz w:val="24"/>
          <w:szCs w:val="24"/>
        </w:rPr>
        <w:t>a</w:t>
      </w:r>
      <w:r w:rsidR="00A444F8">
        <w:rPr>
          <w:rFonts w:ascii="Times New Roman" w:hAnsi="Times New Roman" w:cs="Times New Roman"/>
          <w:sz w:val="24"/>
          <w:szCs w:val="24"/>
        </w:rPr>
        <w:t>nd</w:t>
      </w:r>
    </w:p>
    <w:p w:rsidR="00A444F8" w:rsidRDefault="00A444F8" w:rsidP="00274260">
      <w:pPr>
        <w:pStyle w:val="NoSpacing"/>
        <w:rPr>
          <w:rFonts w:ascii="Times New Roman" w:hAnsi="Times New Roman" w:cs="Times New Roman"/>
          <w:sz w:val="24"/>
          <w:szCs w:val="24"/>
        </w:rPr>
      </w:pPr>
      <w:r>
        <w:rPr>
          <w:rFonts w:ascii="Times New Roman" w:hAnsi="Times New Roman" w:cs="Times New Roman"/>
          <w:sz w:val="24"/>
          <w:szCs w:val="24"/>
        </w:rPr>
        <w:t>JOSEPH MEDZANO</w:t>
      </w:r>
    </w:p>
    <w:p w:rsidR="00A444F8" w:rsidRDefault="00545F1B" w:rsidP="00274260">
      <w:pPr>
        <w:pStyle w:val="NoSpacing"/>
        <w:rPr>
          <w:rFonts w:ascii="Times New Roman" w:hAnsi="Times New Roman" w:cs="Times New Roman"/>
          <w:sz w:val="24"/>
          <w:szCs w:val="24"/>
        </w:rPr>
      </w:pPr>
      <w:r>
        <w:rPr>
          <w:rFonts w:ascii="Times New Roman" w:hAnsi="Times New Roman" w:cs="Times New Roman"/>
          <w:sz w:val="24"/>
          <w:szCs w:val="24"/>
        </w:rPr>
        <w:t>a</w:t>
      </w:r>
      <w:r w:rsidR="00A444F8">
        <w:rPr>
          <w:rFonts w:ascii="Times New Roman" w:hAnsi="Times New Roman" w:cs="Times New Roman"/>
          <w:sz w:val="24"/>
          <w:szCs w:val="24"/>
        </w:rPr>
        <w:t>nd</w:t>
      </w:r>
    </w:p>
    <w:p w:rsidR="00A444F8" w:rsidRDefault="00A444F8" w:rsidP="00274260">
      <w:pPr>
        <w:pStyle w:val="NoSpacing"/>
        <w:rPr>
          <w:rFonts w:ascii="Times New Roman" w:hAnsi="Times New Roman" w:cs="Times New Roman"/>
          <w:sz w:val="24"/>
          <w:szCs w:val="24"/>
        </w:rPr>
      </w:pPr>
      <w:r>
        <w:rPr>
          <w:rFonts w:ascii="Times New Roman" w:hAnsi="Times New Roman" w:cs="Times New Roman"/>
          <w:sz w:val="24"/>
          <w:szCs w:val="24"/>
        </w:rPr>
        <w:t>MILLICENT NYATHI</w:t>
      </w:r>
    </w:p>
    <w:p w:rsidR="00A444F8" w:rsidRDefault="00A444F8" w:rsidP="00274260">
      <w:pPr>
        <w:pStyle w:val="NoSpacing"/>
        <w:rPr>
          <w:rFonts w:ascii="Times New Roman" w:hAnsi="Times New Roman" w:cs="Times New Roman"/>
          <w:sz w:val="24"/>
          <w:szCs w:val="24"/>
        </w:rPr>
      </w:pPr>
    </w:p>
    <w:p w:rsidR="00123FD7" w:rsidRDefault="00123FD7" w:rsidP="001F7BE4">
      <w:pPr>
        <w:spacing w:after="0" w:line="240" w:lineRule="auto"/>
        <w:jc w:val="both"/>
        <w:rPr>
          <w:rFonts w:ascii="Times New Roman" w:hAnsi="Times New Roman" w:cs="Times New Roman"/>
          <w:sz w:val="24"/>
          <w:szCs w:val="24"/>
        </w:rPr>
      </w:pPr>
    </w:p>
    <w:p w:rsidR="001F7BE4" w:rsidRDefault="001F7BE4" w:rsidP="001F7BE4">
      <w:pPr>
        <w:spacing w:after="0" w:line="240" w:lineRule="auto"/>
        <w:jc w:val="both"/>
        <w:rPr>
          <w:rFonts w:ascii="Times New Roman" w:hAnsi="Times New Roman" w:cs="Times New Roman"/>
          <w:sz w:val="24"/>
          <w:szCs w:val="24"/>
        </w:rPr>
      </w:pPr>
    </w:p>
    <w:p w:rsidR="00090BBF"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090BBF"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CHAREWA J</w:t>
      </w:r>
    </w:p>
    <w:p w:rsidR="00090BBF" w:rsidRPr="00CD5DAB"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w:t>
      </w:r>
      <w:r w:rsidR="00F26F67">
        <w:rPr>
          <w:rFonts w:ascii="Times New Roman" w:hAnsi="Times New Roman" w:cs="Times New Roman"/>
          <w:sz w:val="24"/>
          <w:szCs w:val="24"/>
        </w:rPr>
        <w:t xml:space="preserve">29 October, </w:t>
      </w:r>
      <w:r w:rsidR="007973BB">
        <w:rPr>
          <w:rFonts w:ascii="Times New Roman" w:hAnsi="Times New Roman" w:cs="Times New Roman"/>
          <w:sz w:val="24"/>
          <w:szCs w:val="24"/>
        </w:rPr>
        <w:t>12</w:t>
      </w:r>
      <w:r w:rsidR="00274260">
        <w:rPr>
          <w:rFonts w:ascii="Times New Roman" w:hAnsi="Times New Roman" w:cs="Times New Roman"/>
          <w:sz w:val="24"/>
          <w:szCs w:val="24"/>
        </w:rPr>
        <w:t xml:space="preserve"> November &amp; </w:t>
      </w:r>
      <w:r w:rsidR="00D365DA">
        <w:rPr>
          <w:rFonts w:ascii="Times New Roman" w:hAnsi="Times New Roman" w:cs="Times New Roman"/>
          <w:sz w:val="24"/>
          <w:szCs w:val="24"/>
        </w:rPr>
        <w:t>17 February</w:t>
      </w:r>
      <w:r w:rsidR="00BD3426">
        <w:rPr>
          <w:rFonts w:ascii="Times New Roman" w:hAnsi="Times New Roman" w:cs="Times New Roman"/>
          <w:sz w:val="24"/>
          <w:szCs w:val="24"/>
        </w:rPr>
        <w:t xml:space="preserve"> </w:t>
      </w:r>
      <w:r w:rsidR="00274260">
        <w:rPr>
          <w:rFonts w:ascii="Times New Roman" w:hAnsi="Times New Roman" w:cs="Times New Roman"/>
          <w:sz w:val="24"/>
          <w:szCs w:val="24"/>
        </w:rPr>
        <w:t>202</w:t>
      </w:r>
      <w:r w:rsidR="00BD3426">
        <w:rPr>
          <w:rFonts w:ascii="Times New Roman" w:hAnsi="Times New Roman" w:cs="Times New Roman"/>
          <w:sz w:val="24"/>
          <w:szCs w:val="24"/>
        </w:rPr>
        <w:t>1</w:t>
      </w:r>
      <w:r w:rsidRPr="00CD5DAB">
        <w:rPr>
          <w:rFonts w:ascii="Times New Roman" w:hAnsi="Times New Roman" w:cs="Times New Roman"/>
          <w:sz w:val="24"/>
          <w:szCs w:val="24"/>
        </w:rPr>
        <w:tab/>
      </w:r>
      <w:r w:rsidRPr="00CD5DAB">
        <w:rPr>
          <w:rFonts w:ascii="Times New Roman" w:hAnsi="Times New Roman" w:cs="Times New Roman"/>
          <w:sz w:val="24"/>
          <w:szCs w:val="24"/>
        </w:rPr>
        <w:tab/>
      </w:r>
      <w:r w:rsidRPr="00CD5DAB">
        <w:rPr>
          <w:rFonts w:ascii="Times New Roman" w:hAnsi="Times New Roman" w:cs="Times New Roman"/>
          <w:sz w:val="24"/>
          <w:szCs w:val="24"/>
        </w:rPr>
        <w:tab/>
      </w:r>
    </w:p>
    <w:p w:rsidR="00090BBF" w:rsidRDefault="00090BBF" w:rsidP="001F7BE4">
      <w:pPr>
        <w:spacing w:after="0" w:line="240" w:lineRule="auto"/>
        <w:rPr>
          <w:rFonts w:ascii="Times New Roman" w:hAnsi="Times New Roman" w:cs="Times New Roman"/>
          <w:sz w:val="24"/>
          <w:szCs w:val="24"/>
        </w:rPr>
      </w:pPr>
    </w:p>
    <w:p w:rsidR="001F7BE4" w:rsidRPr="00CD5DAB" w:rsidRDefault="001F7BE4" w:rsidP="001F7BE4">
      <w:pPr>
        <w:spacing w:after="0" w:line="240" w:lineRule="auto"/>
        <w:rPr>
          <w:rFonts w:ascii="Times New Roman" w:hAnsi="Times New Roman" w:cs="Times New Roman"/>
          <w:sz w:val="24"/>
          <w:szCs w:val="24"/>
        </w:rPr>
      </w:pPr>
    </w:p>
    <w:p w:rsidR="00090BBF" w:rsidRDefault="00090BBF" w:rsidP="001F7BE4">
      <w:pPr>
        <w:spacing w:after="0" w:line="240" w:lineRule="auto"/>
        <w:rPr>
          <w:rFonts w:ascii="Times New Roman" w:hAnsi="Times New Roman" w:cs="Times New Roman"/>
          <w:sz w:val="24"/>
          <w:szCs w:val="24"/>
        </w:rPr>
      </w:pPr>
    </w:p>
    <w:p w:rsidR="00D47206" w:rsidRDefault="00AD30D7" w:rsidP="00D47206">
      <w:pPr>
        <w:tabs>
          <w:tab w:val="left" w:pos="5025"/>
        </w:tabs>
        <w:spacing w:after="0" w:line="240" w:lineRule="auto"/>
        <w:rPr>
          <w:rFonts w:ascii="Times New Roman" w:hAnsi="Times New Roman" w:cs="Times New Roman"/>
          <w:b/>
          <w:sz w:val="24"/>
          <w:szCs w:val="24"/>
        </w:rPr>
      </w:pPr>
      <w:r>
        <w:rPr>
          <w:rFonts w:ascii="Times New Roman" w:hAnsi="Times New Roman" w:cs="Times New Roman"/>
          <w:b/>
          <w:sz w:val="24"/>
          <w:szCs w:val="24"/>
        </w:rPr>
        <w:t>Opposed Application</w:t>
      </w:r>
      <w:r w:rsidR="00AB6264">
        <w:rPr>
          <w:rFonts w:ascii="Times New Roman" w:hAnsi="Times New Roman" w:cs="Times New Roman"/>
          <w:b/>
          <w:sz w:val="24"/>
          <w:szCs w:val="24"/>
        </w:rPr>
        <w:t xml:space="preserve"> </w:t>
      </w:r>
      <w:r w:rsidR="007A0ADB">
        <w:rPr>
          <w:rFonts w:ascii="Times New Roman" w:hAnsi="Times New Roman" w:cs="Times New Roman"/>
          <w:b/>
          <w:sz w:val="24"/>
          <w:szCs w:val="24"/>
        </w:rPr>
        <w:t>–</w:t>
      </w:r>
      <w:r w:rsidR="00B27F25">
        <w:rPr>
          <w:rFonts w:ascii="Times New Roman" w:hAnsi="Times New Roman" w:cs="Times New Roman"/>
          <w:b/>
          <w:sz w:val="24"/>
          <w:szCs w:val="24"/>
        </w:rPr>
        <w:t xml:space="preserve"> </w:t>
      </w:r>
      <w:r w:rsidR="00F26F67">
        <w:rPr>
          <w:rFonts w:ascii="Times New Roman" w:hAnsi="Times New Roman" w:cs="Times New Roman"/>
          <w:b/>
          <w:sz w:val="24"/>
          <w:szCs w:val="24"/>
        </w:rPr>
        <w:t>Winding up</w:t>
      </w:r>
    </w:p>
    <w:p w:rsidR="00EE1002" w:rsidRDefault="00EE1002" w:rsidP="00D47206">
      <w:pPr>
        <w:tabs>
          <w:tab w:val="left" w:pos="5025"/>
        </w:tabs>
        <w:spacing w:after="0" w:line="240" w:lineRule="auto"/>
        <w:rPr>
          <w:rFonts w:ascii="Times New Roman" w:hAnsi="Times New Roman" w:cs="Times New Roman"/>
          <w:i/>
          <w:sz w:val="24"/>
          <w:szCs w:val="24"/>
        </w:rPr>
      </w:pPr>
    </w:p>
    <w:p w:rsidR="001F7BE4" w:rsidRDefault="001F7BE4" w:rsidP="001F7BE4">
      <w:pPr>
        <w:spacing w:after="0" w:line="240" w:lineRule="auto"/>
        <w:rPr>
          <w:rFonts w:ascii="Times New Roman" w:hAnsi="Times New Roman" w:cs="Times New Roman"/>
          <w:i/>
          <w:sz w:val="24"/>
          <w:szCs w:val="24"/>
        </w:rPr>
      </w:pPr>
    </w:p>
    <w:p w:rsidR="00AD30D7" w:rsidRDefault="007973BB" w:rsidP="00AD30D7">
      <w:pPr>
        <w:spacing w:after="0" w:line="240" w:lineRule="auto"/>
        <w:rPr>
          <w:rFonts w:ascii="Times New Roman" w:hAnsi="Times New Roman" w:cs="Times New Roman"/>
          <w:sz w:val="24"/>
          <w:szCs w:val="24"/>
        </w:rPr>
      </w:pPr>
      <w:r w:rsidRPr="002814FC">
        <w:rPr>
          <w:rFonts w:ascii="Times New Roman" w:hAnsi="Times New Roman" w:cs="Times New Roman"/>
          <w:sz w:val="24"/>
          <w:szCs w:val="24"/>
        </w:rPr>
        <w:t xml:space="preserve">Mr </w:t>
      </w:r>
      <w:r>
        <w:rPr>
          <w:rFonts w:ascii="Times New Roman" w:hAnsi="Times New Roman" w:cs="Times New Roman"/>
          <w:i/>
          <w:sz w:val="24"/>
          <w:szCs w:val="24"/>
        </w:rPr>
        <w:t xml:space="preserve">T </w:t>
      </w:r>
      <w:r w:rsidR="00F11B29">
        <w:rPr>
          <w:rFonts w:ascii="Times New Roman" w:hAnsi="Times New Roman" w:cs="Times New Roman"/>
          <w:i/>
          <w:sz w:val="24"/>
          <w:szCs w:val="24"/>
        </w:rPr>
        <w:t>Zhuwarara</w:t>
      </w:r>
      <w:r>
        <w:rPr>
          <w:rFonts w:ascii="Times New Roman" w:hAnsi="Times New Roman" w:cs="Times New Roman"/>
          <w:i/>
          <w:sz w:val="24"/>
          <w:szCs w:val="24"/>
        </w:rPr>
        <w:t xml:space="preserve">, </w:t>
      </w:r>
      <w:r>
        <w:rPr>
          <w:rFonts w:ascii="Times New Roman" w:hAnsi="Times New Roman" w:cs="Times New Roman"/>
          <w:sz w:val="24"/>
          <w:szCs w:val="24"/>
        </w:rPr>
        <w:t>for a</w:t>
      </w:r>
      <w:r w:rsidR="004E5EC6">
        <w:rPr>
          <w:rFonts w:ascii="Times New Roman" w:hAnsi="Times New Roman" w:cs="Times New Roman"/>
          <w:sz w:val="24"/>
          <w:szCs w:val="24"/>
        </w:rPr>
        <w:t>pplicant</w:t>
      </w:r>
    </w:p>
    <w:p w:rsidR="001245CF" w:rsidRPr="001245CF" w:rsidRDefault="00274260" w:rsidP="004877F9">
      <w:pPr>
        <w:spacing w:after="0" w:line="240" w:lineRule="auto"/>
        <w:rPr>
          <w:rFonts w:ascii="Times New Roman" w:hAnsi="Times New Roman" w:cs="Times New Roman"/>
          <w:sz w:val="24"/>
          <w:szCs w:val="24"/>
        </w:rPr>
      </w:pPr>
      <w:r w:rsidRPr="002814FC">
        <w:rPr>
          <w:rFonts w:ascii="Times New Roman" w:hAnsi="Times New Roman" w:cs="Times New Roman"/>
          <w:sz w:val="24"/>
          <w:szCs w:val="24"/>
        </w:rPr>
        <w:t xml:space="preserve">Mr </w:t>
      </w:r>
      <w:r w:rsidR="00F11B29">
        <w:rPr>
          <w:rFonts w:ascii="Times New Roman" w:hAnsi="Times New Roman" w:cs="Times New Roman"/>
          <w:i/>
          <w:sz w:val="24"/>
          <w:szCs w:val="24"/>
        </w:rPr>
        <w:t>TL Mapuranga</w:t>
      </w:r>
      <w:r>
        <w:rPr>
          <w:rFonts w:ascii="Times New Roman" w:hAnsi="Times New Roman" w:cs="Times New Roman"/>
          <w:i/>
          <w:sz w:val="24"/>
          <w:szCs w:val="24"/>
        </w:rPr>
        <w:t xml:space="preserve">, </w:t>
      </w:r>
      <w:r>
        <w:rPr>
          <w:rFonts w:ascii="Times New Roman" w:hAnsi="Times New Roman" w:cs="Times New Roman"/>
          <w:sz w:val="24"/>
          <w:szCs w:val="24"/>
        </w:rPr>
        <w:t xml:space="preserve">for </w:t>
      </w:r>
      <w:r w:rsidR="00F11B29">
        <w:rPr>
          <w:rFonts w:ascii="Times New Roman" w:hAnsi="Times New Roman" w:cs="Times New Roman"/>
          <w:sz w:val="24"/>
          <w:szCs w:val="24"/>
        </w:rPr>
        <w:t xml:space="preserve">second </w:t>
      </w:r>
      <w:r w:rsidR="004877F9">
        <w:rPr>
          <w:rFonts w:ascii="Times New Roman" w:hAnsi="Times New Roman" w:cs="Times New Roman"/>
          <w:sz w:val="24"/>
          <w:szCs w:val="24"/>
        </w:rPr>
        <w:t>respondent</w:t>
      </w:r>
    </w:p>
    <w:p w:rsidR="007C67FF" w:rsidRPr="003F02FB" w:rsidRDefault="00F11B29" w:rsidP="00AD30D7">
      <w:pPr>
        <w:spacing w:after="0" w:line="240" w:lineRule="auto"/>
        <w:rPr>
          <w:rFonts w:ascii="Times New Roman" w:hAnsi="Times New Roman" w:cs="Times New Roman"/>
          <w:sz w:val="24"/>
          <w:szCs w:val="24"/>
        </w:rPr>
      </w:pPr>
      <w:r>
        <w:rPr>
          <w:rFonts w:ascii="Times New Roman" w:hAnsi="Times New Roman" w:cs="Times New Roman"/>
          <w:i/>
          <w:sz w:val="24"/>
          <w:szCs w:val="24"/>
        </w:rPr>
        <w:t>Ms D E Kawenda</w:t>
      </w:r>
      <w:r w:rsidR="003F02FB">
        <w:rPr>
          <w:rFonts w:ascii="Times New Roman" w:hAnsi="Times New Roman" w:cs="Times New Roman"/>
          <w:i/>
          <w:sz w:val="24"/>
          <w:szCs w:val="24"/>
        </w:rPr>
        <w:t xml:space="preserve">, </w:t>
      </w:r>
      <w:r w:rsidR="003F02FB">
        <w:rPr>
          <w:rFonts w:ascii="Times New Roman" w:hAnsi="Times New Roman" w:cs="Times New Roman"/>
          <w:sz w:val="24"/>
          <w:szCs w:val="24"/>
        </w:rPr>
        <w:t>for third to 23</w:t>
      </w:r>
      <w:r w:rsidR="003F02FB" w:rsidRPr="003F02FB">
        <w:rPr>
          <w:rFonts w:ascii="Times New Roman" w:hAnsi="Times New Roman" w:cs="Times New Roman"/>
          <w:sz w:val="24"/>
          <w:szCs w:val="24"/>
          <w:vertAlign w:val="superscript"/>
        </w:rPr>
        <w:t>rd</w:t>
      </w:r>
      <w:r w:rsidR="003F02FB">
        <w:rPr>
          <w:rFonts w:ascii="Times New Roman" w:hAnsi="Times New Roman" w:cs="Times New Roman"/>
          <w:sz w:val="24"/>
          <w:szCs w:val="24"/>
        </w:rPr>
        <w:t xml:space="preserve"> Respondents</w:t>
      </w:r>
    </w:p>
    <w:p w:rsidR="00090BBF" w:rsidRDefault="00090BBF" w:rsidP="001F7BE4">
      <w:pPr>
        <w:spacing w:after="0" w:line="240" w:lineRule="auto"/>
        <w:rPr>
          <w:rFonts w:ascii="Times New Roman" w:hAnsi="Times New Roman" w:cs="Times New Roman"/>
          <w:sz w:val="24"/>
          <w:szCs w:val="24"/>
        </w:rPr>
      </w:pPr>
    </w:p>
    <w:p w:rsidR="00545F1B" w:rsidRDefault="00AB6264" w:rsidP="00545F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CHAREWA J: </w:t>
      </w:r>
      <w:r w:rsidR="00BB6EF3" w:rsidRPr="00D365DA">
        <w:rPr>
          <w:rFonts w:ascii="Times New Roman" w:hAnsi="Times New Roman" w:cs="Times New Roman"/>
          <w:sz w:val="24"/>
          <w:szCs w:val="24"/>
        </w:rPr>
        <w:t xml:space="preserve">These are confirmatory proceedings for a provisional order for winding up of the first respondent granted by </w:t>
      </w:r>
      <w:r w:rsidR="00AC5CE6" w:rsidRPr="00D365DA">
        <w:rPr>
          <w:rFonts w:ascii="Times New Roman" w:hAnsi="Times New Roman" w:cs="Times New Roman"/>
          <w:sz w:val="24"/>
          <w:szCs w:val="24"/>
        </w:rPr>
        <w:t xml:space="preserve">judgment of </w:t>
      </w:r>
      <w:r w:rsidR="00BB6EF3" w:rsidRPr="003F409F">
        <w:rPr>
          <w:rFonts w:ascii="Times New Roman" w:hAnsi="Times New Roman" w:cs="Times New Roman"/>
        </w:rPr>
        <w:t>TAGU J</w:t>
      </w:r>
      <w:r w:rsidR="00BB6EF3" w:rsidRPr="00D365DA">
        <w:rPr>
          <w:rFonts w:ascii="Times New Roman" w:hAnsi="Times New Roman" w:cs="Times New Roman"/>
          <w:sz w:val="24"/>
          <w:szCs w:val="24"/>
        </w:rPr>
        <w:t xml:space="preserve"> on </w:t>
      </w:r>
      <w:r w:rsidR="00AC5CE6" w:rsidRPr="00D365DA">
        <w:rPr>
          <w:rFonts w:ascii="Times New Roman" w:hAnsi="Times New Roman" w:cs="Times New Roman"/>
          <w:sz w:val="24"/>
          <w:szCs w:val="24"/>
        </w:rPr>
        <w:t>30 January 2019</w:t>
      </w:r>
      <w:r w:rsidR="00BB6EF3" w:rsidRPr="00D365DA">
        <w:rPr>
          <w:rFonts w:ascii="Times New Roman" w:hAnsi="Times New Roman" w:cs="Times New Roman"/>
          <w:sz w:val="24"/>
          <w:szCs w:val="24"/>
        </w:rPr>
        <w:t>. The provisional order is couched in these terms:</w:t>
      </w:r>
    </w:p>
    <w:p w:rsidR="00BB6EF3" w:rsidRPr="00545F1B" w:rsidRDefault="00545F1B" w:rsidP="00545F1B">
      <w:pPr>
        <w:spacing w:after="0" w:line="240" w:lineRule="auto"/>
        <w:ind w:firstLine="720"/>
        <w:jc w:val="both"/>
        <w:rPr>
          <w:rFonts w:ascii="Times New Roman" w:hAnsi="Times New Roman" w:cs="Times New Roman"/>
        </w:rPr>
      </w:pPr>
      <w:r>
        <w:rPr>
          <w:rFonts w:ascii="Times New Roman" w:hAnsi="Times New Roman" w:cs="Times New Roman"/>
          <w:sz w:val="24"/>
          <w:szCs w:val="24"/>
        </w:rPr>
        <w:tab/>
      </w:r>
      <w:r w:rsidR="00BB6EF3" w:rsidRPr="00545F1B">
        <w:rPr>
          <w:rFonts w:ascii="Times New Roman" w:hAnsi="Times New Roman" w:cs="Times New Roman"/>
        </w:rPr>
        <w:t>“It is hereby ordered that:</w:t>
      </w:r>
    </w:p>
    <w:p w:rsidR="00BB6EF3" w:rsidRDefault="00BB6EF3" w:rsidP="00545F1B">
      <w:pPr>
        <w:pStyle w:val="ListParagraph"/>
        <w:numPr>
          <w:ilvl w:val="0"/>
          <w:numId w:val="41"/>
        </w:numPr>
        <w:spacing w:after="0" w:line="240" w:lineRule="auto"/>
        <w:ind w:left="1800"/>
        <w:jc w:val="both"/>
        <w:rPr>
          <w:rFonts w:ascii="Times New Roman" w:hAnsi="Times New Roman" w:cs="Times New Roman"/>
        </w:rPr>
      </w:pPr>
      <w:r w:rsidRPr="00545F1B">
        <w:rPr>
          <w:rFonts w:ascii="Times New Roman" w:hAnsi="Times New Roman" w:cs="Times New Roman"/>
        </w:rPr>
        <w:t>The first respondent, Capital Bank Corporation Limited be and is hereby provisionally wound up, pending the granting of an order in terms of paragraph 3 hereof or the discharge of this order.</w:t>
      </w:r>
    </w:p>
    <w:p w:rsidR="00545F1B" w:rsidRPr="00545F1B" w:rsidRDefault="00545F1B" w:rsidP="00545F1B">
      <w:pPr>
        <w:pStyle w:val="ListParagraph"/>
        <w:spacing w:after="0" w:line="240" w:lineRule="auto"/>
        <w:ind w:left="1800"/>
        <w:jc w:val="both"/>
        <w:rPr>
          <w:rFonts w:ascii="Times New Roman" w:hAnsi="Times New Roman" w:cs="Times New Roman"/>
        </w:rPr>
      </w:pPr>
    </w:p>
    <w:p w:rsidR="00BB6EF3" w:rsidRDefault="00BB6EF3" w:rsidP="00545F1B">
      <w:pPr>
        <w:pStyle w:val="ListParagraph"/>
        <w:numPr>
          <w:ilvl w:val="0"/>
          <w:numId w:val="41"/>
        </w:numPr>
        <w:spacing w:after="0" w:line="240" w:lineRule="auto"/>
        <w:ind w:left="1800"/>
        <w:jc w:val="both"/>
        <w:rPr>
          <w:rFonts w:ascii="Times New Roman" w:hAnsi="Times New Roman" w:cs="Times New Roman"/>
        </w:rPr>
      </w:pPr>
      <w:r w:rsidRPr="00545F1B">
        <w:rPr>
          <w:rFonts w:ascii="Times New Roman" w:hAnsi="Times New Roman" w:cs="Times New Roman"/>
        </w:rPr>
        <w:t>Mr John Mafungei Chikura of Deposit Protection Corporation Evelyn House 26 Fife Ave/Corner Blackistone Street, Harare, be and is hereby appointed as the first respondent’s Provisional Liquidator with the powers set out in paragraph (a) to (h) of subsection 2 of section 221 of the Companies Act [</w:t>
      </w:r>
      <w:r w:rsidRPr="00545F1B">
        <w:rPr>
          <w:rFonts w:ascii="Times New Roman" w:hAnsi="Times New Roman" w:cs="Times New Roman"/>
          <w:i/>
        </w:rPr>
        <w:t>Chapter 24:03</w:t>
      </w:r>
      <w:r w:rsidRPr="00545F1B">
        <w:rPr>
          <w:rFonts w:ascii="Times New Roman" w:hAnsi="Times New Roman" w:cs="Times New Roman"/>
        </w:rPr>
        <w:t>].</w:t>
      </w:r>
    </w:p>
    <w:p w:rsidR="00545F1B" w:rsidRPr="00545F1B" w:rsidRDefault="00545F1B" w:rsidP="00545F1B">
      <w:pPr>
        <w:pStyle w:val="ListParagraph"/>
        <w:spacing w:after="0" w:line="240" w:lineRule="auto"/>
        <w:ind w:left="1800"/>
        <w:jc w:val="both"/>
        <w:rPr>
          <w:rFonts w:ascii="Times New Roman" w:hAnsi="Times New Roman" w:cs="Times New Roman"/>
        </w:rPr>
      </w:pPr>
    </w:p>
    <w:p w:rsidR="00BB6EF3" w:rsidRDefault="00BB6EF3" w:rsidP="00545F1B">
      <w:pPr>
        <w:pStyle w:val="ListParagraph"/>
        <w:numPr>
          <w:ilvl w:val="0"/>
          <w:numId w:val="41"/>
        </w:numPr>
        <w:spacing w:after="0" w:line="240" w:lineRule="auto"/>
        <w:ind w:left="1800"/>
        <w:jc w:val="both"/>
        <w:rPr>
          <w:rFonts w:ascii="Times New Roman" w:hAnsi="Times New Roman" w:cs="Times New Roman"/>
        </w:rPr>
      </w:pPr>
      <w:r w:rsidRPr="00545F1B">
        <w:rPr>
          <w:rFonts w:ascii="Times New Roman" w:hAnsi="Times New Roman" w:cs="Times New Roman"/>
        </w:rPr>
        <w:t>Any interested party may appear before this Honourable Court sitting at Harare on 13</w:t>
      </w:r>
      <w:r w:rsidRPr="00545F1B">
        <w:rPr>
          <w:rFonts w:ascii="Times New Roman" w:hAnsi="Times New Roman" w:cs="Times New Roman"/>
          <w:vertAlign w:val="superscript"/>
        </w:rPr>
        <w:t>th</w:t>
      </w:r>
      <w:r w:rsidRPr="00545F1B">
        <w:rPr>
          <w:rFonts w:ascii="Times New Roman" w:hAnsi="Times New Roman" w:cs="Times New Roman"/>
        </w:rPr>
        <w:t xml:space="preserve"> March 2019 to show cause why an order should not be made placing the first respondent company in liquidation and why an order should not be made that the costs of these proceedings shall be the cost of the liquidation.”</w:t>
      </w:r>
    </w:p>
    <w:p w:rsidR="00545F1B" w:rsidRPr="00545F1B" w:rsidRDefault="00545F1B" w:rsidP="00545F1B">
      <w:pPr>
        <w:pStyle w:val="ListParagraph"/>
        <w:spacing w:after="0" w:line="240" w:lineRule="auto"/>
        <w:ind w:left="1800"/>
        <w:jc w:val="both"/>
        <w:rPr>
          <w:rFonts w:ascii="Times New Roman" w:hAnsi="Times New Roman" w:cs="Times New Roman"/>
        </w:rPr>
      </w:pPr>
    </w:p>
    <w:p w:rsidR="00D072C2" w:rsidRPr="00D365DA" w:rsidRDefault="00D072C2" w:rsidP="00D072C2">
      <w:pPr>
        <w:spacing w:after="0" w:line="360" w:lineRule="auto"/>
        <w:ind w:firstLine="720"/>
        <w:jc w:val="both"/>
        <w:rPr>
          <w:rFonts w:ascii="Times New Roman" w:hAnsi="Times New Roman" w:cs="Times New Roman"/>
          <w:sz w:val="24"/>
          <w:szCs w:val="24"/>
        </w:rPr>
      </w:pPr>
      <w:r w:rsidRPr="00D365DA">
        <w:rPr>
          <w:rFonts w:ascii="Times New Roman" w:hAnsi="Times New Roman" w:cs="Times New Roman"/>
          <w:sz w:val="24"/>
          <w:szCs w:val="24"/>
        </w:rPr>
        <w:t>The respondents oppose the confirmation of the provisional winding up order.</w:t>
      </w:r>
    </w:p>
    <w:p w:rsidR="00DA65BB" w:rsidRPr="00D365DA" w:rsidRDefault="00DA65BB" w:rsidP="00DA65BB">
      <w:pPr>
        <w:spacing w:after="0" w:line="360" w:lineRule="auto"/>
        <w:ind w:firstLine="720"/>
        <w:jc w:val="both"/>
        <w:rPr>
          <w:rFonts w:ascii="Times New Roman" w:hAnsi="Times New Roman" w:cs="Times New Roman"/>
          <w:sz w:val="24"/>
          <w:szCs w:val="24"/>
          <w:u w:val="single"/>
        </w:rPr>
      </w:pPr>
      <w:r w:rsidRPr="00D365DA">
        <w:rPr>
          <w:rFonts w:ascii="Times New Roman" w:hAnsi="Times New Roman" w:cs="Times New Roman"/>
          <w:sz w:val="24"/>
          <w:szCs w:val="24"/>
          <w:u w:val="single"/>
        </w:rPr>
        <w:t>Background</w:t>
      </w:r>
    </w:p>
    <w:p w:rsidR="00DA65BB" w:rsidRPr="00D365DA" w:rsidRDefault="00BB6EF3" w:rsidP="00DA65BB">
      <w:pPr>
        <w:spacing w:after="0" w:line="360" w:lineRule="auto"/>
        <w:ind w:firstLine="720"/>
        <w:jc w:val="both"/>
        <w:rPr>
          <w:rFonts w:ascii="Times New Roman" w:hAnsi="Times New Roman" w:cs="Times New Roman"/>
          <w:sz w:val="24"/>
          <w:szCs w:val="24"/>
        </w:rPr>
      </w:pPr>
      <w:r w:rsidRPr="00D365DA">
        <w:rPr>
          <w:rFonts w:ascii="Times New Roman" w:hAnsi="Times New Roman" w:cs="Times New Roman"/>
          <w:sz w:val="24"/>
          <w:szCs w:val="24"/>
        </w:rPr>
        <w:t xml:space="preserve">The </w:t>
      </w:r>
      <w:r w:rsidR="00DA65BB" w:rsidRPr="00D365DA">
        <w:rPr>
          <w:rFonts w:ascii="Times New Roman" w:hAnsi="Times New Roman" w:cs="Times New Roman"/>
          <w:sz w:val="24"/>
          <w:szCs w:val="24"/>
        </w:rPr>
        <w:t xml:space="preserve">facts </w:t>
      </w:r>
      <w:r w:rsidRPr="00D365DA">
        <w:rPr>
          <w:rFonts w:ascii="Times New Roman" w:hAnsi="Times New Roman" w:cs="Times New Roman"/>
          <w:sz w:val="24"/>
          <w:szCs w:val="24"/>
        </w:rPr>
        <w:t xml:space="preserve">of the matter are aptly summarised in the judgment of </w:t>
      </w:r>
      <w:r w:rsidR="00147B3E" w:rsidRPr="00147B3E">
        <w:rPr>
          <w:rFonts w:ascii="Times New Roman" w:hAnsi="Times New Roman" w:cs="Times New Roman"/>
          <w:smallCaps/>
          <w:sz w:val="24"/>
          <w:szCs w:val="24"/>
        </w:rPr>
        <w:t>muremba</w:t>
      </w:r>
      <w:r w:rsidRPr="00D365DA">
        <w:rPr>
          <w:rFonts w:ascii="Times New Roman" w:hAnsi="Times New Roman" w:cs="Times New Roman"/>
          <w:sz w:val="24"/>
          <w:szCs w:val="24"/>
        </w:rPr>
        <w:t xml:space="preserve"> J, HH564-19</w:t>
      </w:r>
      <w:r w:rsidR="00DA65BB" w:rsidRPr="00D365DA">
        <w:rPr>
          <w:rFonts w:ascii="Times New Roman" w:hAnsi="Times New Roman" w:cs="Times New Roman"/>
          <w:sz w:val="24"/>
          <w:szCs w:val="24"/>
        </w:rPr>
        <w:t xml:space="preserve"> as follows: </w:t>
      </w:r>
    </w:p>
    <w:p w:rsidR="00BB6EF3" w:rsidRPr="00545F1B" w:rsidRDefault="00BB6EF3" w:rsidP="00147B3E">
      <w:pPr>
        <w:spacing w:after="0" w:line="240" w:lineRule="auto"/>
        <w:ind w:left="720" w:firstLine="720"/>
        <w:jc w:val="both"/>
        <w:rPr>
          <w:rFonts w:ascii="Times New Roman" w:hAnsi="Times New Roman" w:cs="Times New Roman"/>
        </w:rPr>
      </w:pPr>
      <w:r w:rsidRPr="00545F1B">
        <w:rPr>
          <w:rFonts w:ascii="Times New Roman" w:hAnsi="Times New Roman" w:cs="Times New Roman"/>
        </w:rPr>
        <w:t xml:space="preserve">“The applicant National Social Security Authority (NSSA) is a statutory body </w:t>
      </w:r>
      <w:r w:rsidR="00545F1B" w:rsidRPr="00545F1B">
        <w:rPr>
          <w:rFonts w:ascii="Times New Roman" w:hAnsi="Times New Roman" w:cs="Times New Roman"/>
        </w:rPr>
        <w:tab/>
      </w:r>
      <w:r w:rsidRPr="00545F1B">
        <w:rPr>
          <w:rFonts w:ascii="Times New Roman" w:hAnsi="Times New Roman" w:cs="Times New Roman"/>
        </w:rPr>
        <w:t>established in terms of the National Social Security Authority Act [</w:t>
      </w:r>
      <w:r w:rsidRPr="00545F1B">
        <w:rPr>
          <w:rFonts w:ascii="Times New Roman" w:hAnsi="Times New Roman" w:cs="Times New Roman"/>
          <w:i/>
        </w:rPr>
        <w:t xml:space="preserve">Chapter </w:t>
      </w:r>
      <w:r w:rsidR="00545F1B" w:rsidRPr="00545F1B">
        <w:rPr>
          <w:rFonts w:ascii="Times New Roman" w:hAnsi="Times New Roman" w:cs="Times New Roman"/>
          <w:i/>
        </w:rPr>
        <w:tab/>
      </w:r>
      <w:r w:rsidRPr="00545F1B">
        <w:rPr>
          <w:rFonts w:ascii="Times New Roman" w:hAnsi="Times New Roman" w:cs="Times New Roman"/>
          <w:i/>
        </w:rPr>
        <w:t>17:04</w:t>
      </w:r>
      <w:r w:rsidRPr="00545F1B">
        <w:rPr>
          <w:rFonts w:ascii="Times New Roman" w:hAnsi="Times New Roman" w:cs="Times New Roman"/>
        </w:rPr>
        <w:t xml:space="preserve">]. The first respondent Capital Bank Corporation limited is a former </w:t>
      </w:r>
      <w:r w:rsidR="00545F1B" w:rsidRPr="00545F1B">
        <w:rPr>
          <w:rFonts w:ascii="Times New Roman" w:hAnsi="Times New Roman" w:cs="Times New Roman"/>
        </w:rPr>
        <w:tab/>
      </w:r>
      <w:r w:rsidRPr="00545F1B">
        <w:rPr>
          <w:rFonts w:ascii="Times New Roman" w:hAnsi="Times New Roman" w:cs="Times New Roman"/>
        </w:rPr>
        <w:t xml:space="preserve">merchant bank having relinquished its banking licence to the Reserve Bank of </w:t>
      </w:r>
      <w:r w:rsidR="00545F1B" w:rsidRPr="00545F1B">
        <w:rPr>
          <w:rFonts w:ascii="Times New Roman" w:hAnsi="Times New Roman" w:cs="Times New Roman"/>
        </w:rPr>
        <w:tab/>
      </w:r>
      <w:r w:rsidRPr="00545F1B">
        <w:rPr>
          <w:rFonts w:ascii="Times New Roman" w:hAnsi="Times New Roman" w:cs="Times New Roman"/>
        </w:rPr>
        <w:t xml:space="preserve">Zimbabwe. The third respondent, Renaissance financial Holdings (Pvt) Ltd is </w:t>
      </w:r>
      <w:r w:rsidR="00545F1B" w:rsidRPr="00545F1B">
        <w:rPr>
          <w:rFonts w:ascii="Times New Roman" w:hAnsi="Times New Roman" w:cs="Times New Roman"/>
        </w:rPr>
        <w:tab/>
      </w:r>
      <w:r w:rsidRPr="00545F1B">
        <w:rPr>
          <w:rFonts w:ascii="Times New Roman" w:hAnsi="Times New Roman" w:cs="Times New Roman"/>
        </w:rPr>
        <w:t xml:space="preserve">the </w:t>
      </w:r>
      <w:r w:rsidR="00545F1B">
        <w:rPr>
          <w:rFonts w:ascii="Times New Roman" w:hAnsi="Times New Roman" w:cs="Times New Roman"/>
        </w:rPr>
        <w:tab/>
      </w:r>
      <w:r w:rsidRPr="00545F1B">
        <w:rPr>
          <w:rFonts w:ascii="Times New Roman" w:hAnsi="Times New Roman" w:cs="Times New Roman"/>
        </w:rPr>
        <w:t>holding company of the first respondent. The 3</w:t>
      </w:r>
      <w:r w:rsidRPr="00545F1B">
        <w:rPr>
          <w:rFonts w:ascii="Times New Roman" w:hAnsi="Times New Roman" w:cs="Times New Roman"/>
          <w:vertAlign w:val="superscript"/>
        </w:rPr>
        <w:t>rd</w:t>
      </w:r>
      <w:r w:rsidRPr="00545F1B">
        <w:rPr>
          <w:rFonts w:ascii="Times New Roman" w:hAnsi="Times New Roman" w:cs="Times New Roman"/>
        </w:rPr>
        <w:t xml:space="preserve"> to the 23</w:t>
      </w:r>
      <w:r w:rsidRPr="00545F1B">
        <w:rPr>
          <w:rFonts w:ascii="Times New Roman" w:hAnsi="Times New Roman" w:cs="Times New Roman"/>
          <w:vertAlign w:val="superscript"/>
        </w:rPr>
        <w:t>rd</w:t>
      </w:r>
      <w:r w:rsidRPr="00545F1B">
        <w:rPr>
          <w:rFonts w:ascii="Times New Roman" w:hAnsi="Times New Roman" w:cs="Times New Roman"/>
        </w:rPr>
        <w:t xml:space="preserve"> respondent are </w:t>
      </w:r>
      <w:r w:rsidR="00545F1B" w:rsidRPr="00545F1B">
        <w:rPr>
          <w:rFonts w:ascii="Times New Roman" w:hAnsi="Times New Roman" w:cs="Times New Roman"/>
        </w:rPr>
        <w:tab/>
      </w:r>
      <w:r w:rsidRPr="00545F1B">
        <w:rPr>
          <w:rFonts w:ascii="Times New Roman" w:hAnsi="Times New Roman" w:cs="Times New Roman"/>
        </w:rPr>
        <w:t>employees of the first respondent.</w:t>
      </w:r>
    </w:p>
    <w:p w:rsidR="00545F1B" w:rsidRPr="00545F1B" w:rsidRDefault="00545F1B" w:rsidP="00147B3E">
      <w:pPr>
        <w:spacing w:after="0" w:line="240" w:lineRule="auto"/>
        <w:ind w:left="720" w:firstLine="720"/>
        <w:jc w:val="both"/>
        <w:rPr>
          <w:rFonts w:ascii="Times New Roman" w:hAnsi="Times New Roman" w:cs="Times New Roman"/>
        </w:rPr>
      </w:pPr>
    </w:p>
    <w:p w:rsidR="00147B3E" w:rsidRPr="00545F1B" w:rsidRDefault="00BB6EF3" w:rsidP="00545F1B">
      <w:pPr>
        <w:spacing w:after="0" w:line="240" w:lineRule="auto"/>
        <w:ind w:left="720" w:firstLine="720"/>
        <w:jc w:val="both"/>
        <w:rPr>
          <w:rFonts w:ascii="Times New Roman" w:hAnsi="Times New Roman" w:cs="Times New Roman"/>
        </w:rPr>
      </w:pPr>
      <w:r w:rsidRPr="00545F1B">
        <w:rPr>
          <w:rFonts w:ascii="Times New Roman" w:hAnsi="Times New Roman" w:cs="Times New Roman"/>
        </w:rPr>
        <w:lastRenderedPageBreak/>
        <w:t xml:space="preserve">The first respondent was incorporated as a merchant bank around 2001. Around </w:t>
      </w:r>
      <w:r w:rsidR="00545F1B">
        <w:rPr>
          <w:rFonts w:ascii="Times New Roman" w:hAnsi="Times New Roman" w:cs="Times New Roman"/>
        </w:rPr>
        <w:tab/>
      </w:r>
      <w:r w:rsidRPr="00545F1B">
        <w:rPr>
          <w:rFonts w:ascii="Times New Roman" w:hAnsi="Times New Roman" w:cs="Times New Roman"/>
        </w:rPr>
        <w:t xml:space="preserve">2009 its performance began to dwindle. On 2 June 2011 it was placed under </w:t>
      </w:r>
      <w:r w:rsidR="00545F1B" w:rsidRPr="00545F1B">
        <w:rPr>
          <w:rFonts w:ascii="Times New Roman" w:hAnsi="Times New Roman" w:cs="Times New Roman"/>
        </w:rPr>
        <w:tab/>
      </w:r>
      <w:r w:rsidRPr="00545F1B">
        <w:rPr>
          <w:rFonts w:ascii="Times New Roman" w:hAnsi="Times New Roman" w:cs="Times New Roman"/>
        </w:rPr>
        <w:t xml:space="preserve">curatorship by the Governor of the Reserve Bank/Central Bank. After hearing of </w:t>
      </w:r>
      <w:r w:rsidR="00545F1B">
        <w:rPr>
          <w:rFonts w:ascii="Times New Roman" w:hAnsi="Times New Roman" w:cs="Times New Roman"/>
        </w:rPr>
        <w:tab/>
      </w:r>
      <w:r w:rsidRPr="00545F1B">
        <w:rPr>
          <w:rFonts w:ascii="Times New Roman" w:hAnsi="Times New Roman" w:cs="Times New Roman"/>
        </w:rPr>
        <w:t xml:space="preserve">the </w:t>
      </w:r>
      <w:r w:rsidR="00545F1B">
        <w:rPr>
          <w:rFonts w:ascii="Times New Roman" w:hAnsi="Times New Roman" w:cs="Times New Roman"/>
        </w:rPr>
        <w:tab/>
      </w:r>
      <w:r w:rsidRPr="00545F1B">
        <w:rPr>
          <w:rFonts w:ascii="Times New Roman" w:hAnsi="Times New Roman" w:cs="Times New Roman"/>
        </w:rPr>
        <w:t xml:space="preserve">much publicized ailing of the first respondent, the applicant engaged the relevant </w:t>
      </w:r>
      <w:r w:rsidR="00545F1B">
        <w:rPr>
          <w:rFonts w:ascii="Times New Roman" w:hAnsi="Times New Roman" w:cs="Times New Roman"/>
        </w:rPr>
        <w:tab/>
      </w:r>
      <w:r w:rsidRPr="00545F1B">
        <w:rPr>
          <w:rFonts w:ascii="Times New Roman" w:hAnsi="Times New Roman" w:cs="Times New Roman"/>
        </w:rPr>
        <w:t xml:space="preserve">authorities who included the Central Bank and the Ministry of Finance to get </w:t>
      </w:r>
      <w:r w:rsidR="00545F1B">
        <w:rPr>
          <w:rFonts w:ascii="Times New Roman" w:hAnsi="Times New Roman" w:cs="Times New Roman"/>
        </w:rPr>
        <w:tab/>
      </w:r>
      <w:r w:rsidRPr="00545F1B">
        <w:rPr>
          <w:rFonts w:ascii="Times New Roman" w:hAnsi="Times New Roman" w:cs="Times New Roman"/>
        </w:rPr>
        <w:t xml:space="preserve">clearance to rescue the first respondent. The relevant clearance was obtained. The </w:t>
      </w:r>
      <w:r w:rsidR="00545F1B">
        <w:rPr>
          <w:rFonts w:ascii="Times New Roman" w:hAnsi="Times New Roman" w:cs="Times New Roman"/>
        </w:rPr>
        <w:tab/>
      </w:r>
      <w:r w:rsidRPr="00545F1B">
        <w:rPr>
          <w:rFonts w:ascii="Times New Roman" w:hAnsi="Times New Roman" w:cs="Times New Roman"/>
        </w:rPr>
        <w:t xml:space="preserve">applicant and the third respondent, the holding company agreed that the applicant </w:t>
      </w:r>
      <w:r w:rsidR="00545F1B">
        <w:rPr>
          <w:rFonts w:ascii="Times New Roman" w:hAnsi="Times New Roman" w:cs="Times New Roman"/>
        </w:rPr>
        <w:tab/>
      </w:r>
      <w:r w:rsidRPr="00545F1B">
        <w:rPr>
          <w:rFonts w:ascii="Times New Roman" w:hAnsi="Times New Roman" w:cs="Times New Roman"/>
        </w:rPr>
        <w:t xml:space="preserve">injects capital in the sum of USD24 million. That was done. Accordingly, the </w:t>
      </w:r>
      <w:r w:rsidR="00545F1B">
        <w:rPr>
          <w:rFonts w:ascii="Times New Roman" w:hAnsi="Times New Roman" w:cs="Times New Roman"/>
        </w:rPr>
        <w:tab/>
      </w:r>
      <w:r w:rsidRPr="00545F1B">
        <w:rPr>
          <w:rFonts w:ascii="Times New Roman" w:hAnsi="Times New Roman" w:cs="Times New Roman"/>
        </w:rPr>
        <w:t xml:space="preserve">first </w:t>
      </w:r>
      <w:r w:rsidR="00545F1B">
        <w:rPr>
          <w:rFonts w:ascii="Times New Roman" w:hAnsi="Times New Roman" w:cs="Times New Roman"/>
        </w:rPr>
        <w:tab/>
      </w:r>
      <w:r w:rsidRPr="00545F1B">
        <w:rPr>
          <w:rFonts w:ascii="Times New Roman" w:hAnsi="Times New Roman" w:cs="Times New Roman"/>
        </w:rPr>
        <w:t xml:space="preserve">respondent was removed from curatorship around March 2012. However, despite </w:t>
      </w:r>
      <w:r w:rsidR="00545F1B">
        <w:rPr>
          <w:rFonts w:ascii="Times New Roman" w:hAnsi="Times New Roman" w:cs="Times New Roman"/>
        </w:rPr>
        <w:tab/>
      </w:r>
      <w:r w:rsidRPr="00545F1B">
        <w:rPr>
          <w:rFonts w:ascii="Times New Roman" w:hAnsi="Times New Roman" w:cs="Times New Roman"/>
        </w:rPr>
        <w:t xml:space="preserve">the capital injection the first respondent’s performance did not improve. </w:t>
      </w:r>
      <w:r w:rsidR="00545F1B">
        <w:rPr>
          <w:rFonts w:ascii="Times New Roman" w:hAnsi="Times New Roman" w:cs="Times New Roman"/>
        </w:rPr>
        <w:tab/>
      </w:r>
      <w:r w:rsidRPr="00545F1B">
        <w:rPr>
          <w:rFonts w:ascii="Times New Roman" w:hAnsi="Times New Roman" w:cs="Times New Roman"/>
        </w:rPr>
        <w:t xml:space="preserve">Shareholders were advised. Consequently extra ordinary shareholders’ and Board </w:t>
      </w:r>
      <w:r w:rsidR="00545F1B">
        <w:rPr>
          <w:rFonts w:ascii="Times New Roman" w:hAnsi="Times New Roman" w:cs="Times New Roman"/>
        </w:rPr>
        <w:tab/>
      </w:r>
      <w:r w:rsidRPr="00545F1B">
        <w:rPr>
          <w:rFonts w:ascii="Times New Roman" w:hAnsi="Times New Roman" w:cs="Times New Roman"/>
        </w:rPr>
        <w:t xml:space="preserve">meetings were held. The majority shareholders passed a resolution that the first </w:t>
      </w:r>
      <w:r w:rsidR="00545F1B">
        <w:rPr>
          <w:rFonts w:ascii="Times New Roman" w:hAnsi="Times New Roman" w:cs="Times New Roman"/>
        </w:rPr>
        <w:tab/>
      </w:r>
      <w:r w:rsidRPr="00545F1B">
        <w:rPr>
          <w:rFonts w:ascii="Times New Roman" w:hAnsi="Times New Roman" w:cs="Times New Roman"/>
        </w:rPr>
        <w:t xml:space="preserve">respondent be wound up. Pursuant to that, the applicant as a contributory brought </w:t>
      </w:r>
      <w:r w:rsidR="00545F1B">
        <w:rPr>
          <w:rFonts w:ascii="Times New Roman" w:hAnsi="Times New Roman" w:cs="Times New Roman"/>
        </w:rPr>
        <w:tab/>
      </w:r>
      <w:r w:rsidRPr="00545F1B">
        <w:rPr>
          <w:rFonts w:ascii="Times New Roman" w:hAnsi="Times New Roman" w:cs="Times New Roman"/>
        </w:rPr>
        <w:t>the present application for the winding up of the first respondent in terms of s</w:t>
      </w:r>
      <w:r w:rsidR="00997004" w:rsidRPr="00545F1B">
        <w:rPr>
          <w:rFonts w:ascii="Times New Roman" w:hAnsi="Times New Roman" w:cs="Times New Roman"/>
        </w:rPr>
        <w:t xml:space="preserve"> 206 </w:t>
      </w:r>
      <w:r w:rsidR="00545F1B">
        <w:rPr>
          <w:rFonts w:ascii="Times New Roman" w:hAnsi="Times New Roman" w:cs="Times New Roman"/>
        </w:rPr>
        <w:tab/>
      </w:r>
      <w:r w:rsidR="00997004" w:rsidRPr="00545F1B">
        <w:rPr>
          <w:rFonts w:ascii="Times New Roman" w:hAnsi="Times New Roman" w:cs="Times New Roman"/>
        </w:rPr>
        <w:t>and 207 of the C</w:t>
      </w:r>
      <w:r w:rsidRPr="00545F1B">
        <w:rPr>
          <w:rFonts w:ascii="Times New Roman" w:hAnsi="Times New Roman" w:cs="Times New Roman"/>
        </w:rPr>
        <w:t>ompanies Act [</w:t>
      </w:r>
      <w:r w:rsidRPr="00545F1B">
        <w:rPr>
          <w:rFonts w:ascii="Times New Roman" w:hAnsi="Times New Roman" w:cs="Times New Roman"/>
          <w:i/>
        </w:rPr>
        <w:t>Chapter 24:03</w:t>
      </w:r>
      <w:r w:rsidRPr="00545F1B">
        <w:rPr>
          <w:rFonts w:ascii="Times New Roman" w:hAnsi="Times New Roman" w:cs="Times New Roman"/>
        </w:rPr>
        <w:t>] on 12 February 2018.”</w:t>
      </w:r>
    </w:p>
    <w:p w:rsidR="00D072C2" w:rsidRPr="00D365DA" w:rsidRDefault="00D072C2" w:rsidP="00D072C2">
      <w:pPr>
        <w:spacing w:after="0" w:line="360" w:lineRule="auto"/>
        <w:jc w:val="both"/>
        <w:rPr>
          <w:rFonts w:ascii="Times New Roman" w:hAnsi="Times New Roman" w:cs="Times New Roman"/>
          <w:sz w:val="24"/>
          <w:szCs w:val="24"/>
        </w:rPr>
      </w:pPr>
      <w:r w:rsidRPr="00D365DA">
        <w:rPr>
          <w:rFonts w:ascii="Times New Roman" w:hAnsi="Times New Roman" w:cs="Times New Roman"/>
          <w:i/>
          <w:sz w:val="24"/>
          <w:szCs w:val="24"/>
          <w:u w:val="single"/>
        </w:rPr>
        <w:t>In limine</w:t>
      </w:r>
    </w:p>
    <w:p w:rsidR="004113F3" w:rsidRPr="00D365DA" w:rsidRDefault="00D072C2" w:rsidP="00D072C2">
      <w:pPr>
        <w:spacing w:after="0" w:line="360" w:lineRule="auto"/>
        <w:ind w:firstLine="720"/>
        <w:jc w:val="both"/>
        <w:rPr>
          <w:rFonts w:ascii="Times New Roman" w:hAnsi="Times New Roman" w:cs="Times New Roman"/>
          <w:sz w:val="24"/>
          <w:szCs w:val="24"/>
        </w:rPr>
      </w:pPr>
      <w:r w:rsidRPr="00D365DA">
        <w:rPr>
          <w:rFonts w:ascii="Times New Roman" w:hAnsi="Times New Roman" w:cs="Times New Roman"/>
          <w:sz w:val="24"/>
          <w:szCs w:val="24"/>
        </w:rPr>
        <w:t xml:space="preserve">As has become standard practice with legal practitioners, several points </w:t>
      </w:r>
      <w:r w:rsidRPr="00D365DA">
        <w:rPr>
          <w:rFonts w:ascii="Times New Roman" w:hAnsi="Times New Roman" w:cs="Times New Roman"/>
          <w:i/>
          <w:sz w:val="24"/>
          <w:szCs w:val="24"/>
        </w:rPr>
        <w:t>in limine</w:t>
      </w:r>
      <w:r w:rsidRPr="00D365DA">
        <w:rPr>
          <w:rFonts w:ascii="Times New Roman" w:hAnsi="Times New Roman" w:cs="Times New Roman"/>
          <w:sz w:val="24"/>
          <w:szCs w:val="24"/>
        </w:rPr>
        <w:t xml:space="preserve"> have been raised by the respondents, no doubt for the purpose of averting the substantive resolution of the matter. </w:t>
      </w:r>
      <w:r w:rsidR="004113F3" w:rsidRPr="00D365DA">
        <w:rPr>
          <w:rFonts w:ascii="Times New Roman" w:hAnsi="Times New Roman" w:cs="Times New Roman"/>
          <w:sz w:val="24"/>
          <w:szCs w:val="24"/>
        </w:rPr>
        <w:t xml:space="preserve">It is pertinent to note that </w:t>
      </w:r>
      <w:r w:rsidR="0012120B" w:rsidRPr="00D365DA">
        <w:rPr>
          <w:rFonts w:ascii="Times New Roman" w:hAnsi="Times New Roman" w:cs="Times New Roman"/>
          <w:sz w:val="24"/>
          <w:szCs w:val="24"/>
        </w:rPr>
        <w:t>some</w:t>
      </w:r>
      <w:r w:rsidR="004113F3" w:rsidRPr="00D365DA">
        <w:rPr>
          <w:rFonts w:ascii="Times New Roman" w:hAnsi="Times New Roman" w:cs="Times New Roman"/>
          <w:sz w:val="24"/>
          <w:szCs w:val="24"/>
        </w:rPr>
        <w:t xml:space="preserve"> of the preliminary points being raised here were </w:t>
      </w:r>
      <w:r w:rsidR="00B0388F" w:rsidRPr="00D365DA">
        <w:rPr>
          <w:rFonts w:ascii="Times New Roman" w:hAnsi="Times New Roman" w:cs="Times New Roman"/>
          <w:sz w:val="24"/>
          <w:szCs w:val="24"/>
        </w:rPr>
        <w:t xml:space="preserve">already </w:t>
      </w:r>
      <w:r w:rsidR="00D365DA" w:rsidRPr="00D365DA">
        <w:rPr>
          <w:rFonts w:ascii="Times New Roman" w:hAnsi="Times New Roman" w:cs="Times New Roman"/>
          <w:sz w:val="24"/>
          <w:szCs w:val="24"/>
        </w:rPr>
        <w:t xml:space="preserve">before </w:t>
      </w:r>
      <w:r w:rsidR="00B0388F" w:rsidRPr="00D365DA">
        <w:rPr>
          <w:rFonts w:ascii="Times New Roman" w:hAnsi="Times New Roman" w:cs="Times New Roman"/>
          <w:sz w:val="24"/>
          <w:szCs w:val="24"/>
        </w:rPr>
        <w:t xml:space="preserve">the court when </w:t>
      </w:r>
      <w:r w:rsidR="00147B3E" w:rsidRPr="00147B3E">
        <w:rPr>
          <w:rFonts w:ascii="Times New Roman" w:hAnsi="Times New Roman" w:cs="Times New Roman"/>
          <w:smallCaps/>
          <w:sz w:val="24"/>
          <w:szCs w:val="24"/>
        </w:rPr>
        <w:t>muremba</w:t>
      </w:r>
      <w:r w:rsidR="004113F3" w:rsidRPr="00D365DA">
        <w:rPr>
          <w:rFonts w:ascii="Times New Roman" w:hAnsi="Times New Roman" w:cs="Times New Roman"/>
          <w:sz w:val="24"/>
          <w:szCs w:val="24"/>
        </w:rPr>
        <w:t xml:space="preserve"> J</w:t>
      </w:r>
      <w:r w:rsidR="00B0388F" w:rsidRPr="00D365DA">
        <w:rPr>
          <w:rFonts w:ascii="Times New Roman" w:hAnsi="Times New Roman" w:cs="Times New Roman"/>
          <w:sz w:val="24"/>
          <w:szCs w:val="24"/>
        </w:rPr>
        <w:t xml:space="preserve"> </w:t>
      </w:r>
      <w:r w:rsidR="004113F3" w:rsidRPr="00D365DA">
        <w:rPr>
          <w:rFonts w:ascii="Times New Roman" w:hAnsi="Times New Roman" w:cs="Times New Roman"/>
          <w:sz w:val="24"/>
          <w:szCs w:val="24"/>
        </w:rPr>
        <w:t xml:space="preserve">ordered that the confirmation proceedings be heard on the merits. I will address them </w:t>
      </w:r>
      <w:r w:rsidR="004113F3" w:rsidRPr="00D365DA">
        <w:rPr>
          <w:rFonts w:ascii="Times New Roman" w:hAnsi="Times New Roman" w:cs="Times New Roman"/>
          <w:i/>
          <w:sz w:val="24"/>
          <w:szCs w:val="24"/>
        </w:rPr>
        <w:t>seriatim</w:t>
      </w:r>
      <w:r w:rsidR="004113F3" w:rsidRPr="00D365DA">
        <w:rPr>
          <w:rFonts w:ascii="Times New Roman" w:hAnsi="Times New Roman" w:cs="Times New Roman"/>
          <w:sz w:val="24"/>
          <w:szCs w:val="24"/>
        </w:rPr>
        <w:t>.</w:t>
      </w:r>
    </w:p>
    <w:p w:rsidR="004113F3" w:rsidRPr="00D365DA" w:rsidRDefault="004113F3" w:rsidP="004113F3">
      <w:pPr>
        <w:spacing w:after="0" w:line="360" w:lineRule="auto"/>
        <w:jc w:val="both"/>
        <w:rPr>
          <w:rFonts w:ascii="Times New Roman" w:hAnsi="Times New Roman" w:cs="Times New Roman"/>
          <w:i/>
          <w:sz w:val="24"/>
          <w:szCs w:val="24"/>
        </w:rPr>
      </w:pPr>
      <w:r w:rsidRPr="00D365DA">
        <w:rPr>
          <w:rFonts w:ascii="Times New Roman" w:hAnsi="Times New Roman" w:cs="Times New Roman"/>
          <w:i/>
          <w:sz w:val="24"/>
          <w:szCs w:val="24"/>
        </w:rPr>
        <w:t>The court has no jurisdiction</w:t>
      </w:r>
    </w:p>
    <w:p w:rsidR="004113F3" w:rsidRPr="00D365DA" w:rsidRDefault="00687993" w:rsidP="00687993">
      <w:pPr>
        <w:spacing w:after="0" w:line="360" w:lineRule="auto"/>
        <w:ind w:firstLine="720"/>
        <w:jc w:val="both"/>
        <w:rPr>
          <w:rFonts w:ascii="Times New Roman" w:hAnsi="Times New Roman" w:cs="Times New Roman"/>
          <w:sz w:val="24"/>
          <w:szCs w:val="24"/>
        </w:rPr>
      </w:pPr>
      <w:r w:rsidRPr="00D365DA">
        <w:rPr>
          <w:rFonts w:ascii="Times New Roman" w:hAnsi="Times New Roman" w:cs="Times New Roman"/>
          <w:sz w:val="24"/>
          <w:szCs w:val="24"/>
        </w:rPr>
        <w:t xml:space="preserve">First respondent submits that the court has no jurisdiction as there was non-compliance with </w:t>
      </w:r>
      <w:r w:rsidR="003E7977" w:rsidRPr="00D365DA">
        <w:rPr>
          <w:rFonts w:ascii="Times New Roman" w:hAnsi="Times New Roman" w:cs="Times New Roman"/>
          <w:sz w:val="24"/>
          <w:szCs w:val="24"/>
        </w:rPr>
        <w:t>s</w:t>
      </w:r>
      <w:r w:rsidR="003F409F">
        <w:rPr>
          <w:rFonts w:ascii="Times New Roman" w:hAnsi="Times New Roman" w:cs="Times New Roman"/>
          <w:sz w:val="24"/>
          <w:szCs w:val="24"/>
        </w:rPr>
        <w:t xml:space="preserve"> </w:t>
      </w:r>
      <w:r w:rsidR="003E7977" w:rsidRPr="00D365DA">
        <w:rPr>
          <w:rFonts w:ascii="Times New Roman" w:hAnsi="Times New Roman" w:cs="Times New Roman"/>
          <w:sz w:val="24"/>
          <w:szCs w:val="24"/>
        </w:rPr>
        <w:t>57 (</w:t>
      </w:r>
      <w:r w:rsidRPr="00D365DA">
        <w:rPr>
          <w:rFonts w:ascii="Times New Roman" w:hAnsi="Times New Roman" w:cs="Times New Roman"/>
          <w:sz w:val="24"/>
          <w:szCs w:val="24"/>
        </w:rPr>
        <w:t>2) of the Banking Act</w:t>
      </w:r>
      <w:r w:rsidR="00997004" w:rsidRPr="00D365DA">
        <w:rPr>
          <w:rFonts w:ascii="Times New Roman" w:hAnsi="Times New Roman" w:cs="Times New Roman"/>
          <w:sz w:val="24"/>
          <w:szCs w:val="24"/>
        </w:rPr>
        <w:t xml:space="preserve">, </w:t>
      </w:r>
      <w:r w:rsidR="003F409F">
        <w:rPr>
          <w:rFonts w:ascii="Times New Roman" w:hAnsi="Times New Roman" w:cs="Times New Roman"/>
          <w:sz w:val="24"/>
          <w:szCs w:val="24"/>
        </w:rPr>
        <w:t>[</w:t>
      </w:r>
      <w:r w:rsidR="00997004" w:rsidRPr="003F409F">
        <w:rPr>
          <w:rFonts w:ascii="Times New Roman" w:hAnsi="Times New Roman" w:cs="Times New Roman"/>
          <w:i/>
          <w:sz w:val="24"/>
          <w:szCs w:val="24"/>
        </w:rPr>
        <w:t>Chapter 24:20</w:t>
      </w:r>
      <w:r w:rsidR="003F409F">
        <w:rPr>
          <w:rFonts w:ascii="Times New Roman" w:hAnsi="Times New Roman" w:cs="Times New Roman"/>
          <w:sz w:val="24"/>
          <w:szCs w:val="24"/>
        </w:rPr>
        <w:t>]</w:t>
      </w:r>
      <w:r w:rsidRPr="00D365DA">
        <w:rPr>
          <w:rFonts w:ascii="Times New Roman" w:hAnsi="Times New Roman" w:cs="Times New Roman"/>
          <w:sz w:val="24"/>
          <w:szCs w:val="24"/>
        </w:rPr>
        <w:t xml:space="preserve">.  As a consequence there is no consent of the Reserve Bank of Zimbabwe </w:t>
      </w:r>
      <w:r w:rsidR="00997004" w:rsidRPr="00D365DA">
        <w:rPr>
          <w:rFonts w:ascii="Times New Roman" w:hAnsi="Times New Roman" w:cs="Times New Roman"/>
          <w:sz w:val="24"/>
          <w:szCs w:val="24"/>
        </w:rPr>
        <w:t>(the Reserve Bank) to</w:t>
      </w:r>
      <w:r w:rsidRPr="00D365DA">
        <w:rPr>
          <w:rFonts w:ascii="Times New Roman" w:hAnsi="Times New Roman" w:cs="Times New Roman"/>
          <w:sz w:val="24"/>
          <w:szCs w:val="24"/>
        </w:rPr>
        <w:t xml:space="preserve"> the winding up, which must be granted in writing upon a focused application being made to the central bank.</w:t>
      </w:r>
      <w:r w:rsidR="00DA65BB" w:rsidRPr="00D365DA">
        <w:rPr>
          <w:rFonts w:ascii="Times New Roman" w:hAnsi="Times New Roman" w:cs="Times New Roman"/>
          <w:sz w:val="24"/>
          <w:szCs w:val="24"/>
        </w:rPr>
        <w:t xml:space="preserve"> </w:t>
      </w:r>
    </w:p>
    <w:p w:rsidR="00997004" w:rsidRPr="00D365DA" w:rsidRDefault="00FE4923" w:rsidP="00997004">
      <w:pPr>
        <w:autoSpaceDE w:val="0"/>
        <w:autoSpaceDN w:val="0"/>
        <w:adjustRightInd w:val="0"/>
        <w:spacing w:after="0" w:line="360" w:lineRule="auto"/>
        <w:ind w:firstLine="720"/>
        <w:rPr>
          <w:rFonts w:ascii="Times New Roman" w:hAnsi="Times New Roman" w:cs="Times New Roman"/>
          <w:sz w:val="24"/>
          <w:szCs w:val="24"/>
        </w:rPr>
      </w:pPr>
      <w:r w:rsidRPr="00D365DA">
        <w:rPr>
          <w:rFonts w:ascii="Times New Roman" w:hAnsi="Times New Roman" w:cs="Times New Roman"/>
          <w:sz w:val="24"/>
          <w:szCs w:val="24"/>
        </w:rPr>
        <w:t xml:space="preserve">I note that no authority is cited for the proposition that there must be a focused application to the Reserve </w:t>
      </w:r>
      <w:r w:rsidR="00997004" w:rsidRPr="00D365DA">
        <w:rPr>
          <w:rFonts w:ascii="Times New Roman" w:hAnsi="Times New Roman" w:cs="Times New Roman"/>
          <w:sz w:val="24"/>
          <w:szCs w:val="24"/>
        </w:rPr>
        <w:t>Bank for</w:t>
      </w:r>
      <w:r w:rsidRPr="00D365DA">
        <w:rPr>
          <w:rFonts w:ascii="Times New Roman" w:hAnsi="Times New Roman" w:cs="Times New Roman"/>
          <w:sz w:val="24"/>
          <w:szCs w:val="24"/>
        </w:rPr>
        <w:t xml:space="preserve"> its consent to be granted in writing that a banking institution must be wound up.</w:t>
      </w:r>
      <w:r w:rsidR="00997004" w:rsidRPr="00D365DA">
        <w:rPr>
          <w:rFonts w:ascii="Times New Roman" w:hAnsi="Times New Roman" w:cs="Times New Roman"/>
          <w:sz w:val="24"/>
          <w:szCs w:val="24"/>
        </w:rPr>
        <w:t xml:space="preserve"> S57 (2) provides as follows:</w:t>
      </w:r>
    </w:p>
    <w:p w:rsidR="00997004" w:rsidRDefault="00997004" w:rsidP="00997004">
      <w:pPr>
        <w:autoSpaceDE w:val="0"/>
        <w:autoSpaceDN w:val="0"/>
        <w:adjustRightInd w:val="0"/>
        <w:spacing w:after="0" w:line="240" w:lineRule="auto"/>
        <w:rPr>
          <w:rFonts w:ascii="Times New Roman" w:hAnsi="Times New Roman" w:cs="Times New Roman"/>
        </w:rPr>
      </w:pPr>
    </w:p>
    <w:p w:rsidR="00997004" w:rsidRPr="00147B3E" w:rsidRDefault="00997004" w:rsidP="00147B3E">
      <w:pPr>
        <w:autoSpaceDE w:val="0"/>
        <w:autoSpaceDN w:val="0"/>
        <w:adjustRightInd w:val="0"/>
        <w:spacing w:after="0" w:line="240" w:lineRule="auto"/>
        <w:ind w:left="720"/>
        <w:rPr>
          <w:rFonts w:ascii="Times New Roman" w:hAnsi="Times New Roman" w:cs="Times New Roman"/>
        </w:rPr>
      </w:pPr>
      <w:r w:rsidRPr="00147B3E">
        <w:rPr>
          <w:rFonts w:ascii="Times New Roman" w:hAnsi="Times New Roman" w:cs="Times New Roman"/>
        </w:rPr>
        <w:t>“(2) Notwithstanding anything to the contrary in the Insolvency Act [</w:t>
      </w:r>
      <w:r w:rsidRPr="00147B3E">
        <w:rPr>
          <w:rFonts w:ascii="Times New Roman" w:hAnsi="Times New Roman" w:cs="Times New Roman"/>
          <w:i/>
          <w:iCs/>
        </w:rPr>
        <w:t>Chapter 6:04</w:t>
      </w:r>
      <w:r w:rsidRPr="00147B3E">
        <w:rPr>
          <w:rFonts w:ascii="Times New Roman" w:hAnsi="Times New Roman" w:cs="Times New Roman"/>
        </w:rPr>
        <w:t>] or the Companies Act [</w:t>
      </w:r>
      <w:r w:rsidRPr="00147B3E">
        <w:rPr>
          <w:rFonts w:ascii="Times New Roman" w:hAnsi="Times New Roman" w:cs="Times New Roman"/>
          <w:i/>
          <w:iCs/>
        </w:rPr>
        <w:t>Chapter 24:03</w:t>
      </w:r>
      <w:r w:rsidRPr="00147B3E">
        <w:rPr>
          <w:rFonts w:ascii="Times New Roman" w:hAnsi="Times New Roman" w:cs="Times New Roman"/>
        </w:rPr>
        <w:t>]—</w:t>
      </w:r>
    </w:p>
    <w:p w:rsidR="00997004" w:rsidRPr="00147B3E" w:rsidRDefault="00997004" w:rsidP="00147B3E">
      <w:pPr>
        <w:autoSpaceDE w:val="0"/>
        <w:autoSpaceDN w:val="0"/>
        <w:adjustRightInd w:val="0"/>
        <w:spacing w:after="0" w:line="240" w:lineRule="auto"/>
        <w:ind w:firstLine="720"/>
        <w:rPr>
          <w:rFonts w:ascii="Times New Roman" w:hAnsi="Times New Roman" w:cs="Times New Roman"/>
        </w:rPr>
      </w:pPr>
      <w:r w:rsidRPr="00147B3E">
        <w:rPr>
          <w:rFonts w:ascii="Times New Roman" w:hAnsi="Times New Roman" w:cs="Times New Roman"/>
        </w:rPr>
        <w:t>(</w:t>
      </w:r>
      <w:r w:rsidRPr="00147B3E">
        <w:rPr>
          <w:rFonts w:ascii="Times New Roman" w:hAnsi="Times New Roman" w:cs="Times New Roman"/>
          <w:i/>
          <w:iCs/>
        </w:rPr>
        <w:t>a</w:t>
      </w:r>
      <w:r w:rsidRPr="00147B3E">
        <w:rPr>
          <w:rFonts w:ascii="Times New Roman" w:hAnsi="Times New Roman" w:cs="Times New Roman"/>
        </w:rPr>
        <w:t>) no person shall apply to a court for the winding up of a banking institution; or</w:t>
      </w:r>
    </w:p>
    <w:p w:rsidR="00997004" w:rsidRPr="00147B3E" w:rsidRDefault="00997004" w:rsidP="00147B3E">
      <w:pPr>
        <w:autoSpaceDE w:val="0"/>
        <w:autoSpaceDN w:val="0"/>
        <w:adjustRightInd w:val="0"/>
        <w:spacing w:after="0" w:line="240" w:lineRule="auto"/>
        <w:ind w:firstLine="720"/>
        <w:rPr>
          <w:rFonts w:ascii="Times New Roman" w:hAnsi="Times New Roman" w:cs="Times New Roman"/>
        </w:rPr>
      </w:pPr>
      <w:r w:rsidRPr="00147B3E">
        <w:rPr>
          <w:rFonts w:ascii="Times New Roman" w:hAnsi="Times New Roman" w:cs="Times New Roman"/>
        </w:rPr>
        <w:t>(</w:t>
      </w:r>
      <w:r w:rsidRPr="00147B3E">
        <w:rPr>
          <w:rFonts w:ascii="Times New Roman" w:hAnsi="Times New Roman" w:cs="Times New Roman"/>
          <w:i/>
          <w:iCs/>
        </w:rPr>
        <w:t>b</w:t>
      </w:r>
      <w:r w:rsidRPr="00147B3E">
        <w:rPr>
          <w:rFonts w:ascii="Times New Roman" w:hAnsi="Times New Roman" w:cs="Times New Roman"/>
        </w:rPr>
        <w:t>) no banking institution shall pass a resolution for its voluntary winding up or dissolution;</w:t>
      </w:r>
    </w:p>
    <w:p w:rsidR="00997004" w:rsidRPr="00147B3E" w:rsidRDefault="00997004" w:rsidP="00147B3E">
      <w:pPr>
        <w:spacing w:after="0" w:line="240" w:lineRule="auto"/>
        <w:ind w:left="720"/>
        <w:jc w:val="both"/>
        <w:rPr>
          <w:rFonts w:ascii="Times New Roman" w:hAnsi="Times New Roman" w:cs="Times New Roman"/>
        </w:rPr>
      </w:pPr>
      <w:r w:rsidRPr="00147B3E">
        <w:rPr>
          <w:rFonts w:ascii="Times New Roman" w:hAnsi="Times New Roman" w:cs="Times New Roman"/>
        </w:rPr>
        <w:t>without the consent of the Reserve Bank and in accordance with any conditions the Reserve Bank may specify:”</w:t>
      </w:r>
    </w:p>
    <w:p w:rsidR="00997004" w:rsidRPr="00147B3E" w:rsidRDefault="00997004" w:rsidP="00147B3E">
      <w:pPr>
        <w:spacing w:after="0" w:line="240" w:lineRule="auto"/>
        <w:ind w:firstLine="720"/>
        <w:jc w:val="both"/>
        <w:rPr>
          <w:rFonts w:ascii="Times New Roman" w:hAnsi="Times New Roman" w:cs="Times New Roman"/>
        </w:rPr>
      </w:pPr>
    </w:p>
    <w:p w:rsidR="0096695B" w:rsidRPr="00AC52B1" w:rsidRDefault="00997004" w:rsidP="00687993">
      <w:pPr>
        <w:spacing w:after="0" w:line="360" w:lineRule="auto"/>
        <w:ind w:firstLine="720"/>
        <w:jc w:val="both"/>
        <w:rPr>
          <w:rFonts w:ascii="Times New Roman" w:hAnsi="Times New Roman" w:cs="Times New Roman"/>
          <w:sz w:val="24"/>
          <w:szCs w:val="24"/>
        </w:rPr>
      </w:pPr>
      <w:r w:rsidRPr="00AC52B1">
        <w:rPr>
          <w:rFonts w:ascii="Times New Roman" w:hAnsi="Times New Roman" w:cs="Times New Roman"/>
          <w:sz w:val="24"/>
          <w:szCs w:val="24"/>
        </w:rPr>
        <w:t>O</w:t>
      </w:r>
      <w:r w:rsidR="00FE4923" w:rsidRPr="00AC52B1">
        <w:rPr>
          <w:rFonts w:ascii="Times New Roman" w:hAnsi="Times New Roman" w:cs="Times New Roman"/>
          <w:sz w:val="24"/>
          <w:szCs w:val="24"/>
        </w:rPr>
        <w:t>n 4 June 2014, the Reserve Bank published a public notice that first respondent</w:t>
      </w:r>
      <w:r w:rsidRPr="00AC52B1">
        <w:rPr>
          <w:rFonts w:ascii="Times New Roman" w:hAnsi="Times New Roman" w:cs="Times New Roman"/>
          <w:sz w:val="24"/>
          <w:szCs w:val="24"/>
        </w:rPr>
        <w:t>’s</w:t>
      </w:r>
      <w:r w:rsidR="00FE4923" w:rsidRPr="00AC52B1">
        <w:rPr>
          <w:rFonts w:ascii="Times New Roman" w:hAnsi="Times New Roman" w:cs="Times New Roman"/>
          <w:sz w:val="24"/>
          <w:szCs w:val="24"/>
        </w:rPr>
        <w:t xml:space="preserve"> banking license </w:t>
      </w:r>
      <w:r w:rsidRPr="00AC52B1">
        <w:rPr>
          <w:rFonts w:ascii="Times New Roman" w:hAnsi="Times New Roman" w:cs="Times New Roman"/>
          <w:sz w:val="24"/>
          <w:szCs w:val="24"/>
        </w:rPr>
        <w:t xml:space="preserve">and consequently, its registration as such, </w:t>
      </w:r>
      <w:r w:rsidR="00FE4923" w:rsidRPr="00AC52B1">
        <w:rPr>
          <w:rFonts w:ascii="Times New Roman" w:hAnsi="Times New Roman" w:cs="Times New Roman"/>
          <w:sz w:val="24"/>
          <w:szCs w:val="24"/>
        </w:rPr>
        <w:t>had been cancelled.</w:t>
      </w:r>
      <w:r w:rsidR="0096695B" w:rsidRPr="00AC52B1">
        <w:rPr>
          <w:rFonts w:ascii="Times New Roman" w:hAnsi="Times New Roman" w:cs="Times New Roman"/>
          <w:sz w:val="24"/>
          <w:szCs w:val="24"/>
        </w:rPr>
        <w:t xml:space="preserve"> This was consequent upon first respondent surrendering its license on the basis that it had no capacity or ability to trade as a bank.</w:t>
      </w:r>
      <w:r w:rsidR="00FE4923" w:rsidRPr="00AC52B1">
        <w:rPr>
          <w:rFonts w:ascii="Times New Roman" w:hAnsi="Times New Roman" w:cs="Times New Roman"/>
          <w:sz w:val="24"/>
          <w:szCs w:val="24"/>
        </w:rPr>
        <w:t xml:space="preserve"> </w:t>
      </w:r>
      <w:r w:rsidR="0096695B" w:rsidRPr="00AC52B1">
        <w:rPr>
          <w:rFonts w:ascii="Times New Roman" w:hAnsi="Times New Roman" w:cs="Times New Roman"/>
          <w:sz w:val="24"/>
          <w:szCs w:val="24"/>
        </w:rPr>
        <w:t xml:space="preserve">Obviously, the fact that the Reserve Bank accepted first respondent’s </w:t>
      </w:r>
      <w:r w:rsidR="0096695B" w:rsidRPr="00AC52B1">
        <w:rPr>
          <w:rFonts w:ascii="Times New Roman" w:hAnsi="Times New Roman" w:cs="Times New Roman"/>
          <w:sz w:val="24"/>
          <w:szCs w:val="24"/>
        </w:rPr>
        <w:lastRenderedPageBreak/>
        <w:t>surrender of its license and proceeded to cancel it as well as to deregister first respondent can only be interpreted as the Reserve Bank’s acquiescence to any consequential winding up process, which, incidentally, was the only option left as attempts to resuscitate first respondent had failed.</w:t>
      </w:r>
    </w:p>
    <w:p w:rsidR="0096695B" w:rsidRPr="00AC52B1" w:rsidRDefault="00FE4923" w:rsidP="00687993">
      <w:pPr>
        <w:spacing w:after="0" w:line="360" w:lineRule="auto"/>
        <w:ind w:firstLine="720"/>
        <w:jc w:val="both"/>
        <w:rPr>
          <w:rFonts w:ascii="Times New Roman" w:hAnsi="Times New Roman" w:cs="Times New Roman"/>
          <w:sz w:val="24"/>
          <w:szCs w:val="24"/>
        </w:rPr>
      </w:pPr>
      <w:r w:rsidRPr="00AC52B1">
        <w:rPr>
          <w:rFonts w:ascii="Times New Roman" w:hAnsi="Times New Roman" w:cs="Times New Roman"/>
          <w:sz w:val="24"/>
          <w:szCs w:val="24"/>
        </w:rPr>
        <w:t xml:space="preserve">It </w:t>
      </w:r>
      <w:r w:rsidR="00B32296" w:rsidRPr="00AC52B1">
        <w:rPr>
          <w:rFonts w:ascii="Times New Roman" w:hAnsi="Times New Roman" w:cs="Times New Roman"/>
          <w:sz w:val="24"/>
          <w:szCs w:val="24"/>
        </w:rPr>
        <w:t xml:space="preserve">therefore </w:t>
      </w:r>
      <w:r w:rsidRPr="00AC52B1">
        <w:rPr>
          <w:rFonts w:ascii="Times New Roman" w:hAnsi="Times New Roman" w:cs="Times New Roman"/>
          <w:sz w:val="24"/>
          <w:szCs w:val="24"/>
        </w:rPr>
        <w:t xml:space="preserve">seems to me obvious that if an institution’s banking license is cancelled </w:t>
      </w:r>
      <w:r w:rsidR="00997004" w:rsidRPr="00AC52B1">
        <w:rPr>
          <w:rFonts w:ascii="Times New Roman" w:hAnsi="Times New Roman" w:cs="Times New Roman"/>
          <w:sz w:val="24"/>
          <w:szCs w:val="24"/>
        </w:rPr>
        <w:t xml:space="preserve">and it is deregistered as a bank, </w:t>
      </w:r>
      <w:r w:rsidRPr="00AC52B1">
        <w:rPr>
          <w:rFonts w:ascii="Times New Roman" w:hAnsi="Times New Roman" w:cs="Times New Roman"/>
          <w:sz w:val="24"/>
          <w:szCs w:val="24"/>
        </w:rPr>
        <w:t>it can no longer hold itself out to be a bank as it can no longer trade as such.</w:t>
      </w:r>
      <w:r w:rsidR="00997004" w:rsidRPr="00AC52B1">
        <w:rPr>
          <w:rFonts w:ascii="Times New Roman" w:hAnsi="Times New Roman" w:cs="Times New Roman"/>
          <w:sz w:val="24"/>
          <w:szCs w:val="24"/>
        </w:rPr>
        <w:t xml:space="preserve"> For the avoidance of doubt, the public notice in fact went on to point out that consequential fact</w:t>
      </w:r>
      <w:r w:rsidR="0096695B" w:rsidRPr="00AC52B1">
        <w:rPr>
          <w:rFonts w:ascii="Times New Roman" w:hAnsi="Times New Roman" w:cs="Times New Roman"/>
          <w:sz w:val="24"/>
          <w:szCs w:val="24"/>
        </w:rPr>
        <w:t>,</w:t>
      </w:r>
      <w:r w:rsidR="00997004" w:rsidRPr="00AC52B1">
        <w:rPr>
          <w:rFonts w:ascii="Times New Roman" w:hAnsi="Times New Roman" w:cs="Times New Roman"/>
          <w:sz w:val="24"/>
          <w:szCs w:val="24"/>
        </w:rPr>
        <w:t xml:space="preserve"> and</w:t>
      </w:r>
      <w:r w:rsidR="002414A8" w:rsidRPr="00AC52B1">
        <w:rPr>
          <w:rFonts w:ascii="Times New Roman" w:hAnsi="Times New Roman" w:cs="Times New Roman"/>
          <w:sz w:val="24"/>
          <w:szCs w:val="24"/>
        </w:rPr>
        <w:t xml:space="preserve"> the regulator </w:t>
      </w:r>
      <w:r w:rsidR="00997004" w:rsidRPr="00AC52B1">
        <w:rPr>
          <w:rFonts w:ascii="Times New Roman" w:hAnsi="Times New Roman" w:cs="Times New Roman"/>
          <w:sz w:val="24"/>
          <w:szCs w:val="24"/>
        </w:rPr>
        <w:t>confirm</w:t>
      </w:r>
      <w:r w:rsidR="002414A8" w:rsidRPr="00AC52B1">
        <w:rPr>
          <w:rFonts w:ascii="Times New Roman" w:hAnsi="Times New Roman" w:cs="Times New Roman"/>
          <w:sz w:val="24"/>
          <w:szCs w:val="24"/>
        </w:rPr>
        <w:t>ed</w:t>
      </w:r>
      <w:r w:rsidR="00997004" w:rsidRPr="00AC52B1">
        <w:rPr>
          <w:rFonts w:ascii="Times New Roman" w:hAnsi="Times New Roman" w:cs="Times New Roman"/>
          <w:sz w:val="24"/>
          <w:szCs w:val="24"/>
        </w:rPr>
        <w:t xml:space="preserve"> </w:t>
      </w:r>
      <w:r w:rsidR="0096695B" w:rsidRPr="00AC52B1">
        <w:rPr>
          <w:rFonts w:ascii="Times New Roman" w:hAnsi="Times New Roman" w:cs="Times New Roman"/>
          <w:sz w:val="24"/>
          <w:szCs w:val="24"/>
        </w:rPr>
        <w:t xml:space="preserve">that first respondent only remained registered as a company in terms of the Companies Act </w:t>
      </w:r>
      <w:r w:rsidR="003F409F">
        <w:rPr>
          <w:rFonts w:ascii="Times New Roman" w:hAnsi="Times New Roman" w:cs="Times New Roman"/>
          <w:sz w:val="24"/>
          <w:szCs w:val="24"/>
        </w:rPr>
        <w:t>[</w:t>
      </w:r>
      <w:r w:rsidR="0096695B" w:rsidRPr="003F409F">
        <w:rPr>
          <w:rFonts w:ascii="Times New Roman" w:hAnsi="Times New Roman" w:cs="Times New Roman"/>
          <w:i/>
          <w:sz w:val="24"/>
          <w:szCs w:val="24"/>
        </w:rPr>
        <w:t>Chapter 24:03</w:t>
      </w:r>
      <w:r w:rsidR="003F409F">
        <w:rPr>
          <w:rFonts w:ascii="Times New Roman" w:hAnsi="Times New Roman" w:cs="Times New Roman"/>
          <w:sz w:val="24"/>
          <w:szCs w:val="24"/>
        </w:rPr>
        <w:t>]</w:t>
      </w:r>
      <w:r w:rsidR="0096695B" w:rsidRPr="00AC52B1">
        <w:rPr>
          <w:rFonts w:ascii="Times New Roman" w:hAnsi="Times New Roman" w:cs="Times New Roman"/>
          <w:sz w:val="24"/>
          <w:szCs w:val="24"/>
        </w:rPr>
        <w:t>. I cannot fault that position, and do not agree with the interpretation of s</w:t>
      </w:r>
      <w:r w:rsidR="003F409F">
        <w:rPr>
          <w:rFonts w:ascii="Times New Roman" w:hAnsi="Times New Roman" w:cs="Times New Roman"/>
          <w:sz w:val="24"/>
          <w:szCs w:val="24"/>
        </w:rPr>
        <w:t xml:space="preserve"> </w:t>
      </w:r>
      <w:r w:rsidR="0096695B" w:rsidRPr="00AC52B1">
        <w:rPr>
          <w:rFonts w:ascii="Times New Roman" w:hAnsi="Times New Roman" w:cs="Times New Roman"/>
          <w:sz w:val="24"/>
          <w:szCs w:val="24"/>
        </w:rPr>
        <w:t xml:space="preserve">57 (2) that respondent urges upon me. </w:t>
      </w:r>
      <w:r w:rsidR="008348F0" w:rsidRPr="00AC52B1">
        <w:rPr>
          <w:rFonts w:ascii="Times New Roman" w:hAnsi="Times New Roman" w:cs="Times New Roman"/>
          <w:sz w:val="24"/>
          <w:szCs w:val="24"/>
        </w:rPr>
        <w:t>In any</w:t>
      </w:r>
      <w:r w:rsidR="002414A8" w:rsidRPr="00AC52B1">
        <w:rPr>
          <w:rFonts w:ascii="Times New Roman" w:hAnsi="Times New Roman" w:cs="Times New Roman"/>
          <w:sz w:val="24"/>
          <w:szCs w:val="24"/>
        </w:rPr>
        <w:t xml:space="preserve"> event, no application to review that determination of the regulator has been made</w:t>
      </w:r>
      <w:r w:rsidR="008348F0" w:rsidRPr="00AC52B1">
        <w:rPr>
          <w:rFonts w:ascii="Times New Roman" w:hAnsi="Times New Roman" w:cs="Times New Roman"/>
          <w:sz w:val="24"/>
          <w:szCs w:val="24"/>
        </w:rPr>
        <w:t xml:space="preserve"> before this court.</w:t>
      </w:r>
    </w:p>
    <w:p w:rsidR="00FE4923" w:rsidRPr="00AC52B1" w:rsidRDefault="0096695B" w:rsidP="00687993">
      <w:pPr>
        <w:spacing w:after="0" w:line="360" w:lineRule="auto"/>
        <w:ind w:firstLine="720"/>
        <w:jc w:val="both"/>
        <w:rPr>
          <w:rFonts w:ascii="Times New Roman" w:hAnsi="Times New Roman" w:cs="Times New Roman"/>
          <w:sz w:val="24"/>
          <w:szCs w:val="24"/>
        </w:rPr>
      </w:pPr>
      <w:r w:rsidRPr="00AC52B1">
        <w:rPr>
          <w:rFonts w:ascii="Times New Roman" w:hAnsi="Times New Roman" w:cs="Times New Roman"/>
          <w:sz w:val="24"/>
          <w:szCs w:val="24"/>
        </w:rPr>
        <w:t>The appl</w:t>
      </w:r>
      <w:r w:rsidR="002414A8" w:rsidRPr="00AC52B1">
        <w:rPr>
          <w:rFonts w:ascii="Times New Roman" w:hAnsi="Times New Roman" w:cs="Times New Roman"/>
          <w:sz w:val="24"/>
          <w:szCs w:val="24"/>
        </w:rPr>
        <w:t xml:space="preserve">ication before this court is </w:t>
      </w:r>
      <w:r w:rsidRPr="00AC52B1">
        <w:rPr>
          <w:rFonts w:ascii="Times New Roman" w:hAnsi="Times New Roman" w:cs="Times New Roman"/>
          <w:sz w:val="24"/>
          <w:szCs w:val="24"/>
        </w:rPr>
        <w:t>thus an application for the winding up of a company in terms of the Companies Act, and not the winding up of a bank in terms of the Banking Act. Th</w:t>
      </w:r>
      <w:r w:rsidR="002414A8" w:rsidRPr="00AC52B1">
        <w:rPr>
          <w:rFonts w:ascii="Times New Roman" w:hAnsi="Times New Roman" w:cs="Times New Roman"/>
          <w:sz w:val="24"/>
          <w:szCs w:val="24"/>
        </w:rPr>
        <w:t>erefore</w:t>
      </w:r>
      <w:r w:rsidRPr="00AC52B1">
        <w:rPr>
          <w:rFonts w:ascii="Times New Roman" w:hAnsi="Times New Roman" w:cs="Times New Roman"/>
          <w:sz w:val="24"/>
          <w:szCs w:val="24"/>
        </w:rPr>
        <w:t xml:space="preserve"> this court certainly has jurisdiction</w:t>
      </w:r>
      <w:r w:rsidR="00D365DA">
        <w:rPr>
          <w:rFonts w:ascii="Times New Roman" w:hAnsi="Times New Roman" w:cs="Times New Roman"/>
          <w:sz w:val="24"/>
          <w:szCs w:val="24"/>
        </w:rPr>
        <w:t>.</w:t>
      </w:r>
    </w:p>
    <w:p w:rsidR="004113F3" w:rsidRPr="00AC52B1" w:rsidRDefault="004113F3" w:rsidP="004113F3">
      <w:pPr>
        <w:spacing w:after="0" w:line="360" w:lineRule="auto"/>
        <w:jc w:val="both"/>
        <w:rPr>
          <w:rFonts w:ascii="Times New Roman" w:hAnsi="Times New Roman" w:cs="Times New Roman"/>
          <w:i/>
          <w:sz w:val="24"/>
          <w:szCs w:val="24"/>
        </w:rPr>
      </w:pPr>
      <w:r w:rsidRPr="00AC52B1">
        <w:rPr>
          <w:rFonts w:ascii="Times New Roman" w:hAnsi="Times New Roman" w:cs="Times New Roman"/>
          <w:i/>
          <w:sz w:val="24"/>
          <w:szCs w:val="24"/>
        </w:rPr>
        <w:t>Only the Deposit Protection Authority can be a liquidator</w:t>
      </w:r>
    </w:p>
    <w:p w:rsidR="004113F3" w:rsidRPr="00AC52B1" w:rsidRDefault="00687993" w:rsidP="00D072C2">
      <w:pPr>
        <w:spacing w:after="0" w:line="360" w:lineRule="auto"/>
        <w:ind w:firstLine="720"/>
        <w:jc w:val="both"/>
        <w:rPr>
          <w:rFonts w:ascii="Times New Roman" w:hAnsi="Times New Roman" w:cs="Times New Roman"/>
          <w:sz w:val="24"/>
          <w:szCs w:val="24"/>
        </w:rPr>
      </w:pPr>
      <w:r w:rsidRPr="00AC52B1">
        <w:rPr>
          <w:rFonts w:ascii="Times New Roman" w:hAnsi="Times New Roman" w:cs="Times New Roman"/>
          <w:sz w:val="24"/>
          <w:szCs w:val="24"/>
        </w:rPr>
        <w:t xml:space="preserve">The first respondent argues that the applicant must, upon consent being given by the Reserve Bank, appoint the Deposit Protection Authority as liquidator and not any individual, and most certainly, not an individual who is not of the Deposit Protection Authority. </w:t>
      </w:r>
      <w:r w:rsidR="003E7977" w:rsidRPr="00AC52B1">
        <w:rPr>
          <w:rFonts w:ascii="Times New Roman" w:hAnsi="Times New Roman" w:cs="Times New Roman"/>
          <w:sz w:val="24"/>
          <w:szCs w:val="24"/>
        </w:rPr>
        <w:t>This is because, first respondent submits, Capital Bank remains a banking institution in terms of s</w:t>
      </w:r>
      <w:r w:rsidR="003F409F">
        <w:rPr>
          <w:rFonts w:ascii="Times New Roman" w:hAnsi="Times New Roman" w:cs="Times New Roman"/>
          <w:sz w:val="24"/>
          <w:szCs w:val="24"/>
        </w:rPr>
        <w:t xml:space="preserve"> </w:t>
      </w:r>
      <w:r w:rsidR="003E7977" w:rsidRPr="00AC52B1">
        <w:rPr>
          <w:rFonts w:ascii="Times New Roman" w:hAnsi="Times New Roman" w:cs="Times New Roman"/>
          <w:sz w:val="24"/>
          <w:szCs w:val="24"/>
        </w:rPr>
        <w:t xml:space="preserve">57 (1) (b) of the Banking Act, despite the surrender of its license and it’s de-registration by the central bank as it continues to hold deposits. </w:t>
      </w:r>
      <w:r w:rsidRPr="00AC52B1">
        <w:rPr>
          <w:rFonts w:ascii="Times New Roman" w:hAnsi="Times New Roman" w:cs="Times New Roman"/>
          <w:sz w:val="24"/>
          <w:szCs w:val="24"/>
        </w:rPr>
        <w:t xml:space="preserve">Third to twenty-third respondents support this argument by submitting that in fact, it is only the institution of the Deposit Protection Authority which can be a liquidator and certainly not </w:t>
      </w:r>
      <w:r w:rsidR="00AC5CE6">
        <w:rPr>
          <w:rFonts w:ascii="Times New Roman" w:hAnsi="Times New Roman" w:cs="Times New Roman"/>
          <w:sz w:val="24"/>
          <w:szCs w:val="24"/>
        </w:rPr>
        <w:t xml:space="preserve">it’s </w:t>
      </w:r>
      <w:r w:rsidRPr="00AC52B1">
        <w:rPr>
          <w:rFonts w:ascii="Times New Roman" w:hAnsi="Times New Roman" w:cs="Times New Roman"/>
          <w:sz w:val="24"/>
          <w:szCs w:val="24"/>
        </w:rPr>
        <w:t xml:space="preserve">Mr John </w:t>
      </w:r>
      <w:r w:rsidR="00AC5CE6">
        <w:rPr>
          <w:rFonts w:ascii="Times New Roman" w:hAnsi="Times New Roman" w:cs="Times New Roman"/>
          <w:sz w:val="24"/>
          <w:szCs w:val="24"/>
        </w:rPr>
        <w:t xml:space="preserve">Mafungei </w:t>
      </w:r>
      <w:r w:rsidRPr="00AC52B1">
        <w:rPr>
          <w:rFonts w:ascii="Times New Roman" w:hAnsi="Times New Roman" w:cs="Times New Roman"/>
          <w:sz w:val="24"/>
          <w:szCs w:val="24"/>
        </w:rPr>
        <w:t>Chikura</w:t>
      </w:r>
      <w:r w:rsidR="00AC5CE6">
        <w:rPr>
          <w:rFonts w:ascii="Times New Roman" w:hAnsi="Times New Roman" w:cs="Times New Roman"/>
          <w:sz w:val="24"/>
          <w:szCs w:val="24"/>
        </w:rPr>
        <w:t>.</w:t>
      </w:r>
    </w:p>
    <w:p w:rsidR="00893AA3" w:rsidRDefault="002414A8" w:rsidP="00D072C2">
      <w:pPr>
        <w:spacing w:after="0" w:line="360" w:lineRule="auto"/>
        <w:ind w:firstLine="720"/>
        <w:jc w:val="both"/>
        <w:rPr>
          <w:rFonts w:ascii="Times New Roman" w:hAnsi="Times New Roman" w:cs="Times New Roman"/>
          <w:sz w:val="24"/>
          <w:szCs w:val="24"/>
        </w:rPr>
      </w:pPr>
      <w:r w:rsidRPr="00AC52B1">
        <w:rPr>
          <w:rFonts w:ascii="Times New Roman" w:hAnsi="Times New Roman" w:cs="Times New Roman"/>
          <w:sz w:val="24"/>
          <w:szCs w:val="24"/>
        </w:rPr>
        <w:t xml:space="preserve">Having found that first respondent is not a banking institution anymore and that these are in fact proceedings for the winding up of a company, this point </w:t>
      </w:r>
      <w:r w:rsidRPr="00AC52B1">
        <w:rPr>
          <w:rFonts w:ascii="Times New Roman" w:hAnsi="Times New Roman" w:cs="Times New Roman"/>
          <w:i/>
          <w:sz w:val="24"/>
          <w:szCs w:val="24"/>
        </w:rPr>
        <w:t>in limine</w:t>
      </w:r>
      <w:r w:rsidRPr="00AC52B1">
        <w:rPr>
          <w:rFonts w:ascii="Times New Roman" w:hAnsi="Times New Roman" w:cs="Times New Roman"/>
          <w:sz w:val="24"/>
          <w:szCs w:val="24"/>
        </w:rPr>
        <w:t xml:space="preserve"> falls by the wayside and need not detain me further. </w:t>
      </w:r>
      <w:r w:rsidR="00AC52B1" w:rsidRPr="00AC52B1">
        <w:rPr>
          <w:rFonts w:ascii="Times New Roman" w:hAnsi="Times New Roman" w:cs="Times New Roman"/>
          <w:sz w:val="24"/>
          <w:szCs w:val="24"/>
        </w:rPr>
        <w:t xml:space="preserve"> </w:t>
      </w:r>
      <w:r w:rsidR="00893AA3">
        <w:rPr>
          <w:rFonts w:ascii="Times New Roman" w:hAnsi="Times New Roman" w:cs="Times New Roman"/>
          <w:sz w:val="24"/>
          <w:szCs w:val="24"/>
        </w:rPr>
        <w:t xml:space="preserve">Any person can thus be appointed liquidator as long as they meet the necessary requirements. I have not heard the respondents to argue that Mr Chikura or Mr Militala </w:t>
      </w:r>
      <w:r w:rsidR="00AC5CE6">
        <w:rPr>
          <w:rFonts w:ascii="Times New Roman" w:hAnsi="Times New Roman" w:cs="Times New Roman"/>
          <w:sz w:val="24"/>
          <w:szCs w:val="24"/>
        </w:rPr>
        <w:t>lack the necessary qualifications</w:t>
      </w:r>
      <w:r w:rsidR="00893AA3">
        <w:rPr>
          <w:rFonts w:ascii="Times New Roman" w:hAnsi="Times New Roman" w:cs="Times New Roman"/>
          <w:sz w:val="24"/>
          <w:szCs w:val="24"/>
        </w:rPr>
        <w:t xml:space="preserve"> to be liquidators.</w:t>
      </w:r>
    </w:p>
    <w:p w:rsidR="00365C91" w:rsidRDefault="00365C91" w:rsidP="00D072C2">
      <w:pPr>
        <w:spacing w:after="0" w:line="360" w:lineRule="auto"/>
        <w:ind w:firstLine="720"/>
        <w:jc w:val="both"/>
        <w:rPr>
          <w:rFonts w:ascii="Times New Roman" w:hAnsi="Times New Roman" w:cs="Times New Roman"/>
          <w:i/>
        </w:rPr>
      </w:pPr>
      <w:r>
        <w:rPr>
          <w:rFonts w:ascii="Times New Roman" w:hAnsi="Times New Roman" w:cs="Times New Roman"/>
          <w:i/>
        </w:rPr>
        <w:t>The applicant has no locus standi</w:t>
      </w:r>
    </w:p>
    <w:p w:rsidR="00AC52B1" w:rsidRPr="00AC52B1" w:rsidRDefault="00AC52B1" w:rsidP="00D072C2">
      <w:pPr>
        <w:spacing w:after="0" w:line="360" w:lineRule="auto"/>
        <w:ind w:firstLine="720"/>
        <w:jc w:val="both"/>
        <w:rPr>
          <w:rFonts w:ascii="Times New Roman" w:hAnsi="Times New Roman" w:cs="Times New Roman"/>
          <w:sz w:val="24"/>
          <w:szCs w:val="24"/>
        </w:rPr>
      </w:pPr>
      <w:r w:rsidRPr="00AC52B1">
        <w:rPr>
          <w:rFonts w:ascii="Times New Roman" w:hAnsi="Times New Roman" w:cs="Times New Roman"/>
          <w:sz w:val="24"/>
          <w:szCs w:val="24"/>
        </w:rPr>
        <w:t xml:space="preserve"> I</w:t>
      </w:r>
      <w:r w:rsidR="00545F1B">
        <w:rPr>
          <w:rFonts w:ascii="Times New Roman" w:hAnsi="Times New Roman" w:cs="Times New Roman"/>
          <w:sz w:val="24"/>
          <w:szCs w:val="24"/>
        </w:rPr>
        <w:t xml:space="preserve"> do not</w:t>
      </w:r>
      <w:r w:rsidRPr="00AC52B1">
        <w:rPr>
          <w:rFonts w:ascii="Times New Roman" w:hAnsi="Times New Roman" w:cs="Times New Roman"/>
          <w:sz w:val="24"/>
          <w:szCs w:val="24"/>
        </w:rPr>
        <w:t xml:space="preserve"> see any merit at all in respondent</w:t>
      </w:r>
      <w:r w:rsidR="00AC5CE6">
        <w:rPr>
          <w:rFonts w:ascii="Times New Roman" w:hAnsi="Times New Roman" w:cs="Times New Roman"/>
          <w:sz w:val="24"/>
          <w:szCs w:val="24"/>
        </w:rPr>
        <w:t>s</w:t>
      </w:r>
      <w:r w:rsidRPr="00AC52B1">
        <w:rPr>
          <w:rFonts w:ascii="Times New Roman" w:hAnsi="Times New Roman" w:cs="Times New Roman"/>
          <w:sz w:val="24"/>
          <w:szCs w:val="24"/>
        </w:rPr>
        <w:t xml:space="preserve">’ resort to </w:t>
      </w:r>
      <w:r w:rsidR="00893AA3" w:rsidRPr="00AC52B1">
        <w:rPr>
          <w:rFonts w:ascii="Times New Roman" w:hAnsi="Times New Roman" w:cs="Times New Roman"/>
          <w:sz w:val="24"/>
          <w:szCs w:val="24"/>
        </w:rPr>
        <w:t>s</w:t>
      </w:r>
      <w:r w:rsidR="003F409F">
        <w:rPr>
          <w:rFonts w:ascii="Times New Roman" w:hAnsi="Times New Roman" w:cs="Times New Roman"/>
          <w:sz w:val="24"/>
          <w:szCs w:val="24"/>
        </w:rPr>
        <w:t xml:space="preserve"> </w:t>
      </w:r>
      <w:r w:rsidR="00893AA3" w:rsidRPr="00AC52B1">
        <w:rPr>
          <w:rFonts w:ascii="Times New Roman" w:hAnsi="Times New Roman" w:cs="Times New Roman"/>
          <w:sz w:val="24"/>
          <w:szCs w:val="24"/>
        </w:rPr>
        <w:t>57 (</w:t>
      </w:r>
      <w:r w:rsidRPr="00AC52B1">
        <w:rPr>
          <w:rFonts w:ascii="Times New Roman" w:hAnsi="Times New Roman" w:cs="Times New Roman"/>
          <w:sz w:val="24"/>
          <w:szCs w:val="24"/>
        </w:rPr>
        <w:t>1</w:t>
      </w:r>
      <w:r w:rsidR="00893AA3" w:rsidRPr="00AC52B1">
        <w:rPr>
          <w:rFonts w:ascii="Times New Roman" w:hAnsi="Times New Roman" w:cs="Times New Roman"/>
          <w:sz w:val="24"/>
          <w:szCs w:val="24"/>
        </w:rPr>
        <w:t>) (</w:t>
      </w:r>
      <w:r w:rsidRPr="00AC52B1">
        <w:rPr>
          <w:rFonts w:ascii="Times New Roman" w:hAnsi="Times New Roman" w:cs="Times New Roman"/>
          <w:sz w:val="24"/>
          <w:szCs w:val="24"/>
        </w:rPr>
        <w:t>b). Clearly</w:t>
      </w:r>
      <w:r w:rsidR="00AC5CE6">
        <w:rPr>
          <w:rFonts w:ascii="Times New Roman" w:hAnsi="Times New Roman" w:cs="Times New Roman"/>
          <w:sz w:val="24"/>
          <w:szCs w:val="24"/>
        </w:rPr>
        <w:t>, respondents impute</w:t>
      </w:r>
      <w:r w:rsidRPr="00AC52B1">
        <w:rPr>
          <w:rFonts w:ascii="Times New Roman" w:hAnsi="Times New Roman" w:cs="Times New Roman"/>
          <w:sz w:val="24"/>
          <w:szCs w:val="24"/>
        </w:rPr>
        <w:t xml:space="preserve"> into the provision a prescriptive approach which is not apparent on the face of the </w:t>
      </w:r>
      <w:r w:rsidRPr="00AC52B1">
        <w:rPr>
          <w:rFonts w:ascii="Times New Roman" w:hAnsi="Times New Roman" w:cs="Times New Roman"/>
          <w:sz w:val="24"/>
          <w:szCs w:val="24"/>
        </w:rPr>
        <w:lastRenderedPageBreak/>
        <w:t xml:space="preserve">provision. </w:t>
      </w:r>
      <w:r w:rsidR="00365C91">
        <w:rPr>
          <w:rFonts w:ascii="Times New Roman" w:hAnsi="Times New Roman" w:cs="Times New Roman"/>
          <w:sz w:val="24"/>
          <w:szCs w:val="24"/>
        </w:rPr>
        <w:t xml:space="preserve">It is not mandatory that the winding up of a bank can only be done by the Reserve Bank. </w:t>
      </w:r>
      <w:r w:rsidR="00893AA3" w:rsidRPr="00AC52B1">
        <w:rPr>
          <w:rFonts w:ascii="Times New Roman" w:hAnsi="Times New Roman" w:cs="Times New Roman"/>
          <w:sz w:val="24"/>
          <w:szCs w:val="24"/>
        </w:rPr>
        <w:t>S57 (</w:t>
      </w:r>
      <w:r w:rsidRPr="00AC52B1">
        <w:rPr>
          <w:rFonts w:ascii="Times New Roman" w:hAnsi="Times New Roman" w:cs="Times New Roman"/>
          <w:sz w:val="24"/>
          <w:szCs w:val="24"/>
        </w:rPr>
        <w:t>1</w:t>
      </w:r>
      <w:r w:rsidR="00893AA3" w:rsidRPr="00AC52B1">
        <w:rPr>
          <w:rFonts w:ascii="Times New Roman" w:hAnsi="Times New Roman" w:cs="Times New Roman"/>
          <w:sz w:val="24"/>
          <w:szCs w:val="24"/>
        </w:rPr>
        <w:t>) (</w:t>
      </w:r>
      <w:r w:rsidRPr="00AC52B1">
        <w:rPr>
          <w:rFonts w:ascii="Times New Roman" w:hAnsi="Times New Roman" w:cs="Times New Roman"/>
          <w:sz w:val="24"/>
          <w:szCs w:val="24"/>
        </w:rPr>
        <w:t>b) provides as follows:</w:t>
      </w:r>
    </w:p>
    <w:p w:rsidR="00AC52B1" w:rsidRPr="00147B3E" w:rsidRDefault="00AC52B1" w:rsidP="00AC52B1">
      <w:pPr>
        <w:autoSpaceDE w:val="0"/>
        <w:autoSpaceDN w:val="0"/>
        <w:adjustRightInd w:val="0"/>
        <w:spacing w:after="0" w:line="240" w:lineRule="auto"/>
        <w:ind w:firstLine="720"/>
        <w:rPr>
          <w:rFonts w:ascii="Arial" w:hAnsi="Arial" w:cs="Arial"/>
          <w:b/>
          <w:bCs/>
        </w:rPr>
      </w:pPr>
      <w:r>
        <w:rPr>
          <w:rFonts w:ascii="Times New Roman" w:hAnsi="Times New Roman" w:cs="Times New Roman"/>
        </w:rPr>
        <w:t xml:space="preserve"> </w:t>
      </w:r>
      <w:r w:rsidRPr="00147B3E">
        <w:rPr>
          <w:rFonts w:ascii="Times New Roman" w:hAnsi="Times New Roman" w:cs="Times New Roman"/>
        </w:rPr>
        <w:t>“</w:t>
      </w:r>
      <w:r w:rsidRPr="00147B3E">
        <w:rPr>
          <w:rFonts w:ascii="Arial" w:hAnsi="Arial" w:cs="Arial"/>
          <w:b/>
          <w:bCs/>
        </w:rPr>
        <w:t>57 Winding up of banking institutions</w:t>
      </w:r>
    </w:p>
    <w:p w:rsidR="00AC52B1" w:rsidRPr="00147B3E" w:rsidRDefault="00AC52B1" w:rsidP="00AC52B1">
      <w:pPr>
        <w:autoSpaceDE w:val="0"/>
        <w:autoSpaceDN w:val="0"/>
        <w:adjustRightInd w:val="0"/>
        <w:spacing w:after="0" w:line="240" w:lineRule="auto"/>
        <w:ind w:left="720"/>
        <w:rPr>
          <w:rFonts w:ascii="Times New Roman" w:hAnsi="Times New Roman" w:cs="Times New Roman"/>
        </w:rPr>
      </w:pPr>
      <w:r w:rsidRPr="00147B3E">
        <w:rPr>
          <w:rFonts w:ascii="Times New Roman" w:hAnsi="Times New Roman" w:cs="Times New Roman"/>
        </w:rPr>
        <w:t xml:space="preserve">(1) The Reserve Bank </w:t>
      </w:r>
      <w:r w:rsidRPr="00147B3E">
        <w:rPr>
          <w:rFonts w:ascii="Times New Roman" w:hAnsi="Times New Roman" w:cs="Times New Roman"/>
          <w:u w:val="single"/>
        </w:rPr>
        <w:t>may</w:t>
      </w:r>
      <w:r w:rsidRPr="00147B3E">
        <w:rPr>
          <w:rFonts w:ascii="Times New Roman" w:hAnsi="Times New Roman" w:cs="Times New Roman"/>
        </w:rPr>
        <w:t xml:space="preserve"> </w:t>
      </w:r>
      <w:r w:rsidR="00365C91" w:rsidRPr="00147B3E">
        <w:rPr>
          <w:rFonts w:ascii="Times New Roman" w:hAnsi="Times New Roman" w:cs="Times New Roman"/>
        </w:rPr>
        <w:t xml:space="preserve">(my emphasis) </w:t>
      </w:r>
      <w:r w:rsidRPr="00147B3E">
        <w:rPr>
          <w:rFonts w:ascii="Times New Roman" w:hAnsi="Times New Roman" w:cs="Times New Roman"/>
        </w:rPr>
        <w:t>in accordance with this section order the winding up of a banking institution—</w:t>
      </w:r>
    </w:p>
    <w:p w:rsidR="00AC52B1" w:rsidRPr="00147B3E" w:rsidRDefault="00AC52B1" w:rsidP="00AC52B1">
      <w:pPr>
        <w:autoSpaceDE w:val="0"/>
        <w:autoSpaceDN w:val="0"/>
        <w:adjustRightInd w:val="0"/>
        <w:spacing w:after="0" w:line="240" w:lineRule="auto"/>
        <w:ind w:firstLine="720"/>
        <w:rPr>
          <w:rFonts w:ascii="Times New Roman" w:hAnsi="Times New Roman" w:cs="Times New Roman"/>
        </w:rPr>
      </w:pPr>
      <w:r w:rsidRPr="00147B3E">
        <w:rPr>
          <w:rFonts w:ascii="Times New Roman" w:hAnsi="Times New Roman" w:cs="Times New Roman"/>
        </w:rPr>
        <w:t>(</w:t>
      </w:r>
      <w:r w:rsidRPr="00147B3E">
        <w:rPr>
          <w:rFonts w:ascii="Times New Roman" w:hAnsi="Times New Roman" w:cs="Times New Roman"/>
          <w:i/>
          <w:iCs/>
        </w:rPr>
        <w:t>a</w:t>
      </w:r>
      <w:r w:rsidRPr="00147B3E">
        <w:rPr>
          <w:rFonts w:ascii="Times New Roman" w:hAnsi="Times New Roman" w:cs="Times New Roman"/>
        </w:rPr>
        <w:t>)………………………; or</w:t>
      </w:r>
    </w:p>
    <w:p w:rsidR="00AC52B1" w:rsidRPr="00147B3E" w:rsidRDefault="00AC52B1" w:rsidP="00AC52B1">
      <w:pPr>
        <w:autoSpaceDE w:val="0"/>
        <w:autoSpaceDN w:val="0"/>
        <w:adjustRightInd w:val="0"/>
        <w:spacing w:after="0" w:line="240" w:lineRule="auto"/>
        <w:ind w:firstLine="720"/>
        <w:rPr>
          <w:rFonts w:ascii="Times New Roman" w:hAnsi="Times New Roman" w:cs="Times New Roman"/>
        </w:rPr>
      </w:pPr>
      <w:r w:rsidRPr="00147B3E">
        <w:rPr>
          <w:rFonts w:ascii="Times New Roman" w:hAnsi="Times New Roman" w:cs="Times New Roman"/>
        </w:rPr>
        <w:t>(</w:t>
      </w:r>
      <w:r w:rsidRPr="00147B3E">
        <w:rPr>
          <w:rFonts w:ascii="Times New Roman" w:hAnsi="Times New Roman" w:cs="Times New Roman"/>
          <w:i/>
          <w:iCs/>
        </w:rPr>
        <w:t>b</w:t>
      </w:r>
      <w:r w:rsidRPr="00147B3E">
        <w:rPr>
          <w:rFonts w:ascii="Times New Roman" w:hAnsi="Times New Roman" w:cs="Times New Roman"/>
        </w:rPr>
        <w:t>) following cancellation of the institution’s registration in terms of this Act; or</w:t>
      </w:r>
    </w:p>
    <w:p w:rsidR="00AC52B1" w:rsidRPr="00147B3E" w:rsidRDefault="00AC52B1" w:rsidP="00AC52B1">
      <w:pPr>
        <w:autoSpaceDE w:val="0"/>
        <w:autoSpaceDN w:val="0"/>
        <w:adjustRightInd w:val="0"/>
        <w:spacing w:after="0" w:line="240" w:lineRule="auto"/>
        <w:ind w:firstLine="720"/>
        <w:rPr>
          <w:rFonts w:ascii="Times New Roman" w:hAnsi="Times New Roman" w:cs="Times New Roman"/>
        </w:rPr>
      </w:pPr>
      <w:r w:rsidRPr="00147B3E">
        <w:rPr>
          <w:rFonts w:ascii="Times New Roman" w:hAnsi="Times New Roman" w:cs="Times New Roman"/>
        </w:rPr>
        <w:t>(</w:t>
      </w:r>
      <w:r w:rsidRPr="00147B3E">
        <w:rPr>
          <w:rFonts w:ascii="Times New Roman" w:hAnsi="Times New Roman" w:cs="Times New Roman"/>
          <w:i/>
          <w:iCs/>
        </w:rPr>
        <w:t>c</w:t>
      </w:r>
      <w:r w:rsidRPr="00147B3E">
        <w:rPr>
          <w:rFonts w:ascii="Times New Roman" w:hAnsi="Times New Roman" w:cs="Times New Roman"/>
        </w:rPr>
        <w:t>) ……………………..; or</w:t>
      </w:r>
    </w:p>
    <w:p w:rsidR="00AC52B1" w:rsidRPr="00147B3E" w:rsidRDefault="00AC52B1" w:rsidP="00AC52B1">
      <w:pPr>
        <w:autoSpaceDE w:val="0"/>
        <w:autoSpaceDN w:val="0"/>
        <w:adjustRightInd w:val="0"/>
        <w:spacing w:after="0" w:line="240" w:lineRule="auto"/>
        <w:ind w:firstLine="720"/>
        <w:rPr>
          <w:rFonts w:ascii="Times New Roman" w:hAnsi="Times New Roman" w:cs="Times New Roman"/>
        </w:rPr>
      </w:pPr>
      <w:r w:rsidRPr="00147B3E">
        <w:rPr>
          <w:rFonts w:ascii="Times New Roman" w:hAnsi="Times New Roman" w:cs="Times New Roman"/>
        </w:rPr>
        <w:t>(</w:t>
      </w:r>
      <w:r w:rsidRPr="00147B3E">
        <w:rPr>
          <w:rFonts w:ascii="Times New Roman" w:hAnsi="Times New Roman" w:cs="Times New Roman"/>
          <w:i/>
          <w:iCs/>
        </w:rPr>
        <w:t>d</w:t>
      </w:r>
      <w:r w:rsidRPr="00147B3E">
        <w:rPr>
          <w:rFonts w:ascii="Times New Roman" w:hAnsi="Times New Roman" w:cs="Times New Roman"/>
        </w:rPr>
        <w:t>) ……………………..;</w:t>
      </w:r>
    </w:p>
    <w:p w:rsidR="002414A8" w:rsidRPr="00147B3E" w:rsidRDefault="00AC52B1" w:rsidP="00AC52B1">
      <w:pPr>
        <w:autoSpaceDE w:val="0"/>
        <w:autoSpaceDN w:val="0"/>
        <w:adjustRightInd w:val="0"/>
        <w:spacing w:after="0" w:line="240" w:lineRule="auto"/>
        <w:ind w:left="720"/>
        <w:rPr>
          <w:rFonts w:ascii="Times New Roman" w:hAnsi="Times New Roman" w:cs="Times New Roman"/>
        </w:rPr>
      </w:pPr>
      <w:r w:rsidRPr="00147B3E">
        <w:rPr>
          <w:rFonts w:ascii="Times New Roman" w:hAnsi="Times New Roman" w:cs="Times New Roman"/>
        </w:rPr>
        <w:t>where the Reserve Bank considers such an order to be in the interests of the creditors, depositors or shareholders of the banking institution concerned, or necessary to preserve the integrity of the financial system of Zimbabwe.”</w:t>
      </w:r>
    </w:p>
    <w:p w:rsidR="00AC52B1" w:rsidRDefault="00AC52B1" w:rsidP="00AC52B1">
      <w:pPr>
        <w:autoSpaceDE w:val="0"/>
        <w:autoSpaceDN w:val="0"/>
        <w:adjustRightInd w:val="0"/>
        <w:spacing w:after="0" w:line="240" w:lineRule="auto"/>
        <w:rPr>
          <w:rFonts w:ascii="Times New Roman" w:hAnsi="Times New Roman" w:cs="Times New Roman"/>
          <w:sz w:val="21"/>
          <w:szCs w:val="21"/>
        </w:rPr>
      </w:pPr>
    </w:p>
    <w:p w:rsidR="00AC52B1" w:rsidRPr="00AC52B1" w:rsidRDefault="00AC52B1" w:rsidP="00893AA3">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1"/>
          <w:szCs w:val="21"/>
        </w:rPr>
        <w:tab/>
      </w:r>
      <w:r w:rsidRPr="00AC52B1">
        <w:rPr>
          <w:rFonts w:ascii="Times New Roman" w:hAnsi="Times New Roman" w:cs="Times New Roman"/>
          <w:sz w:val="24"/>
          <w:szCs w:val="24"/>
        </w:rPr>
        <w:t xml:space="preserve">This provision clearly </w:t>
      </w:r>
      <w:r>
        <w:rPr>
          <w:rFonts w:ascii="Times New Roman" w:hAnsi="Times New Roman" w:cs="Times New Roman"/>
          <w:sz w:val="24"/>
          <w:szCs w:val="24"/>
        </w:rPr>
        <w:t>gives the Reserve Bank the discretion</w:t>
      </w:r>
      <w:r w:rsidR="00893AA3">
        <w:rPr>
          <w:rFonts w:ascii="Times New Roman" w:hAnsi="Times New Roman" w:cs="Times New Roman"/>
          <w:sz w:val="24"/>
          <w:szCs w:val="24"/>
        </w:rPr>
        <w:t xml:space="preserve">, following the cancellation of an institution’s registration, to order </w:t>
      </w:r>
      <w:r w:rsidR="00365C91">
        <w:rPr>
          <w:rFonts w:ascii="Times New Roman" w:hAnsi="Times New Roman" w:cs="Times New Roman"/>
          <w:sz w:val="24"/>
          <w:szCs w:val="24"/>
        </w:rPr>
        <w:t>it’s</w:t>
      </w:r>
      <w:r w:rsidR="00893AA3">
        <w:rPr>
          <w:rFonts w:ascii="Times New Roman" w:hAnsi="Times New Roman" w:cs="Times New Roman"/>
          <w:sz w:val="24"/>
          <w:szCs w:val="24"/>
        </w:rPr>
        <w:t xml:space="preserve"> winding up. There is no suggestion anywhere in this application that the Reserve Bank made the decision to exercise such discretion. Rather, the winding up of the first respondent was initiated by a contributor in terms of the Companies Act, and in compliance with </w:t>
      </w:r>
      <w:r w:rsidR="00365C91">
        <w:rPr>
          <w:rFonts w:ascii="Times New Roman" w:hAnsi="Times New Roman" w:cs="Times New Roman"/>
          <w:sz w:val="24"/>
          <w:szCs w:val="24"/>
        </w:rPr>
        <w:t>s</w:t>
      </w:r>
      <w:r w:rsidR="003F409F">
        <w:rPr>
          <w:rFonts w:ascii="Times New Roman" w:hAnsi="Times New Roman" w:cs="Times New Roman"/>
          <w:sz w:val="24"/>
          <w:szCs w:val="24"/>
        </w:rPr>
        <w:t xml:space="preserve"> </w:t>
      </w:r>
      <w:r w:rsidR="00365C91">
        <w:rPr>
          <w:rFonts w:ascii="Times New Roman" w:hAnsi="Times New Roman" w:cs="Times New Roman"/>
          <w:sz w:val="24"/>
          <w:szCs w:val="24"/>
        </w:rPr>
        <w:t>57 (</w:t>
      </w:r>
      <w:r w:rsidR="00893AA3">
        <w:rPr>
          <w:rFonts w:ascii="Times New Roman" w:hAnsi="Times New Roman" w:cs="Times New Roman"/>
          <w:sz w:val="24"/>
          <w:szCs w:val="24"/>
        </w:rPr>
        <w:t>2</w:t>
      </w:r>
      <w:r w:rsidR="00AC5CE6">
        <w:rPr>
          <w:rFonts w:ascii="Times New Roman" w:hAnsi="Times New Roman" w:cs="Times New Roman"/>
          <w:sz w:val="24"/>
          <w:szCs w:val="24"/>
        </w:rPr>
        <w:t>) (</w:t>
      </w:r>
      <w:r w:rsidR="00893AA3">
        <w:rPr>
          <w:rFonts w:ascii="Times New Roman" w:hAnsi="Times New Roman" w:cs="Times New Roman"/>
          <w:sz w:val="24"/>
          <w:szCs w:val="24"/>
        </w:rPr>
        <w:t>a), given the acquiescence of the Reserve Bank to the proceedings.</w:t>
      </w:r>
    </w:p>
    <w:p w:rsidR="004113F3" w:rsidRPr="00AC52B1" w:rsidRDefault="004113F3" w:rsidP="004113F3">
      <w:pPr>
        <w:spacing w:after="0" w:line="360" w:lineRule="auto"/>
        <w:jc w:val="both"/>
        <w:rPr>
          <w:rFonts w:ascii="Times New Roman" w:hAnsi="Times New Roman" w:cs="Times New Roman"/>
          <w:i/>
          <w:sz w:val="24"/>
          <w:szCs w:val="24"/>
        </w:rPr>
      </w:pPr>
      <w:r w:rsidRPr="00AC52B1">
        <w:rPr>
          <w:rFonts w:ascii="Times New Roman" w:hAnsi="Times New Roman" w:cs="Times New Roman"/>
          <w:i/>
          <w:sz w:val="24"/>
          <w:szCs w:val="24"/>
        </w:rPr>
        <w:t>There is no provisional order for the court to confirm</w:t>
      </w:r>
    </w:p>
    <w:p w:rsidR="003E7977" w:rsidRDefault="003E7977" w:rsidP="00D072C2">
      <w:pPr>
        <w:spacing w:after="0" w:line="360" w:lineRule="auto"/>
        <w:ind w:firstLine="720"/>
        <w:jc w:val="both"/>
        <w:rPr>
          <w:rFonts w:ascii="Times New Roman" w:hAnsi="Times New Roman" w:cs="Times New Roman"/>
        </w:rPr>
      </w:pPr>
      <w:r w:rsidRPr="00AC52B1">
        <w:rPr>
          <w:rFonts w:ascii="Times New Roman" w:hAnsi="Times New Roman" w:cs="Times New Roman"/>
          <w:sz w:val="24"/>
          <w:szCs w:val="24"/>
        </w:rPr>
        <w:t>Third to twenty-third respondents submit that the provisional order lapsed and can no longer be confirm</w:t>
      </w:r>
      <w:r>
        <w:rPr>
          <w:rFonts w:ascii="Times New Roman" w:hAnsi="Times New Roman" w:cs="Times New Roman"/>
        </w:rPr>
        <w:t>ed as it is not valid any more.</w:t>
      </w:r>
    </w:p>
    <w:p w:rsidR="0012120B" w:rsidRDefault="0012120B" w:rsidP="00D072C2">
      <w:pPr>
        <w:spacing w:after="0" w:line="360" w:lineRule="auto"/>
        <w:ind w:firstLine="720"/>
        <w:jc w:val="both"/>
        <w:rPr>
          <w:rFonts w:ascii="Times New Roman" w:hAnsi="Times New Roman" w:cs="Times New Roman"/>
        </w:rPr>
      </w:pPr>
      <w:r>
        <w:rPr>
          <w:rFonts w:ascii="Times New Roman" w:hAnsi="Times New Roman" w:cs="Times New Roman"/>
        </w:rPr>
        <w:t xml:space="preserve">This is a puerile argument which I dismiss out of hand. This issue has already been determined by </w:t>
      </w:r>
      <w:r w:rsidR="00147B3E" w:rsidRPr="00147B3E">
        <w:rPr>
          <w:rFonts w:ascii="Times New Roman" w:hAnsi="Times New Roman" w:cs="Times New Roman"/>
          <w:smallCaps/>
        </w:rPr>
        <w:t>muremba</w:t>
      </w:r>
      <w:r>
        <w:rPr>
          <w:rFonts w:ascii="Times New Roman" w:hAnsi="Times New Roman" w:cs="Times New Roman"/>
        </w:rPr>
        <w:t xml:space="preserve"> J in HH</w:t>
      </w:r>
      <w:r w:rsidR="003F409F">
        <w:rPr>
          <w:rFonts w:ascii="Times New Roman" w:hAnsi="Times New Roman" w:cs="Times New Roman"/>
        </w:rPr>
        <w:t xml:space="preserve"> </w:t>
      </w:r>
      <w:r>
        <w:rPr>
          <w:rFonts w:ascii="Times New Roman" w:hAnsi="Times New Roman" w:cs="Times New Roman"/>
        </w:rPr>
        <w:t>564-19 and</w:t>
      </w:r>
      <w:r w:rsidR="00D365DA">
        <w:rPr>
          <w:rFonts w:ascii="Times New Roman" w:hAnsi="Times New Roman" w:cs="Times New Roman"/>
        </w:rPr>
        <w:t>, as far as I have been able to ascertain,</w:t>
      </w:r>
      <w:r w:rsidR="00776EA5">
        <w:rPr>
          <w:rFonts w:ascii="Times New Roman" w:hAnsi="Times New Roman" w:cs="Times New Roman"/>
        </w:rPr>
        <w:t xml:space="preserve"> there has been no appeal against her decision. T</w:t>
      </w:r>
      <w:r>
        <w:rPr>
          <w:rFonts w:ascii="Times New Roman" w:hAnsi="Times New Roman" w:cs="Times New Roman"/>
        </w:rPr>
        <w:t>his court is not at liberty to review its own decision therein.</w:t>
      </w:r>
      <w:r w:rsidR="00365C91">
        <w:rPr>
          <w:rFonts w:ascii="Times New Roman" w:hAnsi="Times New Roman" w:cs="Times New Roman"/>
        </w:rPr>
        <w:t xml:space="preserve"> The cases cited by the respondents are thus not helpful in the circumstances of this case.</w:t>
      </w:r>
    </w:p>
    <w:p w:rsidR="004113F3" w:rsidRDefault="00DA65BB" w:rsidP="003E7977">
      <w:pPr>
        <w:spacing w:after="0" w:line="360" w:lineRule="auto"/>
        <w:jc w:val="both"/>
        <w:rPr>
          <w:rFonts w:ascii="Times New Roman" w:hAnsi="Times New Roman" w:cs="Times New Roman"/>
          <w:i/>
        </w:rPr>
      </w:pPr>
      <w:r w:rsidRPr="00DA65BB">
        <w:rPr>
          <w:rFonts w:ascii="Times New Roman" w:hAnsi="Times New Roman" w:cs="Times New Roman"/>
        </w:rPr>
        <w:t xml:space="preserve"> </w:t>
      </w:r>
      <w:r w:rsidR="004113F3">
        <w:rPr>
          <w:rFonts w:ascii="Times New Roman" w:hAnsi="Times New Roman" w:cs="Times New Roman"/>
          <w:i/>
        </w:rPr>
        <w:t>The applicant does not have authority to institute these proceedings</w:t>
      </w:r>
    </w:p>
    <w:p w:rsidR="003E7977" w:rsidRDefault="003E7977" w:rsidP="003E7977">
      <w:pPr>
        <w:spacing w:after="0" w:line="360" w:lineRule="auto"/>
        <w:ind w:firstLine="720"/>
        <w:jc w:val="both"/>
        <w:rPr>
          <w:rFonts w:ascii="Times New Roman" w:hAnsi="Times New Roman" w:cs="Times New Roman"/>
          <w:sz w:val="24"/>
          <w:szCs w:val="24"/>
        </w:rPr>
      </w:pPr>
      <w:r>
        <w:rPr>
          <w:rFonts w:ascii="Times New Roman" w:hAnsi="Times New Roman" w:cs="Times New Roman"/>
        </w:rPr>
        <w:t>Further, third to twenty-third respondents submit</w:t>
      </w:r>
      <w:r w:rsidRPr="00DA65BB">
        <w:rPr>
          <w:rFonts w:ascii="Times New Roman" w:hAnsi="Times New Roman" w:cs="Times New Roman"/>
        </w:rPr>
        <w:t xml:space="preserve"> </w:t>
      </w:r>
      <w:r>
        <w:rPr>
          <w:rFonts w:ascii="Times New Roman" w:hAnsi="Times New Roman" w:cs="Times New Roman"/>
        </w:rPr>
        <w:t>that applicant does not have the requisite authority to institute these proceedings as there is no board resolution to that effect.</w:t>
      </w:r>
    </w:p>
    <w:p w:rsidR="0037022C" w:rsidRDefault="001D4B12" w:rsidP="006F50A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evident that there is no resolution by the applicant’s board authorising these proceedings. However, it is not in dispute that on 17 October 2013, the shareholders, who included applicant, held a meeting at which they resolved that first respondent be wound up. The first respondent’s own board subsequently, and on 23 O</w:t>
      </w:r>
      <w:r w:rsidR="00855C28">
        <w:rPr>
          <w:rFonts w:ascii="Times New Roman" w:hAnsi="Times New Roman" w:cs="Times New Roman"/>
          <w:sz w:val="24"/>
          <w:szCs w:val="24"/>
        </w:rPr>
        <w:t>ct</w:t>
      </w:r>
      <w:r>
        <w:rPr>
          <w:rFonts w:ascii="Times New Roman" w:hAnsi="Times New Roman" w:cs="Times New Roman"/>
          <w:sz w:val="24"/>
          <w:szCs w:val="24"/>
        </w:rPr>
        <w:t>ober 2013, ratified the shareholders’ resolution. Both resolutions were filed with the Reserve Bank on 24 October 2013</w:t>
      </w:r>
      <w:r w:rsidR="00373A5A">
        <w:rPr>
          <w:rFonts w:ascii="Times New Roman" w:hAnsi="Times New Roman" w:cs="Times New Roman"/>
          <w:sz w:val="24"/>
          <w:szCs w:val="24"/>
        </w:rPr>
        <w:t xml:space="preserve">. As a consequence of subsequent meetings between the first respondent’s directors and the Permanent Secretary of the Ministry of Labour and Social Welfare, the first </w:t>
      </w:r>
      <w:r w:rsidR="00855C28">
        <w:rPr>
          <w:rFonts w:ascii="Times New Roman" w:hAnsi="Times New Roman" w:cs="Times New Roman"/>
          <w:sz w:val="24"/>
          <w:szCs w:val="24"/>
        </w:rPr>
        <w:t>respondent’s</w:t>
      </w:r>
      <w:r w:rsidR="00373A5A">
        <w:rPr>
          <w:rFonts w:ascii="Times New Roman" w:hAnsi="Times New Roman" w:cs="Times New Roman"/>
          <w:sz w:val="24"/>
          <w:szCs w:val="24"/>
        </w:rPr>
        <w:t xml:space="preserve"> </w:t>
      </w:r>
      <w:r w:rsidR="00373A5A">
        <w:rPr>
          <w:rFonts w:ascii="Times New Roman" w:hAnsi="Times New Roman" w:cs="Times New Roman"/>
          <w:sz w:val="24"/>
          <w:szCs w:val="24"/>
        </w:rPr>
        <w:lastRenderedPageBreak/>
        <w:t xml:space="preserve">board surrendered first respondent’s banking license to the Reserve Bank to expedite the winding up. </w:t>
      </w:r>
    </w:p>
    <w:p w:rsidR="00373A5A" w:rsidRDefault="00373A5A" w:rsidP="006F50A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seems to me that while the letter of the law may not have been strictly complied with, the spirit of the law was. I am thus loath to rely on a technicality in circumstances where there is no dispute that:</w:t>
      </w:r>
    </w:p>
    <w:p w:rsidR="00373A5A" w:rsidRDefault="00373A5A" w:rsidP="00373A5A">
      <w:pPr>
        <w:pStyle w:val="ListParagraph"/>
        <w:numPr>
          <w:ilvl w:val="0"/>
          <w:numId w:val="4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First respondent does not have a banking license and is not capable of trading as a merchant bank</w:t>
      </w:r>
    </w:p>
    <w:p w:rsidR="00373A5A" w:rsidRDefault="00373A5A" w:rsidP="00373A5A">
      <w:pPr>
        <w:pStyle w:val="ListParagraph"/>
        <w:numPr>
          <w:ilvl w:val="0"/>
          <w:numId w:val="4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Its head office has been closed since 2014</w:t>
      </w:r>
    </w:p>
    <w:p w:rsidR="00373A5A" w:rsidRDefault="00373A5A" w:rsidP="00373A5A">
      <w:pPr>
        <w:pStyle w:val="ListParagraph"/>
        <w:numPr>
          <w:ilvl w:val="0"/>
          <w:numId w:val="4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First respondent has no functional board</w:t>
      </w:r>
    </w:p>
    <w:p w:rsidR="00373A5A" w:rsidRDefault="00373A5A" w:rsidP="00373A5A">
      <w:pPr>
        <w:pStyle w:val="ListParagraph"/>
        <w:numPr>
          <w:ilvl w:val="0"/>
          <w:numId w:val="4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It has been unable to pay its debts</w:t>
      </w:r>
    </w:p>
    <w:p w:rsidR="00373A5A" w:rsidRDefault="00373A5A" w:rsidP="00373A5A">
      <w:pPr>
        <w:pStyle w:val="ListParagraph"/>
        <w:numPr>
          <w:ilvl w:val="0"/>
          <w:numId w:val="4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is no prospect of capital injection to </w:t>
      </w:r>
      <w:r w:rsidR="008E2FB7">
        <w:rPr>
          <w:rFonts w:ascii="Times New Roman" w:hAnsi="Times New Roman" w:cs="Times New Roman"/>
          <w:sz w:val="24"/>
          <w:szCs w:val="24"/>
        </w:rPr>
        <w:t>resuscitate</w:t>
      </w:r>
      <w:r>
        <w:rPr>
          <w:rFonts w:ascii="Times New Roman" w:hAnsi="Times New Roman" w:cs="Times New Roman"/>
          <w:sz w:val="24"/>
          <w:szCs w:val="24"/>
        </w:rPr>
        <w:t xml:space="preserve"> the first respondent; and </w:t>
      </w:r>
    </w:p>
    <w:p w:rsidR="00373A5A" w:rsidRDefault="00373A5A" w:rsidP="00373A5A">
      <w:pPr>
        <w:pStyle w:val="ListParagraph"/>
        <w:numPr>
          <w:ilvl w:val="0"/>
          <w:numId w:val="4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Resolutions for its winding up are still extant</w:t>
      </w:r>
    </w:p>
    <w:p w:rsidR="008E2FB7" w:rsidRDefault="008E2FB7" w:rsidP="008E2F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of the view that this is a matter, given the substantial compliance with the law and the rules, I can reasonably exercise my discretion in terms of r4C and allow that this application is properly before the court.</w:t>
      </w:r>
    </w:p>
    <w:p w:rsidR="008E2FB7" w:rsidRDefault="008E2FB7" w:rsidP="008E2FB7">
      <w:pPr>
        <w:spacing w:after="0" w:line="360" w:lineRule="auto"/>
        <w:ind w:firstLine="720"/>
        <w:jc w:val="both"/>
        <w:rPr>
          <w:rFonts w:ascii="Times New Roman" w:hAnsi="Times New Roman" w:cs="Times New Roman"/>
          <w:i/>
          <w:sz w:val="24"/>
          <w:szCs w:val="24"/>
        </w:rPr>
      </w:pPr>
      <w:r>
        <w:rPr>
          <w:rFonts w:ascii="Times New Roman" w:hAnsi="Times New Roman" w:cs="Times New Roman"/>
          <w:i/>
          <w:sz w:val="24"/>
          <w:szCs w:val="24"/>
        </w:rPr>
        <w:t>Invalid provisional order</w:t>
      </w:r>
    </w:p>
    <w:p w:rsidR="00AC5CE6" w:rsidRDefault="008E2FB7" w:rsidP="00AC5CE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By the same token, the fact that the provisional order is defective in that it does not specify the</w:t>
      </w:r>
      <w:r w:rsidR="00C3485C">
        <w:rPr>
          <w:rFonts w:ascii="Times New Roman" w:hAnsi="Times New Roman" w:cs="Times New Roman"/>
          <w:sz w:val="24"/>
          <w:szCs w:val="24"/>
        </w:rPr>
        <w:t xml:space="preserve"> time</w:t>
      </w:r>
      <w:r>
        <w:rPr>
          <w:rFonts w:ascii="Times New Roman" w:hAnsi="Times New Roman" w:cs="Times New Roman"/>
          <w:sz w:val="24"/>
          <w:szCs w:val="24"/>
        </w:rPr>
        <w:t xml:space="preserve"> within </w:t>
      </w:r>
      <w:r w:rsidR="00545F1B">
        <w:rPr>
          <w:rFonts w:ascii="Times New Roman" w:hAnsi="Times New Roman" w:cs="Times New Roman"/>
          <w:sz w:val="24"/>
          <w:szCs w:val="24"/>
        </w:rPr>
        <w:t xml:space="preserve">which </w:t>
      </w:r>
      <w:r>
        <w:rPr>
          <w:rFonts w:ascii="Times New Roman" w:hAnsi="Times New Roman" w:cs="Times New Roman"/>
          <w:sz w:val="24"/>
          <w:szCs w:val="24"/>
        </w:rPr>
        <w:t xml:space="preserve">opposition must be made is also a matter within my discretion to rectify, more so given that any order, is by </w:t>
      </w:r>
      <w:r w:rsidR="00880381">
        <w:rPr>
          <w:rFonts w:ascii="Times New Roman" w:hAnsi="Times New Roman" w:cs="Times New Roman"/>
          <w:sz w:val="24"/>
          <w:szCs w:val="24"/>
        </w:rPr>
        <w:t>the</w:t>
      </w:r>
      <w:r>
        <w:rPr>
          <w:rFonts w:ascii="Times New Roman" w:hAnsi="Times New Roman" w:cs="Times New Roman"/>
          <w:sz w:val="24"/>
          <w:szCs w:val="24"/>
        </w:rPr>
        <w:t xml:space="preserve"> court. Therefore any </w:t>
      </w:r>
      <w:r w:rsidR="00880381">
        <w:rPr>
          <w:rFonts w:ascii="Times New Roman" w:hAnsi="Times New Roman" w:cs="Times New Roman"/>
          <w:sz w:val="24"/>
          <w:szCs w:val="24"/>
        </w:rPr>
        <w:t>error</w:t>
      </w:r>
      <w:r>
        <w:rPr>
          <w:rFonts w:ascii="Times New Roman" w:hAnsi="Times New Roman" w:cs="Times New Roman"/>
          <w:sz w:val="24"/>
          <w:szCs w:val="24"/>
        </w:rPr>
        <w:t xml:space="preserve"> in the order is an error by the court subject to rectification by that court. </w:t>
      </w:r>
      <w:r w:rsidR="00AC5CE6">
        <w:rPr>
          <w:rFonts w:ascii="Times New Roman" w:hAnsi="Times New Roman" w:cs="Times New Roman"/>
          <w:sz w:val="24"/>
          <w:szCs w:val="24"/>
        </w:rPr>
        <w:t xml:space="preserve">In fact, this error has already been rectified by order of this court dated 9 October 2019, </w:t>
      </w:r>
      <w:r w:rsidR="00AC5CE6" w:rsidRPr="00545F1B">
        <w:rPr>
          <w:rFonts w:ascii="Times New Roman" w:hAnsi="Times New Roman" w:cs="Times New Roman"/>
          <w:i/>
          <w:sz w:val="24"/>
          <w:szCs w:val="24"/>
        </w:rPr>
        <w:t>per</w:t>
      </w:r>
      <w:r w:rsidR="00AC5CE6">
        <w:rPr>
          <w:rFonts w:ascii="Times New Roman" w:hAnsi="Times New Roman" w:cs="Times New Roman"/>
          <w:sz w:val="24"/>
          <w:szCs w:val="24"/>
        </w:rPr>
        <w:t xml:space="preserve"> </w:t>
      </w:r>
      <w:r w:rsidR="00C3485C" w:rsidRPr="00545F1B">
        <w:rPr>
          <w:rFonts w:ascii="Times New Roman" w:hAnsi="Times New Roman" w:cs="Times New Roman"/>
        </w:rPr>
        <w:t>MUREMBA</w:t>
      </w:r>
      <w:r w:rsidR="00AC5CE6" w:rsidRPr="00545F1B">
        <w:rPr>
          <w:rFonts w:ascii="Times New Roman" w:hAnsi="Times New Roman" w:cs="Times New Roman"/>
        </w:rPr>
        <w:t xml:space="preserve"> J</w:t>
      </w:r>
      <w:r w:rsidR="00AC5CE6">
        <w:rPr>
          <w:rFonts w:ascii="Times New Roman" w:hAnsi="Times New Roman" w:cs="Times New Roman"/>
          <w:sz w:val="24"/>
          <w:szCs w:val="24"/>
        </w:rPr>
        <w:t>.</w:t>
      </w:r>
    </w:p>
    <w:p w:rsidR="008E2FB7" w:rsidRDefault="00880381" w:rsidP="008E2F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addition, given that respondents do not allege to have suffered any prejudice arising from that defect, and did in fact manage to file their opposing papers and heads of argument, I am not inclined to dismiss these proceedings but rather condone the procedural infractions by the applicant.</w:t>
      </w:r>
      <w:r>
        <w:rPr>
          <w:rStyle w:val="FootnoteReference"/>
          <w:rFonts w:ascii="Times New Roman" w:hAnsi="Times New Roman"/>
          <w:sz w:val="24"/>
          <w:szCs w:val="24"/>
        </w:rPr>
        <w:footnoteReference w:id="1"/>
      </w:r>
      <w:r>
        <w:rPr>
          <w:rFonts w:ascii="Times New Roman" w:hAnsi="Times New Roman" w:cs="Times New Roman"/>
          <w:sz w:val="24"/>
          <w:szCs w:val="24"/>
        </w:rPr>
        <w:t xml:space="preserve"> </w:t>
      </w:r>
      <w:r w:rsidR="008E2FB7" w:rsidRPr="008E2FB7">
        <w:rPr>
          <w:rFonts w:ascii="Times New Roman" w:hAnsi="Times New Roman" w:cs="Times New Roman"/>
          <w:sz w:val="24"/>
          <w:szCs w:val="24"/>
        </w:rPr>
        <w:t xml:space="preserve"> </w:t>
      </w:r>
    </w:p>
    <w:p w:rsidR="00236F2E" w:rsidRPr="008E2FB7" w:rsidRDefault="00236F2E" w:rsidP="008E2F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fortified in this decision by the fact that this court was seized with this matter on </w:t>
      </w:r>
      <w:r w:rsidR="00AC5CE6">
        <w:rPr>
          <w:rFonts w:ascii="Times New Roman" w:hAnsi="Times New Roman" w:cs="Times New Roman"/>
          <w:sz w:val="24"/>
          <w:szCs w:val="24"/>
        </w:rPr>
        <w:t xml:space="preserve">14 June 2019 </w:t>
      </w:r>
      <w:r>
        <w:rPr>
          <w:rFonts w:ascii="Times New Roman" w:hAnsi="Times New Roman" w:cs="Times New Roman"/>
          <w:sz w:val="24"/>
          <w:szCs w:val="24"/>
        </w:rPr>
        <w:t>and rendered a</w:t>
      </w:r>
      <w:r w:rsidR="00AC5CE6">
        <w:rPr>
          <w:rFonts w:ascii="Times New Roman" w:hAnsi="Times New Roman" w:cs="Times New Roman"/>
          <w:sz w:val="24"/>
          <w:szCs w:val="24"/>
        </w:rPr>
        <w:t xml:space="preserve"> judgment on 22 August </w:t>
      </w:r>
      <w:r w:rsidR="0024159C">
        <w:rPr>
          <w:rFonts w:ascii="Times New Roman" w:hAnsi="Times New Roman" w:cs="Times New Roman"/>
          <w:sz w:val="24"/>
          <w:szCs w:val="24"/>
        </w:rPr>
        <w:t>2019 that</w:t>
      </w:r>
      <w:r>
        <w:rPr>
          <w:rFonts w:ascii="Times New Roman" w:hAnsi="Times New Roman" w:cs="Times New Roman"/>
          <w:sz w:val="24"/>
          <w:szCs w:val="24"/>
        </w:rPr>
        <w:t xml:space="preserve"> this matter be resolved on the merits. </w:t>
      </w:r>
      <w:r w:rsidR="00B0388F">
        <w:rPr>
          <w:rFonts w:ascii="Times New Roman" w:hAnsi="Times New Roman" w:cs="Times New Roman"/>
          <w:sz w:val="24"/>
          <w:szCs w:val="24"/>
        </w:rPr>
        <w:t xml:space="preserve">While I note that the judgment of the court did not particularly deal with each point </w:t>
      </w:r>
      <w:r w:rsidR="00B0388F" w:rsidRPr="00236F2E">
        <w:rPr>
          <w:rFonts w:ascii="Times New Roman" w:hAnsi="Times New Roman" w:cs="Times New Roman"/>
          <w:i/>
          <w:sz w:val="24"/>
          <w:szCs w:val="24"/>
        </w:rPr>
        <w:t>in limine</w:t>
      </w:r>
      <w:r w:rsidR="00B0388F">
        <w:rPr>
          <w:rFonts w:ascii="Times New Roman" w:hAnsi="Times New Roman" w:cs="Times New Roman"/>
          <w:sz w:val="24"/>
          <w:szCs w:val="24"/>
        </w:rPr>
        <w:t xml:space="preserve"> raised herein, those points were already </w:t>
      </w:r>
      <w:r w:rsidR="00C3485C">
        <w:rPr>
          <w:rFonts w:ascii="Times New Roman" w:hAnsi="Times New Roman" w:cs="Times New Roman"/>
          <w:sz w:val="24"/>
          <w:szCs w:val="24"/>
        </w:rPr>
        <w:t>within</w:t>
      </w:r>
      <w:r w:rsidR="00B0388F">
        <w:rPr>
          <w:rFonts w:ascii="Times New Roman" w:hAnsi="Times New Roman" w:cs="Times New Roman"/>
          <w:sz w:val="24"/>
          <w:szCs w:val="24"/>
        </w:rPr>
        <w:t xml:space="preserve"> the notice of the court when it ordered that the matter be resolved on the merits. </w:t>
      </w:r>
      <w:r>
        <w:rPr>
          <w:rFonts w:ascii="Times New Roman" w:hAnsi="Times New Roman" w:cs="Times New Roman"/>
          <w:sz w:val="24"/>
          <w:szCs w:val="24"/>
        </w:rPr>
        <w:t xml:space="preserve">That order is extant and has not been appealed against. </w:t>
      </w:r>
      <w:r>
        <w:rPr>
          <w:rFonts w:ascii="Times New Roman" w:hAnsi="Times New Roman" w:cs="Times New Roman"/>
          <w:sz w:val="24"/>
          <w:szCs w:val="24"/>
        </w:rPr>
        <w:lastRenderedPageBreak/>
        <w:t xml:space="preserve">The present proceedings do not, and in fact, cannot seek a review of that order, but are intended to fulfil it. </w:t>
      </w:r>
    </w:p>
    <w:p w:rsidR="005D57E3" w:rsidRDefault="00880381" w:rsidP="001A0486">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Merits</w:t>
      </w:r>
    </w:p>
    <w:p w:rsidR="006C1E4C" w:rsidRDefault="00855C28" w:rsidP="005D57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in</w:t>
      </w:r>
      <w:r w:rsidR="00F4622A">
        <w:rPr>
          <w:rFonts w:ascii="Times New Roman" w:hAnsi="Times New Roman" w:cs="Times New Roman"/>
          <w:sz w:val="24"/>
          <w:szCs w:val="24"/>
        </w:rPr>
        <w:t>disputable</w:t>
      </w:r>
      <w:r>
        <w:rPr>
          <w:rFonts w:ascii="Times New Roman" w:hAnsi="Times New Roman" w:cs="Times New Roman"/>
          <w:sz w:val="24"/>
          <w:szCs w:val="24"/>
        </w:rPr>
        <w:t xml:space="preserve"> that the shareholders resolved to wind up the first respondent. </w:t>
      </w:r>
      <w:r w:rsidR="00F4622A">
        <w:rPr>
          <w:rFonts w:ascii="Times New Roman" w:hAnsi="Times New Roman" w:cs="Times New Roman"/>
          <w:sz w:val="24"/>
          <w:szCs w:val="24"/>
        </w:rPr>
        <w:t xml:space="preserve">That decision was ratified and confirmed by first respondent. </w:t>
      </w:r>
      <w:r>
        <w:rPr>
          <w:rFonts w:ascii="Times New Roman" w:hAnsi="Times New Roman" w:cs="Times New Roman"/>
          <w:sz w:val="24"/>
          <w:szCs w:val="24"/>
        </w:rPr>
        <w:t>The applicant is the main contributor to the first respondent. It used public funds to try and shore up first respondent. Clearly, these circumstances take the matter beyond the normal requirements that a shareholder cannot seek the winding up of a company to which it is a shareholder as public policy interests dictate that there be no unmitigated prejudice to the public.</w:t>
      </w:r>
    </w:p>
    <w:p w:rsidR="00261D7E" w:rsidRDefault="00324B9B" w:rsidP="005D57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more so given that second respondent has not offered any modalities to aid the first respondent’s resuscitation and survival in circumstances where third to </w:t>
      </w:r>
      <w:r w:rsidR="00F4622A">
        <w:rPr>
          <w:rFonts w:ascii="Times New Roman" w:hAnsi="Times New Roman" w:cs="Times New Roman"/>
          <w:sz w:val="24"/>
          <w:szCs w:val="24"/>
        </w:rPr>
        <w:t>twenty-third</w:t>
      </w:r>
      <w:r>
        <w:rPr>
          <w:rFonts w:ascii="Times New Roman" w:hAnsi="Times New Roman" w:cs="Times New Roman"/>
          <w:sz w:val="24"/>
          <w:szCs w:val="24"/>
        </w:rPr>
        <w:t xml:space="preserve"> respondents are managerial employees who are obviously seeking to secure their employment rather than to contribute any capital injection to first respondent. </w:t>
      </w:r>
      <w:r w:rsidR="00261D7E">
        <w:rPr>
          <w:rFonts w:ascii="Times New Roman" w:hAnsi="Times New Roman" w:cs="Times New Roman"/>
          <w:sz w:val="24"/>
          <w:szCs w:val="24"/>
        </w:rPr>
        <w:t>Since 2014, second respondent has made no effort to put forward a restructuring plan or offer to take over the first respondent. Nothing on the record shows that second respondent even attempted to secure external investors. The options put forward are therefore pie in the sky, particularly since applicant cannot continue to pour public funds into a bottomless pit.</w:t>
      </w:r>
    </w:p>
    <w:p w:rsidR="00855C28" w:rsidRDefault="00324B9B" w:rsidP="005D57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addition, second respondent is a minority shareholder with only 13 % of the shareholding. Clearly its exposure to first respondent is minimal in comparison to applicant’s 87%. Sight must also not be lost that first respondent’s winding up is in fact voluntary, in circumstances where the company no longer has a functional board or management (its head office having closed) and is thus incapable of filing for its own winding up.</w:t>
      </w:r>
    </w:p>
    <w:p w:rsidR="00F33A2D" w:rsidRDefault="00324B9B" w:rsidP="005D57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Master’s report is comprehensive and his recommendations unequivocal. First respondent </w:t>
      </w:r>
      <w:r w:rsidR="001E12EE">
        <w:rPr>
          <w:rFonts w:ascii="Times New Roman" w:hAnsi="Times New Roman" w:cs="Times New Roman"/>
          <w:sz w:val="24"/>
          <w:szCs w:val="24"/>
        </w:rPr>
        <w:t xml:space="preserve">no longer holds a banking license, it was deregistered as a bank, it has no functional board, its head office was closed, it is unable to pay its debts, it has not traded since February 2014, </w:t>
      </w:r>
      <w:r w:rsidR="00F33A2D">
        <w:rPr>
          <w:rFonts w:ascii="Times New Roman" w:hAnsi="Times New Roman" w:cs="Times New Roman"/>
          <w:sz w:val="24"/>
          <w:szCs w:val="24"/>
        </w:rPr>
        <w:t>and its</w:t>
      </w:r>
      <w:r w:rsidR="001E12EE">
        <w:rPr>
          <w:rFonts w:ascii="Times New Roman" w:hAnsi="Times New Roman" w:cs="Times New Roman"/>
          <w:sz w:val="24"/>
          <w:szCs w:val="24"/>
        </w:rPr>
        <w:t xml:space="preserve"> liabilities exceed its assets. Clearly first respondent is defunct. </w:t>
      </w:r>
      <w:r w:rsidR="00261D7E">
        <w:rPr>
          <w:rFonts w:ascii="Times New Roman" w:hAnsi="Times New Roman" w:cs="Times New Roman"/>
          <w:sz w:val="24"/>
          <w:szCs w:val="24"/>
        </w:rPr>
        <w:t xml:space="preserve">The application thus satisfies the primary requirement for a final winding up order: that first respondent is commercially insolvent </w:t>
      </w:r>
      <w:r w:rsidR="00F33A2D">
        <w:rPr>
          <w:rFonts w:ascii="Times New Roman" w:hAnsi="Times New Roman" w:cs="Times New Roman"/>
          <w:sz w:val="24"/>
          <w:szCs w:val="24"/>
        </w:rPr>
        <w:t xml:space="preserve">in that </w:t>
      </w:r>
      <w:r w:rsidR="007B26EB">
        <w:rPr>
          <w:rFonts w:ascii="Times New Roman" w:hAnsi="Times New Roman" w:cs="Times New Roman"/>
          <w:sz w:val="24"/>
          <w:szCs w:val="24"/>
        </w:rPr>
        <w:t xml:space="preserve">it </w:t>
      </w:r>
      <w:r w:rsidR="00F33A2D">
        <w:rPr>
          <w:rFonts w:ascii="Times New Roman" w:hAnsi="Times New Roman" w:cs="Times New Roman"/>
          <w:sz w:val="24"/>
          <w:szCs w:val="24"/>
        </w:rPr>
        <w:t>has no liquid or readily available assets to meet its liabilities as they fall due,</w:t>
      </w:r>
    </w:p>
    <w:p w:rsidR="00F36FC5" w:rsidRDefault="001E12EE" w:rsidP="005D57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cannot have been the intention of the legislature to put in strictures that keep a dead horse in the mortuary </w:t>
      </w:r>
      <w:r w:rsidRPr="001E12EE">
        <w:rPr>
          <w:rFonts w:ascii="Times New Roman" w:hAnsi="Times New Roman" w:cs="Times New Roman"/>
          <w:i/>
          <w:sz w:val="24"/>
          <w:szCs w:val="24"/>
        </w:rPr>
        <w:t>ad infinitum</w:t>
      </w:r>
      <w:r>
        <w:rPr>
          <w:rFonts w:ascii="Times New Roman" w:hAnsi="Times New Roman" w:cs="Times New Roman"/>
          <w:sz w:val="24"/>
          <w:szCs w:val="24"/>
        </w:rPr>
        <w:t xml:space="preserve">. Nor should the courts, particularly courts of original jurisdiction, be fettered, in the administration of justice by technicalities that do not serve the </w:t>
      </w:r>
      <w:r>
        <w:rPr>
          <w:rFonts w:ascii="Times New Roman" w:hAnsi="Times New Roman" w:cs="Times New Roman"/>
          <w:sz w:val="24"/>
          <w:szCs w:val="24"/>
        </w:rPr>
        <w:lastRenderedPageBreak/>
        <w:t xml:space="preserve">cause of justice. I am not convinced that the authorities cited by the respondents are applicable in light of our laws as opposed to </w:t>
      </w:r>
      <w:r w:rsidR="00F36FC5">
        <w:rPr>
          <w:rFonts w:ascii="Times New Roman" w:hAnsi="Times New Roman" w:cs="Times New Roman"/>
          <w:sz w:val="24"/>
          <w:szCs w:val="24"/>
        </w:rPr>
        <w:t xml:space="preserve">the </w:t>
      </w:r>
      <w:r>
        <w:rPr>
          <w:rFonts w:ascii="Times New Roman" w:hAnsi="Times New Roman" w:cs="Times New Roman"/>
          <w:sz w:val="24"/>
          <w:szCs w:val="24"/>
        </w:rPr>
        <w:t xml:space="preserve">South African Companies Act. </w:t>
      </w:r>
      <w:r w:rsidR="007B26EB">
        <w:rPr>
          <w:rFonts w:ascii="Times New Roman" w:hAnsi="Times New Roman" w:cs="Times New Roman"/>
          <w:sz w:val="24"/>
          <w:szCs w:val="24"/>
        </w:rPr>
        <w:t xml:space="preserve">Respondents have not suggested that the relevant provisions in the South African Law are on all fours with our provisions. </w:t>
      </w:r>
      <w:r>
        <w:rPr>
          <w:rFonts w:ascii="Times New Roman" w:hAnsi="Times New Roman" w:cs="Times New Roman"/>
          <w:sz w:val="24"/>
          <w:szCs w:val="24"/>
        </w:rPr>
        <w:t xml:space="preserve">This is more </w:t>
      </w:r>
      <w:r w:rsidR="007B26EB">
        <w:rPr>
          <w:rFonts w:ascii="Times New Roman" w:hAnsi="Times New Roman" w:cs="Times New Roman"/>
          <w:sz w:val="24"/>
          <w:szCs w:val="24"/>
        </w:rPr>
        <w:t>pertinent, in the particular circumstances of first respondent that its directors</w:t>
      </w:r>
      <w:r>
        <w:rPr>
          <w:rFonts w:ascii="Times New Roman" w:hAnsi="Times New Roman" w:cs="Times New Roman"/>
          <w:sz w:val="24"/>
          <w:szCs w:val="24"/>
        </w:rPr>
        <w:t xml:space="preserve">, before </w:t>
      </w:r>
      <w:r w:rsidR="00F36FC5">
        <w:rPr>
          <w:rFonts w:ascii="Times New Roman" w:hAnsi="Times New Roman" w:cs="Times New Roman"/>
          <w:sz w:val="24"/>
          <w:szCs w:val="24"/>
        </w:rPr>
        <w:t>it</w:t>
      </w:r>
      <w:r>
        <w:rPr>
          <w:rFonts w:ascii="Times New Roman" w:hAnsi="Times New Roman" w:cs="Times New Roman"/>
          <w:sz w:val="24"/>
          <w:szCs w:val="24"/>
        </w:rPr>
        <w:t xml:space="preserve"> became moribund, </w:t>
      </w:r>
      <w:r w:rsidR="00C3485C">
        <w:rPr>
          <w:rFonts w:ascii="Times New Roman" w:hAnsi="Times New Roman" w:cs="Times New Roman"/>
          <w:sz w:val="24"/>
          <w:szCs w:val="24"/>
        </w:rPr>
        <w:t xml:space="preserve">resolved </w:t>
      </w:r>
      <w:r>
        <w:rPr>
          <w:rFonts w:ascii="Times New Roman" w:hAnsi="Times New Roman" w:cs="Times New Roman"/>
          <w:sz w:val="24"/>
          <w:szCs w:val="24"/>
        </w:rPr>
        <w:t xml:space="preserve">that it be wound up. </w:t>
      </w:r>
      <w:r w:rsidR="00F33A2D">
        <w:rPr>
          <w:rFonts w:ascii="Times New Roman" w:hAnsi="Times New Roman" w:cs="Times New Roman"/>
          <w:sz w:val="24"/>
          <w:szCs w:val="24"/>
        </w:rPr>
        <w:t xml:space="preserve">This is in line with the reasonable interpretation of </w:t>
      </w:r>
      <w:r w:rsidR="00F36FC5">
        <w:rPr>
          <w:rFonts w:ascii="Times New Roman" w:hAnsi="Times New Roman" w:cs="Times New Roman"/>
          <w:sz w:val="24"/>
          <w:szCs w:val="24"/>
        </w:rPr>
        <w:t>s</w:t>
      </w:r>
      <w:r w:rsidR="00545F1B">
        <w:rPr>
          <w:rFonts w:ascii="Times New Roman" w:hAnsi="Times New Roman" w:cs="Times New Roman"/>
          <w:sz w:val="24"/>
          <w:szCs w:val="24"/>
        </w:rPr>
        <w:t xml:space="preserve"> </w:t>
      </w:r>
      <w:r w:rsidR="00F36FC5">
        <w:rPr>
          <w:rFonts w:ascii="Times New Roman" w:hAnsi="Times New Roman" w:cs="Times New Roman"/>
          <w:sz w:val="24"/>
          <w:szCs w:val="24"/>
        </w:rPr>
        <w:t>206 (</w:t>
      </w:r>
      <w:r w:rsidR="0018090B">
        <w:rPr>
          <w:rFonts w:ascii="Times New Roman" w:hAnsi="Times New Roman" w:cs="Times New Roman"/>
          <w:sz w:val="24"/>
          <w:szCs w:val="24"/>
        </w:rPr>
        <w:t>g) of the Companies Act</w:t>
      </w:r>
      <w:r w:rsidR="00F36FC5">
        <w:rPr>
          <w:rFonts w:ascii="Times New Roman" w:hAnsi="Times New Roman" w:cs="Times New Roman"/>
          <w:sz w:val="24"/>
          <w:szCs w:val="24"/>
        </w:rPr>
        <w:t>, which provides as follows:</w:t>
      </w:r>
    </w:p>
    <w:p w:rsidR="00F36FC5" w:rsidRPr="00F36FC5" w:rsidRDefault="00F36FC5" w:rsidP="00F36FC5">
      <w:pPr>
        <w:autoSpaceDE w:val="0"/>
        <w:autoSpaceDN w:val="0"/>
        <w:adjustRightInd w:val="0"/>
        <w:spacing w:after="0" w:line="240" w:lineRule="auto"/>
        <w:rPr>
          <w:rFonts w:ascii="Arial" w:hAnsi="Arial" w:cs="Arial"/>
          <w:b/>
          <w:bCs/>
          <w:sz w:val="21"/>
          <w:szCs w:val="21"/>
          <w:u w:val="single"/>
        </w:rPr>
      </w:pPr>
    </w:p>
    <w:p w:rsidR="00F36FC5" w:rsidRPr="00147B3E" w:rsidRDefault="00F36FC5" w:rsidP="00147B3E">
      <w:pPr>
        <w:autoSpaceDE w:val="0"/>
        <w:autoSpaceDN w:val="0"/>
        <w:adjustRightInd w:val="0"/>
        <w:spacing w:after="0" w:line="240" w:lineRule="auto"/>
        <w:ind w:firstLine="720"/>
        <w:rPr>
          <w:rFonts w:ascii="Arial" w:hAnsi="Arial" w:cs="Arial"/>
          <w:b/>
          <w:bCs/>
          <w:u w:val="single"/>
        </w:rPr>
      </w:pPr>
      <w:r w:rsidRPr="00147B3E">
        <w:rPr>
          <w:rFonts w:ascii="Arial" w:hAnsi="Arial" w:cs="Arial"/>
          <w:b/>
          <w:bCs/>
          <w:u w:val="single"/>
        </w:rPr>
        <w:t>“206 Circumstances in which company may be wound up by court</w:t>
      </w:r>
    </w:p>
    <w:p w:rsidR="00F36FC5" w:rsidRPr="00147B3E" w:rsidRDefault="00F36FC5" w:rsidP="00147B3E">
      <w:pPr>
        <w:autoSpaceDE w:val="0"/>
        <w:autoSpaceDN w:val="0"/>
        <w:adjustRightInd w:val="0"/>
        <w:spacing w:after="0" w:line="240" w:lineRule="auto"/>
        <w:ind w:firstLine="720"/>
        <w:rPr>
          <w:rFonts w:ascii="Times New Roman" w:hAnsi="Times New Roman" w:cs="Times New Roman"/>
          <w:u w:val="single"/>
        </w:rPr>
      </w:pPr>
      <w:r w:rsidRPr="00147B3E">
        <w:rPr>
          <w:rFonts w:ascii="Times New Roman" w:hAnsi="Times New Roman" w:cs="Times New Roman"/>
          <w:u w:val="single"/>
        </w:rPr>
        <w:t>A company may be wound up by the court—</w:t>
      </w:r>
    </w:p>
    <w:p w:rsidR="00F36FC5" w:rsidRPr="00147B3E" w:rsidRDefault="00F36FC5" w:rsidP="00147B3E">
      <w:pPr>
        <w:autoSpaceDE w:val="0"/>
        <w:autoSpaceDN w:val="0"/>
        <w:adjustRightInd w:val="0"/>
        <w:spacing w:after="0" w:line="240" w:lineRule="auto"/>
        <w:ind w:left="720"/>
        <w:rPr>
          <w:rFonts w:ascii="Times New Roman" w:hAnsi="Times New Roman" w:cs="Times New Roman"/>
          <w:u w:val="single"/>
        </w:rPr>
      </w:pPr>
      <w:r w:rsidRPr="00147B3E">
        <w:rPr>
          <w:rFonts w:ascii="Times New Roman" w:hAnsi="Times New Roman" w:cs="Times New Roman"/>
          <w:u w:val="single"/>
        </w:rPr>
        <w:t>(</w:t>
      </w:r>
      <w:r w:rsidRPr="00147B3E">
        <w:rPr>
          <w:rFonts w:ascii="Times New Roman" w:hAnsi="Times New Roman" w:cs="Times New Roman"/>
          <w:i/>
          <w:iCs/>
          <w:u w:val="single"/>
        </w:rPr>
        <w:t>a</w:t>
      </w:r>
      <w:r w:rsidRPr="00147B3E">
        <w:rPr>
          <w:rFonts w:ascii="Times New Roman" w:hAnsi="Times New Roman" w:cs="Times New Roman"/>
          <w:u w:val="single"/>
        </w:rPr>
        <w:t>) if the company has by special resolution resolved that the company be wound up by the court;</w:t>
      </w:r>
    </w:p>
    <w:p w:rsidR="00F36FC5" w:rsidRPr="00147B3E" w:rsidRDefault="00F36FC5" w:rsidP="00147B3E">
      <w:pPr>
        <w:autoSpaceDE w:val="0"/>
        <w:autoSpaceDN w:val="0"/>
        <w:adjustRightInd w:val="0"/>
        <w:spacing w:after="0" w:line="240" w:lineRule="auto"/>
        <w:ind w:firstLine="720"/>
        <w:rPr>
          <w:rFonts w:ascii="Times New Roman" w:hAnsi="Times New Roman" w:cs="Times New Roman"/>
          <w:u w:val="single"/>
        </w:rPr>
      </w:pPr>
      <w:r w:rsidRPr="00147B3E">
        <w:rPr>
          <w:rFonts w:ascii="Times New Roman" w:hAnsi="Times New Roman" w:cs="Times New Roman"/>
          <w:u w:val="single"/>
        </w:rPr>
        <w:t>(</w:t>
      </w:r>
      <w:r w:rsidRPr="00147B3E">
        <w:rPr>
          <w:rFonts w:ascii="Times New Roman" w:hAnsi="Times New Roman" w:cs="Times New Roman"/>
          <w:i/>
          <w:iCs/>
          <w:u w:val="single"/>
        </w:rPr>
        <w:t>b</w:t>
      </w:r>
      <w:r w:rsidRPr="00147B3E">
        <w:rPr>
          <w:rFonts w:ascii="Times New Roman" w:hAnsi="Times New Roman" w:cs="Times New Roman"/>
          <w:u w:val="single"/>
        </w:rPr>
        <w:t>) if default is made in lodging the statutory report or in holding the statutory meeting;</w:t>
      </w:r>
    </w:p>
    <w:p w:rsidR="00F36FC5" w:rsidRPr="00147B3E" w:rsidRDefault="00F36FC5" w:rsidP="00147B3E">
      <w:pPr>
        <w:autoSpaceDE w:val="0"/>
        <w:autoSpaceDN w:val="0"/>
        <w:adjustRightInd w:val="0"/>
        <w:spacing w:after="0" w:line="240" w:lineRule="auto"/>
        <w:ind w:left="720"/>
        <w:rPr>
          <w:rFonts w:ascii="Times New Roman" w:hAnsi="Times New Roman" w:cs="Times New Roman"/>
          <w:u w:val="single"/>
        </w:rPr>
      </w:pPr>
      <w:r w:rsidRPr="00147B3E">
        <w:rPr>
          <w:rFonts w:ascii="Times New Roman" w:hAnsi="Times New Roman" w:cs="Times New Roman"/>
        </w:rPr>
        <w:t>(</w:t>
      </w:r>
      <w:r w:rsidRPr="00147B3E">
        <w:rPr>
          <w:rFonts w:ascii="Times New Roman" w:hAnsi="Times New Roman" w:cs="Times New Roman"/>
          <w:i/>
          <w:iCs/>
        </w:rPr>
        <w:t>c</w:t>
      </w:r>
      <w:r w:rsidRPr="00147B3E">
        <w:rPr>
          <w:rFonts w:ascii="Times New Roman" w:hAnsi="Times New Roman" w:cs="Times New Roman"/>
        </w:rPr>
        <w:t xml:space="preserve">) if the company does not commence its business within a year from its incorporation </w:t>
      </w:r>
      <w:r w:rsidRPr="00147B3E">
        <w:rPr>
          <w:rFonts w:ascii="Times New Roman" w:hAnsi="Times New Roman" w:cs="Times New Roman"/>
          <w:u w:val="single"/>
        </w:rPr>
        <w:t>or suspends its  for a whole year;</w:t>
      </w:r>
    </w:p>
    <w:p w:rsidR="00F36FC5" w:rsidRPr="00147B3E" w:rsidRDefault="00F36FC5" w:rsidP="00147B3E">
      <w:pPr>
        <w:autoSpaceDE w:val="0"/>
        <w:autoSpaceDN w:val="0"/>
        <w:adjustRightInd w:val="0"/>
        <w:spacing w:after="0" w:line="240" w:lineRule="auto"/>
        <w:ind w:firstLine="720"/>
        <w:rPr>
          <w:rFonts w:ascii="Times New Roman" w:hAnsi="Times New Roman" w:cs="Times New Roman"/>
        </w:rPr>
      </w:pPr>
      <w:r w:rsidRPr="00147B3E">
        <w:rPr>
          <w:rFonts w:ascii="Times New Roman" w:hAnsi="Times New Roman" w:cs="Times New Roman"/>
        </w:rPr>
        <w:t>(</w:t>
      </w:r>
      <w:r w:rsidRPr="00147B3E">
        <w:rPr>
          <w:rFonts w:ascii="Times New Roman" w:hAnsi="Times New Roman" w:cs="Times New Roman"/>
          <w:i/>
          <w:iCs/>
        </w:rPr>
        <w:t>d</w:t>
      </w:r>
      <w:r w:rsidRPr="00147B3E">
        <w:rPr>
          <w:rFonts w:ascii="Times New Roman" w:hAnsi="Times New Roman" w:cs="Times New Roman"/>
        </w:rPr>
        <w:t>) if the company ceases to have any members;</w:t>
      </w:r>
    </w:p>
    <w:p w:rsidR="00F36FC5" w:rsidRPr="00147B3E" w:rsidRDefault="00F36FC5" w:rsidP="00147B3E">
      <w:pPr>
        <w:autoSpaceDE w:val="0"/>
        <w:autoSpaceDN w:val="0"/>
        <w:adjustRightInd w:val="0"/>
        <w:spacing w:after="0" w:line="240" w:lineRule="auto"/>
        <w:ind w:left="720"/>
        <w:rPr>
          <w:rFonts w:ascii="Times New Roman" w:hAnsi="Times New Roman" w:cs="Times New Roman"/>
          <w:u w:val="single"/>
        </w:rPr>
      </w:pPr>
      <w:r w:rsidRPr="00147B3E">
        <w:rPr>
          <w:rFonts w:ascii="Times New Roman" w:hAnsi="Times New Roman" w:cs="Times New Roman"/>
          <w:u w:val="single"/>
        </w:rPr>
        <w:t>(</w:t>
      </w:r>
      <w:r w:rsidRPr="00147B3E">
        <w:rPr>
          <w:rFonts w:ascii="Times New Roman" w:hAnsi="Times New Roman" w:cs="Times New Roman"/>
          <w:i/>
          <w:iCs/>
          <w:u w:val="single"/>
        </w:rPr>
        <w:t>e</w:t>
      </w:r>
      <w:r w:rsidRPr="00147B3E">
        <w:rPr>
          <w:rFonts w:ascii="Times New Roman" w:hAnsi="Times New Roman" w:cs="Times New Roman"/>
          <w:u w:val="single"/>
        </w:rPr>
        <w:t xml:space="preserve">) if seventy-five </w:t>
      </w:r>
      <w:r w:rsidRPr="00147B3E">
        <w:rPr>
          <w:rFonts w:ascii="Times New Roman" w:hAnsi="Times New Roman" w:cs="Times New Roman"/>
          <w:i/>
          <w:iCs/>
          <w:u w:val="single"/>
        </w:rPr>
        <w:t xml:space="preserve">per centum </w:t>
      </w:r>
      <w:r w:rsidRPr="00147B3E">
        <w:rPr>
          <w:rFonts w:ascii="Times New Roman" w:hAnsi="Times New Roman" w:cs="Times New Roman"/>
          <w:u w:val="single"/>
        </w:rPr>
        <w:t>of the paid-up share capital of the company has been lost or has become useless for the business of the company;</w:t>
      </w:r>
    </w:p>
    <w:p w:rsidR="00F36FC5" w:rsidRPr="00147B3E" w:rsidRDefault="00F36FC5" w:rsidP="00147B3E">
      <w:pPr>
        <w:autoSpaceDE w:val="0"/>
        <w:autoSpaceDN w:val="0"/>
        <w:adjustRightInd w:val="0"/>
        <w:spacing w:after="0" w:line="240" w:lineRule="auto"/>
        <w:ind w:firstLine="720"/>
        <w:rPr>
          <w:rFonts w:ascii="Times New Roman" w:hAnsi="Times New Roman" w:cs="Times New Roman"/>
          <w:u w:val="single"/>
        </w:rPr>
      </w:pPr>
      <w:r w:rsidRPr="00147B3E">
        <w:rPr>
          <w:rFonts w:ascii="Times New Roman" w:hAnsi="Times New Roman" w:cs="Times New Roman"/>
          <w:u w:val="single"/>
        </w:rPr>
        <w:t>(</w:t>
      </w:r>
      <w:r w:rsidRPr="00147B3E">
        <w:rPr>
          <w:rFonts w:ascii="Times New Roman" w:hAnsi="Times New Roman" w:cs="Times New Roman"/>
          <w:i/>
          <w:iCs/>
          <w:u w:val="single"/>
        </w:rPr>
        <w:t>f</w:t>
      </w:r>
      <w:r w:rsidRPr="00147B3E">
        <w:rPr>
          <w:rFonts w:ascii="Times New Roman" w:hAnsi="Times New Roman" w:cs="Times New Roman"/>
          <w:u w:val="single"/>
        </w:rPr>
        <w:t>) if the company is unable to pay its debts;</w:t>
      </w:r>
    </w:p>
    <w:p w:rsidR="00F36FC5" w:rsidRDefault="00F36FC5" w:rsidP="00147B3E">
      <w:pPr>
        <w:spacing w:after="0" w:line="240" w:lineRule="auto"/>
        <w:ind w:left="720"/>
        <w:jc w:val="both"/>
        <w:rPr>
          <w:rFonts w:ascii="Times New Roman" w:hAnsi="Times New Roman" w:cs="Times New Roman"/>
        </w:rPr>
      </w:pPr>
      <w:r w:rsidRPr="00147B3E">
        <w:rPr>
          <w:rFonts w:ascii="Times New Roman" w:hAnsi="Times New Roman" w:cs="Times New Roman"/>
          <w:u w:val="single"/>
        </w:rPr>
        <w:t>(</w:t>
      </w:r>
      <w:r w:rsidRPr="00147B3E">
        <w:rPr>
          <w:rFonts w:ascii="Times New Roman" w:hAnsi="Times New Roman" w:cs="Times New Roman"/>
          <w:i/>
          <w:iCs/>
          <w:u w:val="single"/>
        </w:rPr>
        <w:t>g</w:t>
      </w:r>
      <w:r w:rsidRPr="00147B3E">
        <w:rPr>
          <w:rFonts w:ascii="Times New Roman" w:hAnsi="Times New Roman" w:cs="Times New Roman"/>
          <w:u w:val="single"/>
        </w:rPr>
        <w:t>) if the court is of opinion that it is just and equitable that the company should be wound up.”</w:t>
      </w:r>
      <w:r w:rsidRPr="00147B3E">
        <w:rPr>
          <w:rFonts w:ascii="Times New Roman" w:hAnsi="Times New Roman" w:cs="Times New Roman"/>
        </w:rPr>
        <w:t>(</w:t>
      </w:r>
      <w:r w:rsidR="00D04445" w:rsidRPr="00147B3E">
        <w:rPr>
          <w:rFonts w:ascii="Times New Roman" w:hAnsi="Times New Roman" w:cs="Times New Roman"/>
        </w:rPr>
        <w:t>My</w:t>
      </w:r>
      <w:r w:rsidRPr="00147B3E">
        <w:rPr>
          <w:rFonts w:ascii="Times New Roman" w:hAnsi="Times New Roman" w:cs="Times New Roman"/>
        </w:rPr>
        <w:t xml:space="preserve"> emphasis)</w:t>
      </w:r>
    </w:p>
    <w:p w:rsidR="00147B3E" w:rsidRPr="00147B3E" w:rsidRDefault="00147B3E" w:rsidP="00147B3E">
      <w:pPr>
        <w:spacing w:after="0" w:line="240" w:lineRule="auto"/>
        <w:ind w:left="720"/>
        <w:jc w:val="both"/>
        <w:rPr>
          <w:rFonts w:ascii="Times New Roman" w:hAnsi="Times New Roman" w:cs="Times New Roman"/>
        </w:rPr>
      </w:pPr>
    </w:p>
    <w:p w:rsidR="007B26EB" w:rsidRDefault="007B26EB" w:rsidP="007B26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obvious that the status of first respondent is such that almost all the boxes in s</w:t>
      </w:r>
      <w:r w:rsidR="00B9566B">
        <w:rPr>
          <w:rFonts w:ascii="Times New Roman" w:hAnsi="Times New Roman" w:cs="Times New Roman"/>
          <w:sz w:val="24"/>
          <w:szCs w:val="24"/>
        </w:rPr>
        <w:t xml:space="preserve"> </w:t>
      </w:r>
      <w:r>
        <w:rPr>
          <w:rFonts w:ascii="Times New Roman" w:hAnsi="Times New Roman" w:cs="Times New Roman"/>
          <w:sz w:val="24"/>
          <w:szCs w:val="24"/>
        </w:rPr>
        <w:t>206 must be ticked</w:t>
      </w:r>
      <w:r w:rsidR="0018090B">
        <w:rPr>
          <w:rFonts w:ascii="Times New Roman" w:hAnsi="Times New Roman" w:cs="Times New Roman"/>
          <w:sz w:val="24"/>
          <w:szCs w:val="24"/>
        </w:rPr>
        <w:t>.</w:t>
      </w:r>
      <w:r>
        <w:rPr>
          <w:rFonts w:ascii="Times New Roman" w:hAnsi="Times New Roman" w:cs="Times New Roman"/>
          <w:sz w:val="24"/>
          <w:szCs w:val="24"/>
        </w:rPr>
        <w:t xml:space="preserve"> Clearly there is one broad and inescapable conclusion of law, justice and equity, taking into account the competing interests of all concerned, that first respondent must be finally wound up.</w:t>
      </w:r>
      <w:r>
        <w:rPr>
          <w:rStyle w:val="FootnoteReference"/>
          <w:rFonts w:ascii="Times New Roman" w:hAnsi="Times New Roman"/>
          <w:sz w:val="24"/>
          <w:szCs w:val="24"/>
        </w:rPr>
        <w:footnoteReference w:id="2"/>
      </w:r>
      <w:r>
        <w:rPr>
          <w:rFonts w:ascii="Times New Roman" w:hAnsi="Times New Roman" w:cs="Times New Roman"/>
          <w:sz w:val="24"/>
          <w:szCs w:val="24"/>
        </w:rPr>
        <w:t xml:space="preserve"> </w:t>
      </w:r>
    </w:p>
    <w:p w:rsidR="00324B9B" w:rsidRDefault="00F33A2D" w:rsidP="005D57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 of this case</w:t>
      </w:r>
      <w:r w:rsidR="007B26EB">
        <w:rPr>
          <w:rFonts w:ascii="Times New Roman" w:hAnsi="Times New Roman" w:cs="Times New Roman"/>
          <w:sz w:val="24"/>
          <w:szCs w:val="24"/>
        </w:rPr>
        <w:t>,</w:t>
      </w:r>
      <w:r w:rsidR="001E12EE">
        <w:rPr>
          <w:rFonts w:ascii="Times New Roman" w:hAnsi="Times New Roman" w:cs="Times New Roman"/>
          <w:sz w:val="24"/>
          <w:szCs w:val="24"/>
        </w:rPr>
        <w:t xml:space="preserve"> where the company no longer has directors or operating officers, </w:t>
      </w:r>
      <w:r w:rsidR="00236F2E">
        <w:rPr>
          <w:rFonts w:ascii="Times New Roman" w:hAnsi="Times New Roman" w:cs="Times New Roman"/>
          <w:sz w:val="24"/>
          <w:szCs w:val="24"/>
        </w:rPr>
        <w:t>to</w:t>
      </w:r>
      <w:r w:rsidR="001E12EE">
        <w:rPr>
          <w:rFonts w:ascii="Times New Roman" w:hAnsi="Times New Roman" w:cs="Times New Roman"/>
          <w:sz w:val="24"/>
          <w:szCs w:val="24"/>
        </w:rPr>
        <w:t xml:space="preserve">, on behalf of </w:t>
      </w:r>
      <w:r w:rsidR="00C3485C">
        <w:rPr>
          <w:rFonts w:ascii="Times New Roman" w:hAnsi="Times New Roman" w:cs="Times New Roman"/>
          <w:sz w:val="24"/>
          <w:szCs w:val="24"/>
        </w:rPr>
        <w:t>the</w:t>
      </w:r>
      <w:r w:rsidR="001E12EE">
        <w:rPr>
          <w:rFonts w:ascii="Times New Roman" w:hAnsi="Times New Roman" w:cs="Times New Roman"/>
          <w:sz w:val="24"/>
          <w:szCs w:val="24"/>
        </w:rPr>
        <w:t xml:space="preserve"> moribund company, file for liquidation</w:t>
      </w:r>
      <w:r w:rsidR="007B26EB">
        <w:rPr>
          <w:rFonts w:ascii="Times New Roman" w:hAnsi="Times New Roman" w:cs="Times New Roman"/>
          <w:sz w:val="24"/>
          <w:szCs w:val="24"/>
        </w:rPr>
        <w:t>, the technicality as to whether</w:t>
      </w:r>
      <w:r w:rsidR="001E12EE">
        <w:rPr>
          <w:rFonts w:ascii="Times New Roman" w:hAnsi="Times New Roman" w:cs="Times New Roman"/>
          <w:sz w:val="24"/>
          <w:szCs w:val="24"/>
        </w:rPr>
        <w:t xml:space="preserve"> the shareholders can </w:t>
      </w:r>
      <w:r w:rsidR="007B26EB">
        <w:rPr>
          <w:rFonts w:ascii="Times New Roman" w:hAnsi="Times New Roman" w:cs="Times New Roman"/>
          <w:sz w:val="24"/>
          <w:szCs w:val="24"/>
        </w:rPr>
        <w:t xml:space="preserve">validly </w:t>
      </w:r>
      <w:r w:rsidR="001E12EE">
        <w:rPr>
          <w:rFonts w:ascii="Times New Roman" w:hAnsi="Times New Roman" w:cs="Times New Roman"/>
          <w:sz w:val="24"/>
          <w:szCs w:val="24"/>
        </w:rPr>
        <w:t>do that</w:t>
      </w:r>
      <w:r w:rsidR="007B26EB">
        <w:rPr>
          <w:rFonts w:ascii="Times New Roman" w:hAnsi="Times New Roman" w:cs="Times New Roman"/>
          <w:sz w:val="24"/>
          <w:szCs w:val="24"/>
        </w:rPr>
        <w:t>, must give way to sound common sense</w:t>
      </w:r>
      <w:r w:rsidR="001E12EE">
        <w:rPr>
          <w:rFonts w:ascii="Times New Roman" w:hAnsi="Times New Roman" w:cs="Times New Roman"/>
          <w:sz w:val="24"/>
          <w:szCs w:val="24"/>
        </w:rPr>
        <w:t>.</w:t>
      </w:r>
      <w:r w:rsidR="00261D7E">
        <w:rPr>
          <w:rFonts w:ascii="Times New Roman" w:hAnsi="Times New Roman" w:cs="Times New Roman"/>
          <w:sz w:val="24"/>
          <w:szCs w:val="24"/>
        </w:rPr>
        <w:t xml:space="preserve"> In my view, this is a situation where </w:t>
      </w:r>
      <w:r w:rsidR="007B26EB">
        <w:rPr>
          <w:rFonts w:ascii="Times New Roman" w:hAnsi="Times New Roman" w:cs="Times New Roman"/>
          <w:sz w:val="24"/>
          <w:szCs w:val="24"/>
        </w:rPr>
        <w:t xml:space="preserve">the only </w:t>
      </w:r>
      <w:r w:rsidR="00261D7E">
        <w:rPr>
          <w:rFonts w:ascii="Times New Roman" w:hAnsi="Times New Roman" w:cs="Times New Roman"/>
          <w:sz w:val="24"/>
          <w:szCs w:val="24"/>
        </w:rPr>
        <w:t xml:space="preserve">just and equitable </w:t>
      </w:r>
      <w:r w:rsidR="007B26EB">
        <w:rPr>
          <w:rFonts w:ascii="Times New Roman" w:hAnsi="Times New Roman" w:cs="Times New Roman"/>
          <w:sz w:val="24"/>
          <w:szCs w:val="24"/>
        </w:rPr>
        <w:t>conclusion is that</w:t>
      </w:r>
      <w:r w:rsidR="00261D7E">
        <w:rPr>
          <w:rFonts w:ascii="Times New Roman" w:hAnsi="Times New Roman" w:cs="Times New Roman"/>
          <w:sz w:val="24"/>
          <w:szCs w:val="24"/>
        </w:rPr>
        <w:t xml:space="preserve"> </w:t>
      </w:r>
      <w:r>
        <w:rPr>
          <w:rFonts w:ascii="Times New Roman" w:hAnsi="Times New Roman" w:cs="Times New Roman"/>
          <w:sz w:val="24"/>
          <w:szCs w:val="24"/>
        </w:rPr>
        <w:t>first</w:t>
      </w:r>
      <w:r w:rsidR="00261D7E">
        <w:rPr>
          <w:rFonts w:ascii="Times New Roman" w:hAnsi="Times New Roman" w:cs="Times New Roman"/>
          <w:sz w:val="24"/>
          <w:szCs w:val="24"/>
        </w:rPr>
        <w:t xml:space="preserve"> </w:t>
      </w:r>
      <w:r w:rsidR="007B26EB">
        <w:rPr>
          <w:rFonts w:ascii="Times New Roman" w:hAnsi="Times New Roman" w:cs="Times New Roman"/>
          <w:sz w:val="24"/>
          <w:szCs w:val="24"/>
        </w:rPr>
        <w:t>respondent</w:t>
      </w:r>
      <w:r w:rsidR="00261D7E">
        <w:rPr>
          <w:rFonts w:ascii="Times New Roman" w:hAnsi="Times New Roman" w:cs="Times New Roman"/>
          <w:sz w:val="24"/>
          <w:szCs w:val="24"/>
        </w:rPr>
        <w:t xml:space="preserve"> be </w:t>
      </w:r>
      <w:r w:rsidR="007B26EB">
        <w:rPr>
          <w:rFonts w:ascii="Times New Roman" w:hAnsi="Times New Roman" w:cs="Times New Roman"/>
          <w:sz w:val="24"/>
          <w:szCs w:val="24"/>
        </w:rPr>
        <w:t xml:space="preserve">finally </w:t>
      </w:r>
      <w:r w:rsidR="00261D7E">
        <w:rPr>
          <w:rFonts w:ascii="Times New Roman" w:hAnsi="Times New Roman" w:cs="Times New Roman"/>
          <w:sz w:val="24"/>
          <w:szCs w:val="24"/>
        </w:rPr>
        <w:t>wound up</w:t>
      </w:r>
      <w:r w:rsidR="00236F2E">
        <w:rPr>
          <w:rFonts w:ascii="Times New Roman" w:hAnsi="Times New Roman" w:cs="Times New Roman"/>
          <w:sz w:val="24"/>
          <w:szCs w:val="24"/>
        </w:rPr>
        <w:t xml:space="preserve">, </w:t>
      </w:r>
      <w:r w:rsidR="00545F1B">
        <w:rPr>
          <w:rFonts w:ascii="Times New Roman" w:hAnsi="Times New Roman" w:cs="Times New Roman"/>
          <w:sz w:val="24"/>
          <w:szCs w:val="24"/>
        </w:rPr>
        <w:t>albeit</w:t>
      </w:r>
      <w:r w:rsidR="00236F2E">
        <w:rPr>
          <w:rFonts w:ascii="Times New Roman" w:hAnsi="Times New Roman" w:cs="Times New Roman"/>
          <w:sz w:val="24"/>
          <w:szCs w:val="24"/>
        </w:rPr>
        <w:t xml:space="preserve"> at the instance of a shareholder</w:t>
      </w:r>
      <w:r w:rsidR="00261D7E">
        <w:rPr>
          <w:rFonts w:ascii="Times New Roman" w:hAnsi="Times New Roman" w:cs="Times New Roman"/>
          <w:sz w:val="24"/>
          <w:szCs w:val="24"/>
        </w:rPr>
        <w:t>.</w:t>
      </w:r>
    </w:p>
    <w:p w:rsidR="00894F4F" w:rsidRPr="006C1E4C" w:rsidRDefault="006C1E4C" w:rsidP="00894F4F">
      <w:pPr>
        <w:pStyle w:val="ListParagraph"/>
        <w:spacing w:after="0" w:line="360" w:lineRule="auto"/>
        <w:ind w:left="1080"/>
        <w:jc w:val="both"/>
        <w:rPr>
          <w:rFonts w:ascii="Times New Roman" w:hAnsi="Times New Roman" w:cs="Times New Roman"/>
          <w:b/>
          <w:sz w:val="24"/>
          <w:szCs w:val="24"/>
        </w:rPr>
      </w:pPr>
      <w:r w:rsidRPr="006C1E4C">
        <w:rPr>
          <w:rFonts w:ascii="Times New Roman" w:hAnsi="Times New Roman" w:cs="Times New Roman"/>
          <w:b/>
          <w:sz w:val="24"/>
          <w:szCs w:val="24"/>
        </w:rPr>
        <w:t>Disposition</w:t>
      </w:r>
    </w:p>
    <w:p w:rsidR="00F4622A" w:rsidRDefault="006C1E4C" w:rsidP="00894F4F">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In the premises </w:t>
      </w:r>
      <w:r w:rsidR="00F4622A">
        <w:rPr>
          <w:rFonts w:ascii="Times New Roman" w:hAnsi="Times New Roman" w:cs="Times New Roman"/>
          <w:sz w:val="24"/>
          <w:szCs w:val="24"/>
        </w:rPr>
        <w:t xml:space="preserve">it is hereby ordered that </w:t>
      </w:r>
      <w:r>
        <w:rPr>
          <w:rFonts w:ascii="Times New Roman" w:hAnsi="Times New Roman" w:cs="Times New Roman"/>
          <w:sz w:val="24"/>
          <w:szCs w:val="24"/>
        </w:rPr>
        <w:t xml:space="preserve">the </w:t>
      </w:r>
      <w:r w:rsidR="00507F73">
        <w:rPr>
          <w:rFonts w:ascii="Times New Roman" w:hAnsi="Times New Roman" w:cs="Times New Roman"/>
          <w:sz w:val="24"/>
          <w:szCs w:val="24"/>
        </w:rPr>
        <w:t xml:space="preserve">provisional </w:t>
      </w:r>
      <w:r w:rsidR="00236F2E">
        <w:rPr>
          <w:rFonts w:ascii="Times New Roman" w:hAnsi="Times New Roman" w:cs="Times New Roman"/>
          <w:sz w:val="24"/>
          <w:szCs w:val="24"/>
        </w:rPr>
        <w:t>order is confirmed</w:t>
      </w:r>
      <w:r w:rsidR="00F4622A">
        <w:rPr>
          <w:rFonts w:ascii="Times New Roman" w:hAnsi="Times New Roman" w:cs="Times New Roman"/>
          <w:sz w:val="24"/>
          <w:szCs w:val="24"/>
        </w:rPr>
        <w:t>:</w:t>
      </w:r>
    </w:p>
    <w:p w:rsidR="00F4622A" w:rsidRDefault="00F4622A" w:rsidP="00F4622A">
      <w:pPr>
        <w:pStyle w:val="ListParagraph"/>
        <w:numPr>
          <w:ilvl w:val="0"/>
          <w:numId w:val="4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final winding up order in respect of the first respondent, Capital Bank Corporation be and is hereby granted</w:t>
      </w:r>
      <w:r w:rsidR="00236F2E" w:rsidRPr="00F4622A">
        <w:rPr>
          <w:rFonts w:ascii="Times New Roman" w:hAnsi="Times New Roman" w:cs="Times New Roman"/>
          <w:sz w:val="24"/>
          <w:szCs w:val="24"/>
        </w:rPr>
        <w:t>.</w:t>
      </w:r>
    </w:p>
    <w:p w:rsidR="00F4622A" w:rsidRDefault="00F4622A" w:rsidP="00F4622A">
      <w:pPr>
        <w:pStyle w:val="ListParagraph"/>
        <w:numPr>
          <w:ilvl w:val="0"/>
          <w:numId w:val="4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Mr Winsley Evans Militala of Petwin Executor &amp; Trust Co. (Private) Limited, 24 Caithness Road, Eastlea, Harare, be and is hereby appointed as the final </w:t>
      </w:r>
      <w:r>
        <w:rPr>
          <w:rFonts w:ascii="Times New Roman" w:hAnsi="Times New Roman" w:cs="Times New Roman"/>
          <w:sz w:val="24"/>
          <w:szCs w:val="24"/>
        </w:rPr>
        <w:lastRenderedPageBreak/>
        <w:t xml:space="preserve">liquidator of the first respondent, Capital Bank Corporation Limited, </w:t>
      </w:r>
      <w:r w:rsidR="00761F8E">
        <w:rPr>
          <w:rFonts w:ascii="Times New Roman" w:hAnsi="Times New Roman" w:cs="Times New Roman"/>
          <w:sz w:val="24"/>
          <w:szCs w:val="24"/>
        </w:rPr>
        <w:t>with</w:t>
      </w:r>
      <w:r>
        <w:rPr>
          <w:rFonts w:ascii="Times New Roman" w:hAnsi="Times New Roman" w:cs="Times New Roman"/>
          <w:sz w:val="24"/>
          <w:szCs w:val="24"/>
        </w:rPr>
        <w:t xml:space="preserve"> powers set out in section 221 of the Companies Act [Chapter 24:03].</w:t>
      </w:r>
    </w:p>
    <w:p w:rsidR="00F4622A" w:rsidRDefault="00F4622A" w:rsidP="00F4622A">
      <w:pPr>
        <w:pStyle w:val="ListParagraph"/>
        <w:numPr>
          <w:ilvl w:val="0"/>
          <w:numId w:val="4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Costs of this application shall be costs of the winding up.</w:t>
      </w:r>
    </w:p>
    <w:p w:rsidR="006C1E4C" w:rsidRDefault="00F4622A" w:rsidP="00F4622A">
      <w:pPr>
        <w:pStyle w:val="ListParagraph"/>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w:t>
      </w:r>
    </w:p>
    <w:p w:rsidR="00147B3E" w:rsidRDefault="00147B3E" w:rsidP="00192891">
      <w:pPr>
        <w:spacing w:after="0" w:line="240" w:lineRule="auto"/>
        <w:rPr>
          <w:rFonts w:ascii="Times New Roman" w:hAnsi="Times New Roman" w:cs="Times New Roman"/>
          <w:i/>
          <w:sz w:val="24"/>
          <w:szCs w:val="24"/>
        </w:rPr>
      </w:pPr>
    </w:p>
    <w:p w:rsidR="00585BA6" w:rsidRPr="00585BA6" w:rsidRDefault="002C5063" w:rsidP="00192891">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GNMlotshwa &amp; </w:t>
      </w:r>
      <w:r w:rsidR="00CA656F">
        <w:rPr>
          <w:rFonts w:ascii="Times New Roman" w:hAnsi="Times New Roman" w:cs="Times New Roman"/>
          <w:i/>
          <w:sz w:val="24"/>
          <w:szCs w:val="24"/>
        </w:rPr>
        <w:t>Maguwudze</w:t>
      </w:r>
      <w:r w:rsidR="006C1E4C">
        <w:rPr>
          <w:rFonts w:ascii="Times New Roman" w:hAnsi="Times New Roman" w:cs="Times New Roman"/>
          <w:sz w:val="24"/>
          <w:szCs w:val="24"/>
        </w:rPr>
        <w:t xml:space="preserve">, </w:t>
      </w:r>
      <w:r w:rsidR="00EE1002">
        <w:rPr>
          <w:rFonts w:ascii="Times New Roman" w:hAnsi="Times New Roman" w:cs="Times New Roman"/>
          <w:sz w:val="24"/>
          <w:szCs w:val="24"/>
        </w:rPr>
        <w:t>applicant’s legal practitioners</w:t>
      </w:r>
    </w:p>
    <w:p w:rsidR="001916DB" w:rsidRDefault="00CA656F" w:rsidP="00192891">
      <w:pPr>
        <w:spacing w:after="0" w:line="240" w:lineRule="auto"/>
        <w:rPr>
          <w:rFonts w:ascii="Times New Roman" w:hAnsi="Times New Roman" w:cs="Times New Roman"/>
          <w:sz w:val="24"/>
          <w:szCs w:val="24"/>
        </w:rPr>
      </w:pPr>
      <w:r>
        <w:rPr>
          <w:rFonts w:ascii="Times New Roman" w:hAnsi="Times New Roman" w:cs="Times New Roman"/>
          <w:i/>
          <w:sz w:val="24"/>
          <w:szCs w:val="24"/>
        </w:rPr>
        <w:t>Muza &amp; Nyapadi</w:t>
      </w:r>
      <w:r w:rsidR="006C1E4C" w:rsidRPr="006C1E4C">
        <w:rPr>
          <w:rFonts w:ascii="Times New Roman" w:hAnsi="Times New Roman" w:cs="Times New Roman"/>
          <w:i/>
          <w:sz w:val="24"/>
          <w:szCs w:val="24"/>
        </w:rPr>
        <w:t xml:space="preserve">, </w:t>
      </w:r>
      <w:r w:rsidRPr="00CA656F">
        <w:rPr>
          <w:rFonts w:ascii="Times New Roman" w:hAnsi="Times New Roman" w:cs="Times New Roman"/>
          <w:sz w:val="24"/>
          <w:szCs w:val="24"/>
        </w:rPr>
        <w:t xml:space="preserve">second </w:t>
      </w:r>
      <w:r w:rsidR="00EE1002">
        <w:rPr>
          <w:rFonts w:ascii="Times New Roman" w:hAnsi="Times New Roman" w:cs="Times New Roman"/>
          <w:sz w:val="24"/>
          <w:szCs w:val="24"/>
        </w:rPr>
        <w:t>respondent’s</w:t>
      </w:r>
      <w:r w:rsidR="006C1E4C">
        <w:rPr>
          <w:rFonts w:ascii="Times New Roman" w:hAnsi="Times New Roman" w:cs="Times New Roman"/>
          <w:sz w:val="24"/>
          <w:szCs w:val="24"/>
        </w:rPr>
        <w:t xml:space="preserve"> legal practitioners</w:t>
      </w:r>
    </w:p>
    <w:p w:rsidR="00CA656F" w:rsidRPr="00CA656F" w:rsidRDefault="00CA656F" w:rsidP="00192891">
      <w:pPr>
        <w:spacing w:after="0" w:line="240" w:lineRule="auto"/>
        <w:rPr>
          <w:rFonts w:ascii="Times New Roman" w:hAnsi="Times New Roman" w:cs="Times New Roman"/>
          <w:sz w:val="24"/>
          <w:szCs w:val="24"/>
        </w:rPr>
      </w:pPr>
      <w:r w:rsidRPr="00CA656F">
        <w:rPr>
          <w:rFonts w:ascii="Times New Roman" w:hAnsi="Times New Roman" w:cs="Times New Roman"/>
          <w:i/>
          <w:sz w:val="24"/>
          <w:szCs w:val="24"/>
        </w:rPr>
        <w:t>Tendai Biti Law</w:t>
      </w:r>
      <w:r>
        <w:rPr>
          <w:rFonts w:ascii="Times New Roman" w:hAnsi="Times New Roman" w:cs="Times New Roman"/>
          <w:i/>
          <w:sz w:val="24"/>
          <w:szCs w:val="24"/>
        </w:rPr>
        <w:t xml:space="preserve">, </w:t>
      </w:r>
      <w:r>
        <w:rPr>
          <w:rFonts w:ascii="Times New Roman" w:hAnsi="Times New Roman" w:cs="Times New Roman"/>
          <w:sz w:val="24"/>
          <w:szCs w:val="24"/>
        </w:rPr>
        <w:t>third to twenty-third respondent’s legal practitioners</w:t>
      </w:r>
    </w:p>
    <w:sectPr w:rsidR="00CA656F" w:rsidRPr="00CA656F">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7E9D" w:rsidRDefault="002E7E9D" w:rsidP="00A5344D">
      <w:pPr>
        <w:spacing w:after="0" w:line="240" w:lineRule="auto"/>
      </w:pPr>
      <w:r>
        <w:separator/>
      </w:r>
    </w:p>
  </w:endnote>
  <w:endnote w:type="continuationSeparator" w:id="0">
    <w:p w:rsidR="002E7E9D" w:rsidRDefault="002E7E9D" w:rsidP="00A53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7E9D" w:rsidRDefault="002E7E9D" w:rsidP="00A5344D">
      <w:pPr>
        <w:spacing w:after="0" w:line="240" w:lineRule="auto"/>
      </w:pPr>
      <w:r>
        <w:separator/>
      </w:r>
    </w:p>
  </w:footnote>
  <w:footnote w:type="continuationSeparator" w:id="0">
    <w:p w:rsidR="002E7E9D" w:rsidRDefault="002E7E9D" w:rsidP="00A5344D">
      <w:pPr>
        <w:spacing w:after="0" w:line="240" w:lineRule="auto"/>
      </w:pPr>
      <w:r>
        <w:continuationSeparator/>
      </w:r>
    </w:p>
  </w:footnote>
  <w:footnote w:id="1">
    <w:p w:rsidR="00880381" w:rsidRPr="00880381" w:rsidRDefault="00880381">
      <w:pPr>
        <w:pStyle w:val="FootnoteText"/>
        <w:rPr>
          <w:lang w:val="en-ZW"/>
        </w:rPr>
      </w:pPr>
      <w:r>
        <w:rPr>
          <w:rStyle w:val="FootnoteReference"/>
        </w:rPr>
        <w:footnoteRef/>
      </w:r>
      <w:r>
        <w:t xml:space="preserve"> </w:t>
      </w:r>
      <w:r w:rsidRPr="00B0388F">
        <w:rPr>
          <w:i/>
          <w:lang w:val="en-ZW"/>
        </w:rPr>
        <w:t xml:space="preserve">Midlands State University v Galaxy </w:t>
      </w:r>
      <w:r w:rsidR="00C3485C" w:rsidRPr="00B0388F">
        <w:rPr>
          <w:i/>
          <w:lang w:val="en-ZW"/>
        </w:rPr>
        <w:t>Engineering</w:t>
      </w:r>
      <w:r w:rsidRPr="00B0388F">
        <w:rPr>
          <w:i/>
          <w:lang w:val="en-ZW"/>
        </w:rPr>
        <w:t xml:space="preserve"> Design Consultants (Pvt) Ltd</w:t>
      </w:r>
      <w:r>
        <w:rPr>
          <w:lang w:val="en-ZW"/>
        </w:rPr>
        <w:t xml:space="preserve"> HH425/18. See also </w:t>
      </w:r>
      <w:r w:rsidRPr="00B0388F">
        <w:rPr>
          <w:i/>
          <w:lang w:val="en-ZW"/>
        </w:rPr>
        <w:t>Telecel Zimbabwe (Pvt) Ltd v POTRAZ &amp; Ors</w:t>
      </w:r>
      <w:r>
        <w:rPr>
          <w:lang w:val="en-ZW"/>
        </w:rPr>
        <w:t xml:space="preserve"> HH446-15.</w:t>
      </w:r>
    </w:p>
  </w:footnote>
  <w:footnote w:id="2">
    <w:p w:rsidR="007B26EB" w:rsidRPr="00F33A2D" w:rsidRDefault="007B26EB" w:rsidP="007B26EB">
      <w:pPr>
        <w:pStyle w:val="FootnoteText"/>
        <w:rPr>
          <w:lang w:val="en-ZW"/>
        </w:rPr>
      </w:pPr>
      <w:r>
        <w:rPr>
          <w:rStyle w:val="FootnoteReference"/>
        </w:rPr>
        <w:footnoteRef/>
      </w:r>
      <w:r>
        <w:t xml:space="preserve"> </w:t>
      </w:r>
      <w:r w:rsidRPr="00F36FC5">
        <w:rPr>
          <w:i/>
          <w:lang w:val="en-ZW"/>
        </w:rPr>
        <w:t>Sultan v Fryfern Enterprises (Pvt) Ltd &amp; Anor</w:t>
      </w:r>
      <w:r>
        <w:rPr>
          <w:lang w:val="en-ZW"/>
        </w:rPr>
        <w:t xml:space="preserve"> 2000(1) ZLR 188. See also </w:t>
      </w:r>
      <w:r w:rsidRPr="00F36FC5">
        <w:rPr>
          <w:i/>
          <w:lang w:val="en-ZW"/>
        </w:rPr>
        <w:t>Reserve Bank of Zimbabwe v Royal Bank</w:t>
      </w:r>
      <w:r>
        <w:rPr>
          <w:lang w:val="en-ZW"/>
        </w:rPr>
        <w:t xml:space="preserve"> HH639/14</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0960785"/>
      <w:docPartObj>
        <w:docPartGallery w:val="Page Numbers (Top of Page)"/>
        <w:docPartUnique/>
      </w:docPartObj>
    </w:sdtPr>
    <w:sdtEndPr>
      <w:rPr>
        <w:noProof/>
      </w:rPr>
    </w:sdtEndPr>
    <w:sdtContent>
      <w:p w:rsidR="00D60DED" w:rsidRDefault="00D60DED">
        <w:pPr>
          <w:pStyle w:val="Header"/>
          <w:jc w:val="right"/>
          <w:rPr>
            <w:noProof/>
          </w:rPr>
        </w:pPr>
        <w:r>
          <w:fldChar w:fldCharType="begin"/>
        </w:r>
        <w:r>
          <w:instrText xml:space="preserve"> PAGE   \* MERGEFORMAT </w:instrText>
        </w:r>
        <w:r>
          <w:fldChar w:fldCharType="separate"/>
        </w:r>
        <w:r w:rsidR="006C363E">
          <w:rPr>
            <w:noProof/>
          </w:rPr>
          <w:t>1</w:t>
        </w:r>
        <w:r>
          <w:rPr>
            <w:noProof/>
          </w:rPr>
          <w:fldChar w:fldCharType="end"/>
        </w:r>
      </w:p>
      <w:p w:rsidR="003F409F" w:rsidRDefault="003F409F">
        <w:pPr>
          <w:pStyle w:val="Header"/>
          <w:jc w:val="right"/>
          <w:rPr>
            <w:noProof/>
          </w:rPr>
        </w:pPr>
        <w:r>
          <w:rPr>
            <w:noProof/>
          </w:rPr>
          <w:t>HH 56-21</w:t>
        </w:r>
      </w:p>
      <w:p w:rsidR="00D60DED" w:rsidRDefault="00D60DED" w:rsidP="0081013D">
        <w:pPr>
          <w:pStyle w:val="Header"/>
          <w:jc w:val="right"/>
          <w:rPr>
            <w:noProof/>
          </w:rPr>
        </w:pPr>
        <w:r>
          <w:rPr>
            <w:noProof/>
          </w:rPr>
          <w:t xml:space="preserve">HC </w:t>
        </w:r>
        <w:r w:rsidR="00A444F8">
          <w:rPr>
            <w:noProof/>
          </w:rPr>
          <w:t>1293/18</w:t>
        </w:r>
      </w:p>
      <w:p w:rsidR="00D60DED" w:rsidRDefault="002E7E9D" w:rsidP="0054041B">
        <w:pPr>
          <w:pStyle w:val="Header"/>
          <w:jc w:val="right"/>
          <w:rPr>
            <w:noProof/>
          </w:rPr>
        </w:pPr>
      </w:p>
    </w:sdtContent>
  </w:sdt>
  <w:p w:rsidR="00D60DED" w:rsidRDefault="00D60DED">
    <w:pPr>
      <w:pStyle w:val="Header"/>
      <w:jc w:val="right"/>
      <w:rPr>
        <w:noProof/>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466B"/>
    <w:multiLevelType w:val="hybridMultilevel"/>
    <w:tmpl w:val="A2528F18"/>
    <w:lvl w:ilvl="0" w:tplc="1078434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1D74016"/>
    <w:multiLevelType w:val="hybridMultilevel"/>
    <w:tmpl w:val="44BA0394"/>
    <w:lvl w:ilvl="0" w:tplc="598A5B5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03CA19F8"/>
    <w:multiLevelType w:val="hybridMultilevel"/>
    <w:tmpl w:val="55646CB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04821A56"/>
    <w:multiLevelType w:val="hybridMultilevel"/>
    <w:tmpl w:val="BB426D58"/>
    <w:lvl w:ilvl="0" w:tplc="58E0DDD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15:restartNumberingAfterBreak="0">
    <w:nsid w:val="04921419"/>
    <w:multiLevelType w:val="hybridMultilevel"/>
    <w:tmpl w:val="C51684FA"/>
    <w:lvl w:ilvl="0" w:tplc="4B4408A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04DC0D4B"/>
    <w:multiLevelType w:val="hybridMultilevel"/>
    <w:tmpl w:val="E7C87462"/>
    <w:lvl w:ilvl="0" w:tplc="CE24ECD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09761954"/>
    <w:multiLevelType w:val="hybridMultilevel"/>
    <w:tmpl w:val="93107BAA"/>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0B450C2B"/>
    <w:multiLevelType w:val="hybridMultilevel"/>
    <w:tmpl w:val="71069418"/>
    <w:lvl w:ilvl="0" w:tplc="6D90B10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0C287C14"/>
    <w:multiLevelType w:val="hybridMultilevel"/>
    <w:tmpl w:val="28A81A9E"/>
    <w:lvl w:ilvl="0" w:tplc="A258859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18605631"/>
    <w:multiLevelType w:val="hybridMultilevel"/>
    <w:tmpl w:val="1D98CE3C"/>
    <w:lvl w:ilvl="0" w:tplc="9DAEB04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0" w15:restartNumberingAfterBreak="0">
    <w:nsid w:val="1B1A72AC"/>
    <w:multiLevelType w:val="hybridMultilevel"/>
    <w:tmpl w:val="2596739A"/>
    <w:lvl w:ilvl="0" w:tplc="3009000F">
      <w:start w:val="1"/>
      <w:numFmt w:val="decimal"/>
      <w:lvlText w:val="%1."/>
      <w:lvlJc w:val="left"/>
      <w:pPr>
        <w:ind w:left="2160" w:hanging="360"/>
      </w:p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11" w15:restartNumberingAfterBreak="0">
    <w:nsid w:val="1DA754BF"/>
    <w:multiLevelType w:val="hybridMultilevel"/>
    <w:tmpl w:val="DC508F08"/>
    <w:lvl w:ilvl="0" w:tplc="F014C91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20A21957"/>
    <w:multiLevelType w:val="hybridMultilevel"/>
    <w:tmpl w:val="79EA8452"/>
    <w:lvl w:ilvl="0" w:tplc="A600C6A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21903766"/>
    <w:multiLevelType w:val="hybridMultilevel"/>
    <w:tmpl w:val="3112EABC"/>
    <w:lvl w:ilvl="0" w:tplc="78720F4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2BAE727A"/>
    <w:multiLevelType w:val="hybridMultilevel"/>
    <w:tmpl w:val="99A82FFC"/>
    <w:lvl w:ilvl="0" w:tplc="A24E3564">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5" w15:restartNumberingAfterBreak="0">
    <w:nsid w:val="2F4A6EB5"/>
    <w:multiLevelType w:val="hybridMultilevel"/>
    <w:tmpl w:val="611E4386"/>
    <w:lvl w:ilvl="0" w:tplc="8CF627E2">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6" w15:restartNumberingAfterBreak="0">
    <w:nsid w:val="2FAA3B40"/>
    <w:multiLevelType w:val="hybridMultilevel"/>
    <w:tmpl w:val="0DA83828"/>
    <w:lvl w:ilvl="0" w:tplc="704EF95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7" w15:restartNumberingAfterBreak="0">
    <w:nsid w:val="3A1A3B5C"/>
    <w:multiLevelType w:val="hybridMultilevel"/>
    <w:tmpl w:val="A3E873F8"/>
    <w:lvl w:ilvl="0" w:tplc="6EE6F90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15:restartNumberingAfterBreak="0">
    <w:nsid w:val="3F9922B8"/>
    <w:multiLevelType w:val="hybridMultilevel"/>
    <w:tmpl w:val="4DF29006"/>
    <w:lvl w:ilvl="0" w:tplc="161A33E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15:restartNumberingAfterBreak="0">
    <w:nsid w:val="40897960"/>
    <w:multiLevelType w:val="hybridMultilevel"/>
    <w:tmpl w:val="4ACE187A"/>
    <w:lvl w:ilvl="0" w:tplc="C198552E">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0" w15:restartNumberingAfterBreak="0">
    <w:nsid w:val="46126648"/>
    <w:multiLevelType w:val="hybridMultilevel"/>
    <w:tmpl w:val="5AC25D0A"/>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15:restartNumberingAfterBreak="0">
    <w:nsid w:val="4A154B15"/>
    <w:multiLevelType w:val="hybridMultilevel"/>
    <w:tmpl w:val="50C28544"/>
    <w:lvl w:ilvl="0" w:tplc="A7448ED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15:restartNumberingAfterBreak="0">
    <w:nsid w:val="4B733F63"/>
    <w:multiLevelType w:val="hybridMultilevel"/>
    <w:tmpl w:val="72E4366A"/>
    <w:lvl w:ilvl="0" w:tplc="B9C08A1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15:restartNumberingAfterBreak="0">
    <w:nsid w:val="4B886D6C"/>
    <w:multiLevelType w:val="hybridMultilevel"/>
    <w:tmpl w:val="24065AD0"/>
    <w:lvl w:ilvl="0" w:tplc="30090019">
      <w:start w:val="1"/>
      <w:numFmt w:val="lowerLetter"/>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4" w15:restartNumberingAfterBreak="0">
    <w:nsid w:val="4CDE1686"/>
    <w:multiLevelType w:val="hybridMultilevel"/>
    <w:tmpl w:val="54D6271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 w15:restartNumberingAfterBreak="0">
    <w:nsid w:val="4D75529B"/>
    <w:multiLevelType w:val="hybridMultilevel"/>
    <w:tmpl w:val="EBD857FC"/>
    <w:lvl w:ilvl="0" w:tplc="F63A8F1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15:restartNumberingAfterBreak="0">
    <w:nsid w:val="4DC43019"/>
    <w:multiLevelType w:val="hybridMultilevel"/>
    <w:tmpl w:val="1AB02852"/>
    <w:lvl w:ilvl="0" w:tplc="EE06F45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15:restartNumberingAfterBreak="0">
    <w:nsid w:val="4F7F75EA"/>
    <w:multiLevelType w:val="hybridMultilevel"/>
    <w:tmpl w:val="D1568C06"/>
    <w:lvl w:ilvl="0" w:tplc="CDD4F63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8" w15:restartNumberingAfterBreak="0">
    <w:nsid w:val="4FA1149B"/>
    <w:multiLevelType w:val="hybridMultilevel"/>
    <w:tmpl w:val="52F85DD8"/>
    <w:lvl w:ilvl="0" w:tplc="30090017">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9" w15:restartNumberingAfterBreak="0">
    <w:nsid w:val="50161594"/>
    <w:multiLevelType w:val="hybridMultilevel"/>
    <w:tmpl w:val="D74AE080"/>
    <w:lvl w:ilvl="0" w:tplc="E2D0E40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0" w15:restartNumberingAfterBreak="0">
    <w:nsid w:val="51BA07D0"/>
    <w:multiLevelType w:val="hybridMultilevel"/>
    <w:tmpl w:val="D3528222"/>
    <w:lvl w:ilvl="0" w:tplc="FF10C9B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1" w15:restartNumberingAfterBreak="0">
    <w:nsid w:val="522808DD"/>
    <w:multiLevelType w:val="hybridMultilevel"/>
    <w:tmpl w:val="542EBDBE"/>
    <w:lvl w:ilvl="0" w:tplc="457E424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 w15:restartNumberingAfterBreak="0">
    <w:nsid w:val="54273360"/>
    <w:multiLevelType w:val="hybridMultilevel"/>
    <w:tmpl w:val="EAA6A736"/>
    <w:lvl w:ilvl="0" w:tplc="161A33E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3" w15:restartNumberingAfterBreak="0">
    <w:nsid w:val="5B970142"/>
    <w:multiLevelType w:val="hybridMultilevel"/>
    <w:tmpl w:val="3702D76E"/>
    <w:lvl w:ilvl="0" w:tplc="362E134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4" w15:restartNumberingAfterBreak="0">
    <w:nsid w:val="5FBF62AC"/>
    <w:multiLevelType w:val="hybridMultilevel"/>
    <w:tmpl w:val="AC84CF10"/>
    <w:lvl w:ilvl="0" w:tplc="39A6136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5" w15:restartNumberingAfterBreak="0">
    <w:nsid w:val="636555AE"/>
    <w:multiLevelType w:val="hybridMultilevel"/>
    <w:tmpl w:val="F55AFEAE"/>
    <w:lvl w:ilvl="0" w:tplc="A28C53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6" w15:restartNumberingAfterBreak="0">
    <w:nsid w:val="6B8E63B0"/>
    <w:multiLevelType w:val="hybridMultilevel"/>
    <w:tmpl w:val="354AC0D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7" w15:restartNumberingAfterBreak="0">
    <w:nsid w:val="6DFB0428"/>
    <w:multiLevelType w:val="hybridMultilevel"/>
    <w:tmpl w:val="C33200B6"/>
    <w:lvl w:ilvl="0" w:tplc="4FB6858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8" w15:restartNumberingAfterBreak="0">
    <w:nsid w:val="725C0F54"/>
    <w:multiLevelType w:val="hybridMultilevel"/>
    <w:tmpl w:val="E0862F0E"/>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9" w15:restartNumberingAfterBreak="0">
    <w:nsid w:val="72E47327"/>
    <w:multiLevelType w:val="hybridMultilevel"/>
    <w:tmpl w:val="B14AE724"/>
    <w:lvl w:ilvl="0" w:tplc="1A22D9D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0" w15:restartNumberingAfterBreak="0">
    <w:nsid w:val="7D2847C4"/>
    <w:multiLevelType w:val="hybridMultilevel"/>
    <w:tmpl w:val="8180AE62"/>
    <w:lvl w:ilvl="0" w:tplc="3CE0E71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1" w15:restartNumberingAfterBreak="0">
    <w:nsid w:val="7DC4255C"/>
    <w:multiLevelType w:val="hybridMultilevel"/>
    <w:tmpl w:val="627CA28C"/>
    <w:lvl w:ilvl="0" w:tplc="8BCEF76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2" w15:restartNumberingAfterBreak="0">
    <w:nsid w:val="7F3B4822"/>
    <w:multiLevelType w:val="hybridMultilevel"/>
    <w:tmpl w:val="06A68C98"/>
    <w:lvl w:ilvl="0" w:tplc="66FAE14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0"/>
  </w:num>
  <w:num w:numId="2">
    <w:abstractNumId w:val="9"/>
  </w:num>
  <w:num w:numId="3">
    <w:abstractNumId w:val="5"/>
  </w:num>
  <w:num w:numId="4">
    <w:abstractNumId w:val="39"/>
  </w:num>
  <w:num w:numId="5">
    <w:abstractNumId w:val="40"/>
  </w:num>
  <w:num w:numId="6">
    <w:abstractNumId w:val="42"/>
  </w:num>
  <w:num w:numId="7">
    <w:abstractNumId w:val="19"/>
  </w:num>
  <w:num w:numId="8">
    <w:abstractNumId w:val="29"/>
  </w:num>
  <w:num w:numId="9">
    <w:abstractNumId w:val="38"/>
  </w:num>
  <w:num w:numId="10">
    <w:abstractNumId w:val="13"/>
  </w:num>
  <w:num w:numId="11">
    <w:abstractNumId w:val="34"/>
  </w:num>
  <w:num w:numId="12">
    <w:abstractNumId w:val="16"/>
  </w:num>
  <w:num w:numId="13">
    <w:abstractNumId w:val="26"/>
  </w:num>
  <w:num w:numId="14">
    <w:abstractNumId w:val="36"/>
  </w:num>
  <w:num w:numId="15">
    <w:abstractNumId w:val="41"/>
  </w:num>
  <w:num w:numId="16">
    <w:abstractNumId w:val="22"/>
  </w:num>
  <w:num w:numId="17">
    <w:abstractNumId w:val="6"/>
  </w:num>
  <w:num w:numId="18">
    <w:abstractNumId w:val="4"/>
  </w:num>
  <w:num w:numId="19">
    <w:abstractNumId w:val="21"/>
  </w:num>
  <w:num w:numId="20">
    <w:abstractNumId w:val="20"/>
  </w:num>
  <w:num w:numId="21">
    <w:abstractNumId w:val="25"/>
  </w:num>
  <w:num w:numId="22">
    <w:abstractNumId w:val="17"/>
  </w:num>
  <w:num w:numId="23">
    <w:abstractNumId w:val="37"/>
  </w:num>
  <w:num w:numId="24">
    <w:abstractNumId w:val="7"/>
  </w:num>
  <w:num w:numId="25">
    <w:abstractNumId w:val="23"/>
  </w:num>
  <w:num w:numId="26">
    <w:abstractNumId w:val="12"/>
  </w:num>
  <w:num w:numId="27">
    <w:abstractNumId w:val="35"/>
  </w:num>
  <w:num w:numId="28">
    <w:abstractNumId w:val="31"/>
  </w:num>
  <w:num w:numId="29">
    <w:abstractNumId w:val="14"/>
  </w:num>
  <w:num w:numId="30">
    <w:abstractNumId w:val="28"/>
  </w:num>
  <w:num w:numId="31">
    <w:abstractNumId w:val="3"/>
  </w:num>
  <w:num w:numId="32">
    <w:abstractNumId w:val="24"/>
  </w:num>
  <w:num w:numId="33">
    <w:abstractNumId w:val="33"/>
  </w:num>
  <w:num w:numId="34">
    <w:abstractNumId w:val="1"/>
  </w:num>
  <w:num w:numId="35">
    <w:abstractNumId w:val="8"/>
  </w:num>
  <w:num w:numId="36">
    <w:abstractNumId w:val="2"/>
  </w:num>
  <w:num w:numId="37">
    <w:abstractNumId w:val="0"/>
  </w:num>
  <w:num w:numId="38">
    <w:abstractNumId w:val="10"/>
  </w:num>
  <w:num w:numId="39">
    <w:abstractNumId w:val="18"/>
  </w:num>
  <w:num w:numId="40">
    <w:abstractNumId w:val="32"/>
  </w:num>
  <w:num w:numId="41">
    <w:abstractNumId w:val="11"/>
  </w:num>
  <w:num w:numId="42">
    <w:abstractNumId w:val="27"/>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BBF"/>
    <w:rsid w:val="00001B01"/>
    <w:rsid w:val="00002717"/>
    <w:rsid w:val="00002FFA"/>
    <w:rsid w:val="00006FE9"/>
    <w:rsid w:val="0001033C"/>
    <w:rsid w:val="00010DBB"/>
    <w:rsid w:val="00012D36"/>
    <w:rsid w:val="000147B5"/>
    <w:rsid w:val="00020429"/>
    <w:rsid w:val="00024C29"/>
    <w:rsid w:val="00025F45"/>
    <w:rsid w:val="00033073"/>
    <w:rsid w:val="0003388C"/>
    <w:rsid w:val="00036056"/>
    <w:rsid w:val="00040646"/>
    <w:rsid w:val="00047385"/>
    <w:rsid w:val="00050CDA"/>
    <w:rsid w:val="00051357"/>
    <w:rsid w:val="00052F53"/>
    <w:rsid w:val="0005429F"/>
    <w:rsid w:val="00062188"/>
    <w:rsid w:val="000657F4"/>
    <w:rsid w:val="00065992"/>
    <w:rsid w:val="00071180"/>
    <w:rsid w:val="00072CCD"/>
    <w:rsid w:val="00073E16"/>
    <w:rsid w:val="00074CFF"/>
    <w:rsid w:val="00077AE9"/>
    <w:rsid w:val="000807CC"/>
    <w:rsid w:val="00080C6C"/>
    <w:rsid w:val="0008185F"/>
    <w:rsid w:val="00083CFF"/>
    <w:rsid w:val="000844DF"/>
    <w:rsid w:val="000862D5"/>
    <w:rsid w:val="00090BBF"/>
    <w:rsid w:val="00093427"/>
    <w:rsid w:val="00093544"/>
    <w:rsid w:val="0009405E"/>
    <w:rsid w:val="00095AAE"/>
    <w:rsid w:val="00096727"/>
    <w:rsid w:val="0009761F"/>
    <w:rsid w:val="000A02D0"/>
    <w:rsid w:val="000B46C2"/>
    <w:rsid w:val="000C02B4"/>
    <w:rsid w:val="000C1585"/>
    <w:rsid w:val="000C65B2"/>
    <w:rsid w:val="000D228E"/>
    <w:rsid w:val="000D6175"/>
    <w:rsid w:val="000D7361"/>
    <w:rsid w:val="000E23D9"/>
    <w:rsid w:val="000E3E6F"/>
    <w:rsid w:val="000E426A"/>
    <w:rsid w:val="000E4F4E"/>
    <w:rsid w:val="000E5845"/>
    <w:rsid w:val="000E5EF2"/>
    <w:rsid w:val="000F6C31"/>
    <w:rsid w:val="001015A9"/>
    <w:rsid w:val="00112DE6"/>
    <w:rsid w:val="001136AE"/>
    <w:rsid w:val="0012003C"/>
    <w:rsid w:val="0012120B"/>
    <w:rsid w:val="001225C0"/>
    <w:rsid w:val="00122EC5"/>
    <w:rsid w:val="00123797"/>
    <w:rsid w:val="00123FD7"/>
    <w:rsid w:val="001245CF"/>
    <w:rsid w:val="00132947"/>
    <w:rsid w:val="0013647D"/>
    <w:rsid w:val="00144F54"/>
    <w:rsid w:val="0014648F"/>
    <w:rsid w:val="00147B3E"/>
    <w:rsid w:val="00153236"/>
    <w:rsid w:val="001536DE"/>
    <w:rsid w:val="0016137A"/>
    <w:rsid w:val="00165726"/>
    <w:rsid w:val="00165A09"/>
    <w:rsid w:val="0017321C"/>
    <w:rsid w:val="00174FCA"/>
    <w:rsid w:val="00176836"/>
    <w:rsid w:val="0018090B"/>
    <w:rsid w:val="00183D71"/>
    <w:rsid w:val="0019018D"/>
    <w:rsid w:val="00190755"/>
    <w:rsid w:val="00191489"/>
    <w:rsid w:val="001916DB"/>
    <w:rsid w:val="00192891"/>
    <w:rsid w:val="001929C6"/>
    <w:rsid w:val="00196A4E"/>
    <w:rsid w:val="001A0486"/>
    <w:rsid w:val="001A562F"/>
    <w:rsid w:val="001A7735"/>
    <w:rsid w:val="001C0ACE"/>
    <w:rsid w:val="001C5AA9"/>
    <w:rsid w:val="001D298A"/>
    <w:rsid w:val="001D481A"/>
    <w:rsid w:val="001D4B12"/>
    <w:rsid w:val="001E0BDC"/>
    <w:rsid w:val="001E12EE"/>
    <w:rsid w:val="001E3FFA"/>
    <w:rsid w:val="001E416C"/>
    <w:rsid w:val="001E5B90"/>
    <w:rsid w:val="001F0CCD"/>
    <w:rsid w:val="001F2230"/>
    <w:rsid w:val="001F7BE4"/>
    <w:rsid w:val="00201157"/>
    <w:rsid w:val="0020159D"/>
    <w:rsid w:val="002020BF"/>
    <w:rsid w:val="00202A27"/>
    <w:rsid w:val="00206CEC"/>
    <w:rsid w:val="00216B3D"/>
    <w:rsid w:val="00226660"/>
    <w:rsid w:val="00226AF2"/>
    <w:rsid w:val="00231449"/>
    <w:rsid w:val="002319D6"/>
    <w:rsid w:val="00236F2E"/>
    <w:rsid w:val="002405FA"/>
    <w:rsid w:val="00240D57"/>
    <w:rsid w:val="002414A8"/>
    <w:rsid w:val="0024159C"/>
    <w:rsid w:val="0024197D"/>
    <w:rsid w:val="00242E6F"/>
    <w:rsid w:val="002457B5"/>
    <w:rsid w:val="0025106C"/>
    <w:rsid w:val="0025507C"/>
    <w:rsid w:val="0025531A"/>
    <w:rsid w:val="002564A8"/>
    <w:rsid w:val="0026135C"/>
    <w:rsid w:val="00261D7E"/>
    <w:rsid w:val="0026207C"/>
    <w:rsid w:val="00262A8F"/>
    <w:rsid w:val="00264214"/>
    <w:rsid w:val="002652BC"/>
    <w:rsid w:val="0027379F"/>
    <w:rsid w:val="00273F92"/>
    <w:rsid w:val="00274260"/>
    <w:rsid w:val="002814FC"/>
    <w:rsid w:val="002831A9"/>
    <w:rsid w:val="00293728"/>
    <w:rsid w:val="00294321"/>
    <w:rsid w:val="0029584D"/>
    <w:rsid w:val="00296A0E"/>
    <w:rsid w:val="002A1BDC"/>
    <w:rsid w:val="002A4B44"/>
    <w:rsid w:val="002A6D8A"/>
    <w:rsid w:val="002B2A8B"/>
    <w:rsid w:val="002B7E9A"/>
    <w:rsid w:val="002C08FB"/>
    <w:rsid w:val="002C47EF"/>
    <w:rsid w:val="002C5063"/>
    <w:rsid w:val="002D0D37"/>
    <w:rsid w:val="002D62E1"/>
    <w:rsid w:val="002E0DD3"/>
    <w:rsid w:val="002E29B2"/>
    <w:rsid w:val="002E32EC"/>
    <w:rsid w:val="002E5B08"/>
    <w:rsid w:val="002E7C2E"/>
    <w:rsid w:val="002E7E9D"/>
    <w:rsid w:val="002F3DB8"/>
    <w:rsid w:val="00300971"/>
    <w:rsid w:val="0030663C"/>
    <w:rsid w:val="003071B4"/>
    <w:rsid w:val="00307496"/>
    <w:rsid w:val="00307F43"/>
    <w:rsid w:val="003165A1"/>
    <w:rsid w:val="00320282"/>
    <w:rsid w:val="00321664"/>
    <w:rsid w:val="0032169A"/>
    <w:rsid w:val="00321C3A"/>
    <w:rsid w:val="0032298B"/>
    <w:rsid w:val="00324047"/>
    <w:rsid w:val="00324B9B"/>
    <w:rsid w:val="003273C1"/>
    <w:rsid w:val="00330BE9"/>
    <w:rsid w:val="003402F1"/>
    <w:rsid w:val="00342680"/>
    <w:rsid w:val="0034450B"/>
    <w:rsid w:val="00345F6C"/>
    <w:rsid w:val="0034675B"/>
    <w:rsid w:val="00350A81"/>
    <w:rsid w:val="00350CA6"/>
    <w:rsid w:val="003517A9"/>
    <w:rsid w:val="00355C36"/>
    <w:rsid w:val="00365C91"/>
    <w:rsid w:val="0037022C"/>
    <w:rsid w:val="00371DFB"/>
    <w:rsid w:val="00373A5A"/>
    <w:rsid w:val="00390475"/>
    <w:rsid w:val="00390E7B"/>
    <w:rsid w:val="0039582E"/>
    <w:rsid w:val="00397B6F"/>
    <w:rsid w:val="003A0AA1"/>
    <w:rsid w:val="003A6F9C"/>
    <w:rsid w:val="003B20BF"/>
    <w:rsid w:val="003B3903"/>
    <w:rsid w:val="003B3C42"/>
    <w:rsid w:val="003B5CC5"/>
    <w:rsid w:val="003C2681"/>
    <w:rsid w:val="003C44DA"/>
    <w:rsid w:val="003C5EE9"/>
    <w:rsid w:val="003C7662"/>
    <w:rsid w:val="003D00DF"/>
    <w:rsid w:val="003D0CE8"/>
    <w:rsid w:val="003D0FEC"/>
    <w:rsid w:val="003D2792"/>
    <w:rsid w:val="003D3E83"/>
    <w:rsid w:val="003D670B"/>
    <w:rsid w:val="003D7AE0"/>
    <w:rsid w:val="003E3361"/>
    <w:rsid w:val="003E4BE9"/>
    <w:rsid w:val="003E5E20"/>
    <w:rsid w:val="003E7977"/>
    <w:rsid w:val="003F02FB"/>
    <w:rsid w:val="003F2824"/>
    <w:rsid w:val="003F304A"/>
    <w:rsid w:val="003F3A45"/>
    <w:rsid w:val="003F409F"/>
    <w:rsid w:val="003F643B"/>
    <w:rsid w:val="0040093B"/>
    <w:rsid w:val="004113F3"/>
    <w:rsid w:val="0041452D"/>
    <w:rsid w:val="004203A1"/>
    <w:rsid w:val="00425019"/>
    <w:rsid w:val="004265BA"/>
    <w:rsid w:val="004309C1"/>
    <w:rsid w:val="004317D3"/>
    <w:rsid w:val="0043347A"/>
    <w:rsid w:val="00437D7D"/>
    <w:rsid w:val="00443D52"/>
    <w:rsid w:val="004445DA"/>
    <w:rsid w:val="004475E6"/>
    <w:rsid w:val="004500CB"/>
    <w:rsid w:val="00451135"/>
    <w:rsid w:val="004512E7"/>
    <w:rsid w:val="004529AB"/>
    <w:rsid w:val="00453BC6"/>
    <w:rsid w:val="004565D2"/>
    <w:rsid w:val="00460D28"/>
    <w:rsid w:val="00460F6B"/>
    <w:rsid w:val="00461967"/>
    <w:rsid w:val="004639FA"/>
    <w:rsid w:val="0047011C"/>
    <w:rsid w:val="00471446"/>
    <w:rsid w:val="00472D5B"/>
    <w:rsid w:val="004735E9"/>
    <w:rsid w:val="0047591B"/>
    <w:rsid w:val="00482DE2"/>
    <w:rsid w:val="00483ECA"/>
    <w:rsid w:val="00485DC3"/>
    <w:rsid w:val="004877F9"/>
    <w:rsid w:val="00491066"/>
    <w:rsid w:val="00494456"/>
    <w:rsid w:val="00495FDC"/>
    <w:rsid w:val="004A06CC"/>
    <w:rsid w:val="004A2D67"/>
    <w:rsid w:val="004C78B7"/>
    <w:rsid w:val="004C7B4C"/>
    <w:rsid w:val="004D1803"/>
    <w:rsid w:val="004D4139"/>
    <w:rsid w:val="004D6946"/>
    <w:rsid w:val="004E2EFD"/>
    <w:rsid w:val="004E4BA6"/>
    <w:rsid w:val="004E5EC6"/>
    <w:rsid w:val="004E6CC3"/>
    <w:rsid w:val="005019BD"/>
    <w:rsid w:val="005019E3"/>
    <w:rsid w:val="005023C5"/>
    <w:rsid w:val="00503A3D"/>
    <w:rsid w:val="005050EB"/>
    <w:rsid w:val="005066B5"/>
    <w:rsid w:val="00507F73"/>
    <w:rsid w:val="0051094F"/>
    <w:rsid w:val="00513488"/>
    <w:rsid w:val="00517300"/>
    <w:rsid w:val="005213E9"/>
    <w:rsid w:val="00521501"/>
    <w:rsid w:val="00524220"/>
    <w:rsid w:val="005307F7"/>
    <w:rsid w:val="0053094D"/>
    <w:rsid w:val="00531623"/>
    <w:rsid w:val="0053181F"/>
    <w:rsid w:val="00532124"/>
    <w:rsid w:val="0053256A"/>
    <w:rsid w:val="0053312D"/>
    <w:rsid w:val="005375A5"/>
    <w:rsid w:val="0054041B"/>
    <w:rsid w:val="00540495"/>
    <w:rsid w:val="00542B0B"/>
    <w:rsid w:val="005432BC"/>
    <w:rsid w:val="00545F1B"/>
    <w:rsid w:val="00550CAB"/>
    <w:rsid w:val="00553215"/>
    <w:rsid w:val="00553418"/>
    <w:rsid w:val="00556EB9"/>
    <w:rsid w:val="00557430"/>
    <w:rsid w:val="00557E46"/>
    <w:rsid w:val="00565116"/>
    <w:rsid w:val="00566A1F"/>
    <w:rsid w:val="0057306E"/>
    <w:rsid w:val="00573C5E"/>
    <w:rsid w:val="0057413E"/>
    <w:rsid w:val="00585BA6"/>
    <w:rsid w:val="00586A2C"/>
    <w:rsid w:val="00587660"/>
    <w:rsid w:val="00592B58"/>
    <w:rsid w:val="00593FEE"/>
    <w:rsid w:val="00595728"/>
    <w:rsid w:val="00595F6A"/>
    <w:rsid w:val="005A10F8"/>
    <w:rsid w:val="005A2C1C"/>
    <w:rsid w:val="005A63D6"/>
    <w:rsid w:val="005A6410"/>
    <w:rsid w:val="005B2D7F"/>
    <w:rsid w:val="005C213D"/>
    <w:rsid w:val="005C3F5C"/>
    <w:rsid w:val="005C6408"/>
    <w:rsid w:val="005C6A66"/>
    <w:rsid w:val="005D2DFA"/>
    <w:rsid w:val="005D41DC"/>
    <w:rsid w:val="005D4DAE"/>
    <w:rsid w:val="005D57E3"/>
    <w:rsid w:val="005D5F5F"/>
    <w:rsid w:val="005D6AE9"/>
    <w:rsid w:val="005E1FC3"/>
    <w:rsid w:val="005F01DA"/>
    <w:rsid w:val="005F5D5C"/>
    <w:rsid w:val="005F63AD"/>
    <w:rsid w:val="00607999"/>
    <w:rsid w:val="00610D6E"/>
    <w:rsid w:val="00611E35"/>
    <w:rsid w:val="00613729"/>
    <w:rsid w:val="00615161"/>
    <w:rsid w:val="006165D2"/>
    <w:rsid w:val="00617093"/>
    <w:rsid w:val="00623987"/>
    <w:rsid w:val="006247B8"/>
    <w:rsid w:val="0062597B"/>
    <w:rsid w:val="00626888"/>
    <w:rsid w:val="006302DD"/>
    <w:rsid w:val="006343F5"/>
    <w:rsid w:val="00635819"/>
    <w:rsid w:val="0064067B"/>
    <w:rsid w:val="00640901"/>
    <w:rsid w:val="00651153"/>
    <w:rsid w:val="00652464"/>
    <w:rsid w:val="00654C9B"/>
    <w:rsid w:val="006622DF"/>
    <w:rsid w:val="006651EB"/>
    <w:rsid w:val="00673887"/>
    <w:rsid w:val="00674C27"/>
    <w:rsid w:val="00676928"/>
    <w:rsid w:val="006802A1"/>
    <w:rsid w:val="0068380A"/>
    <w:rsid w:val="00687993"/>
    <w:rsid w:val="0069383B"/>
    <w:rsid w:val="00694626"/>
    <w:rsid w:val="0069749B"/>
    <w:rsid w:val="00697720"/>
    <w:rsid w:val="00697D53"/>
    <w:rsid w:val="006A02F3"/>
    <w:rsid w:val="006A05B9"/>
    <w:rsid w:val="006A21E5"/>
    <w:rsid w:val="006A2509"/>
    <w:rsid w:val="006A2875"/>
    <w:rsid w:val="006A65B3"/>
    <w:rsid w:val="006B164B"/>
    <w:rsid w:val="006B2428"/>
    <w:rsid w:val="006B3F67"/>
    <w:rsid w:val="006B7F5C"/>
    <w:rsid w:val="006C1E4C"/>
    <w:rsid w:val="006C20C8"/>
    <w:rsid w:val="006C363E"/>
    <w:rsid w:val="006D3BEB"/>
    <w:rsid w:val="006D485A"/>
    <w:rsid w:val="006D6CDE"/>
    <w:rsid w:val="006D6E91"/>
    <w:rsid w:val="006D7AEF"/>
    <w:rsid w:val="006E4C89"/>
    <w:rsid w:val="006E5F5F"/>
    <w:rsid w:val="006E6AC6"/>
    <w:rsid w:val="006E6D32"/>
    <w:rsid w:val="006F290D"/>
    <w:rsid w:val="006F50AA"/>
    <w:rsid w:val="006F77FF"/>
    <w:rsid w:val="006F7DF0"/>
    <w:rsid w:val="00700560"/>
    <w:rsid w:val="0070258F"/>
    <w:rsid w:val="00705117"/>
    <w:rsid w:val="007079A8"/>
    <w:rsid w:val="0071197D"/>
    <w:rsid w:val="0071201C"/>
    <w:rsid w:val="00716063"/>
    <w:rsid w:val="00716AF5"/>
    <w:rsid w:val="007204EB"/>
    <w:rsid w:val="00720544"/>
    <w:rsid w:val="0072318E"/>
    <w:rsid w:val="0072321F"/>
    <w:rsid w:val="007275F2"/>
    <w:rsid w:val="0073687C"/>
    <w:rsid w:val="00737BDD"/>
    <w:rsid w:val="007455BE"/>
    <w:rsid w:val="0074620D"/>
    <w:rsid w:val="007513F4"/>
    <w:rsid w:val="00753C5C"/>
    <w:rsid w:val="00754C4C"/>
    <w:rsid w:val="00761F8E"/>
    <w:rsid w:val="0076341D"/>
    <w:rsid w:val="0076426B"/>
    <w:rsid w:val="00764563"/>
    <w:rsid w:val="00766DB1"/>
    <w:rsid w:val="007703F9"/>
    <w:rsid w:val="00774C0E"/>
    <w:rsid w:val="00775EC9"/>
    <w:rsid w:val="007768A8"/>
    <w:rsid w:val="00776EA5"/>
    <w:rsid w:val="007832B1"/>
    <w:rsid w:val="00783C63"/>
    <w:rsid w:val="007903D3"/>
    <w:rsid w:val="00791E9F"/>
    <w:rsid w:val="0079330E"/>
    <w:rsid w:val="007973BB"/>
    <w:rsid w:val="007A0ADB"/>
    <w:rsid w:val="007A13DA"/>
    <w:rsid w:val="007A21CF"/>
    <w:rsid w:val="007A2882"/>
    <w:rsid w:val="007A3773"/>
    <w:rsid w:val="007A39E6"/>
    <w:rsid w:val="007A5BC0"/>
    <w:rsid w:val="007A6B0B"/>
    <w:rsid w:val="007B21C3"/>
    <w:rsid w:val="007B26EB"/>
    <w:rsid w:val="007B342F"/>
    <w:rsid w:val="007B35B9"/>
    <w:rsid w:val="007B4B62"/>
    <w:rsid w:val="007B4B9D"/>
    <w:rsid w:val="007B6BCE"/>
    <w:rsid w:val="007B7D1C"/>
    <w:rsid w:val="007C15A7"/>
    <w:rsid w:val="007C2219"/>
    <w:rsid w:val="007C67FF"/>
    <w:rsid w:val="007D627B"/>
    <w:rsid w:val="007D7A7A"/>
    <w:rsid w:val="007D7E4B"/>
    <w:rsid w:val="007E4DDA"/>
    <w:rsid w:val="007E6049"/>
    <w:rsid w:val="0080069A"/>
    <w:rsid w:val="00800D9E"/>
    <w:rsid w:val="00804275"/>
    <w:rsid w:val="00806CB3"/>
    <w:rsid w:val="00807117"/>
    <w:rsid w:val="00807C07"/>
    <w:rsid w:val="0081013D"/>
    <w:rsid w:val="00811906"/>
    <w:rsid w:val="0081218F"/>
    <w:rsid w:val="00820BF8"/>
    <w:rsid w:val="00821DBB"/>
    <w:rsid w:val="00830D78"/>
    <w:rsid w:val="00831025"/>
    <w:rsid w:val="008348F0"/>
    <w:rsid w:val="00843C2C"/>
    <w:rsid w:val="00851174"/>
    <w:rsid w:val="008538E5"/>
    <w:rsid w:val="00855C28"/>
    <w:rsid w:val="00855D51"/>
    <w:rsid w:val="0086046E"/>
    <w:rsid w:val="00862C84"/>
    <w:rsid w:val="008630DF"/>
    <w:rsid w:val="0086329F"/>
    <w:rsid w:val="00864E52"/>
    <w:rsid w:val="0086651B"/>
    <w:rsid w:val="00880381"/>
    <w:rsid w:val="0088167A"/>
    <w:rsid w:val="008834AE"/>
    <w:rsid w:val="008837D8"/>
    <w:rsid w:val="00890585"/>
    <w:rsid w:val="00892080"/>
    <w:rsid w:val="008926B1"/>
    <w:rsid w:val="00893AA3"/>
    <w:rsid w:val="00894F4F"/>
    <w:rsid w:val="008A166C"/>
    <w:rsid w:val="008A73E6"/>
    <w:rsid w:val="008A7603"/>
    <w:rsid w:val="008A7B38"/>
    <w:rsid w:val="008A7CF2"/>
    <w:rsid w:val="008B04F7"/>
    <w:rsid w:val="008B0512"/>
    <w:rsid w:val="008B1E96"/>
    <w:rsid w:val="008B7F1F"/>
    <w:rsid w:val="008C08C3"/>
    <w:rsid w:val="008C48D1"/>
    <w:rsid w:val="008C6468"/>
    <w:rsid w:val="008C7F32"/>
    <w:rsid w:val="008D21A7"/>
    <w:rsid w:val="008D51A3"/>
    <w:rsid w:val="008D5B14"/>
    <w:rsid w:val="008E2FB7"/>
    <w:rsid w:val="008E508B"/>
    <w:rsid w:val="008F183D"/>
    <w:rsid w:val="008F79B4"/>
    <w:rsid w:val="00902F2A"/>
    <w:rsid w:val="009049A6"/>
    <w:rsid w:val="00904D2B"/>
    <w:rsid w:val="00905E99"/>
    <w:rsid w:val="00907296"/>
    <w:rsid w:val="009160A2"/>
    <w:rsid w:val="00920B5E"/>
    <w:rsid w:val="00921768"/>
    <w:rsid w:val="00921972"/>
    <w:rsid w:val="00924F5C"/>
    <w:rsid w:val="00930208"/>
    <w:rsid w:val="0093314F"/>
    <w:rsid w:val="00935391"/>
    <w:rsid w:val="009358C4"/>
    <w:rsid w:val="00936404"/>
    <w:rsid w:val="00940045"/>
    <w:rsid w:val="0094091C"/>
    <w:rsid w:val="00943046"/>
    <w:rsid w:val="009431C9"/>
    <w:rsid w:val="00943DCA"/>
    <w:rsid w:val="009440A9"/>
    <w:rsid w:val="00944AE6"/>
    <w:rsid w:val="00950162"/>
    <w:rsid w:val="00950A73"/>
    <w:rsid w:val="0095281D"/>
    <w:rsid w:val="00954F68"/>
    <w:rsid w:val="0096125E"/>
    <w:rsid w:val="009616C9"/>
    <w:rsid w:val="00964440"/>
    <w:rsid w:val="00964A1D"/>
    <w:rsid w:val="00965DA1"/>
    <w:rsid w:val="0096695B"/>
    <w:rsid w:val="0097294C"/>
    <w:rsid w:val="009730A7"/>
    <w:rsid w:val="009753AB"/>
    <w:rsid w:val="00976651"/>
    <w:rsid w:val="0098161D"/>
    <w:rsid w:val="00983258"/>
    <w:rsid w:val="00984237"/>
    <w:rsid w:val="009854EA"/>
    <w:rsid w:val="00985E35"/>
    <w:rsid w:val="00987997"/>
    <w:rsid w:val="00992A46"/>
    <w:rsid w:val="0099314D"/>
    <w:rsid w:val="00993CC3"/>
    <w:rsid w:val="00996296"/>
    <w:rsid w:val="00997004"/>
    <w:rsid w:val="009A06C1"/>
    <w:rsid w:val="009A1665"/>
    <w:rsid w:val="009A1CBE"/>
    <w:rsid w:val="009A724F"/>
    <w:rsid w:val="009A7E9C"/>
    <w:rsid w:val="009B4612"/>
    <w:rsid w:val="009B6A22"/>
    <w:rsid w:val="009B6C41"/>
    <w:rsid w:val="009B75E2"/>
    <w:rsid w:val="009C1242"/>
    <w:rsid w:val="009C63FE"/>
    <w:rsid w:val="009D21A8"/>
    <w:rsid w:val="009D24C0"/>
    <w:rsid w:val="009D53FA"/>
    <w:rsid w:val="009E3F68"/>
    <w:rsid w:val="009F602C"/>
    <w:rsid w:val="009F6E30"/>
    <w:rsid w:val="00A011B9"/>
    <w:rsid w:val="00A022AE"/>
    <w:rsid w:val="00A15025"/>
    <w:rsid w:val="00A157ED"/>
    <w:rsid w:val="00A21E6F"/>
    <w:rsid w:val="00A224BE"/>
    <w:rsid w:val="00A2642B"/>
    <w:rsid w:val="00A32902"/>
    <w:rsid w:val="00A33497"/>
    <w:rsid w:val="00A411CF"/>
    <w:rsid w:val="00A42911"/>
    <w:rsid w:val="00A43EE6"/>
    <w:rsid w:val="00A441C6"/>
    <w:rsid w:val="00A444F8"/>
    <w:rsid w:val="00A44BB3"/>
    <w:rsid w:val="00A465F8"/>
    <w:rsid w:val="00A46FB7"/>
    <w:rsid w:val="00A5344D"/>
    <w:rsid w:val="00A53E8D"/>
    <w:rsid w:val="00A574D3"/>
    <w:rsid w:val="00A620DB"/>
    <w:rsid w:val="00A620E5"/>
    <w:rsid w:val="00A63DCC"/>
    <w:rsid w:val="00A643DE"/>
    <w:rsid w:val="00A66595"/>
    <w:rsid w:val="00A70274"/>
    <w:rsid w:val="00A71BC1"/>
    <w:rsid w:val="00A72477"/>
    <w:rsid w:val="00A74CDA"/>
    <w:rsid w:val="00A8089E"/>
    <w:rsid w:val="00A8164E"/>
    <w:rsid w:val="00A820E4"/>
    <w:rsid w:val="00A8553D"/>
    <w:rsid w:val="00A91397"/>
    <w:rsid w:val="00A93DB8"/>
    <w:rsid w:val="00AA1FB6"/>
    <w:rsid w:val="00AA3CD3"/>
    <w:rsid w:val="00AA75D1"/>
    <w:rsid w:val="00AB222B"/>
    <w:rsid w:val="00AB34A2"/>
    <w:rsid w:val="00AB6264"/>
    <w:rsid w:val="00AB6AD1"/>
    <w:rsid w:val="00AC0E9E"/>
    <w:rsid w:val="00AC368F"/>
    <w:rsid w:val="00AC52B1"/>
    <w:rsid w:val="00AC5598"/>
    <w:rsid w:val="00AC5CE6"/>
    <w:rsid w:val="00AD30D7"/>
    <w:rsid w:val="00AE01AC"/>
    <w:rsid w:val="00AE1630"/>
    <w:rsid w:val="00AE6CC5"/>
    <w:rsid w:val="00AF0243"/>
    <w:rsid w:val="00AF6176"/>
    <w:rsid w:val="00B00361"/>
    <w:rsid w:val="00B0367B"/>
    <w:rsid w:val="00B0388F"/>
    <w:rsid w:val="00B13657"/>
    <w:rsid w:val="00B2441C"/>
    <w:rsid w:val="00B25DE2"/>
    <w:rsid w:val="00B27F25"/>
    <w:rsid w:val="00B32296"/>
    <w:rsid w:val="00B33832"/>
    <w:rsid w:val="00B3468F"/>
    <w:rsid w:val="00B34F7A"/>
    <w:rsid w:val="00B37BD6"/>
    <w:rsid w:val="00B453EE"/>
    <w:rsid w:val="00B56F32"/>
    <w:rsid w:val="00B6195C"/>
    <w:rsid w:val="00B61A93"/>
    <w:rsid w:val="00B61EB9"/>
    <w:rsid w:val="00B636DE"/>
    <w:rsid w:val="00B64122"/>
    <w:rsid w:val="00B773CF"/>
    <w:rsid w:val="00B92437"/>
    <w:rsid w:val="00B9566B"/>
    <w:rsid w:val="00BA44E5"/>
    <w:rsid w:val="00BA600E"/>
    <w:rsid w:val="00BB1D1B"/>
    <w:rsid w:val="00BB24DC"/>
    <w:rsid w:val="00BB65BA"/>
    <w:rsid w:val="00BB6EF3"/>
    <w:rsid w:val="00BC3355"/>
    <w:rsid w:val="00BC5EBB"/>
    <w:rsid w:val="00BC65AA"/>
    <w:rsid w:val="00BD3426"/>
    <w:rsid w:val="00BE25F4"/>
    <w:rsid w:val="00BE633C"/>
    <w:rsid w:val="00BF1C88"/>
    <w:rsid w:val="00BF3061"/>
    <w:rsid w:val="00BF3FBA"/>
    <w:rsid w:val="00BF6A37"/>
    <w:rsid w:val="00BF6D6C"/>
    <w:rsid w:val="00C104A1"/>
    <w:rsid w:val="00C149E7"/>
    <w:rsid w:val="00C20587"/>
    <w:rsid w:val="00C210AF"/>
    <w:rsid w:val="00C241BD"/>
    <w:rsid w:val="00C260AE"/>
    <w:rsid w:val="00C34288"/>
    <w:rsid w:val="00C347AB"/>
    <w:rsid w:val="00C3485C"/>
    <w:rsid w:val="00C34E97"/>
    <w:rsid w:val="00C35EF3"/>
    <w:rsid w:val="00C36767"/>
    <w:rsid w:val="00C448D4"/>
    <w:rsid w:val="00C63838"/>
    <w:rsid w:val="00C65A52"/>
    <w:rsid w:val="00C66194"/>
    <w:rsid w:val="00C663EF"/>
    <w:rsid w:val="00C773D1"/>
    <w:rsid w:val="00C8080B"/>
    <w:rsid w:val="00C82DDA"/>
    <w:rsid w:val="00C82DE5"/>
    <w:rsid w:val="00C8309F"/>
    <w:rsid w:val="00C84DF1"/>
    <w:rsid w:val="00C874AC"/>
    <w:rsid w:val="00C90CC1"/>
    <w:rsid w:val="00C95573"/>
    <w:rsid w:val="00CA0412"/>
    <w:rsid w:val="00CA656F"/>
    <w:rsid w:val="00CB0D71"/>
    <w:rsid w:val="00CB1B98"/>
    <w:rsid w:val="00CB1D00"/>
    <w:rsid w:val="00CB69D9"/>
    <w:rsid w:val="00CC0F35"/>
    <w:rsid w:val="00CC552A"/>
    <w:rsid w:val="00CD1665"/>
    <w:rsid w:val="00CD48C0"/>
    <w:rsid w:val="00CE58C2"/>
    <w:rsid w:val="00CE6CF4"/>
    <w:rsid w:val="00CF106B"/>
    <w:rsid w:val="00CF3143"/>
    <w:rsid w:val="00CF3A96"/>
    <w:rsid w:val="00CF6279"/>
    <w:rsid w:val="00D04445"/>
    <w:rsid w:val="00D072C2"/>
    <w:rsid w:val="00D12F8B"/>
    <w:rsid w:val="00D1434C"/>
    <w:rsid w:val="00D20805"/>
    <w:rsid w:val="00D21C50"/>
    <w:rsid w:val="00D24ED2"/>
    <w:rsid w:val="00D2625C"/>
    <w:rsid w:val="00D26F91"/>
    <w:rsid w:val="00D3143A"/>
    <w:rsid w:val="00D3509E"/>
    <w:rsid w:val="00D35864"/>
    <w:rsid w:val="00D365DA"/>
    <w:rsid w:val="00D37968"/>
    <w:rsid w:val="00D409AF"/>
    <w:rsid w:val="00D40A47"/>
    <w:rsid w:val="00D43339"/>
    <w:rsid w:val="00D44ED3"/>
    <w:rsid w:val="00D47206"/>
    <w:rsid w:val="00D51414"/>
    <w:rsid w:val="00D518C5"/>
    <w:rsid w:val="00D54499"/>
    <w:rsid w:val="00D559FF"/>
    <w:rsid w:val="00D55DD3"/>
    <w:rsid w:val="00D60DED"/>
    <w:rsid w:val="00D611EB"/>
    <w:rsid w:val="00D61ACC"/>
    <w:rsid w:val="00D67081"/>
    <w:rsid w:val="00D71A82"/>
    <w:rsid w:val="00D7717B"/>
    <w:rsid w:val="00D828DE"/>
    <w:rsid w:val="00D87187"/>
    <w:rsid w:val="00D93732"/>
    <w:rsid w:val="00D942D1"/>
    <w:rsid w:val="00D96EF2"/>
    <w:rsid w:val="00D97910"/>
    <w:rsid w:val="00DA4E3D"/>
    <w:rsid w:val="00DA65BB"/>
    <w:rsid w:val="00DA684C"/>
    <w:rsid w:val="00DB1CBD"/>
    <w:rsid w:val="00DB4B0A"/>
    <w:rsid w:val="00DB5BB1"/>
    <w:rsid w:val="00DC27FF"/>
    <w:rsid w:val="00DC2A46"/>
    <w:rsid w:val="00DC6B9A"/>
    <w:rsid w:val="00DC77DA"/>
    <w:rsid w:val="00DD718E"/>
    <w:rsid w:val="00DD77FF"/>
    <w:rsid w:val="00DE5C8D"/>
    <w:rsid w:val="00DE6A14"/>
    <w:rsid w:val="00DE793E"/>
    <w:rsid w:val="00DF7AE0"/>
    <w:rsid w:val="00E04C72"/>
    <w:rsid w:val="00E10574"/>
    <w:rsid w:val="00E13D75"/>
    <w:rsid w:val="00E15273"/>
    <w:rsid w:val="00E16D07"/>
    <w:rsid w:val="00E2517A"/>
    <w:rsid w:val="00E35E50"/>
    <w:rsid w:val="00E41939"/>
    <w:rsid w:val="00E44D15"/>
    <w:rsid w:val="00E45F2C"/>
    <w:rsid w:val="00E5163E"/>
    <w:rsid w:val="00E545C9"/>
    <w:rsid w:val="00E54F54"/>
    <w:rsid w:val="00E55A95"/>
    <w:rsid w:val="00E5797F"/>
    <w:rsid w:val="00E6012A"/>
    <w:rsid w:val="00E60D95"/>
    <w:rsid w:val="00E612A9"/>
    <w:rsid w:val="00E66010"/>
    <w:rsid w:val="00E73E53"/>
    <w:rsid w:val="00E74A57"/>
    <w:rsid w:val="00E762FE"/>
    <w:rsid w:val="00E7635C"/>
    <w:rsid w:val="00E807BD"/>
    <w:rsid w:val="00E81599"/>
    <w:rsid w:val="00E81695"/>
    <w:rsid w:val="00E84641"/>
    <w:rsid w:val="00E85705"/>
    <w:rsid w:val="00E8667E"/>
    <w:rsid w:val="00E90BDA"/>
    <w:rsid w:val="00E90CDA"/>
    <w:rsid w:val="00E95691"/>
    <w:rsid w:val="00EA6510"/>
    <w:rsid w:val="00EB1BD4"/>
    <w:rsid w:val="00EB5837"/>
    <w:rsid w:val="00EB605A"/>
    <w:rsid w:val="00EC66CA"/>
    <w:rsid w:val="00ED03C9"/>
    <w:rsid w:val="00ED34E4"/>
    <w:rsid w:val="00ED4FAA"/>
    <w:rsid w:val="00ED5E2E"/>
    <w:rsid w:val="00ED76B0"/>
    <w:rsid w:val="00EE1002"/>
    <w:rsid w:val="00EE147D"/>
    <w:rsid w:val="00EE1B58"/>
    <w:rsid w:val="00EE22C4"/>
    <w:rsid w:val="00EE412F"/>
    <w:rsid w:val="00EE658C"/>
    <w:rsid w:val="00EE779E"/>
    <w:rsid w:val="00EF231A"/>
    <w:rsid w:val="00EF3939"/>
    <w:rsid w:val="00EF3A9B"/>
    <w:rsid w:val="00EF658B"/>
    <w:rsid w:val="00F00E80"/>
    <w:rsid w:val="00F07DCB"/>
    <w:rsid w:val="00F11B29"/>
    <w:rsid w:val="00F13658"/>
    <w:rsid w:val="00F26F67"/>
    <w:rsid w:val="00F2739C"/>
    <w:rsid w:val="00F31E66"/>
    <w:rsid w:val="00F31ED6"/>
    <w:rsid w:val="00F33A2D"/>
    <w:rsid w:val="00F34FA3"/>
    <w:rsid w:val="00F36CD7"/>
    <w:rsid w:val="00F36FC5"/>
    <w:rsid w:val="00F371E2"/>
    <w:rsid w:val="00F37665"/>
    <w:rsid w:val="00F40BC8"/>
    <w:rsid w:val="00F41839"/>
    <w:rsid w:val="00F43CCD"/>
    <w:rsid w:val="00F43F31"/>
    <w:rsid w:val="00F44250"/>
    <w:rsid w:val="00F44265"/>
    <w:rsid w:val="00F44398"/>
    <w:rsid w:val="00F4622A"/>
    <w:rsid w:val="00F52AD4"/>
    <w:rsid w:val="00F53C8A"/>
    <w:rsid w:val="00F5426A"/>
    <w:rsid w:val="00F55A63"/>
    <w:rsid w:val="00F634F8"/>
    <w:rsid w:val="00F6679B"/>
    <w:rsid w:val="00F66DD6"/>
    <w:rsid w:val="00F7027B"/>
    <w:rsid w:val="00F74946"/>
    <w:rsid w:val="00F74C5F"/>
    <w:rsid w:val="00F768EA"/>
    <w:rsid w:val="00F802A1"/>
    <w:rsid w:val="00F903E5"/>
    <w:rsid w:val="00F92802"/>
    <w:rsid w:val="00F97227"/>
    <w:rsid w:val="00FA0532"/>
    <w:rsid w:val="00FA5BAB"/>
    <w:rsid w:val="00FA6187"/>
    <w:rsid w:val="00FB1CD5"/>
    <w:rsid w:val="00FC146E"/>
    <w:rsid w:val="00FC336F"/>
    <w:rsid w:val="00FC5220"/>
    <w:rsid w:val="00FC6FD9"/>
    <w:rsid w:val="00FD3454"/>
    <w:rsid w:val="00FD7503"/>
    <w:rsid w:val="00FE218C"/>
    <w:rsid w:val="00FE34F2"/>
    <w:rsid w:val="00FE4923"/>
    <w:rsid w:val="00FF09BB"/>
    <w:rsid w:val="00FF1B85"/>
    <w:rsid w:val="00FF5FD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3E8C820-C588-4252-A560-8040B50D8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B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BBF"/>
    <w:pPr>
      <w:ind w:left="720"/>
      <w:contextualSpacing/>
    </w:pPr>
  </w:style>
  <w:style w:type="paragraph" w:styleId="Header">
    <w:name w:val="header"/>
    <w:basedOn w:val="Normal"/>
    <w:link w:val="HeaderChar"/>
    <w:uiPriority w:val="99"/>
    <w:unhideWhenUsed/>
    <w:rsid w:val="00A534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44D"/>
  </w:style>
  <w:style w:type="paragraph" w:styleId="Footer">
    <w:name w:val="footer"/>
    <w:basedOn w:val="Normal"/>
    <w:link w:val="FooterChar"/>
    <w:uiPriority w:val="99"/>
    <w:unhideWhenUsed/>
    <w:rsid w:val="00A534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44D"/>
  </w:style>
  <w:style w:type="paragraph" w:styleId="BodyText">
    <w:name w:val="Body Text"/>
    <w:basedOn w:val="Normal"/>
    <w:link w:val="BodyTextChar"/>
    <w:uiPriority w:val="99"/>
    <w:rsid w:val="00C36767"/>
    <w:pPr>
      <w:widowControl w:val="0"/>
      <w:autoSpaceDE w:val="0"/>
      <w:autoSpaceDN w:val="0"/>
      <w:adjustRightInd w:val="0"/>
      <w:spacing w:after="0" w:line="720" w:lineRule="atLeast"/>
      <w:jc w:val="both"/>
    </w:pPr>
    <w:rPr>
      <w:rFonts w:ascii="Arial" w:eastAsiaTheme="minorEastAsia" w:hAnsi="Arial" w:cs="Arial"/>
      <w:sz w:val="30"/>
      <w:szCs w:val="30"/>
      <w:lang w:val="en-GB"/>
    </w:rPr>
  </w:style>
  <w:style w:type="character" w:customStyle="1" w:styleId="BodyTextChar">
    <w:name w:val="Body Text Char"/>
    <w:basedOn w:val="DefaultParagraphFont"/>
    <w:link w:val="BodyText"/>
    <w:uiPriority w:val="99"/>
    <w:rsid w:val="00C36767"/>
    <w:rPr>
      <w:rFonts w:ascii="Arial" w:eastAsiaTheme="minorEastAsia" w:hAnsi="Arial" w:cs="Arial"/>
      <w:sz w:val="30"/>
      <w:szCs w:val="30"/>
      <w:lang w:val="en-GB"/>
    </w:rPr>
  </w:style>
  <w:style w:type="paragraph" w:styleId="FootnoteText">
    <w:name w:val="footnote text"/>
    <w:basedOn w:val="Normal"/>
    <w:link w:val="FootnoteTextChar"/>
    <w:uiPriority w:val="99"/>
    <w:rsid w:val="00C36767"/>
    <w:pPr>
      <w:widowControl w:val="0"/>
      <w:autoSpaceDE w:val="0"/>
      <w:autoSpaceDN w:val="0"/>
      <w:adjustRightInd w:val="0"/>
      <w:spacing w:after="0" w:line="240" w:lineRule="auto"/>
    </w:pPr>
    <w:rPr>
      <w:rFonts w:ascii="Arial" w:eastAsiaTheme="minorEastAsia" w:hAnsi="Arial" w:cs="Arial"/>
      <w:sz w:val="20"/>
      <w:szCs w:val="20"/>
      <w:lang w:val="en-GB"/>
    </w:rPr>
  </w:style>
  <w:style w:type="character" w:customStyle="1" w:styleId="FootnoteTextChar">
    <w:name w:val="Footnote Text Char"/>
    <w:basedOn w:val="DefaultParagraphFont"/>
    <w:link w:val="FootnoteText"/>
    <w:uiPriority w:val="99"/>
    <w:rsid w:val="00C36767"/>
    <w:rPr>
      <w:rFonts w:ascii="Arial" w:eastAsiaTheme="minorEastAsia" w:hAnsi="Arial" w:cs="Arial"/>
      <w:sz w:val="20"/>
      <w:szCs w:val="20"/>
      <w:lang w:val="en-GB"/>
    </w:rPr>
  </w:style>
  <w:style w:type="character" w:styleId="FootnoteReference">
    <w:name w:val="footnote reference"/>
    <w:basedOn w:val="DefaultParagraphFont"/>
    <w:uiPriority w:val="99"/>
    <w:rsid w:val="00C36767"/>
    <w:rPr>
      <w:rFonts w:cs="Times New Roman"/>
      <w:vertAlign w:val="superscript"/>
    </w:rPr>
  </w:style>
  <w:style w:type="paragraph" w:styleId="NoSpacing">
    <w:name w:val="No Spacing"/>
    <w:uiPriority w:val="1"/>
    <w:qFormat/>
    <w:rsid w:val="0032298B"/>
    <w:pPr>
      <w:spacing w:after="0" w:line="240" w:lineRule="auto"/>
    </w:pPr>
  </w:style>
  <w:style w:type="paragraph" w:styleId="BalloonText">
    <w:name w:val="Balloon Text"/>
    <w:basedOn w:val="Normal"/>
    <w:link w:val="BalloonTextChar"/>
    <w:uiPriority w:val="99"/>
    <w:semiHidden/>
    <w:unhideWhenUsed/>
    <w:rsid w:val="00EE22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22C4"/>
    <w:rPr>
      <w:rFonts w:ascii="Tahoma" w:hAnsi="Tahoma" w:cs="Tahoma"/>
      <w:sz w:val="16"/>
      <w:szCs w:val="16"/>
    </w:rPr>
  </w:style>
  <w:style w:type="character" w:styleId="CommentReference">
    <w:name w:val="annotation reference"/>
    <w:basedOn w:val="DefaultParagraphFont"/>
    <w:uiPriority w:val="99"/>
    <w:semiHidden/>
    <w:unhideWhenUsed/>
    <w:rsid w:val="00C448D4"/>
    <w:rPr>
      <w:sz w:val="16"/>
      <w:szCs w:val="16"/>
    </w:rPr>
  </w:style>
  <w:style w:type="paragraph" w:styleId="CommentText">
    <w:name w:val="annotation text"/>
    <w:basedOn w:val="Normal"/>
    <w:link w:val="CommentTextChar"/>
    <w:uiPriority w:val="99"/>
    <w:semiHidden/>
    <w:unhideWhenUsed/>
    <w:rsid w:val="00C448D4"/>
    <w:pPr>
      <w:spacing w:line="240" w:lineRule="auto"/>
    </w:pPr>
    <w:rPr>
      <w:sz w:val="20"/>
      <w:szCs w:val="20"/>
    </w:rPr>
  </w:style>
  <w:style w:type="character" w:customStyle="1" w:styleId="CommentTextChar">
    <w:name w:val="Comment Text Char"/>
    <w:basedOn w:val="DefaultParagraphFont"/>
    <w:link w:val="CommentText"/>
    <w:uiPriority w:val="99"/>
    <w:semiHidden/>
    <w:rsid w:val="00C448D4"/>
    <w:rPr>
      <w:sz w:val="20"/>
      <w:szCs w:val="20"/>
    </w:rPr>
  </w:style>
  <w:style w:type="paragraph" w:styleId="CommentSubject">
    <w:name w:val="annotation subject"/>
    <w:basedOn w:val="CommentText"/>
    <w:next w:val="CommentText"/>
    <w:link w:val="CommentSubjectChar"/>
    <w:uiPriority w:val="99"/>
    <w:semiHidden/>
    <w:unhideWhenUsed/>
    <w:rsid w:val="00C448D4"/>
    <w:rPr>
      <w:b/>
      <w:bCs/>
    </w:rPr>
  </w:style>
  <w:style w:type="character" w:customStyle="1" w:styleId="CommentSubjectChar">
    <w:name w:val="Comment Subject Char"/>
    <w:basedOn w:val="CommentTextChar"/>
    <w:link w:val="CommentSubject"/>
    <w:uiPriority w:val="99"/>
    <w:semiHidden/>
    <w:rsid w:val="00C448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653136">
      <w:bodyDiv w:val="1"/>
      <w:marLeft w:val="0"/>
      <w:marRight w:val="0"/>
      <w:marTop w:val="0"/>
      <w:marBottom w:val="0"/>
      <w:divBdr>
        <w:top w:val="none" w:sz="0" w:space="0" w:color="auto"/>
        <w:left w:val="none" w:sz="0" w:space="0" w:color="auto"/>
        <w:bottom w:val="none" w:sz="0" w:space="0" w:color="auto"/>
        <w:right w:val="none" w:sz="0" w:space="0" w:color="auto"/>
      </w:divBdr>
    </w:div>
    <w:div w:id="188300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378C7-7B4D-4039-BE81-C18ACE55A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2736</Words>
  <Characters>15601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JSC</cp:lastModifiedBy>
  <cp:revision>2</cp:revision>
  <cp:lastPrinted>2021-02-12T14:02:00Z</cp:lastPrinted>
  <dcterms:created xsi:type="dcterms:W3CDTF">2021-03-15T07:48:00Z</dcterms:created>
  <dcterms:modified xsi:type="dcterms:W3CDTF">2021-03-15T07:48:00Z</dcterms:modified>
</cp:coreProperties>
</file>