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1" w:type="dxa"/>
        <w:tblBorders>
          <w:bottom w:val="single" w:sz="6" w:space="0" w:color="auto"/>
        </w:tblBorders>
        <w:tblLayout w:type="fixed"/>
        <w:tblLook w:val="0000" w:firstRow="0" w:lastRow="0" w:firstColumn="0" w:lastColumn="0" w:noHBand="0" w:noVBand="0"/>
      </w:tblPr>
      <w:tblGrid>
        <w:gridCol w:w="3896"/>
        <w:gridCol w:w="1491"/>
        <w:gridCol w:w="4394"/>
      </w:tblGrid>
      <w:tr w:rsidR="005A4D7A" w14:paraId="0ADEF21A" w14:textId="77777777" w:rsidTr="009C18C8">
        <w:trPr>
          <w:trHeight w:val="70"/>
        </w:trPr>
        <w:tc>
          <w:tcPr>
            <w:tcW w:w="3896" w:type="dxa"/>
            <w:tcBorders>
              <w:bottom w:val="nil"/>
            </w:tcBorders>
          </w:tcPr>
          <w:p w14:paraId="3C475FB3" w14:textId="77777777" w:rsidR="005A4D7A" w:rsidRDefault="005A4D7A" w:rsidP="009A35C7">
            <w:pPr>
              <w:tabs>
                <w:tab w:val="left" w:pos="1134"/>
                <w:tab w:val="left" w:pos="1276"/>
                <w:tab w:val="left" w:pos="1560"/>
                <w:tab w:val="center" w:pos="4395"/>
                <w:tab w:val="right" w:pos="8505"/>
              </w:tabs>
              <w:spacing w:line="360" w:lineRule="auto"/>
              <w:jc w:val="both"/>
              <w:rPr>
                <w:b/>
              </w:rPr>
            </w:pPr>
            <w:bookmarkStart w:id="0" w:name="_GoBack"/>
            <w:bookmarkEnd w:id="0"/>
          </w:p>
        </w:tc>
        <w:tc>
          <w:tcPr>
            <w:tcW w:w="1491" w:type="dxa"/>
            <w:tcBorders>
              <w:bottom w:val="nil"/>
            </w:tcBorders>
          </w:tcPr>
          <w:p w14:paraId="192F27B4" w14:textId="77777777" w:rsidR="005A4D7A" w:rsidRDefault="005A4D7A" w:rsidP="009A35C7">
            <w:pPr>
              <w:tabs>
                <w:tab w:val="center" w:pos="4395"/>
                <w:tab w:val="right" w:pos="8505"/>
              </w:tabs>
              <w:spacing w:line="360" w:lineRule="auto"/>
              <w:jc w:val="both"/>
              <w:rPr>
                <w:sz w:val="19"/>
              </w:rPr>
            </w:pPr>
          </w:p>
        </w:tc>
        <w:tc>
          <w:tcPr>
            <w:tcW w:w="4394" w:type="dxa"/>
            <w:tcBorders>
              <w:bottom w:val="nil"/>
            </w:tcBorders>
          </w:tcPr>
          <w:p w14:paraId="4112D76B" w14:textId="77777777" w:rsidR="005A4D7A" w:rsidRDefault="005A4D7A" w:rsidP="009A35C7">
            <w:pPr>
              <w:tabs>
                <w:tab w:val="center" w:pos="4395"/>
                <w:tab w:val="right" w:pos="8505"/>
              </w:tabs>
              <w:spacing w:line="360" w:lineRule="auto"/>
              <w:jc w:val="both"/>
              <w:rPr>
                <w:b/>
                <w:sz w:val="19"/>
              </w:rPr>
            </w:pPr>
          </w:p>
        </w:tc>
      </w:tr>
    </w:tbl>
    <w:p w14:paraId="25FA74D6" w14:textId="7C5ED8B6" w:rsidR="002912A6" w:rsidRDefault="00763600" w:rsidP="00804E6A">
      <w:pPr>
        <w:jc w:val="both"/>
      </w:pPr>
      <w:r>
        <w:t>NATIONAL OIL INFRASTRU</w:t>
      </w:r>
      <w:r w:rsidR="00396D61">
        <w:t>C</w:t>
      </w:r>
      <w:r>
        <w:t>TURE COMPANY OF ZIMBABWE (PVT) LTD</w:t>
      </w:r>
    </w:p>
    <w:p w14:paraId="146101B9" w14:textId="56CE3BC6" w:rsidR="002912A6" w:rsidRDefault="006C659E" w:rsidP="009A35C7">
      <w:pPr>
        <w:jc w:val="both"/>
      </w:pPr>
      <w:r>
        <w:t>v</w:t>
      </w:r>
      <w:r w:rsidR="00CD12E4">
        <w:t>ersus</w:t>
      </w:r>
    </w:p>
    <w:p w14:paraId="688BD0B9" w14:textId="77777777" w:rsidR="00DC67DE" w:rsidRPr="00DC67DE" w:rsidRDefault="00DC67DE" w:rsidP="009A35C7">
      <w:pPr>
        <w:jc w:val="both"/>
        <w:rPr>
          <w:sz w:val="6"/>
          <w:szCs w:val="6"/>
        </w:rPr>
      </w:pPr>
    </w:p>
    <w:p w14:paraId="56D34417" w14:textId="5503D92A" w:rsidR="002912A6" w:rsidRDefault="00763600" w:rsidP="009A35C7">
      <w:pPr>
        <w:jc w:val="both"/>
      </w:pPr>
      <w:r>
        <w:t>AC CONTROLS (PVT) LTD</w:t>
      </w:r>
    </w:p>
    <w:p w14:paraId="48A04D07" w14:textId="7557DB07" w:rsidR="00763600" w:rsidRDefault="006C659E" w:rsidP="009A35C7">
      <w:pPr>
        <w:jc w:val="both"/>
      </w:pPr>
      <w:r>
        <w:t>a</w:t>
      </w:r>
      <w:r w:rsidR="00763600">
        <w:t>nd</w:t>
      </w:r>
    </w:p>
    <w:p w14:paraId="7FB8DEA2" w14:textId="7556AB6C" w:rsidR="00763600" w:rsidRDefault="00763600" w:rsidP="009A35C7">
      <w:pPr>
        <w:jc w:val="both"/>
      </w:pPr>
      <w:r>
        <w:t>JUSTICE N.T. MTSHIYA (RTD) N.O.</w:t>
      </w:r>
    </w:p>
    <w:p w14:paraId="6653F126" w14:textId="77777777" w:rsidR="00804E6A" w:rsidRPr="00804E6A" w:rsidRDefault="00804E6A" w:rsidP="009A35C7">
      <w:pPr>
        <w:jc w:val="both"/>
        <w:rPr>
          <w:sz w:val="8"/>
          <w:szCs w:val="8"/>
        </w:rPr>
      </w:pPr>
    </w:p>
    <w:p w14:paraId="3D5734F8" w14:textId="77777777" w:rsidR="00405423" w:rsidRDefault="00405423" w:rsidP="00405423">
      <w:pPr>
        <w:jc w:val="both"/>
      </w:pPr>
    </w:p>
    <w:p w14:paraId="5597D2BA" w14:textId="77777777" w:rsidR="009C18C8" w:rsidRDefault="009C18C8" w:rsidP="009A35C7">
      <w:pPr>
        <w:jc w:val="both"/>
      </w:pPr>
    </w:p>
    <w:p w14:paraId="3C7C1219" w14:textId="77777777" w:rsidR="005A4D7A" w:rsidRDefault="005A4D7A" w:rsidP="009A35C7">
      <w:pPr>
        <w:jc w:val="both"/>
      </w:pPr>
      <w:r>
        <w:t>HIGH COURT OF ZIMBABWE</w:t>
      </w:r>
    </w:p>
    <w:p w14:paraId="7ECF0B77" w14:textId="40BD2803" w:rsidR="005A4D7A" w:rsidRDefault="00A831D8" w:rsidP="009A35C7">
      <w:pPr>
        <w:jc w:val="both"/>
      </w:pPr>
      <w:r>
        <w:t>CHINAMORA</w:t>
      </w:r>
      <w:r w:rsidR="005A4D7A">
        <w:t xml:space="preserve"> J</w:t>
      </w:r>
    </w:p>
    <w:p w14:paraId="33B4C74B" w14:textId="7854EF40" w:rsidR="007D7629" w:rsidRDefault="00BC1271" w:rsidP="009A35C7">
      <w:pPr>
        <w:jc w:val="both"/>
      </w:pPr>
      <w:r>
        <w:t>HARARE, 8 March 2022 and</w:t>
      </w:r>
      <w:r w:rsidR="009A5D77">
        <w:t xml:space="preserve"> </w:t>
      </w:r>
      <w:r w:rsidR="00F5514B">
        <w:t>14 May</w:t>
      </w:r>
      <w:r w:rsidR="007D7629">
        <w:t xml:space="preserve"> 2024</w:t>
      </w:r>
    </w:p>
    <w:p w14:paraId="67F7D1E2" w14:textId="77777777" w:rsidR="005A4D7A" w:rsidRDefault="005A4D7A" w:rsidP="009A35C7">
      <w:pPr>
        <w:spacing w:line="360" w:lineRule="auto"/>
        <w:jc w:val="both"/>
      </w:pPr>
    </w:p>
    <w:p w14:paraId="293BBC78" w14:textId="4BCBC24D" w:rsidR="005A4D7A" w:rsidRPr="009A017B" w:rsidRDefault="00CE0E2A" w:rsidP="009A35C7">
      <w:pPr>
        <w:spacing w:line="360" w:lineRule="auto"/>
        <w:jc w:val="both"/>
        <w:rPr>
          <w:b/>
        </w:rPr>
      </w:pPr>
      <w:r>
        <w:rPr>
          <w:b/>
        </w:rPr>
        <w:t xml:space="preserve">Opposed </w:t>
      </w:r>
      <w:r w:rsidR="00F5514B">
        <w:rPr>
          <w:b/>
        </w:rPr>
        <w:t>A</w:t>
      </w:r>
      <w:r>
        <w:rPr>
          <w:b/>
        </w:rPr>
        <w:t>pplication</w:t>
      </w:r>
    </w:p>
    <w:p w14:paraId="73BA1A9D" w14:textId="77777777" w:rsidR="005A4D7A" w:rsidRDefault="005A4D7A" w:rsidP="009A35C7">
      <w:pPr>
        <w:spacing w:line="360" w:lineRule="auto"/>
        <w:jc w:val="both"/>
      </w:pPr>
    </w:p>
    <w:p w14:paraId="459BDCC4" w14:textId="353EF417" w:rsidR="00C835A5" w:rsidRDefault="00C03594" w:rsidP="00C835A5">
      <w:pPr>
        <w:jc w:val="both"/>
      </w:pPr>
      <w:r>
        <w:rPr>
          <w:i/>
        </w:rPr>
        <w:t xml:space="preserve">Prof L Madhuku, </w:t>
      </w:r>
      <w:r w:rsidR="00FD00F3">
        <w:t xml:space="preserve">for the </w:t>
      </w:r>
      <w:r>
        <w:t>applicant</w:t>
      </w:r>
    </w:p>
    <w:p w14:paraId="07711C0E" w14:textId="08749919" w:rsidR="004D0E53" w:rsidRDefault="00C03594" w:rsidP="00C835A5">
      <w:pPr>
        <w:jc w:val="both"/>
      </w:pPr>
      <w:r>
        <w:rPr>
          <w:i/>
        </w:rPr>
        <w:t xml:space="preserve">Adv L Uriri, </w:t>
      </w:r>
      <w:r w:rsidR="00CD12E4">
        <w:t xml:space="preserve">for the </w:t>
      </w:r>
      <w:r w:rsidR="00F12256">
        <w:t>1</w:t>
      </w:r>
      <w:r w:rsidR="00F12256" w:rsidRPr="00F12256">
        <w:rPr>
          <w:vertAlign w:val="superscript"/>
        </w:rPr>
        <w:t>st</w:t>
      </w:r>
      <w:r w:rsidR="00F12256">
        <w:t xml:space="preserve"> </w:t>
      </w:r>
      <w:r w:rsidR="00C835A5">
        <w:t>respondent</w:t>
      </w:r>
    </w:p>
    <w:p w14:paraId="239ECDD5" w14:textId="2C531C95" w:rsidR="0066675C" w:rsidRDefault="0066675C" w:rsidP="00C835A5">
      <w:pPr>
        <w:jc w:val="both"/>
      </w:pPr>
      <w:r>
        <w:t>No appearance for the second respondent</w:t>
      </w:r>
    </w:p>
    <w:p w14:paraId="194DF831" w14:textId="77777777" w:rsidR="00C835A5" w:rsidRDefault="00C835A5" w:rsidP="009A35C7">
      <w:pPr>
        <w:spacing w:line="360" w:lineRule="auto"/>
        <w:jc w:val="both"/>
      </w:pPr>
    </w:p>
    <w:p w14:paraId="3913267F" w14:textId="77777777" w:rsidR="002E1B4B" w:rsidRDefault="004169FF" w:rsidP="00405423">
      <w:pPr>
        <w:spacing w:line="360" w:lineRule="auto"/>
        <w:jc w:val="both"/>
        <w:rPr>
          <w:b/>
        </w:rPr>
      </w:pPr>
      <w:r w:rsidRPr="007D7629">
        <w:rPr>
          <w:b/>
        </w:rPr>
        <w:t>CHINAMORA</w:t>
      </w:r>
      <w:r w:rsidR="005A4D7A" w:rsidRPr="007D7629">
        <w:rPr>
          <w:b/>
        </w:rPr>
        <w:t xml:space="preserve"> J: </w:t>
      </w:r>
    </w:p>
    <w:p w14:paraId="555127F7" w14:textId="4EA141F1" w:rsidR="002E1B4B" w:rsidRPr="007D7629" w:rsidRDefault="002E1B4B" w:rsidP="00405423">
      <w:pPr>
        <w:spacing w:line="360" w:lineRule="auto"/>
        <w:jc w:val="both"/>
        <w:rPr>
          <w:b/>
        </w:rPr>
      </w:pPr>
      <w:r>
        <w:rPr>
          <w:b/>
        </w:rPr>
        <w:t>Background facts</w:t>
      </w:r>
    </w:p>
    <w:p w14:paraId="70EE67A8" w14:textId="14F2F044" w:rsidR="00763600" w:rsidRDefault="008F0006" w:rsidP="006C3B03">
      <w:pPr>
        <w:spacing w:line="360" w:lineRule="auto"/>
        <w:ind w:firstLine="720"/>
        <w:jc w:val="both"/>
      </w:pPr>
      <w:r>
        <w:t xml:space="preserve">The </w:t>
      </w:r>
      <w:r w:rsidR="00763600">
        <w:t>application</w:t>
      </w:r>
      <w:r>
        <w:t xml:space="preserve"> which confronts me</w:t>
      </w:r>
      <w:r w:rsidR="00763600">
        <w:t xml:space="preserve"> is for an order setting aside an arbitral award</w:t>
      </w:r>
      <w:r>
        <w:t xml:space="preserve"> made</w:t>
      </w:r>
      <w:r w:rsidR="00763600">
        <w:t xml:space="preserve"> by the </w:t>
      </w:r>
      <w:r w:rsidR="00F12256">
        <w:t xml:space="preserve">second </w:t>
      </w:r>
      <w:r w:rsidR="00740AD1">
        <w:t>r</w:t>
      </w:r>
      <w:r>
        <w:t xml:space="preserve">espondent </w:t>
      </w:r>
      <w:r w:rsidR="00763600">
        <w:t>in terms of Article 34 (2) of the Schedule to the Arbitration Act [</w:t>
      </w:r>
      <w:r w:rsidR="00763600" w:rsidRPr="00F12256">
        <w:rPr>
          <w:i/>
          <w:iCs/>
        </w:rPr>
        <w:t xml:space="preserve">Chapter </w:t>
      </w:r>
      <w:r w:rsidR="00F12256" w:rsidRPr="00F12256">
        <w:rPr>
          <w:i/>
          <w:iCs/>
        </w:rPr>
        <w:t> </w:t>
      </w:r>
      <w:r w:rsidR="00763600" w:rsidRPr="00F12256">
        <w:rPr>
          <w:i/>
          <w:iCs/>
        </w:rPr>
        <w:t>7:15</w:t>
      </w:r>
      <w:r w:rsidR="00763600">
        <w:t>]</w:t>
      </w:r>
      <w:r w:rsidR="00954A02">
        <w:t xml:space="preserve">. </w:t>
      </w:r>
      <w:r w:rsidR="00F12256">
        <w:t xml:space="preserve"> </w:t>
      </w:r>
      <w:r w:rsidR="00954A02">
        <w:t>Let me outline t</w:t>
      </w:r>
      <w:r w:rsidR="00C25780">
        <w:t>he facts which gave rise to these proceedings</w:t>
      </w:r>
      <w:r w:rsidR="00954A02">
        <w:t>.</w:t>
      </w:r>
      <w:r w:rsidR="00C25780">
        <w:t xml:space="preserve"> </w:t>
      </w:r>
      <w:r w:rsidR="00954A02">
        <w:t>T</w:t>
      </w:r>
      <w:r w:rsidR="00763600">
        <w:t>he applicant and the 1</w:t>
      </w:r>
      <w:r w:rsidR="00763600" w:rsidRPr="00763600">
        <w:rPr>
          <w:vertAlign w:val="superscript"/>
        </w:rPr>
        <w:t>st</w:t>
      </w:r>
      <w:r w:rsidR="00763600">
        <w:t xml:space="preserve"> respondent executed a written agreement for the supply, delivery and installation of instrumentation, control and electrical equipment for the Mabvuku Ethanol Storage Tanks Project. </w:t>
      </w:r>
      <w:r w:rsidR="00D67ED4">
        <w:t>The contract price was US$ 2 268 199.90.</w:t>
      </w:r>
      <w:r w:rsidR="00F12256">
        <w:t xml:space="preserve"> </w:t>
      </w:r>
      <w:r w:rsidR="00D67ED4">
        <w:t xml:space="preserve"> </w:t>
      </w:r>
      <w:r w:rsidR="00763600">
        <w:t>It was a mater</w:t>
      </w:r>
      <w:r w:rsidR="00320213">
        <w:t>ial term of the agreement that the a</w:t>
      </w:r>
      <w:r w:rsidR="00763600">
        <w:t>pplicant would defray</w:t>
      </w:r>
      <w:r w:rsidR="00320213">
        <w:t xml:space="preserve"> the</w:t>
      </w:r>
      <w:r w:rsidR="00763600">
        <w:t xml:space="preserve"> 1</w:t>
      </w:r>
      <w:r w:rsidR="00763600" w:rsidRPr="00763600">
        <w:rPr>
          <w:vertAlign w:val="superscript"/>
        </w:rPr>
        <w:t>st</w:t>
      </w:r>
      <w:r w:rsidR="001F789D">
        <w:t xml:space="preserve"> r</w:t>
      </w:r>
      <w:r w:rsidR="00763600">
        <w:t>espondent’s costs for mater</w:t>
      </w:r>
      <w:r w:rsidR="001F1349">
        <w:t xml:space="preserve">ials purchased for the project </w:t>
      </w:r>
      <w:r w:rsidR="00763600">
        <w:t xml:space="preserve">on production of an invoice, valuation report and interim certificate. </w:t>
      </w:r>
    </w:p>
    <w:p w14:paraId="09A1AFB6" w14:textId="0B138570" w:rsidR="00C47262" w:rsidRDefault="00763600" w:rsidP="00C47262">
      <w:pPr>
        <w:spacing w:line="360" w:lineRule="auto"/>
        <w:ind w:firstLine="720"/>
        <w:jc w:val="both"/>
      </w:pPr>
      <w:r>
        <w:t xml:space="preserve">The parties amended the agreement on two </w:t>
      </w:r>
      <w:r w:rsidR="00F447F7">
        <w:t xml:space="preserve">subsequent </w:t>
      </w:r>
      <w:r>
        <w:t xml:space="preserve">occasions </w:t>
      </w:r>
      <w:r w:rsidR="00A75B53">
        <w:t>in order to address the change</w:t>
      </w:r>
      <w:r w:rsidR="001975DF">
        <w:t>s</w:t>
      </w:r>
      <w:r w:rsidR="00A75B53">
        <w:t xml:space="preserve"> in </w:t>
      </w:r>
      <w:r w:rsidR="00C058F6">
        <w:t xml:space="preserve">the </w:t>
      </w:r>
      <w:r w:rsidR="00A75B53">
        <w:t xml:space="preserve">country’s </w:t>
      </w:r>
      <w:r w:rsidR="00C058F6">
        <w:t>monetary policy.</w:t>
      </w:r>
      <w:r w:rsidR="008445B1">
        <w:t xml:space="preserve"> </w:t>
      </w:r>
      <w:r w:rsidR="00F12256">
        <w:t xml:space="preserve"> </w:t>
      </w:r>
      <w:r w:rsidR="008445B1">
        <w:t>The main effect of the amendments was to restructure the cost of the contract and make separate provision for payment of local and foreign costs.</w:t>
      </w:r>
      <w:r w:rsidR="00F12256">
        <w:t xml:space="preserve"> </w:t>
      </w:r>
      <w:r w:rsidR="00C058F6">
        <w:t xml:space="preserve"> Prior </w:t>
      </w:r>
      <w:r w:rsidR="00A75B53">
        <w:t>to the coming into force of Statutory I</w:t>
      </w:r>
      <w:r w:rsidR="00C058F6">
        <w:t xml:space="preserve">nstrument 33 of 2019 and the amendments, </w:t>
      </w:r>
      <w:r w:rsidR="00A805C2">
        <w:t xml:space="preserve">the </w:t>
      </w:r>
      <w:r w:rsidR="00F12256">
        <w:t>first</w:t>
      </w:r>
      <w:r w:rsidR="00320213">
        <w:t xml:space="preserve"> r</w:t>
      </w:r>
      <w:r w:rsidR="00C058F6">
        <w:t>espondent ha</w:t>
      </w:r>
      <w:r w:rsidR="003F5B2C">
        <w:t>d purchased materials worth US$</w:t>
      </w:r>
      <w:r w:rsidR="00C058F6">
        <w:t xml:space="preserve">164 631.34 in June, August and October 2018 for use at the project. </w:t>
      </w:r>
      <w:r w:rsidR="00F12256">
        <w:t xml:space="preserve"> </w:t>
      </w:r>
      <w:r w:rsidR="00C058F6">
        <w:t xml:space="preserve">The </w:t>
      </w:r>
      <w:r w:rsidR="00F12256">
        <w:t>first</w:t>
      </w:r>
      <w:r w:rsidR="001F789D">
        <w:t xml:space="preserve"> r</w:t>
      </w:r>
      <w:r w:rsidR="00A805C2">
        <w:t xml:space="preserve">espondent demanded settlement of </w:t>
      </w:r>
      <w:r w:rsidR="00C058F6">
        <w:t xml:space="preserve">the sum of US$ 164 631.34. </w:t>
      </w:r>
      <w:r w:rsidR="00F12256">
        <w:t xml:space="preserve"> </w:t>
      </w:r>
      <w:r w:rsidR="00C058F6">
        <w:t xml:space="preserve">The </w:t>
      </w:r>
      <w:r w:rsidR="00C058F6">
        <w:lastRenderedPageBreak/>
        <w:t>applicant resisted the demand, contending that in the absence of an interim certificate made out in respect of the said materials, as requi</w:t>
      </w:r>
      <w:r w:rsidR="00975EF9">
        <w:t xml:space="preserve">red by the amendment </w:t>
      </w:r>
      <w:r w:rsidR="00C058F6">
        <w:t>to the</w:t>
      </w:r>
      <w:r w:rsidR="00975EF9">
        <w:t>ir</w:t>
      </w:r>
      <w:r w:rsidR="00934087">
        <w:t xml:space="preserve"> contract, the amount not be dealt with in terms of the amendment to the contract. </w:t>
      </w:r>
      <w:r w:rsidR="00F12256">
        <w:t xml:space="preserve"> </w:t>
      </w:r>
      <w:r w:rsidR="00934087">
        <w:t xml:space="preserve">It was argued that it could </w:t>
      </w:r>
      <w:r w:rsidR="00C058F6">
        <w:t xml:space="preserve">only be settled in local currency at the rate of </w:t>
      </w:r>
      <w:r w:rsidR="00D82CB3">
        <w:t xml:space="preserve">US1.00 </w:t>
      </w:r>
      <w:r w:rsidR="003F5B2C">
        <w:t>equals ZWL1.00</w:t>
      </w:r>
      <w:r w:rsidR="00052CC4">
        <w:t xml:space="preserve"> (“the 1:1 rate</w:t>
      </w:r>
      <w:r w:rsidR="009A4ABB">
        <w:t>”</w:t>
      </w:r>
      <w:r w:rsidR="00052CC4">
        <w:t>).</w:t>
      </w:r>
      <w:r w:rsidR="00C058F6">
        <w:t xml:space="preserve"> </w:t>
      </w:r>
      <w:r w:rsidR="00F12256">
        <w:t xml:space="preserve"> </w:t>
      </w:r>
      <w:r w:rsidR="00C058F6">
        <w:t>The disput</w:t>
      </w:r>
      <w:r w:rsidR="003F5B2C">
        <w:t>e was referred for arbitration in t</w:t>
      </w:r>
      <w:r w:rsidR="00F86EB9">
        <w:t>erms of an</w:t>
      </w:r>
      <w:r w:rsidR="003F5B2C">
        <w:t xml:space="preserve"> arbitral</w:t>
      </w:r>
      <w:r w:rsidR="00C058F6">
        <w:t xml:space="preserve"> clause in the</w:t>
      </w:r>
      <w:r w:rsidR="003F5B2C">
        <w:t xml:space="preserve"> parties’</w:t>
      </w:r>
      <w:r w:rsidR="003A5868">
        <w:t xml:space="preserve"> agreement.</w:t>
      </w:r>
      <w:r w:rsidR="00236CE2">
        <w:t xml:space="preserve"> </w:t>
      </w:r>
      <w:r w:rsidR="00F12256">
        <w:t xml:space="preserve"> </w:t>
      </w:r>
      <w:r w:rsidR="00236CE2">
        <w:t>There were two issues agreed for arbitration, the first being whether or not an interim payment certificate and a valuation report had been issued in respect of the amount claimed.</w:t>
      </w:r>
      <w:r w:rsidR="00661F85">
        <w:t xml:space="preserve"> </w:t>
      </w:r>
      <w:r w:rsidR="00F12256">
        <w:t xml:space="preserve"> </w:t>
      </w:r>
      <w:r w:rsidR="00661F85">
        <w:t>The second issue was: in what currency was the amount claimed payable?</w:t>
      </w:r>
      <w:r w:rsidR="003A5868">
        <w:t xml:space="preserve"> </w:t>
      </w:r>
      <w:r w:rsidR="00BD76A7">
        <w:t>B</w:t>
      </w:r>
      <w:r w:rsidR="00C47262">
        <w:t xml:space="preserve">efore the arbitrator, the </w:t>
      </w:r>
      <w:r w:rsidR="00F12256">
        <w:t xml:space="preserve">first </w:t>
      </w:r>
      <w:r w:rsidR="00C47262">
        <w:t>respondent presented the following claim:</w:t>
      </w:r>
    </w:p>
    <w:p w14:paraId="1ADE9F54" w14:textId="77777777" w:rsidR="00C47262" w:rsidRPr="003F5B2C" w:rsidRDefault="00C47262" w:rsidP="00C47262">
      <w:pPr>
        <w:spacing w:line="360" w:lineRule="auto"/>
        <w:ind w:firstLine="720"/>
        <w:jc w:val="both"/>
        <w:rPr>
          <w:sz w:val="14"/>
          <w:szCs w:val="14"/>
        </w:rPr>
      </w:pPr>
    </w:p>
    <w:p w14:paraId="6993148F" w14:textId="6AAA3F57" w:rsidR="00C47262" w:rsidRDefault="00C47262" w:rsidP="00C47262">
      <w:pPr>
        <w:pStyle w:val="ListParagraph"/>
        <w:numPr>
          <w:ilvl w:val="0"/>
          <w:numId w:val="43"/>
        </w:numPr>
        <w:spacing w:line="360" w:lineRule="auto"/>
        <w:jc w:val="both"/>
      </w:pPr>
      <w:r>
        <w:t xml:space="preserve">Payment of outstanding and unpaid invoice amounting to US$ 164 631.34 or its equivalence in Zimbabwean dollars, in accordance with the Reserve Bank of Zimbabwe (RBZ) interbank rate or official auction rate at the date of payment, and </w:t>
      </w:r>
    </w:p>
    <w:p w14:paraId="204CD79B" w14:textId="1FEE9A7A" w:rsidR="00BE6582" w:rsidRPr="003604DF" w:rsidRDefault="00BE6582" w:rsidP="00BE6582">
      <w:pPr>
        <w:pStyle w:val="ListParagraph"/>
        <w:spacing w:line="360" w:lineRule="auto"/>
        <w:ind w:left="1080"/>
        <w:jc w:val="both"/>
        <w:rPr>
          <w:sz w:val="8"/>
          <w:szCs w:val="8"/>
        </w:rPr>
      </w:pPr>
      <w:r>
        <w:rPr>
          <w:sz w:val="4"/>
          <w:szCs w:val="4"/>
        </w:rPr>
        <w:t>In</w:t>
      </w:r>
    </w:p>
    <w:p w14:paraId="4A8890E2" w14:textId="3BBEDF11" w:rsidR="00C47262" w:rsidRDefault="00C47262" w:rsidP="00C47262">
      <w:pPr>
        <w:pStyle w:val="ListParagraph"/>
        <w:numPr>
          <w:ilvl w:val="0"/>
          <w:numId w:val="43"/>
        </w:numPr>
        <w:spacing w:line="360" w:lineRule="auto"/>
        <w:jc w:val="both"/>
      </w:pPr>
      <w:r>
        <w:t xml:space="preserve">Costs of suit on the legal practitioner and client scale. </w:t>
      </w:r>
    </w:p>
    <w:p w14:paraId="24805516" w14:textId="09939BA3" w:rsidR="0098106F" w:rsidRDefault="0098106F" w:rsidP="0098106F">
      <w:pPr>
        <w:spacing w:line="360" w:lineRule="auto"/>
        <w:jc w:val="both"/>
      </w:pPr>
    </w:p>
    <w:p w14:paraId="281E1812" w14:textId="4EC1FEC1" w:rsidR="00D516DF" w:rsidRPr="00D516DF" w:rsidRDefault="0098106F" w:rsidP="004B1424">
      <w:pPr>
        <w:spacing w:line="360" w:lineRule="auto"/>
        <w:jc w:val="both"/>
        <w:rPr>
          <w:b/>
        </w:rPr>
      </w:pPr>
      <w:r w:rsidRPr="0098106F">
        <w:rPr>
          <w:b/>
        </w:rPr>
        <w:t>The applicant’s case</w:t>
      </w:r>
    </w:p>
    <w:p w14:paraId="2204B1EF" w14:textId="0C1D11A4" w:rsidR="00D516DF" w:rsidRDefault="004B1424" w:rsidP="000F21A2">
      <w:pPr>
        <w:spacing w:line="360" w:lineRule="auto"/>
        <w:ind w:firstLine="720"/>
        <w:jc w:val="both"/>
      </w:pPr>
      <w:r>
        <w:t>The applicant maintained that</w:t>
      </w:r>
      <w:r w:rsidR="00052CC4">
        <w:t>,</w:t>
      </w:r>
      <w:r>
        <w:t xml:space="preserve"> in the absence of an interim payment certificate, and on the strength of Statutory Instrument 33 of 2019, the </w:t>
      </w:r>
      <w:r w:rsidR="00F12256">
        <w:t xml:space="preserve">first </w:t>
      </w:r>
      <w:r w:rsidR="00323F67">
        <w:t>r</w:t>
      </w:r>
      <w:r>
        <w:t xml:space="preserve">espondent’s invoice could only be settled in local currency at the rate of 1:1. </w:t>
      </w:r>
      <w:r w:rsidR="004C46CB">
        <w:t xml:space="preserve">The applicant’s argument was that the provisions of Statutory Instrument 33 of 2019 are now part of the Finance (No 2 Act) of 2019. </w:t>
      </w:r>
      <w:r w:rsidR="00F12256">
        <w:t xml:space="preserve"> </w:t>
      </w:r>
      <w:r w:rsidR="00BE6582">
        <w:t>On 29 January 2021 in the arbitration proceedings,</w:t>
      </w:r>
      <w:r>
        <w:t xml:space="preserve"> the </w:t>
      </w:r>
      <w:r w:rsidR="00F12256">
        <w:t xml:space="preserve">second </w:t>
      </w:r>
      <w:r w:rsidR="005C1665">
        <w:t>r</w:t>
      </w:r>
      <w:r>
        <w:t xml:space="preserve">espondent found in favour of the </w:t>
      </w:r>
      <w:r w:rsidR="00F12256">
        <w:t xml:space="preserve">first </w:t>
      </w:r>
      <w:r w:rsidR="00323F67">
        <w:t>r</w:t>
      </w:r>
      <w:r>
        <w:t>espondent</w:t>
      </w:r>
      <w:r w:rsidR="00DF3D0F">
        <w:t>. In short,</w:t>
      </w:r>
      <w:r w:rsidR="00346D3D">
        <w:t xml:space="preserve"> the relief sought</w:t>
      </w:r>
      <w:r w:rsidR="00DF3D0F">
        <w:t xml:space="preserve"> was granted</w:t>
      </w:r>
      <w:r w:rsidR="00BB2E97">
        <w:t xml:space="preserve">. It is that award which applicant seeks to set aside. The </w:t>
      </w:r>
      <w:r>
        <w:t xml:space="preserve">grounds </w:t>
      </w:r>
      <w:r w:rsidR="00BB2E97">
        <w:t>for challenge are that the award</w:t>
      </w:r>
      <w:r>
        <w:t xml:space="preserve"> is in conflict with the public policy of Zimbabwe</w:t>
      </w:r>
      <w:r w:rsidR="00BB2E97">
        <w:t>,</w:t>
      </w:r>
      <w:r>
        <w:t xml:space="preserve"> as it is premised on an incorrect interpretation of the law and </w:t>
      </w:r>
      <w:r w:rsidR="00BB2E97">
        <w:t>that the arbitrator’s findings were</w:t>
      </w:r>
      <w:r>
        <w:t xml:space="preserve"> made arbitrarily.</w:t>
      </w:r>
      <w:r w:rsidR="00F12256">
        <w:t xml:space="preserve"> </w:t>
      </w:r>
      <w:r>
        <w:t xml:space="preserve"> The applicant contends that the contract price was originally denominated in United States Dollars. The </w:t>
      </w:r>
      <w:r w:rsidR="00F12256">
        <w:t xml:space="preserve">first </w:t>
      </w:r>
      <w:r w:rsidR="00221947">
        <w:t>r</w:t>
      </w:r>
      <w:r>
        <w:t>espondent’s claim arose from materials that it had procured in 2018</w:t>
      </w:r>
      <w:r w:rsidR="00866598">
        <w:t xml:space="preserve"> and prior the amendment of the agreement. </w:t>
      </w:r>
      <w:r w:rsidR="00DF3D0F">
        <w:t>Therefore, the applicant contends that u</w:t>
      </w:r>
      <w:r w:rsidR="00866598">
        <w:t>ntil 22 February 2019, this amount was due and owing in United Sta</w:t>
      </w:r>
      <w:r w:rsidR="00074807">
        <w:t>tes Dollars.</w:t>
      </w:r>
      <w:r w:rsidR="00F12256">
        <w:t xml:space="preserve"> </w:t>
      </w:r>
      <w:r w:rsidR="00074807">
        <w:t xml:space="preserve"> However, owing to the advent</w:t>
      </w:r>
      <w:r w:rsidR="00866598">
        <w:t xml:space="preserve"> of Statutory Instrument 33 of 2019,</w:t>
      </w:r>
      <w:r w:rsidR="00BF25BE">
        <w:t xml:space="preserve"> the debt was converted to</w:t>
      </w:r>
      <w:r w:rsidR="00866598">
        <w:t xml:space="preserve"> local curren</w:t>
      </w:r>
      <w:r w:rsidR="006512D1">
        <w:t>cy at the rate of 1:1. Consequently,</w:t>
      </w:r>
      <w:r w:rsidR="00866598">
        <w:t xml:space="preserve"> the sum payable became ZWL 164 631.34. </w:t>
      </w:r>
      <w:r w:rsidR="00F12256">
        <w:t xml:space="preserve"> </w:t>
      </w:r>
      <w:r w:rsidR="00866598">
        <w:t xml:space="preserve">The applicant also contends that the award was wrong </w:t>
      </w:r>
      <w:r w:rsidR="00866598">
        <w:lastRenderedPageBreak/>
        <w:t>at law in that it directed the applicant to pay at the prevailing interbank ra</w:t>
      </w:r>
      <w:r w:rsidR="008F5F2A">
        <w:t xml:space="preserve">te when the debt arose prior to 22 </w:t>
      </w:r>
      <w:r w:rsidR="00AD46BB">
        <w:t xml:space="preserve">February 2019. </w:t>
      </w:r>
      <w:r w:rsidR="00F12256">
        <w:t xml:space="preserve"> </w:t>
      </w:r>
      <w:r w:rsidR="00AD46BB">
        <w:t>Thus,</w:t>
      </w:r>
      <w:r w:rsidR="00CE7025">
        <w:t xml:space="preserve"> the applicant argues that, on a correct interpretation of the law (i,e, Statutory Instrument 33 of 2019),</w:t>
      </w:r>
      <w:r w:rsidR="00AD46BB">
        <w:t xml:space="preserve"> p</w:t>
      </w:r>
      <w:r w:rsidR="00866598">
        <w:t>ayment ought to be made at the</w:t>
      </w:r>
      <w:r w:rsidR="00081FAD">
        <w:t xml:space="preserve"> rate of 1:1</w:t>
      </w:r>
      <w:r w:rsidR="00866598">
        <w:t xml:space="preserve">. </w:t>
      </w:r>
      <w:r w:rsidR="00F12256">
        <w:t xml:space="preserve"> </w:t>
      </w:r>
      <w:r w:rsidR="00866598">
        <w:t xml:space="preserve">It is on these grounds that the applicant prays </w:t>
      </w:r>
      <w:r w:rsidR="00966E72">
        <w:t xml:space="preserve">that </w:t>
      </w:r>
      <w:r w:rsidR="00866598">
        <w:t>the arbitral award be set aside.</w:t>
      </w:r>
    </w:p>
    <w:p w14:paraId="1EB3D9AB" w14:textId="77777777" w:rsidR="00D516DF" w:rsidRPr="00D516DF" w:rsidRDefault="00D516DF" w:rsidP="00D516DF">
      <w:pPr>
        <w:spacing w:line="360" w:lineRule="auto"/>
        <w:jc w:val="both"/>
        <w:rPr>
          <w:sz w:val="22"/>
          <w:szCs w:val="22"/>
        </w:rPr>
      </w:pPr>
    </w:p>
    <w:p w14:paraId="2BF133C3" w14:textId="35F5C4C0" w:rsidR="00866598" w:rsidRPr="00D516DF" w:rsidRDefault="00D516DF" w:rsidP="00D516DF">
      <w:pPr>
        <w:spacing w:line="360" w:lineRule="auto"/>
        <w:jc w:val="both"/>
        <w:rPr>
          <w:b/>
        </w:rPr>
      </w:pPr>
      <w:r w:rsidRPr="00D516DF">
        <w:rPr>
          <w:b/>
        </w:rPr>
        <w:t>The respondent’s case</w:t>
      </w:r>
      <w:r w:rsidR="00866598" w:rsidRPr="00D516DF">
        <w:rPr>
          <w:b/>
        </w:rPr>
        <w:t xml:space="preserve"> </w:t>
      </w:r>
    </w:p>
    <w:p w14:paraId="01639291" w14:textId="06166E9D" w:rsidR="00AC7078" w:rsidRDefault="00866598" w:rsidP="003B7FC6">
      <w:pPr>
        <w:spacing w:line="360" w:lineRule="auto"/>
        <w:ind w:firstLine="720"/>
        <w:jc w:val="both"/>
      </w:pPr>
      <w:r>
        <w:t xml:space="preserve">The </w:t>
      </w:r>
      <w:r w:rsidR="00F12256">
        <w:t>first</w:t>
      </w:r>
      <w:r w:rsidR="009A7620">
        <w:t xml:space="preserve"> r</w:t>
      </w:r>
      <w:r w:rsidR="00932897">
        <w:t>espondent</w:t>
      </w:r>
      <w:r>
        <w:t xml:space="preserve"> op</w:t>
      </w:r>
      <w:r w:rsidR="00B53EE3">
        <w:t>posed that application arguing</w:t>
      </w:r>
      <w:r>
        <w:t xml:space="preserve"> that Statutory Instrument 33 of 2019</w:t>
      </w:r>
      <w:r w:rsidR="00B53EE3">
        <w:t xml:space="preserve"> </w:t>
      </w:r>
      <w:r w:rsidR="00932897">
        <w:t>is not a part of the Finance Act</w:t>
      </w:r>
      <w:r w:rsidR="002F6EBC">
        <w:t xml:space="preserve"> (No 2) Act of 2019</w:t>
      </w:r>
      <w:r w:rsidR="00932897">
        <w:t>,</w:t>
      </w:r>
      <w:r w:rsidR="002F6EBC">
        <w:t xml:space="preserve"> and that</w:t>
      </w:r>
      <w:r w:rsidR="00932897">
        <w:t xml:space="preserve"> these are two diff</w:t>
      </w:r>
      <w:r w:rsidR="00E05A12">
        <w:t xml:space="preserve">erent legal instruments. The </w:t>
      </w:r>
      <w:r w:rsidR="00F12256">
        <w:t>first</w:t>
      </w:r>
      <w:r w:rsidR="00A313B0">
        <w:t xml:space="preserve"> </w:t>
      </w:r>
      <w:r w:rsidR="00E05A12">
        <w:t>respondent contended</w:t>
      </w:r>
      <w:r w:rsidR="009A7620">
        <w:t xml:space="preserve"> that the a</w:t>
      </w:r>
      <w:r w:rsidR="00932897">
        <w:t xml:space="preserve">pplicant’s argument during the arbitral proceedings was based on Statutory Instrument 33 of 2019 and not the Finance Act. </w:t>
      </w:r>
      <w:r w:rsidR="00F12256">
        <w:t xml:space="preserve"> </w:t>
      </w:r>
      <w:r w:rsidR="00932897">
        <w:t>Furthermore, the 1</w:t>
      </w:r>
      <w:r w:rsidR="00932897" w:rsidRPr="00932897">
        <w:rPr>
          <w:vertAlign w:val="superscript"/>
        </w:rPr>
        <w:t>st</w:t>
      </w:r>
      <w:r w:rsidR="009A7620">
        <w:t xml:space="preserve"> r</w:t>
      </w:r>
      <w:r w:rsidR="00932897">
        <w:t xml:space="preserve">espondent argues that an incorrect reading of the law by the </w:t>
      </w:r>
      <w:r w:rsidR="00F12256">
        <w:t xml:space="preserve">second </w:t>
      </w:r>
      <w:r w:rsidR="009A7620">
        <w:t>r</w:t>
      </w:r>
      <w:r w:rsidR="00932897">
        <w:t xml:space="preserve">espondent does not translate to a decision that is in conflict with public policy as contemplated in the Arbitration Act. In addition, the </w:t>
      </w:r>
      <w:r w:rsidR="00F12256">
        <w:t>first</w:t>
      </w:r>
      <w:r w:rsidR="00932897">
        <w:t xml:space="preserve"> </w:t>
      </w:r>
      <w:r w:rsidR="009A7620">
        <w:t>r</w:t>
      </w:r>
      <w:r w:rsidR="006F32BD">
        <w:t>espondent contends</w:t>
      </w:r>
      <w:r w:rsidR="00932897">
        <w:t xml:space="preserve"> that the allegation of arbitrariness is not a requirement for the setting aside of an arbitral award.</w:t>
      </w:r>
      <w:r w:rsidR="00F12256">
        <w:t xml:space="preserve"> </w:t>
      </w:r>
      <w:r w:rsidR="00932897">
        <w:t xml:space="preserve"> </w:t>
      </w:r>
      <w:r w:rsidR="006F32BD">
        <w:t xml:space="preserve">It is on this basis that the </w:t>
      </w:r>
      <w:r w:rsidR="00F12256">
        <w:t>first</w:t>
      </w:r>
      <w:r w:rsidR="00DE4FFF">
        <w:t xml:space="preserve"> r</w:t>
      </w:r>
      <w:r w:rsidR="006F32BD">
        <w:t xml:space="preserve">espondent prays that the application be dismissed with costs. </w:t>
      </w:r>
      <w:r w:rsidR="00F12256">
        <w:t xml:space="preserve"> </w:t>
      </w:r>
      <w:r w:rsidR="006F32BD">
        <w:t xml:space="preserve">Accompanying the opposing papers was the </w:t>
      </w:r>
      <w:r w:rsidR="00F12256">
        <w:t xml:space="preserve">first </w:t>
      </w:r>
      <w:r w:rsidR="00DE4FFF">
        <w:t>r</w:t>
      </w:r>
      <w:r w:rsidR="006F32BD">
        <w:t>espondent’s counter application for the registration of the arbitral award in terms of s 35 (1) of the Arbitration Act [</w:t>
      </w:r>
      <w:r w:rsidR="006F32BD" w:rsidRPr="00F12256">
        <w:rPr>
          <w:i/>
          <w:iCs/>
        </w:rPr>
        <w:t>Chapter 7:15</w:t>
      </w:r>
      <w:r w:rsidR="006F32BD">
        <w:t xml:space="preserve">]. </w:t>
      </w:r>
      <w:r w:rsidR="00F12256">
        <w:t xml:space="preserve"> </w:t>
      </w:r>
      <w:r w:rsidR="00CC57F9">
        <w:t xml:space="preserve"> </w:t>
      </w:r>
      <w:r w:rsidR="006F32BD">
        <w:t xml:space="preserve">In essence, the </w:t>
      </w:r>
      <w:r w:rsidR="00CC57F9">
        <w:t>first</w:t>
      </w:r>
      <w:r w:rsidR="006F32BD">
        <w:t xml:space="preserve"> </w:t>
      </w:r>
      <w:r w:rsidR="00DE4FFF">
        <w:t>r</w:t>
      </w:r>
      <w:r w:rsidR="00F9598E">
        <w:t>espondent submitted that on</w:t>
      </w:r>
      <w:r w:rsidR="006F32BD">
        <w:t xml:space="preserve"> 28</w:t>
      </w:r>
      <w:r w:rsidR="00F9598E">
        <w:rPr>
          <w:vertAlign w:val="superscript"/>
        </w:rPr>
        <w:t xml:space="preserve"> </w:t>
      </w:r>
      <w:r w:rsidR="006F32BD">
        <w:t>February 2018 the parties entered into an agreement for the supply, delivery and installation of instrumenta</w:t>
      </w:r>
      <w:r w:rsidR="004E30EF">
        <w:t>tion, control an</w:t>
      </w:r>
      <w:r w:rsidR="00996A38">
        <w:t>d electrical equipment for the M</w:t>
      </w:r>
      <w:r w:rsidR="004E30EF">
        <w:t>abvuku Ethanol Storage Tanks project.</w:t>
      </w:r>
      <w:r w:rsidR="00CC57F9">
        <w:t xml:space="preserve"> </w:t>
      </w:r>
      <w:r w:rsidR="004E30EF">
        <w:t xml:space="preserve"> A dispute concerning the payment of US$ 164 631.34 ensued and was referred</w:t>
      </w:r>
      <w:r w:rsidR="006E4D98">
        <w:t xml:space="preserve"> to arbitration. The arbitrator made </w:t>
      </w:r>
      <w:r w:rsidR="004E30EF">
        <w:t>an award in favo</w:t>
      </w:r>
      <w:r w:rsidR="00B73115">
        <w:t>u</w:t>
      </w:r>
      <w:r w:rsidR="004E30EF">
        <w:t xml:space="preserve">r of the </w:t>
      </w:r>
      <w:r w:rsidR="00CC57F9">
        <w:t>first</w:t>
      </w:r>
      <w:r w:rsidR="00B73115">
        <w:t xml:space="preserve"> r</w:t>
      </w:r>
      <w:r w:rsidR="006E4D98">
        <w:t xml:space="preserve">espondent, which is the </w:t>
      </w:r>
      <w:r w:rsidR="004E30EF">
        <w:t xml:space="preserve">award that </w:t>
      </w:r>
      <w:r w:rsidR="00CC57F9">
        <w:t xml:space="preserve">first </w:t>
      </w:r>
      <w:r w:rsidR="00386934">
        <w:t>r</w:t>
      </w:r>
      <w:r w:rsidR="004E30EF">
        <w:t>espondent seeks to</w:t>
      </w:r>
      <w:r w:rsidR="00CD4DBC">
        <w:t xml:space="preserve"> register for enforcement.</w:t>
      </w:r>
      <w:r w:rsidR="00CC57F9">
        <w:t xml:space="preserve"> </w:t>
      </w:r>
      <w:r w:rsidR="00CD4DBC">
        <w:t xml:space="preserve"> The a</w:t>
      </w:r>
      <w:r w:rsidR="004E30EF">
        <w:t xml:space="preserve">pplicant opposed the </w:t>
      </w:r>
      <w:r w:rsidR="00CC57F9">
        <w:t xml:space="preserve">first </w:t>
      </w:r>
      <w:r w:rsidR="00386934">
        <w:t>r</w:t>
      </w:r>
      <w:r w:rsidR="004E30EF">
        <w:t xml:space="preserve">espondent’s counter-application by submitting that the award is incapable of registration and is unenforceable as it is contrary to public policy. </w:t>
      </w:r>
      <w:r w:rsidR="00CC57F9">
        <w:t xml:space="preserve"> </w:t>
      </w:r>
      <w:r w:rsidR="004E30EF">
        <w:t>In support of its opposition</w:t>
      </w:r>
      <w:r w:rsidR="006E4D98">
        <w:t>,</w:t>
      </w:r>
      <w:r w:rsidR="004E30EF">
        <w:t xml:space="preserve"> reference was made to the </w:t>
      </w:r>
      <w:r w:rsidR="006E4D98">
        <w:t>grounds for setting aside raised in the applicant’s</w:t>
      </w:r>
      <w:r w:rsidR="004E30EF">
        <w:t xml:space="preserve"> application.</w:t>
      </w:r>
    </w:p>
    <w:p w14:paraId="2CE8DB3D" w14:textId="77777777" w:rsidR="00AC7078" w:rsidRDefault="00AC7078" w:rsidP="00AC7078">
      <w:pPr>
        <w:spacing w:line="360" w:lineRule="auto"/>
        <w:jc w:val="both"/>
      </w:pPr>
    </w:p>
    <w:p w14:paraId="09311444" w14:textId="77777777" w:rsidR="00AC7078" w:rsidRPr="00AC7078" w:rsidRDefault="00AC7078" w:rsidP="00AC7078">
      <w:pPr>
        <w:spacing w:line="360" w:lineRule="auto"/>
        <w:jc w:val="both"/>
        <w:rPr>
          <w:b/>
        </w:rPr>
      </w:pPr>
      <w:r w:rsidRPr="00AC7078">
        <w:rPr>
          <w:b/>
        </w:rPr>
        <w:t>The arbitrator’s decision</w:t>
      </w:r>
    </w:p>
    <w:p w14:paraId="1CBBD35C" w14:textId="12658971" w:rsidR="00154F4C" w:rsidRDefault="00AC7078" w:rsidP="00AC7078">
      <w:pPr>
        <w:spacing w:line="360" w:lineRule="auto"/>
        <w:jc w:val="both"/>
      </w:pPr>
      <w:r>
        <w:tab/>
        <w:t xml:space="preserve">The arbitrator found that the amount claimed was payable in United States currency, or at the prevailing interbank or auction rate on the date of payment. </w:t>
      </w:r>
      <w:r w:rsidR="00CC57F9">
        <w:t xml:space="preserve"> </w:t>
      </w:r>
      <w:r>
        <w:t xml:space="preserve">The arbitrator said that the rate between the local currency and the United States dollar had changed since 22 February 2019. </w:t>
      </w:r>
      <w:r w:rsidR="00CC57F9">
        <w:t xml:space="preserve"> </w:t>
      </w:r>
      <w:r>
        <w:t xml:space="preserve">The </w:t>
      </w:r>
      <w:r w:rsidR="00CC57F9">
        <w:lastRenderedPageBreak/>
        <w:t xml:space="preserve">second </w:t>
      </w:r>
      <w:r>
        <w:t>respondent’s further reasoning was that the parties had contracted to continue doing business in United States currency notwithstanding the promulgation of Statutory Instrument 33 of 2019.</w:t>
      </w:r>
    </w:p>
    <w:p w14:paraId="0F58C408" w14:textId="10D436A9" w:rsidR="00B2239A" w:rsidRPr="00C754FC" w:rsidRDefault="00B2239A" w:rsidP="00B2239A">
      <w:pPr>
        <w:spacing w:line="360" w:lineRule="auto"/>
        <w:jc w:val="both"/>
        <w:rPr>
          <w:sz w:val="18"/>
          <w:szCs w:val="18"/>
        </w:rPr>
      </w:pPr>
    </w:p>
    <w:p w14:paraId="3841A911" w14:textId="1A3FD600" w:rsidR="00B2239A" w:rsidRPr="00B2239A" w:rsidRDefault="00B2239A" w:rsidP="00B2239A">
      <w:pPr>
        <w:spacing w:line="360" w:lineRule="auto"/>
        <w:jc w:val="both"/>
        <w:rPr>
          <w:b/>
        </w:rPr>
      </w:pPr>
      <w:r w:rsidRPr="00B2239A">
        <w:rPr>
          <w:b/>
        </w:rPr>
        <w:t>The applicable law</w:t>
      </w:r>
    </w:p>
    <w:p w14:paraId="0CFF85E1" w14:textId="5C567DB4" w:rsidR="00154F4C" w:rsidRDefault="00154F4C" w:rsidP="00154F4C">
      <w:pPr>
        <w:spacing w:line="360" w:lineRule="auto"/>
        <w:ind w:firstLine="720"/>
        <w:jc w:val="both"/>
      </w:pPr>
      <w:r>
        <w:t xml:space="preserve">This court is empowered to set aside arbitral award on the grounds that the arbitral award is in conflict with the public policy of Zimbabwe. </w:t>
      </w:r>
      <w:r w:rsidR="00CC57F9">
        <w:t xml:space="preserve"> </w:t>
      </w:r>
      <w:r>
        <w:t>Article 34 (2) (b) (ii) of the Arbitration Act is the starting point and it reads:</w:t>
      </w:r>
    </w:p>
    <w:p w14:paraId="48A90976" w14:textId="77777777" w:rsidR="00093772" w:rsidRPr="00C754FC" w:rsidRDefault="00093772" w:rsidP="00154F4C">
      <w:pPr>
        <w:spacing w:line="360" w:lineRule="auto"/>
        <w:ind w:firstLine="720"/>
        <w:jc w:val="both"/>
        <w:rPr>
          <w:sz w:val="12"/>
          <w:szCs w:val="12"/>
        </w:rPr>
      </w:pPr>
    </w:p>
    <w:p w14:paraId="2802CE5B" w14:textId="28EA4A63" w:rsidR="00154F4C" w:rsidRPr="00093772" w:rsidRDefault="00154F4C" w:rsidP="00093772">
      <w:pPr>
        <w:ind w:left="1440"/>
        <w:jc w:val="both"/>
        <w:rPr>
          <w:sz w:val="22"/>
          <w:szCs w:val="22"/>
        </w:rPr>
      </w:pPr>
      <w:r w:rsidRPr="00093772">
        <w:rPr>
          <w:sz w:val="22"/>
          <w:szCs w:val="22"/>
        </w:rPr>
        <w:t>“(2) An arbitral award may be set aside by the High Court only if-</w:t>
      </w:r>
    </w:p>
    <w:p w14:paraId="358DCBE5" w14:textId="77777777" w:rsidR="00154F4C" w:rsidRPr="00093772" w:rsidRDefault="00154F4C" w:rsidP="00C754FC">
      <w:pPr>
        <w:ind w:left="2160"/>
        <w:jc w:val="both"/>
        <w:rPr>
          <w:sz w:val="22"/>
          <w:szCs w:val="22"/>
        </w:rPr>
      </w:pPr>
      <w:r w:rsidRPr="00093772">
        <w:rPr>
          <w:sz w:val="22"/>
          <w:szCs w:val="22"/>
        </w:rPr>
        <w:t>…</w:t>
      </w:r>
    </w:p>
    <w:p w14:paraId="5BC8002A" w14:textId="51F816C1" w:rsidR="00154F4C" w:rsidRPr="00093772" w:rsidRDefault="00154F4C" w:rsidP="00093772">
      <w:pPr>
        <w:ind w:left="2160"/>
        <w:jc w:val="both"/>
        <w:rPr>
          <w:sz w:val="22"/>
          <w:szCs w:val="22"/>
        </w:rPr>
      </w:pPr>
      <w:r w:rsidRPr="00093772">
        <w:rPr>
          <w:sz w:val="22"/>
          <w:szCs w:val="22"/>
        </w:rPr>
        <w:t xml:space="preserve">(b) the High Court finds, that – </w:t>
      </w:r>
    </w:p>
    <w:p w14:paraId="2C0263DD" w14:textId="77777777" w:rsidR="00154F4C" w:rsidRPr="00093772" w:rsidRDefault="00154F4C" w:rsidP="00093772">
      <w:pPr>
        <w:ind w:left="2160"/>
        <w:jc w:val="both"/>
        <w:rPr>
          <w:sz w:val="22"/>
          <w:szCs w:val="22"/>
        </w:rPr>
      </w:pPr>
      <w:r w:rsidRPr="00093772">
        <w:rPr>
          <w:sz w:val="22"/>
          <w:szCs w:val="22"/>
        </w:rPr>
        <w:t>…</w:t>
      </w:r>
    </w:p>
    <w:p w14:paraId="39A5BAC2" w14:textId="1BD3EB9B" w:rsidR="00154F4C" w:rsidRPr="00093772" w:rsidRDefault="00154F4C" w:rsidP="00093772">
      <w:pPr>
        <w:ind w:left="2160"/>
        <w:jc w:val="both"/>
        <w:rPr>
          <w:sz w:val="22"/>
          <w:szCs w:val="22"/>
        </w:rPr>
      </w:pPr>
      <w:r w:rsidRPr="00093772">
        <w:rPr>
          <w:sz w:val="22"/>
          <w:szCs w:val="22"/>
        </w:rPr>
        <w:t>(ii) the award is in conflict with the public policy of Zimbabwe.”</w:t>
      </w:r>
    </w:p>
    <w:p w14:paraId="6F8EA5CE" w14:textId="77777777" w:rsidR="00154F4C" w:rsidRPr="00F33820" w:rsidRDefault="00154F4C" w:rsidP="004B1424">
      <w:pPr>
        <w:spacing w:line="360" w:lineRule="auto"/>
        <w:ind w:firstLine="720"/>
        <w:jc w:val="both"/>
        <w:rPr>
          <w:sz w:val="20"/>
          <w:szCs w:val="20"/>
        </w:rPr>
      </w:pPr>
    </w:p>
    <w:p w14:paraId="109B979E" w14:textId="0C4AB4CD" w:rsidR="00836967" w:rsidRDefault="009A1FD0" w:rsidP="004B1424">
      <w:pPr>
        <w:spacing w:line="360" w:lineRule="auto"/>
        <w:ind w:firstLine="720"/>
        <w:jc w:val="both"/>
      </w:pPr>
      <w:r>
        <w:t>The question</w:t>
      </w:r>
      <w:r w:rsidR="00836967">
        <w:t xml:space="preserve"> of public policy</w:t>
      </w:r>
      <w:r>
        <w:t xml:space="preserve"> as a basis for challenging an arbitral award</w:t>
      </w:r>
      <w:r w:rsidR="00836967">
        <w:t xml:space="preserve"> was discussed in the case of </w:t>
      </w:r>
      <w:r w:rsidR="00F7595D">
        <w:rPr>
          <w:i/>
          <w:iCs/>
        </w:rPr>
        <w:t xml:space="preserve">ZESA </w:t>
      </w:r>
      <w:r w:rsidR="00F7595D" w:rsidRPr="00CC57F9">
        <w:t>v</w:t>
      </w:r>
      <w:r w:rsidR="00836967" w:rsidRPr="00CC57F9">
        <w:t xml:space="preserve"> </w:t>
      </w:r>
      <w:r w:rsidR="00836967" w:rsidRPr="00836967">
        <w:rPr>
          <w:i/>
          <w:iCs/>
        </w:rPr>
        <w:t>Maposa</w:t>
      </w:r>
      <w:r w:rsidR="00836967">
        <w:t xml:space="preserve"> 1999 (2) ZLR 452 (S)</w:t>
      </w:r>
      <w:r w:rsidR="002560B2">
        <w:t>, where</w:t>
      </w:r>
      <w:r w:rsidR="00A26DD0">
        <w:t xml:space="preserve"> the Supreme </w:t>
      </w:r>
      <w:r w:rsidR="002560B2">
        <w:t>Court stated that</w:t>
      </w:r>
      <w:r w:rsidR="00A26DD0">
        <w:t>:</w:t>
      </w:r>
    </w:p>
    <w:p w14:paraId="0419D494" w14:textId="77777777" w:rsidR="00A26DD0" w:rsidRPr="00A26DD0" w:rsidRDefault="00A26DD0" w:rsidP="00A26DD0">
      <w:pPr>
        <w:ind w:firstLine="720"/>
        <w:jc w:val="both"/>
        <w:rPr>
          <w:sz w:val="22"/>
          <w:szCs w:val="22"/>
        </w:rPr>
      </w:pPr>
    </w:p>
    <w:p w14:paraId="34B21020" w14:textId="77777777" w:rsidR="00A26DD0" w:rsidRDefault="00836967" w:rsidP="003604DF">
      <w:pPr>
        <w:ind w:left="720"/>
        <w:jc w:val="both"/>
        <w:rPr>
          <w:sz w:val="22"/>
          <w:szCs w:val="22"/>
        </w:rPr>
      </w:pPr>
      <w:r w:rsidRPr="00A26DD0">
        <w:rPr>
          <w:sz w:val="22"/>
          <w:szCs w:val="22"/>
        </w:rPr>
        <w:t xml:space="preserve">“…the approach to be adopted is to construe the public policy defence, as being applicable to either a foreign or domestic award, restrictively in order to preserve and recognise the basic objective of finality in all arbitrations, and to hold such defence applicable only if some fundamental principle of the law or morality or justice is violated. An award will not be contrary to public policy merely because the reasoning or conclusions of the arbitrator are wrong in fact or in law. Where, however, the reasoning or conclusion in an award goes beyond mere faultiness or incorrectness and constitutes a palpable inequity that is so far reaching and outrageous in its defiance of logic or accepted moral standards that a sensible and fair-minded person would consider that the conception of justice in Zimbabwe would be intolerably hurt by the award, then it would be contrary </w:t>
      </w:r>
      <w:r w:rsidR="00012BFE" w:rsidRPr="00A26DD0">
        <w:rPr>
          <w:sz w:val="22"/>
          <w:szCs w:val="22"/>
        </w:rPr>
        <w:t xml:space="preserve">to public policy to uphold it.” </w:t>
      </w:r>
    </w:p>
    <w:p w14:paraId="7C19A086" w14:textId="77777777" w:rsidR="00A26DD0" w:rsidRDefault="00A26DD0" w:rsidP="00A26DD0">
      <w:pPr>
        <w:ind w:left="1440"/>
        <w:jc w:val="both"/>
        <w:rPr>
          <w:sz w:val="22"/>
          <w:szCs w:val="22"/>
        </w:rPr>
      </w:pPr>
    </w:p>
    <w:p w14:paraId="24083A05" w14:textId="7D21516E" w:rsidR="00BC545A" w:rsidRDefault="00012BFE" w:rsidP="00CC57F9">
      <w:pPr>
        <w:ind w:left="1440"/>
        <w:jc w:val="both"/>
        <w:rPr>
          <w:sz w:val="22"/>
          <w:szCs w:val="22"/>
        </w:rPr>
      </w:pPr>
      <w:r w:rsidRPr="00A26DD0">
        <w:rPr>
          <w:sz w:val="22"/>
          <w:szCs w:val="22"/>
        </w:rPr>
        <w:t xml:space="preserve">See also </w:t>
      </w:r>
      <w:r w:rsidRPr="00A26DD0">
        <w:rPr>
          <w:i/>
          <w:iCs/>
          <w:sz w:val="22"/>
          <w:szCs w:val="22"/>
        </w:rPr>
        <w:t>Chanakira vs. Mapfumo and Anor</w:t>
      </w:r>
      <w:r w:rsidR="00A26DD0">
        <w:rPr>
          <w:sz w:val="22"/>
          <w:szCs w:val="22"/>
        </w:rPr>
        <w:t xml:space="preserve"> HH 155-</w:t>
      </w:r>
      <w:r w:rsidRPr="00A26DD0">
        <w:rPr>
          <w:sz w:val="22"/>
          <w:szCs w:val="22"/>
        </w:rPr>
        <w:t xml:space="preserve">10. </w:t>
      </w:r>
    </w:p>
    <w:p w14:paraId="1D407555" w14:textId="77777777" w:rsidR="00CC57F9" w:rsidRPr="00CC57F9" w:rsidRDefault="00CC57F9" w:rsidP="00CC57F9">
      <w:pPr>
        <w:ind w:left="1440"/>
        <w:jc w:val="both"/>
        <w:rPr>
          <w:sz w:val="22"/>
          <w:szCs w:val="22"/>
        </w:rPr>
      </w:pPr>
    </w:p>
    <w:p w14:paraId="21152BB8" w14:textId="3F3A098E" w:rsidR="004A1BD0" w:rsidRDefault="00012BFE" w:rsidP="00CC57F9">
      <w:pPr>
        <w:spacing w:line="360" w:lineRule="auto"/>
        <w:ind w:firstLine="720"/>
        <w:jc w:val="both"/>
      </w:pPr>
      <w:r>
        <w:t xml:space="preserve">The common thread from the above decision and other decisions </w:t>
      </w:r>
      <w:r w:rsidR="00E12AA2">
        <w:t xml:space="preserve">in this jurisdiction </w:t>
      </w:r>
      <w:r>
        <w:t>is that a court</w:t>
      </w:r>
      <w:r w:rsidR="00FC0AD0">
        <w:t>,</w:t>
      </w:r>
      <w:r>
        <w:t xml:space="preserve"> even if the decision of the arbitrator is faulty or incorrect</w:t>
      </w:r>
      <w:r w:rsidR="00FC0AD0">
        <w:t xml:space="preserve">, will not </w:t>
      </w:r>
      <w:r w:rsidR="00FC0AD0" w:rsidRPr="00FC0AD0">
        <w:rPr>
          <w:i/>
        </w:rPr>
        <w:t>ipso facto</w:t>
      </w:r>
      <w:r w:rsidR="00FC0AD0">
        <w:t xml:space="preserve"> set aside the award on that basis</w:t>
      </w:r>
      <w:r>
        <w:t>. The court can only interfere where the decision is outrageous</w:t>
      </w:r>
      <w:r w:rsidR="00481AA4">
        <w:t xml:space="preserve"> in its defiance of logic and</w:t>
      </w:r>
      <w:r>
        <w:t xml:space="preserve"> offends against</w:t>
      </w:r>
      <w:r w:rsidR="00070D4E">
        <w:t xml:space="preserve"> the</w:t>
      </w:r>
      <w:r>
        <w:t xml:space="preserve"> public sense of justice</w:t>
      </w:r>
      <w:r w:rsidR="00481AA4">
        <w:t xml:space="preserve"> as contemplated by </w:t>
      </w:r>
      <w:r w:rsidR="00481AA4" w:rsidRPr="00481AA4">
        <w:rPr>
          <w:i/>
        </w:rPr>
        <w:t xml:space="preserve">Zesa </w:t>
      </w:r>
      <w:r w:rsidR="00481AA4" w:rsidRPr="00CC57F9">
        <w:rPr>
          <w:iCs/>
        </w:rPr>
        <w:t>v</w:t>
      </w:r>
      <w:r w:rsidR="00481AA4" w:rsidRPr="00481AA4">
        <w:rPr>
          <w:i/>
        </w:rPr>
        <w:t xml:space="preserve"> Maphosa supra</w:t>
      </w:r>
      <w:r>
        <w:t xml:space="preserve">. See </w:t>
      </w:r>
      <w:r w:rsidRPr="00A77912">
        <w:rPr>
          <w:i/>
          <w:iCs/>
        </w:rPr>
        <w:t xml:space="preserve">Delta Operations </w:t>
      </w:r>
      <w:r w:rsidR="00CC57F9" w:rsidRPr="00CC57F9">
        <w:t>v</w:t>
      </w:r>
      <w:r w:rsidRPr="00A77912">
        <w:rPr>
          <w:i/>
          <w:iCs/>
        </w:rPr>
        <w:t xml:space="preserve"> Origen Corp (Pvt) Ltd</w:t>
      </w:r>
      <w:r>
        <w:t xml:space="preserve"> 2007 (2) ZLR </w:t>
      </w:r>
      <w:r w:rsidR="00A77912">
        <w:t xml:space="preserve">81 (S) and </w:t>
      </w:r>
      <w:r w:rsidR="00A77912" w:rsidRPr="00A77912">
        <w:rPr>
          <w:i/>
          <w:iCs/>
        </w:rPr>
        <w:t xml:space="preserve">Decimal Investments (Pvt) Ltd </w:t>
      </w:r>
      <w:r w:rsidR="00CC57F9" w:rsidRPr="00CC57F9">
        <w:t>v</w:t>
      </w:r>
      <w:r w:rsidR="00A77912" w:rsidRPr="00A77912">
        <w:rPr>
          <w:i/>
          <w:iCs/>
        </w:rPr>
        <w:t xml:space="preserve"> Arundel Village (Pvt) Ltd</w:t>
      </w:r>
      <w:r w:rsidR="00A77912">
        <w:t xml:space="preserve"> 2012 (1) ZLR 581 (H). </w:t>
      </w:r>
      <w:r w:rsidR="00095B78">
        <w:t xml:space="preserve"> </w:t>
      </w:r>
      <w:r w:rsidR="00097C3F">
        <w:t>The a</w:t>
      </w:r>
      <w:r w:rsidR="00A77912">
        <w:t xml:space="preserve">pplicant contends that the </w:t>
      </w:r>
      <w:r w:rsidR="00CC57F9">
        <w:t xml:space="preserve">second </w:t>
      </w:r>
      <w:r w:rsidR="00097C3F">
        <w:t>r</w:t>
      </w:r>
      <w:r w:rsidR="00A77912">
        <w:t xml:space="preserve">espondent’s award is incorrect at law. The authorities </w:t>
      </w:r>
      <w:r w:rsidR="008B304E">
        <w:t xml:space="preserve">I have referred to above </w:t>
      </w:r>
      <w:r w:rsidR="00A77912">
        <w:t>have established that this cannot be a basis for the setting aside of an award unless the award is out</w:t>
      </w:r>
      <w:r w:rsidR="00095B78">
        <w:t xml:space="preserve">rageous and </w:t>
      </w:r>
      <w:r w:rsidR="00095B78">
        <w:lastRenderedPageBreak/>
        <w:t xml:space="preserve">defies logic and </w:t>
      </w:r>
      <w:r w:rsidR="00A77912">
        <w:t>offends against the public sense of justice.</w:t>
      </w:r>
      <w:r w:rsidR="00CC57F9">
        <w:t xml:space="preserve"> </w:t>
      </w:r>
      <w:r w:rsidR="00A77912">
        <w:t xml:space="preserve"> I must h</w:t>
      </w:r>
      <w:r w:rsidR="00095B78">
        <w:t>asten to state that it was the a</w:t>
      </w:r>
      <w:r w:rsidR="00A77912">
        <w:t xml:space="preserve">pplicant who gave a voluntary concession that it owed the </w:t>
      </w:r>
      <w:r w:rsidR="00CC57F9">
        <w:t>first</w:t>
      </w:r>
      <w:r w:rsidR="00095B78">
        <w:t xml:space="preserve"> r</w:t>
      </w:r>
      <w:r w:rsidR="00A77912">
        <w:t xml:space="preserve">espondent. </w:t>
      </w:r>
    </w:p>
    <w:p w14:paraId="25BB0716" w14:textId="2875FBE1" w:rsidR="004A1BD0" w:rsidRDefault="004A1BD0" w:rsidP="00A77912">
      <w:pPr>
        <w:spacing w:line="360" w:lineRule="auto"/>
        <w:ind w:firstLine="720"/>
        <w:jc w:val="both"/>
      </w:pPr>
      <w:r>
        <w:t>A perusal of the award i</w:t>
      </w:r>
      <w:r w:rsidR="0046658C">
        <w:t>n particular para 18, the a</w:t>
      </w:r>
      <w:r>
        <w:t>rbitrator agreed w</w:t>
      </w:r>
      <w:r w:rsidR="00D72607">
        <w:t xml:space="preserve">ith the applicant’s submission </w:t>
      </w:r>
      <w:r>
        <w:t xml:space="preserve">that the debt was affected by the provisions of Statutory Instrument 33 of 2019. </w:t>
      </w:r>
      <w:r w:rsidR="00CC57F9">
        <w:t xml:space="preserve"> </w:t>
      </w:r>
      <w:r>
        <w:t>In my view, such a finding c</w:t>
      </w:r>
      <w:r w:rsidR="00D72607">
        <w:t>ould not have been made if the a</w:t>
      </w:r>
      <w:r>
        <w:t>rbitrator had not considered the applicant’s</w:t>
      </w:r>
      <w:r w:rsidR="00D72607">
        <w:t xml:space="preserve"> submissions. </w:t>
      </w:r>
      <w:r w:rsidR="00CC57F9">
        <w:t xml:space="preserve"> </w:t>
      </w:r>
      <w:r w:rsidR="00D72607">
        <w:t>Furthermore, the a</w:t>
      </w:r>
      <w:r>
        <w:t>rbitrator noted in para</w:t>
      </w:r>
      <w:r w:rsidR="00CC57F9">
        <w:t xml:space="preserve"> </w:t>
      </w:r>
      <w:r>
        <w:t xml:space="preserve">30 that the parties’ agreement was that foreign debts be paid in United States Dollars, therefore, could not rule that the amount in question was in Zimbabwean dollars at the rate of 1:1. </w:t>
      </w:r>
      <w:r w:rsidR="00CC57F9">
        <w:t xml:space="preserve"> </w:t>
      </w:r>
      <w:r>
        <w:t>In my view, the parties freely entered the contract between themselves and freely amended it to cater for foreign debts or procurements</w:t>
      </w:r>
      <w:r w:rsidR="00E90CDF">
        <w:t xml:space="preserve">. </w:t>
      </w:r>
      <w:r w:rsidR="00CC57F9">
        <w:t xml:space="preserve"> </w:t>
      </w:r>
      <w:r w:rsidR="00E90CDF">
        <w:t>It is on the above that I find no merit in the application to set aside the arbitral a</w:t>
      </w:r>
      <w:r w:rsidR="00D72607">
        <w:t xml:space="preserve">ward. </w:t>
      </w:r>
      <w:r w:rsidR="00CC57F9">
        <w:t xml:space="preserve"> </w:t>
      </w:r>
      <w:r w:rsidR="00D72607">
        <w:t xml:space="preserve">Thus, I am satisfied that the arbitral award is </w:t>
      </w:r>
      <w:r w:rsidR="00E90CDF">
        <w:t>re</w:t>
      </w:r>
      <w:r w:rsidR="00D72607">
        <w:t>gistrable.</w:t>
      </w:r>
      <w:r w:rsidR="00E90CDF">
        <w:t xml:space="preserve"> In the result</w:t>
      </w:r>
      <w:r w:rsidR="00D72607">
        <w:t>,</w:t>
      </w:r>
      <w:r w:rsidR="00E90CDF">
        <w:t xml:space="preserve"> I make the following order.</w:t>
      </w:r>
    </w:p>
    <w:p w14:paraId="47234DBA" w14:textId="62C478C8" w:rsidR="00E90CDF" w:rsidRDefault="00E90CDF" w:rsidP="00E90CDF">
      <w:pPr>
        <w:pStyle w:val="ListParagraph"/>
        <w:numPr>
          <w:ilvl w:val="0"/>
          <w:numId w:val="44"/>
        </w:numPr>
        <w:spacing w:line="360" w:lineRule="auto"/>
        <w:jc w:val="both"/>
      </w:pPr>
      <w:r>
        <w:t>The application to set aside the arbitral award be and is hereby dismissed with costs.</w:t>
      </w:r>
    </w:p>
    <w:p w14:paraId="7A23C8B9" w14:textId="2D448B01" w:rsidR="00E90CDF" w:rsidRDefault="00E90CDF" w:rsidP="00E90CDF">
      <w:pPr>
        <w:pStyle w:val="ListParagraph"/>
        <w:numPr>
          <w:ilvl w:val="0"/>
          <w:numId w:val="44"/>
        </w:numPr>
        <w:spacing w:line="360" w:lineRule="auto"/>
        <w:jc w:val="both"/>
      </w:pPr>
      <w:r>
        <w:t xml:space="preserve">The counter – application by the </w:t>
      </w:r>
      <w:r w:rsidR="00CC57F9">
        <w:t xml:space="preserve">first </w:t>
      </w:r>
      <w:r w:rsidR="00D72607">
        <w:t>r</w:t>
      </w:r>
      <w:r>
        <w:t>espondent be and is hereby granted.</w:t>
      </w:r>
    </w:p>
    <w:p w14:paraId="7A41A252" w14:textId="4D88BCF8" w:rsidR="00E90CDF" w:rsidRDefault="00E90CDF" w:rsidP="00E90CDF">
      <w:pPr>
        <w:pStyle w:val="ListParagraph"/>
        <w:numPr>
          <w:ilvl w:val="0"/>
          <w:numId w:val="44"/>
        </w:numPr>
        <w:spacing w:line="360" w:lineRule="auto"/>
        <w:jc w:val="both"/>
      </w:pPr>
      <w:r>
        <w:t xml:space="preserve">The award by </w:t>
      </w:r>
      <w:r w:rsidR="00CC57F9">
        <w:t xml:space="preserve">second </w:t>
      </w:r>
      <w:r w:rsidR="00D72607">
        <w:t>r</w:t>
      </w:r>
      <w:r>
        <w:t xml:space="preserve">espondent be and is hereby registered as an order of this Court. </w:t>
      </w:r>
    </w:p>
    <w:p w14:paraId="544FF93C" w14:textId="0CA2DC21" w:rsidR="00D72607" w:rsidRDefault="00D72607" w:rsidP="00D72607">
      <w:pPr>
        <w:spacing w:line="360" w:lineRule="auto"/>
        <w:jc w:val="both"/>
      </w:pPr>
    </w:p>
    <w:p w14:paraId="5EE39E20" w14:textId="3829BFCD" w:rsidR="00D72607" w:rsidRDefault="00D72607" w:rsidP="00D72607">
      <w:pPr>
        <w:spacing w:line="360" w:lineRule="auto"/>
        <w:jc w:val="both"/>
      </w:pPr>
    </w:p>
    <w:p w14:paraId="34AFEFB1" w14:textId="05C06C5E" w:rsidR="00D72607" w:rsidRDefault="00D72607" w:rsidP="00474D90">
      <w:pPr>
        <w:jc w:val="both"/>
      </w:pPr>
      <w:r w:rsidRPr="00474D90">
        <w:rPr>
          <w:i/>
        </w:rPr>
        <w:t>Gwaunza &amp; Maposa</w:t>
      </w:r>
      <w:r>
        <w:t xml:space="preserve">, </w:t>
      </w:r>
      <w:r w:rsidR="00CC57F9">
        <w:t>applicant’s</w:t>
      </w:r>
      <w:r>
        <w:t xml:space="preserve"> legal practitioners</w:t>
      </w:r>
    </w:p>
    <w:p w14:paraId="11D6BB90" w14:textId="09E00473" w:rsidR="00D72607" w:rsidRDefault="00D72607" w:rsidP="00474D90">
      <w:pPr>
        <w:jc w:val="both"/>
      </w:pPr>
      <w:r w:rsidRPr="00474D90">
        <w:rPr>
          <w:i/>
        </w:rPr>
        <w:t>Mlotshwa &amp; Maguwudze</w:t>
      </w:r>
      <w:r>
        <w:t xml:space="preserve">, </w:t>
      </w:r>
      <w:r w:rsidR="00CC57F9">
        <w:t>first</w:t>
      </w:r>
      <w:r w:rsidR="00474D90">
        <w:t xml:space="preserve"> respondent’s legal practitioners</w:t>
      </w:r>
    </w:p>
    <w:p w14:paraId="1C94B192" w14:textId="02731157" w:rsidR="0078604C" w:rsidRPr="007C7786" w:rsidRDefault="002A0AD7" w:rsidP="00E90CDF">
      <w:pPr>
        <w:pStyle w:val="ListParagraph"/>
        <w:spacing w:line="360" w:lineRule="auto"/>
        <w:ind w:left="1080"/>
        <w:jc w:val="both"/>
      </w:pPr>
      <w:r>
        <w:t xml:space="preserve"> </w:t>
      </w:r>
    </w:p>
    <w:sectPr w:rsidR="0078604C" w:rsidRPr="007C7786" w:rsidSect="00FB513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A43B0" w14:textId="77777777" w:rsidR="00C56F42" w:rsidRDefault="00C56F42" w:rsidP="005A4D7A">
      <w:r>
        <w:separator/>
      </w:r>
    </w:p>
  </w:endnote>
  <w:endnote w:type="continuationSeparator" w:id="0">
    <w:p w14:paraId="63178A35" w14:textId="77777777" w:rsidR="00C56F42" w:rsidRDefault="00C56F42" w:rsidP="005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586FE" w14:textId="77777777" w:rsidR="00C56F42" w:rsidRDefault="00C56F42" w:rsidP="005A4D7A">
      <w:r>
        <w:separator/>
      </w:r>
    </w:p>
  </w:footnote>
  <w:footnote w:type="continuationSeparator" w:id="0">
    <w:p w14:paraId="0A0EC377" w14:textId="77777777" w:rsidR="00C56F42" w:rsidRDefault="00C56F42" w:rsidP="005A4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970241"/>
      <w:docPartObj>
        <w:docPartGallery w:val="Page Numbers (Top of Page)"/>
        <w:docPartUnique/>
      </w:docPartObj>
    </w:sdtPr>
    <w:sdtEndPr>
      <w:rPr>
        <w:noProof/>
      </w:rPr>
    </w:sdtEndPr>
    <w:sdtContent>
      <w:p w14:paraId="12549CB9" w14:textId="15C85503" w:rsidR="00F12256" w:rsidRDefault="00AC7078">
        <w:pPr>
          <w:pStyle w:val="Header"/>
          <w:jc w:val="right"/>
          <w:rPr>
            <w:noProof/>
          </w:rPr>
        </w:pPr>
        <w:r>
          <w:fldChar w:fldCharType="begin"/>
        </w:r>
        <w:r>
          <w:instrText xml:space="preserve"> PAGE   \* MERGEFORMAT </w:instrText>
        </w:r>
        <w:r>
          <w:fldChar w:fldCharType="separate"/>
        </w:r>
        <w:r w:rsidR="00914AE3">
          <w:rPr>
            <w:noProof/>
          </w:rPr>
          <w:t>1</w:t>
        </w:r>
        <w:r>
          <w:rPr>
            <w:noProof/>
          </w:rPr>
          <w:fldChar w:fldCharType="end"/>
        </w:r>
      </w:p>
      <w:p w14:paraId="7A77CC43" w14:textId="72BA8CBE" w:rsidR="00F12256" w:rsidRDefault="00F12256">
        <w:pPr>
          <w:pStyle w:val="Header"/>
          <w:jc w:val="right"/>
          <w:rPr>
            <w:noProof/>
          </w:rPr>
        </w:pPr>
        <w:r>
          <w:rPr>
            <w:noProof/>
          </w:rPr>
          <w:t>HH</w:t>
        </w:r>
        <w:r w:rsidR="00F5514B">
          <w:rPr>
            <w:noProof/>
          </w:rPr>
          <w:t xml:space="preserve"> 182-24</w:t>
        </w:r>
      </w:p>
      <w:p w14:paraId="20681D9E" w14:textId="6DA249B8" w:rsidR="00AC7078" w:rsidRDefault="00F12256">
        <w:pPr>
          <w:pStyle w:val="Header"/>
          <w:jc w:val="right"/>
        </w:pPr>
        <w:r>
          <w:rPr>
            <w:noProof/>
          </w:rPr>
          <w:t>HC 933/21</w:t>
        </w:r>
      </w:p>
    </w:sdtContent>
  </w:sdt>
  <w:p w14:paraId="12C3F681" w14:textId="77777777" w:rsidR="00AC7078" w:rsidRDefault="00AC70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DFA"/>
    <w:multiLevelType w:val="hybridMultilevel"/>
    <w:tmpl w:val="1A160BE4"/>
    <w:lvl w:ilvl="0" w:tplc="AAECC5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26A5E68"/>
    <w:multiLevelType w:val="hybridMultilevel"/>
    <w:tmpl w:val="A4B41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51B24"/>
    <w:multiLevelType w:val="hybridMultilevel"/>
    <w:tmpl w:val="C45A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32837"/>
    <w:multiLevelType w:val="hybridMultilevel"/>
    <w:tmpl w:val="E946B2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A1B721D"/>
    <w:multiLevelType w:val="hybridMultilevel"/>
    <w:tmpl w:val="FE0CAB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C31DB"/>
    <w:multiLevelType w:val="hybridMultilevel"/>
    <w:tmpl w:val="42064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402EF"/>
    <w:multiLevelType w:val="hybridMultilevel"/>
    <w:tmpl w:val="9848A3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7A6697B"/>
    <w:multiLevelType w:val="hybridMultilevel"/>
    <w:tmpl w:val="55FC1B3E"/>
    <w:lvl w:ilvl="0" w:tplc="0DCC8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9E016E"/>
    <w:multiLevelType w:val="hybridMultilevel"/>
    <w:tmpl w:val="0E4CD43A"/>
    <w:lvl w:ilvl="0" w:tplc="352AF6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80812"/>
    <w:multiLevelType w:val="hybridMultilevel"/>
    <w:tmpl w:val="06122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66D01"/>
    <w:multiLevelType w:val="hybridMultilevel"/>
    <w:tmpl w:val="A9D0178A"/>
    <w:lvl w:ilvl="0" w:tplc="1194D9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1C540513"/>
    <w:multiLevelType w:val="hybridMultilevel"/>
    <w:tmpl w:val="025CD0CC"/>
    <w:lvl w:ilvl="0" w:tplc="1958C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AF477C"/>
    <w:multiLevelType w:val="hybridMultilevel"/>
    <w:tmpl w:val="93188D92"/>
    <w:lvl w:ilvl="0" w:tplc="93407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5F0DA7"/>
    <w:multiLevelType w:val="hybridMultilevel"/>
    <w:tmpl w:val="027CBE7C"/>
    <w:lvl w:ilvl="0" w:tplc="C7B022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27C575EB"/>
    <w:multiLevelType w:val="hybridMultilevel"/>
    <w:tmpl w:val="1690D5BE"/>
    <w:lvl w:ilvl="0" w:tplc="209A3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E086E"/>
    <w:multiLevelType w:val="hybridMultilevel"/>
    <w:tmpl w:val="EAF42596"/>
    <w:lvl w:ilvl="0" w:tplc="94EA7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FE6911"/>
    <w:multiLevelType w:val="hybridMultilevel"/>
    <w:tmpl w:val="223E0B8C"/>
    <w:lvl w:ilvl="0" w:tplc="638A22BE">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73A7594"/>
    <w:multiLevelType w:val="hybridMultilevel"/>
    <w:tmpl w:val="24F40968"/>
    <w:lvl w:ilvl="0" w:tplc="ACE8E2C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39BC2BBD"/>
    <w:multiLevelType w:val="hybridMultilevel"/>
    <w:tmpl w:val="81229B72"/>
    <w:lvl w:ilvl="0" w:tplc="B68CD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3B3572"/>
    <w:multiLevelType w:val="hybridMultilevel"/>
    <w:tmpl w:val="7DFE0716"/>
    <w:lvl w:ilvl="0" w:tplc="9C9A3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9017C6"/>
    <w:multiLevelType w:val="hybridMultilevel"/>
    <w:tmpl w:val="090EB506"/>
    <w:lvl w:ilvl="0" w:tplc="EDFA10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A66F38"/>
    <w:multiLevelType w:val="hybridMultilevel"/>
    <w:tmpl w:val="F942E326"/>
    <w:lvl w:ilvl="0" w:tplc="A4DCFF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520EC"/>
    <w:multiLevelType w:val="hybridMultilevel"/>
    <w:tmpl w:val="7542E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26F72"/>
    <w:multiLevelType w:val="hybridMultilevel"/>
    <w:tmpl w:val="909E7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F53390"/>
    <w:multiLevelType w:val="hybridMultilevel"/>
    <w:tmpl w:val="EEA282F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44F94F51"/>
    <w:multiLevelType w:val="hybridMultilevel"/>
    <w:tmpl w:val="3E0E0702"/>
    <w:lvl w:ilvl="0" w:tplc="C58621CE">
      <w:start w:val="1"/>
      <w:numFmt w:val="bullet"/>
      <w:lvlText w:val=""/>
      <w:lvlJc w:val="left"/>
      <w:pPr>
        <w:ind w:left="1800" w:hanging="360"/>
      </w:pPr>
      <w:rPr>
        <w:rFonts w:ascii="Symbol" w:eastAsiaTheme="minorHAnsi" w:hAnsi="Symbol"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26" w15:restartNumberingAfterBreak="0">
    <w:nsid w:val="46D10756"/>
    <w:multiLevelType w:val="hybridMultilevel"/>
    <w:tmpl w:val="3986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E2465"/>
    <w:multiLevelType w:val="hybridMultilevel"/>
    <w:tmpl w:val="44AE4DEE"/>
    <w:lvl w:ilvl="0" w:tplc="B2C6E8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29608C"/>
    <w:multiLevelType w:val="hybridMultilevel"/>
    <w:tmpl w:val="E5860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E6236B"/>
    <w:multiLevelType w:val="hybridMultilevel"/>
    <w:tmpl w:val="D2603F36"/>
    <w:lvl w:ilvl="0" w:tplc="AC7461B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0" w15:restartNumberingAfterBreak="0">
    <w:nsid w:val="54366E14"/>
    <w:multiLevelType w:val="hybridMultilevel"/>
    <w:tmpl w:val="7390EA22"/>
    <w:lvl w:ilvl="0" w:tplc="C85AB0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65F4204"/>
    <w:multiLevelType w:val="hybridMultilevel"/>
    <w:tmpl w:val="BB3C769E"/>
    <w:lvl w:ilvl="0" w:tplc="A99A27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BB45224"/>
    <w:multiLevelType w:val="hybridMultilevel"/>
    <w:tmpl w:val="E7BE2998"/>
    <w:lvl w:ilvl="0" w:tplc="C0864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2070AE"/>
    <w:multiLevelType w:val="hybridMultilevel"/>
    <w:tmpl w:val="F266F6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615302C2"/>
    <w:multiLevelType w:val="hybridMultilevel"/>
    <w:tmpl w:val="06C03324"/>
    <w:lvl w:ilvl="0" w:tplc="338E4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FB7A68"/>
    <w:multiLevelType w:val="hybridMultilevel"/>
    <w:tmpl w:val="BDF60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754BE"/>
    <w:multiLevelType w:val="hybridMultilevel"/>
    <w:tmpl w:val="9C5876A0"/>
    <w:lvl w:ilvl="0" w:tplc="AA04DE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C94474"/>
    <w:multiLevelType w:val="hybridMultilevel"/>
    <w:tmpl w:val="232A74FA"/>
    <w:lvl w:ilvl="0" w:tplc="1ECA9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304263"/>
    <w:multiLevelType w:val="hybridMultilevel"/>
    <w:tmpl w:val="6964899E"/>
    <w:lvl w:ilvl="0" w:tplc="150CE5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15:restartNumberingAfterBreak="0">
    <w:nsid w:val="72626BCF"/>
    <w:multiLevelType w:val="hybridMultilevel"/>
    <w:tmpl w:val="FA30A4D0"/>
    <w:lvl w:ilvl="0" w:tplc="78666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5D0EC3"/>
    <w:multiLevelType w:val="hybridMultilevel"/>
    <w:tmpl w:val="0A7A51CA"/>
    <w:lvl w:ilvl="0" w:tplc="D834C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E25467"/>
    <w:multiLevelType w:val="hybridMultilevel"/>
    <w:tmpl w:val="F2CACA8C"/>
    <w:lvl w:ilvl="0" w:tplc="D8329B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EC7317"/>
    <w:multiLevelType w:val="hybridMultilevel"/>
    <w:tmpl w:val="28F82F02"/>
    <w:lvl w:ilvl="0" w:tplc="C9F676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9E4F49"/>
    <w:multiLevelType w:val="hybridMultilevel"/>
    <w:tmpl w:val="75B8A838"/>
    <w:lvl w:ilvl="0" w:tplc="BD944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26"/>
  </w:num>
  <w:num w:numId="3">
    <w:abstractNumId w:val="43"/>
  </w:num>
  <w:num w:numId="4">
    <w:abstractNumId w:val="29"/>
  </w:num>
  <w:num w:numId="5">
    <w:abstractNumId w:val="16"/>
  </w:num>
  <w:num w:numId="6">
    <w:abstractNumId w:val="25"/>
  </w:num>
  <w:num w:numId="7">
    <w:abstractNumId w:val="24"/>
  </w:num>
  <w:num w:numId="8">
    <w:abstractNumId w:val="17"/>
  </w:num>
  <w:num w:numId="9">
    <w:abstractNumId w:val="0"/>
  </w:num>
  <w:num w:numId="10">
    <w:abstractNumId w:val="10"/>
  </w:num>
  <w:num w:numId="11">
    <w:abstractNumId w:val="30"/>
  </w:num>
  <w:num w:numId="12">
    <w:abstractNumId w:val="6"/>
  </w:num>
  <w:num w:numId="13">
    <w:abstractNumId w:val="38"/>
  </w:num>
  <w:num w:numId="14">
    <w:abstractNumId w:val="13"/>
  </w:num>
  <w:num w:numId="15">
    <w:abstractNumId w:val="31"/>
  </w:num>
  <w:num w:numId="16">
    <w:abstractNumId w:val="33"/>
  </w:num>
  <w:num w:numId="17">
    <w:abstractNumId w:val="3"/>
  </w:num>
  <w:num w:numId="18">
    <w:abstractNumId w:val="35"/>
  </w:num>
  <w:num w:numId="19">
    <w:abstractNumId w:val="9"/>
  </w:num>
  <w:num w:numId="20">
    <w:abstractNumId w:val="37"/>
  </w:num>
  <w:num w:numId="21">
    <w:abstractNumId w:val="4"/>
  </w:num>
  <w:num w:numId="22">
    <w:abstractNumId w:val="36"/>
  </w:num>
  <w:num w:numId="23">
    <w:abstractNumId w:val="20"/>
  </w:num>
  <w:num w:numId="24">
    <w:abstractNumId w:val="14"/>
  </w:num>
  <w:num w:numId="25">
    <w:abstractNumId w:val="40"/>
  </w:num>
  <w:num w:numId="26">
    <w:abstractNumId w:val="5"/>
  </w:num>
  <w:num w:numId="27">
    <w:abstractNumId w:val="19"/>
  </w:num>
  <w:num w:numId="28">
    <w:abstractNumId w:val="12"/>
  </w:num>
  <w:num w:numId="29">
    <w:abstractNumId w:val="28"/>
  </w:num>
  <w:num w:numId="30">
    <w:abstractNumId w:val="42"/>
  </w:num>
  <w:num w:numId="31">
    <w:abstractNumId w:val="21"/>
  </w:num>
  <w:num w:numId="32">
    <w:abstractNumId w:val="32"/>
  </w:num>
  <w:num w:numId="33">
    <w:abstractNumId w:val="39"/>
  </w:num>
  <w:num w:numId="34">
    <w:abstractNumId w:val="34"/>
  </w:num>
  <w:num w:numId="35">
    <w:abstractNumId w:val="27"/>
  </w:num>
  <w:num w:numId="36">
    <w:abstractNumId w:val="8"/>
  </w:num>
  <w:num w:numId="37">
    <w:abstractNumId w:val="7"/>
  </w:num>
  <w:num w:numId="38">
    <w:abstractNumId w:val="1"/>
  </w:num>
  <w:num w:numId="39">
    <w:abstractNumId w:val="23"/>
  </w:num>
  <w:num w:numId="40">
    <w:abstractNumId w:val="41"/>
  </w:num>
  <w:num w:numId="41">
    <w:abstractNumId w:val="22"/>
  </w:num>
  <w:num w:numId="42">
    <w:abstractNumId w:val="11"/>
  </w:num>
  <w:num w:numId="43">
    <w:abstractNumId w:val="18"/>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AxMbEwtbA0MjEzNzRV0lEKTi0uzszPAykwrgUAq7ZWpSwAAAA="/>
  </w:docVars>
  <w:rsids>
    <w:rsidRoot w:val="005A4D7A"/>
    <w:rsid w:val="0000065C"/>
    <w:rsid w:val="00000BAE"/>
    <w:rsid w:val="0000187D"/>
    <w:rsid w:val="00003953"/>
    <w:rsid w:val="00012BFE"/>
    <w:rsid w:val="00014283"/>
    <w:rsid w:val="00015011"/>
    <w:rsid w:val="00016103"/>
    <w:rsid w:val="00016290"/>
    <w:rsid w:val="000178BC"/>
    <w:rsid w:val="00020014"/>
    <w:rsid w:val="0002003E"/>
    <w:rsid w:val="00024984"/>
    <w:rsid w:val="0002538E"/>
    <w:rsid w:val="00036740"/>
    <w:rsid w:val="00036F12"/>
    <w:rsid w:val="0003708D"/>
    <w:rsid w:val="00040C2D"/>
    <w:rsid w:val="000437A6"/>
    <w:rsid w:val="00044DC3"/>
    <w:rsid w:val="00047457"/>
    <w:rsid w:val="00051896"/>
    <w:rsid w:val="00051BCE"/>
    <w:rsid w:val="00052CC4"/>
    <w:rsid w:val="00056938"/>
    <w:rsid w:val="000571B7"/>
    <w:rsid w:val="00060409"/>
    <w:rsid w:val="000611E9"/>
    <w:rsid w:val="00061FDF"/>
    <w:rsid w:val="0006233A"/>
    <w:rsid w:val="000642DE"/>
    <w:rsid w:val="00066EA2"/>
    <w:rsid w:val="000672F9"/>
    <w:rsid w:val="00067E90"/>
    <w:rsid w:val="00070D4E"/>
    <w:rsid w:val="00074684"/>
    <w:rsid w:val="00074807"/>
    <w:rsid w:val="0007745C"/>
    <w:rsid w:val="00080A17"/>
    <w:rsid w:val="00080CB4"/>
    <w:rsid w:val="00081C16"/>
    <w:rsid w:val="00081FAD"/>
    <w:rsid w:val="00083CEC"/>
    <w:rsid w:val="00086001"/>
    <w:rsid w:val="000865EA"/>
    <w:rsid w:val="00090A23"/>
    <w:rsid w:val="00092CAF"/>
    <w:rsid w:val="00093772"/>
    <w:rsid w:val="000952B7"/>
    <w:rsid w:val="00095B78"/>
    <w:rsid w:val="000962C6"/>
    <w:rsid w:val="000965BC"/>
    <w:rsid w:val="0009791D"/>
    <w:rsid w:val="00097C3F"/>
    <w:rsid w:val="000A050A"/>
    <w:rsid w:val="000A59D6"/>
    <w:rsid w:val="000A5B71"/>
    <w:rsid w:val="000A6E82"/>
    <w:rsid w:val="000B67D7"/>
    <w:rsid w:val="000B7869"/>
    <w:rsid w:val="000C2ACD"/>
    <w:rsid w:val="000C2DF8"/>
    <w:rsid w:val="000D04FF"/>
    <w:rsid w:val="000D059C"/>
    <w:rsid w:val="000D0B80"/>
    <w:rsid w:val="000D0D48"/>
    <w:rsid w:val="000D534A"/>
    <w:rsid w:val="000D58E2"/>
    <w:rsid w:val="000D71D6"/>
    <w:rsid w:val="000E04DE"/>
    <w:rsid w:val="000E0734"/>
    <w:rsid w:val="000E158A"/>
    <w:rsid w:val="000E203B"/>
    <w:rsid w:val="000E2799"/>
    <w:rsid w:val="000E4218"/>
    <w:rsid w:val="000F17BB"/>
    <w:rsid w:val="000F1D04"/>
    <w:rsid w:val="000F21A2"/>
    <w:rsid w:val="000F26B8"/>
    <w:rsid w:val="000F2A05"/>
    <w:rsid w:val="000F3663"/>
    <w:rsid w:val="000F4196"/>
    <w:rsid w:val="000F5D3E"/>
    <w:rsid w:val="000F5F75"/>
    <w:rsid w:val="00102516"/>
    <w:rsid w:val="0010433B"/>
    <w:rsid w:val="00104513"/>
    <w:rsid w:val="00111097"/>
    <w:rsid w:val="001136B2"/>
    <w:rsid w:val="00116A7B"/>
    <w:rsid w:val="001204CB"/>
    <w:rsid w:val="00122F4E"/>
    <w:rsid w:val="001230D1"/>
    <w:rsid w:val="00123848"/>
    <w:rsid w:val="001243E4"/>
    <w:rsid w:val="00127CA6"/>
    <w:rsid w:val="00134BA3"/>
    <w:rsid w:val="00136D44"/>
    <w:rsid w:val="00141FC5"/>
    <w:rsid w:val="00146041"/>
    <w:rsid w:val="001478A7"/>
    <w:rsid w:val="00150C62"/>
    <w:rsid w:val="00151BAF"/>
    <w:rsid w:val="001528F8"/>
    <w:rsid w:val="001532D5"/>
    <w:rsid w:val="00153963"/>
    <w:rsid w:val="00154F4C"/>
    <w:rsid w:val="001550E0"/>
    <w:rsid w:val="00155A31"/>
    <w:rsid w:val="00160404"/>
    <w:rsid w:val="0016302F"/>
    <w:rsid w:val="0016794A"/>
    <w:rsid w:val="00171E1D"/>
    <w:rsid w:val="001739C2"/>
    <w:rsid w:val="00193712"/>
    <w:rsid w:val="00196891"/>
    <w:rsid w:val="001975DF"/>
    <w:rsid w:val="00197BA6"/>
    <w:rsid w:val="001A0769"/>
    <w:rsid w:val="001A0DED"/>
    <w:rsid w:val="001A36C2"/>
    <w:rsid w:val="001A4C1C"/>
    <w:rsid w:val="001B1927"/>
    <w:rsid w:val="001B19B6"/>
    <w:rsid w:val="001B58AA"/>
    <w:rsid w:val="001C1FD5"/>
    <w:rsid w:val="001C2442"/>
    <w:rsid w:val="001C5CAC"/>
    <w:rsid w:val="001C6E80"/>
    <w:rsid w:val="001D0246"/>
    <w:rsid w:val="001D681C"/>
    <w:rsid w:val="001D69CA"/>
    <w:rsid w:val="001D7737"/>
    <w:rsid w:val="001E2CB7"/>
    <w:rsid w:val="001E3A2E"/>
    <w:rsid w:val="001E3F92"/>
    <w:rsid w:val="001E4D55"/>
    <w:rsid w:val="001E59D3"/>
    <w:rsid w:val="001E67D3"/>
    <w:rsid w:val="001F09AE"/>
    <w:rsid w:val="001F1349"/>
    <w:rsid w:val="001F26A1"/>
    <w:rsid w:val="001F34A3"/>
    <w:rsid w:val="001F66F3"/>
    <w:rsid w:val="001F789D"/>
    <w:rsid w:val="00210AA3"/>
    <w:rsid w:val="0021311B"/>
    <w:rsid w:val="002135CB"/>
    <w:rsid w:val="00214036"/>
    <w:rsid w:val="00216164"/>
    <w:rsid w:val="0021673D"/>
    <w:rsid w:val="00220E57"/>
    <w:rsid w:val="00221355"/>
    <w:rsid w:val="00221947"/>
    <w:rsid w:val="00222C3C"/>
    <w:rsid w:val="0022768B"/>
    <w:rsid w:val="002320CE"/>
    <w:rsid w:val="002327DD"/>
    <w:rsid w:val="00232A80"/>
    <w:rsid w:val="00233AEE"/>
    <w:rsid w:val="00236CE2"/>
    <w:rsid w:val="00240C5D"/>
    <w:rsid w:val="00241B7C"/>
    <w:rsid w:val="0024550C"/>
    <w:rsid w:val="00245C7E"/>
    <w:rsid w:val="002506EF"/>
    <w:rsid w:val="00254367"/>
    <w:rsid w:val="002560B2"/>
    <w:rsid w:val="00256EB3"/>
    <w:rsid w:val="00260491"/>
    <w:rsid w:val="002610EF"/>
    <w:rsid w:val="0026143F"/>
    <w:rsid w:val="00261F3E"/>
    <w:rsid w:val="00264E2F"/>
    <w:rsid w:val="00266684"/>
    <w:rsid w:val="00272EAD"/>
    <w:rsid w:val="002824C5"/>
    <w:rsid w:val="0028493F"/>
    <w:rsid w:val="002850F5"/>
    <w:rsid w:val="00285E64"/>
    <w:rsid w:val="002862F4"/>
    <w:rsid w:val="002912A6"/>
    <w:rsid w:val="002918E2"/>
    <w:rsid w:val="00293088"/>
    <w:rsid w:val="00293B8C"/>
    <w:rsid w:val="002955E3"/>
    <w:rsid w:val="00296A6D"/>
    <w:rsid w:val="002A0A83"/>
    <w:rsid w:val="002A0AD7"/>
    <w:rsid w:val="002A3CB3"/>
    <w:rsid w:val="002A6F91"/>
    <w:rsid w:val="002B4D4B"/>
    <w:rsid w:val="002D1758"/>
    <w:rsid w:val="002D2D9C"/>
    <w:rsid w:val="002D34A3"/>
    <w:rsid w:val="002E1B4B"/>
    <w:rsid w:val="002E2667"/>
    <w:rsid w:val="002E6FBD"/>
    <w:rsid w:val="002F05E9"/>
    <w:rsid w:val="002F183A"/>
    <w:rsid w:val="002F286B"/>
    <w:rsid w:val="002F60DF"/>
    <w:rsid w:val="002F6EBC"/>
    <w:rsid w:val="0030244B"/>
    <w:rsid w:val="00302E9F"/>
    <w:rsid w:val="00306E52"/>
    <w:rsid w:val="0031037A"/>
    <w:rsid w:val="00310778"/>
    <w:rsid w:val="0031216D"/>
    <w:rsid w:val="003126EF"/>
    <w:rsid w:val="003128D2"/>
    <w:rsid w:val="00312EB5"/>
    <w:rsid w:val="00316234"/>
    <w:rsid w:val="00320213"/>
    <w:rsid w:val="00323F67"/>
    <w:rsid w:val="003269B4"/>
    <w:rsid w:val="0032732D"/>
    <w:rsid w:val="0033158A"/>
    <w:rsid w:val="00331D67"/>
    <w:rsid w:val="00337377"/>
    <w:rsid w:val="00337DAA"/>
    <w:rsid w:val="003414FF"/>
    <w:rsid w:val="00345AEE"/>
    <w:rsid w:val="003463B3"/>
    <w:rsid w:val="0034645B"/>
    <w:rsid w:val="00346D3D"/>
    <w:rsid w:val="00350971"/>
    <w:rsid w:val="00350B7A"/>
    <w:rsid w:val="00350E8E"/>
    <w:rsid w:val="00355D5A"/>
    <w:rsid w:val="00356BD2"/>
    <w:rsid w:val="003604DF"/>
    <w:rsid w:val="003612A4"/>
    <w:rsid w:val="00363C81"/>
    <w:rsid w:val="003648FB"/>
    <w:rsid w:val="003676D6"/>
    <w:rsid w:val="003713EA"/>
    <w:rsid w:val="0037364A"/>
    <w:rsid w:val="00373DE4"/>
    <w:rsid w:val="00375350"/>
    <w:rsid w:val="00376C8F"/>
    <w:rsid w:val="00384ACD"/>
    <w:rsid w:val="00386934"/>
    <w:rsid w:val="003919A9"/>
    <w:rsid w:val="00391D01"/>
    <w:rsid w:val="00392198"/>
    <w:rsid w:val="00393314"/>
    <w:rsid w:val="003937C0"/>
    <w:rsid w:val="0039522E"/>
    <w:rsid w:val="0039564B"/>
    <w:rsid w:val="00395ACD"/>
    <w:rsid w:val="00396D61"/>
    <w:rsid w:val="00397C25"/>
    <w:rsid w:val="003A0463"/>
    <w:rsid w:val="003A20F2"/>
    <w:rsid w:val="003A5868"/>
    <w:rsid w:val="003A6699"/>
    <w:rsid w:val="003A67B7"/>
    <w:rsid w:val="003A7DFB"/>
    <w:rsid w:val="003B04C6"/>
    <w:rsid w:val="003B089D"/>
    <w:rsid w:val="003B46C1"/>
    <w:rsid w:val="003B54AC"/>
    <w:rsid w:val="003B5F17"/>
    <w:rsid w:val="003B7670"/>
    <w:rsid w:val="003B7FC6"/>
    <w:rsid w:val="003C00A5"/>
    <w:rsid w:val="003C2F4D"/>
    <w:rsid w:val="003D16C4"/>
    <w:rsid w:val="003D2D31"/>
    <w:rsid w:val="003D3A9D"/>
    <w:rsid w:val="003E1C79"/>
    <w:rsid w:val="003E2799"/>
    <w:rsid w:val="003E2A69"/>
    <w:rsid w:val="003E3469"/>
    <w:rsid w:val="003E3FBE"/>
    <w:rsid w:val="003F16BA"/>
    <w:rsid w:val="003F1C94"/>
    <w:rsid w:val="003F1C99"/>
    <w:rsid w:val="003F2E9C"/>
    <w:rsid w:val="003F46E1"/>
    <w:rsid w:val="003F5B2C"/>
    <w:rsid w:val="003F6A14"/>
    <w:rsid w:val="003F7E0D"/>
    <w:rsid w:val="004006A1"/>
    <w:rsid w:val="00400F8F"/>
    <w:rsid w:val="00401C12"/>
    <w:rsid w:val="00405423"/>
    <w:rsid w:val="00406705"/>
    <w:rsid w:val="0041120D"/>
    <w:rsid w:val="00411EA8"/>
    <w:rsid w:val="0041384D"/>
    <w:rsid w:val="0041406F"/>
    <w:rsid w:val="004169FF"/>
    <w:rsid w:val="004233D1"/>
    <w:rsid w:val="00426038"/>
    <w:rsid w:val="00427E63"/>
    <w:rsid w:val="00430154"/>
    <w:rsid w:val="00434024"/>
    <w:rsid w:val="004348C6"/>
    <w:rsid w:val="004354B9"/>
    <w:rsid w:val="00436BCA"/>
    <w:rsid w:val="00437249"/>
    <w:rsid w:val="00440149"/>
    <w:rsid w:val="00440FE6"/>
    <w:rsid w:val="0044147E"/>
    <w:rsid w:val="00442BE2"/>
    <w:rsid w:val="00446C70"/>
    <w:rsid w:val="00447503"/>
    <w:rsid w:val="0045012B"/>
    <w:rsid w:val="0045356E"/>
    <w:rsid w:val="00461487"/>
    <w:rsid w:val="0046215A"/>
    <w:rsid w:val="004633DB"/>
    <w:rsid w:val="004655E0"/>
    <w:rsid w:val="0046658C"/>
    <w:rsid w:val="0047026A"/>
    <w:rsid w:val="00472847"/>
    <w:rsid w:val="00474D90"/>
    <w:rsid w:val="00480ADB"/>
    <w:rsid w:val="00481AA4"/>
    <w:rsid w:val="0048216B"/>
    <w:rsid w:val="00483E55"/>
    <w:rsid w:val="00486278"/>
    <w:rsid w:val="004906BC"/>
    <w:rsid w:val="0049394A"/>
    <w:rsid w:val="00494246"/>
    <w:rsid w:val="0049730D"/>
    <w:rsid w:val="004A1BD0"/>
    <w:rsid w:val="004A3FB2"/>
    <w:rsid w:val="004A61A8"/>
    <w:rsid w:val="004B01BD"/>
    <w:rsid w:val="004B10DD"/>
    <w:rsid w:val="004B1424"/>
    <w:rsid w:val="004B158B"/>
    <w:rsid w:val="004B317E"/>
    <w:rsid w:val="004B56B5"/>
    <w:rsid w:val="004B6342"/>
    <w:rsid w:val="004B682A"/>
    <w:rsid w:val="004B6F2C"/>
    <w:rsid w:val="004B73BD"/>
    <w:rsid w:val="004C01D6"/>
    <w:rsid w:val="004C46CB"/>
    <w:rsid w:val="004C6E2F"/>
    <w:rsid w:val="004D0E53"/>
    <w:rsid w:val="004D1790"/>
    <w:rsid w:val="004D20EB"/>
    <w:rsid w:val="004D3C5A"/>
    <w:rsid w:val="004D529D"/>
    <w:rsid w:val="004E1ABB"/>
    <w:rsid w:val="004E1CA6"/>
    <w:rsid w:val="004E2DB6"/>
    <w:rsid w:val="004E30EF"/>
    <w:rsid w:val="004E6230"/>
    <w:rsid w:val="004F10AC"/>
    <w:rsid w:val="004F3423"/>
    <w:rsid w:val="0050074A"/>
    <w:rsid w:val="00500A5F"/>
    <w:rsid w:val="00503F0D"/>
    <w:rsid w:val="00510068"/>
    <w:rsid w:val="005179AE"/>
    <w:rsid w:val="00517EBD"/>
    <w:rsid w:val="00522AE8"/>
    <w:rsid w:val="005235E2"/>
    <w:rsid w:val="005246A8"/>
    <w:rsid w:val="00530CAF"/>
    <w:rsid w:val="00536DD0"/>
    <w:rsid w:val="00541304"/>
    <w:rsid w:val="00541615"/>
    <w:rsid w:val="0054216A"/>
    <w:rsid w:val="00544DC3"/>
    <w:rsid w:val="00545E10"/>
    <w:rsid w:val="00550006"/>
    <w:rsid w:val="00551345"/>
    <w:rsid w:val="005542E0"/>
    <w:rsid w:val="0055781E"/>
    <w:rsid w:val="00560555"/>
    <w:rsid w:val="00562803"/>
    <w:rsid w:val="00565C43"/>
    <w:rsid w:val="00570DA7"/>
    <w:rsid w:val="00572285"/>
    <w:rsid w:val="0057514A"/>
    <w:rsid w:val="005766EE"/>
    <w:rsid w:val="00576AB1"/>
    <w:rsid w:val="00582248"/>
    <w:rsid w:val="00582299"/>
    <w:rsid w:val="0058439D"/>
    <w:rsid w:val="00585ADB"/>
    <w:rsid w:val="005907B6"/>
    <w:rsid w:val="005A4D7A"/>
    <w:rsid w:val="005A7000"/>
    <w:rsid w:val="005A7777"/>
    <w:rsid w:val="005B0A12"/>
    <w:rsid w:val="005B1138"/>
    <w:rsid w:val="005B7086"/>
    <w:rsid w:val="005C1665"/>
    <w:rsid w:val="005C4004"/>
    <w:rsid w:val="005C4C0C"/>
    <w:rsid w:val="005C70F6"/>
    <w:rsid w:val="005D29EF"/>
    <w:rsid w:val="005D37E8"/>
    <w:rsid w:val="005D4419"/>
    <w:rsid w:val="005D5403"/>
    <w:rsid w:val="005E3DC3"/>
    <w:rsid w:val="005E53B8"/>
    <w:rsid w:val="005E5CDB"/>
    <w:rsid w:val="005F3CDC"/>
    <w:rsid w:val="00602A43"/>
    <w:rsid w:val="00603CBA"/>
    <w:rsid w:val="0060785B"/>
    <w:rsid w:val="00607D87"/>
    <w:rsid w:val="00611D5A"/>
    <w:rsid w:val="006126E2"/>
    <w:rsid w:val="006133AF"/>
    <w:rsid w:val="0061454C"/>
    <w:rsid w:val="00617518"/>
    <w:rsid w:val="006212E7"/>
    <w:rsid w:val="00624989"/>
    <w:rsid w:val="00625475"/>
    <w:rsid w:val="006312A6"/>
    <w:rsid w:val="00632C28"/>
    <w:rsid w:val="006334B3"/>
    <w:rsid w:val="006345EC"/>
    <w:rsid w:val="006358B4"/>
    <w:rsid w:val="00635CC0"/>
    <w:rsid w:val="00643EFC"/>
    <w:rsid w:val="00646519"/>
    <w:rsid w:val="00650456"/>
    <w:rsid w:val="006512D1"/>
    <w:rsid w:val="00651661"/>
    <w:rsid w:val="00651C0C"/>
    <w:rsid w:val="006522CB"/>
    <w:rsid w:val="00654D61"/>
    <w:rsid w:val="00656189"/>
    <w:rsid w:val="0065777F"/>
    <w:rsid w:val="00661F85"/>
    <w:rsid w:val="006621C8"/>
    <w:rsid w:val="0066397C"/>
    <w:rsid w:val="00664246"/>
    <w:rsid w:val="00664375"/>
    <w:rsid w:val="0066675C"/>
    <w:rsid w:val="0066779B"/>
    <w:rsid w:val="00671F28"/>
    <w:rsid w:val="0068119E"/>
    <w:rsid w:val="0068294A"/>
    <w:rsid w:val="00684658"/>
    <w:rsid w:val="00684BCF"/>
    <w:rsid w:val="00686691"/>
    <w:rsid w:val="006871EE"/>
    <w:rsid w:val="00687741"/>
    <w:rsid w:val="00690749"/>
    <w:rsid w:val="00690812"/>
    <w:rsid w:val="00690BD4"/>
    <w:rsid w:val="00692503"/>
    <w:rsid w:val="00693119"/>
    <w:rsid w:val="00693980"/>
    <w:rsid w:val="00694EE5"/>
    <w:rsid w:val="006967A1"/>
    <w:rsid w:val="006A3152"/>
    <w:rsid w:val="006B2068"/>
    <w:rsid w:val="006B2FD5"/>
    <w:rsid w:val="006B30B6"/>
    <w:rsid w:val="006C3B03"/>
    <w:rsid w:val="006C4C49"/>
    <w:rsid w:val="006C659E"/>
    <w:rsid w:val="006C66F5"/>
    <w:rsid w:val="006D7540"/>
    <w:rsid w:val="006D7B81"/>
    <w:rsid w:val="006E3078"/>
    <w:rsid w:val="006E4D98"/>
    <w:rsid w:val="006E4F06"/>
    <w:rsid w:val="006E58AE"/>
    <w:rsid w:val="006E65FF"/>
    <w:rsid w:val="006F1C05"/>
    <w:rsid w:val="006F32BD"/>
    <w:rsid w:val="006F4D38"/>
    <w:rsid w:val="006F623A"/>
    <w:rsid w:val="007036FF"/>
    <w:rsid w:val="00707C19"/>
    <w:rsid w:val="00710177"/>
    <w:rsid w:val="00715755"/>
    <w:rsid w:val="00717EC6"/>
    <w:rsid w:val="00725659"/>
    <w:rsid w:val="00726400"/>
    <w:rsid w:val="007356A8"/>
    <w:rsid w:val="00735D94"/>
    <w:rsid w:val="00740AD1"/>
    <w:rsid w:val="00743437"/>
    <w:rsid w:val="00743671"/>
    <w:rsid w:val="00744F95"/>
    <w:rsid w:val="00745A88"/>
    <w:rsid w:val="00745DDE"/>
    <w:rsid w:val="00751708"/>
    <w:rsid w:val="00751B16"/>
    <w:rsid w:val="0075667E"/>
    <w:rsid w:val="00757882"/>
    <w:rsid w:val="007604BD"/>
    <w:rsid w:val="0076159A"/>
    <w:rsid w:val="00763074"/>
    <w:rsid w:val="00763600"/>
    <w:rsid w:val="007645BC"/>
    <w:rsid w:val="00766A26"/>
    <w:rsid w:val="00771BAA"/>
    <w:rsid w:val="007732FE"/>
    <w:rsid w:val="00774077"/>
    <w:rsid w:val="00781B19"/>
    <w:rsid w:val="00782208"/>
    <w:rsid w:val="00782EBD"/>
    <w:rsid w:val="007849D9"/>
    <w:rsid w:val="0078604C"/>
    <w:rsid w:val="00797CDD"/>
    <w:rsid w:val="007A4D77"/>
    <w:rsid w:val="007A5285"/>
    <w:rsid w:val="007A5964"/>
    <w:rsid w:val="007A7354"/>
    <w:rsid w:val="007B2FED"/>
    <w:rsid w:val="007C312C"/>
    <w:rsid w:val="007C5075"/>
    <w:rsid w:val="007C5FC8"/>
    <w:rsid w:val="007C6ADB"/>
    <w:rsid w:val="007C7407"/>
    <w:rsid w:val="007D021B"/>
    <w:rsid w:val="007D0DF6"/>
    <w:rsid w:val="007D3D7E"/>
    <w:rsid w:val="007D7629"/>
    <w:rsid w:val="007E2071"/>
    <w:rsid w:val="007E3732"/>
    <w:rsid w:val="007E4A9B"/>
    <w:rsid w:val="007E531D"/>
    <w:rsid w:val="007E61CA"/>
    <w:rsid w:val="007E6925"/>
    <w:rsid w:val="007F13A7"/>
    <w:rsid w:val="007F548B"/>
    <w:rsid w:val="007F6C87"/>
    <w:rsid w:val="00800AA5"/>
    <w:rsid w:val="00804E6A"/>
    <w:rsid w:val="008059A6"/>
    <w:rsid w:val="00806DA7"/>
    <w:rsid w:val="0081259F"/>
    <w:rsid w:val="0081551A"/>
    <w:rsid w:val="0082157B"/>
    <w:rsid w:val="008332ED"/>
    <w:rsid w:val="008350EF"/>
    <w:rsid w:val="008352B8"/>
    <w:rsid w:val="00836967"/>
    <w:rsid w:val="0084029F"/>
    <w:rsid w:val="00844403"/>
    <w:rsid w:val="008445B1"/>
    <w:rsid w:val="0084534F"/>
    <w:rsid w:val="00861F9C"/>
    <w:rsid w:val="0086470B"/>
    <w:rsid w:val="00865937"/>
    <w:rsid w:val="00866598"/>
    <w:rsid w:val="00866CC9"/>
    <w:rsid w:val="00870ED5"/>
    <w:rsid w:val="0087256C"/>
    <w:rsid w:val="00873343"/>
    <w:rsid w:val="00880747"/>
    <w:rsid w:val="00890055"/>
    <w:rsid w:val="00890C2B"/>
    <w:rsid w:val="0089115D"/>
    <w:rsid w:val="0089437C"/>
    <w:rsid w:val="00895640"/>
    <w:rsid w:val="008978E6"/>
    <w:rsid w:val="008A0B77"/>
    <w:rsid w:val="008A13E0"/>
    <w:rsid w:val="008A4817"/>
    <w:rsid w:val="008B304E"/>
    <w:rsid w:val="008B5ABF"/>
    <w:rsid w:val="008B6914"/>
    <w:rsid w:val="008C0425"/>
    <w:rsid w:val="008C24A2"/>
    <w:rsid w:val="008C362C"/>
    <w:rsid w:val="008D070F"/>
    <w:rsid w:val="008E05A8"/>
    <w:rsid w:val="008E1D64"/>
    <w:rsid w:val="008E7622"/>
    <w:rsid w:val="008F0006"/>
    <w:rsid w:val="008F555E"/>
    <w:rsid w:val="008F5F2A"/>
    <w:rsid w:val="009000AB"/>
    <w:rsid w:val="00900FA8"/>
    <w:rsid w:val="0090407F"/>
    <w:rsid w:val="00914AE3"/>
    <w:rsid w:val="00916FBE"/>
    <w:rsid w:val="0092009B"/>
    <w:rsid w:val="0092043A"/>
    <w:rsid w:val="00927BE1"/>
    <w:rsid w:val="00932897"/>
    <w:rsid w:val="00934087"/>
    <w:rsid w:val="009371D8"/>
    <w:rsid w:val="00944FD8"/>
    <w:rsid w:val="00946125"/>
    <w:rsid w:val="0095289B"/>
    <w:rsid w:val="009537B3"/>
    <w:rsid w:val="009539AD"/>
    <w:rsid w:val="00954A02"/>
    <w:rsid w:val="00955031"/>
    <w:rsid w:val="00955404"/>
    <w:rsid w:val="0095610F"/>
    <w:rsid w:val="00956603"/>
    <w:rsid w:val="009649BC"/>
    <w:rsid w:val="009662B4"/>
    <w:rsid w:val="00966E72"/>
    <w:rsid w:val="00970CB3"/>
    <w:rsid w:val="00973C82"/>
    <w:rsid w:val="0097512A"/>
    <w:rsid w:val="00975EF9"/>
    <w:rsid w:val="009771F7"/>
    <w:rsid w:val="0098106F"/>
    <w:rsid w:val="009836AE"/>
    <w:rsid w:val="009856EF"/>
    <w:rsid w:val="00991B56"/>
    <w:rsid w:val="00994144"/>
    <w:rsid w:val="00994226"/>
    <w:rsid w:val="00996A38"/>
    <w:rsid w:val="009A1303"/>
    <w:rsid w:val="009A1FD0"/>
    <w:rsid w:val="009A304E"/>
    <w:rsid w:val="009A35C7"/>
    <w:rsid w:val="009A3715"/>
    <w:rsid w:val="009A3D40"/>
    <w:rsid w:val="009A4ABB"/>
    <w:rsid w:val="009A5D77"/>
    <w:rsid w:val="009A5E66"/>
    <w:rsid w:val="009A7620"/>
    <w:rsid w:val="009A7838"/>
    <w:rsid w:val="009B04BD"/>
    <w:rsid w:val="009B2188"/>
    <w:rsid w:val="009B4BAB"/>
    <w:rsid w:val="009B76FE"/>
    <w:rsid w:val="009B77C1"/>
    <w:rsid w:val="009C0AD8"/>
    <w:rsid w:val="009C18C8"/>
    <w:rsid w:val="009D234D"/>
    <w:rsid w:val="009D4C6C"/>
    <w:rsid w:val="009D5DC1"/>
    <w:rsid w:val="009E026D"/>
    <w:rsid w:val="009E057B"/>
    <w:rsid w:val="009E0ABA"/>
    <w:rsid w:val="009E0C7B"/>
    <w:rsid w:val="009E136D"/>
    <w:rsid w:val="009E2C74"/>
    <w:rsid w:val="009E41AC"/>
    <w:rsid w:val="009F1254"/>
    <w:rsid w:val="009F1EE6"/>
    <w:rsid w:val="009F328A"/>
    <w:rsid w:val="009F5882"/>
    <w:rsid w:val="00A07FAF"/>
    <w:rsid w:val="00A113D8"/>
    <w:rsid w:val="00A130DB"/>
    <w:rsid w:val="00A15259"/>
    <w:rsid w:val="00A17652"/>
    <w:rsid w:val="00A24270"/>
    <w:rsid w:val="00A2632E"/>
    <w:rsid w:val="00A264C8"/>
    <w:rsid w:val="00A26DD0"/>
    <w:rsid w:val="00A313B0"/>
    <w:rsid w:val="00A33DFA"/>
    <w:rsid w:val="00A34C5A"/>
    <w:rsid w:val="00A43366"/>
    <w:rsid w:val="00A4642F"/>
    <w:rsid w:val="00A51299"/>
    <w:rsid w:val="00A51E48"/>
    <w:rsid w:val="00A54D92"/>
    <w:rsid w:val="00A55111"/>
    <w:rsid w:val="00A55D96"/>
    <w:rsid w:val="00A61D81"/>
    <w:rsid w:val="00A648DF"/>
    <w:rsid w:val="00A72B47"/>
    <w:rsid w:val="00A7475A"/>
    <w:rsid w:val="00A75B53"/>
    <w:rsid w:val="00A77912"/>
    <w:rsid w:val="00A77D68"/>
    <w:rsid w:val="00A800BF"/>
    <w:rsid w:val="00A805C2"/>
    <w:rsid w:val="00A81FE3"/>
    <w:rsid w:val="00A821FF"/>
    <w:rsid w:val="00A831D8"/>
    <w:rsid w:val="00A83860"/>
    <w:rsid w:val="00A83ECD"/>
    <w:rsid w:val="00A876D2"/>
    <w:rsid w:val="00A87CA1"/>
    <w:rsid w:val="00A9221D"/>
    <w:rsid w:val="00A957E3"/>
    <w:rsid w:val="00AA243F"/>
    <w:rsid w:val="00AA285B"/>
    <w:rsid w:val="00AA30A6"/>
    <w:rsid w:val="00AA3FA5"/>
    <w:rsid w:val="00AB5B60"/>
    <w:rsid w:val="00AB66E0"/>
    <w:rsid w:val="00AB6AAC"/>
    <w:rsid w:val="00AC1FE7"/>
    <w:rsid w:val="00AC6CF4"/>
    <w:rsid w:val="00AC7078"/>
    <w:rsid w:val="00AC719A"/>
    <w:rsid w:val="00AD0719"/>
    <w:rsid w:val="00AD233D"/>
    <w:rsid w:val="00AD2F06"/>
    <w:rsid w:val="00AD46BB"/>
    <w:rsid w:val="00AD4C7B"/>
    <w:rsid w:val="00AD5601"/>
    <w:rsid w:val="00AD681C"/>
    <w:rsid w:val="00AE1292"/>
    <w:rsid w:val="00AE201D"/>
    <w:rsid w:val="00AE2D98"/>
    <w:rsid w:val="00AE429D"/>
    <w:rsid w:val="00AE480F"/>
    <w:rsid w:val="00AE640F"/>
    <w:rsid w:val="00AE7A15"/>
    <w:rsid w:val="00AF3D0A"/>
    <w:rsid w:val="00AF4DB5"/>
    <w:rsid w:val="00AF549A"/>
    <w:rsid w:val="00AF5526"/>
    <w:rsid w:val="00AF58EC"/>
    <w:rsid w:val="00B01F42"/>
    <w:rsid w:val="00B03919"/>
    <w:rsid w:val="00B1049C"/>
    <w:rsid w:val="00B11A35"/>
    <w:rsid w:val="00B11FF9"/>
    <w:rsid w:val="00B1216B"/>
    <w:rsid w:val="00B17373"/>
    <w:rsid w:val="00B22029"/>
    <w:rsid w:val="00B2239A"/>
    <w:rsid w:val="00B223FE"/>
    <w:rsid w:val="00B22F3F"/>
    <w:rsid w:val="00B2319D"/>
    <w:rsid w:val="00B23941"/>
    <w:rsid w:val="00B33738"/>
    <w:rsid w:val="00B3518D"/>
    <w:rsid w:val="00B40A62"/>
    <w:rsid w:val="00B41DB3"/>
    <w:rsid w:val="00B43B15"/>
    <w:rsid w:val="00B44BAA"/>
    <w:rsid w:val="00B45D95"/>
    <w:rsid w:val="00B45F49"/>
    <w:rsid w:val="00B52494"/>
    <w:rsid w:val="00B53884"/>
    <w:rsid w:val="00B53EE3"/>
    <w:rsid w:val="00B54829"/>
    <w:rsid w:val="00B568E0"/>
    <w:rsid w:val="00B57BE2"/>
    <w:rsid w:val="00B602F2"/>
    <w:rsid w:val="00B61E1C"/>
    <w:rsid w:val="00B628A5"/>
    <w:rsid w:val="00B631EE"/>
    <w:rsid w:val="00B6330D"/>
    <w:rsid w:val="00B65351"/>
    <w:rsid w:val="00B66917"/>
    <w:rsid w:val="00B678AE"/>
    <w:rsid w:val="00B73115"/>
    <w:rsid w:val="00B75FCD"/>
    <w:rsid w:val="00B802E2"/>
    <w:rsid w:val="00B80E31"/>
    <w:rsid w:val="00B821E2"/>
    <w:rsid w:val="00B83F70"/>
    <w:rsid w:val="00B8536B"/>
    <w:rsid w:val="00B869D8"/>
    <w:rsid w:val="00B87B13"/>
    <w:rsid w:val="00B90284"/>
    <w:rsid w:val="00B90BAF"/>
    <w:rsid w:val="00B92F4E"/>
    <w:rsid w:val="00BA080E"/>
    <w:rsid w:val="00BA0987"/>
    <w:rsid w:val="00BA55BE"/>
    <w:rsid w:val="00BB03DD"/>
    <w:rsid w:val="00BB13BE"/>
    <w:rsid w:val="00BB17C7"/>
    <w:rsid w:val="00BB2E97"/>
    <w:rsid w:val="00BC1271"/>
    <w:rsid w:val="00BC1321"/>
    <w:rsid w:val="00BC5352"/>
    <w:rsid w:val="00BC545A"/>
    <w:rsid w:val="00BC6F6B"/>
    <w:rsid w:val="00BD2C84"/>
    <w:rsid w:val="00BD2FF4"/>
    <w:rsid w:val="00BD76A7"/>
    <w:rsid w:val="00BD7A74"/>
    <w:rsid w:val="00BE2548"/>
    <w:rsid w:val="00BE36FF"/>
    <w:rsid w:val="00BE4AB1"/>
    <w:rsid w:val="00BE5E41"/>
    <w:rsid w:val="00BE6582"/>
    <w:rsid w:val="00BF2527"/>
    <w:rsid w:val="00BF25BE"/>
    <w:rsid w:val="00BF43C2"/>
    <w:rsid w:val="00BF7893"/>
    <w:rsid w:val="00BF7BFC"/>
    <w:rsid w:val="00C03594"/>
    <w:rsid w:val="00C03FF2"/>
    <w:rsid w:val="00C058F6"/>
    <w:rsid w:val="00C06CD9"/>
    <w:rsid w:val="00C06DF5"/>
    <w:rsid w:val="00C1322C"/>
    <w:rsid w:val="00C13DF8"/>
    <w:rsid w:val="00C14F18"/>
    <w:rsid w:val="00C15C85"/>
    <w:rsid w:val="00C16E9B"/>
    <w:rsid w:val="00C20D4D"/>
    <w:rsid w:val="00C25780"/>
    <w:rsid w:val="00C301FD"/>
    <w:rsid w:val="00C45974"/>
    <w:rsid w:val="00C45AD7"/>
    <w:rsid w:val="00C47262"/>
    <w:rsid w:val="00C52288"/>
    <w:rsid w:val="00C56A7B"/>
    <w:rsid w:val="00C56F42"/>
    <w:rsid w:val="00C57737"/>
    <w:rsid w:val="00C62A45"/>
    <w:rsid w:val="00C63D1E"/>
    <w:rsid w:val="00C653FA"/>
    <w:rsid w:val="00C659C4"/>
    <w:rsid w:val="00C65BAF"/>
    <w:rsid w:val="00C704A0"/>
    <w:rsid w:val="00C71FB5"/>
    <w:rsid w:val="00C74E5B"/>
    <w:rsid w:val="00C754FC"/>
    <w:rsid w:val="00C77795"/>
    <w:rsid w:val="00C821E4"/>
    <w:rsid w:val="00C82738"/>
    <w:rsid w:val="00C83510"/>
    <w:rsid w:val="00C835A5"/>
    <w:rsid w:val="00C85EC6"/>
    <w:rsid w:val="00C87CDA"/>
    <w:rsid w:val="00C90A12"/>
    <w:rsid w:val="00C91487"/>
    <w:rsid w:val="00C9237D"/>
    <w:rsid w:val="00CA0E43"/>
    <w:rsid w:val="00CA4A61"/>
    <w:rsid w:val="00CA68DA"/>
    <w:rsid w:val="00CC074F"/>
    <w:rsid w:val="00CC3CCE"/>
    <w:rsid w:val="00CC57F9"/>
    <w:rsid w:val="00CD12E4"/>
    <w:rsid w:val="00CD1DCF"/>
    <w:rsid w:val="00CD205D"/>
    <w:rsid w:val="00CD2266"/>
    <w:rsid w:val="00CD4DBC"/>
    <w:rsid w:val="00CD551B"/>
    <w:rsid w:val="00CD67B2"/>
    <w:rsid w:val="00CD78E8"/>
    <w:rsid w:val="00CE0E2A"/>
    <w:rsid w:val="00CE37B8"/>
    <w:rsid w:val="00CE42F4"/>
    <w:rsid w:val="00CE6CD3"/>
    <w:rsid w:val="00CE7025"/>
    <w:rsid w:val="00CE71F7"/>
    <w:rsid w:val="00CF03B8"/>
    <w:rsid w:val="00CF2014"/>
    <w:rsid w:val="00CF2C19"/>
    <w:rsid w:val="00CF2F9C"/>
    <w:rsid w:val="00CF3048"/>
    <w:rsid w:val="00CF3683"/>
    <w:rsid w:val="00CF514A"/>
    <w:rsid w:val="00CF7486"/>
    <w:rsid w:val="00D0115D"/>
    <w:rsid w:val="00D03463"/>
    <w:rsid w:val="00D03DA6"/>
    <w:rsid w:val="00D0647B"/>
    <w:rsid w:val="00D11D6C"/>
    <w:rsid w:val="00D1468B"/>
    <w:rsid w:val="00D17074"/>
    <w:rsid w:val="00D21116"/>
    <w:rsid w:val="00D229F7"/>
    <w:rsid w:val="00D22B29"/>
    <w:rsid w:val="00D233F5"/>
    <w:rsid w:val="00D256EE"/>
    <w:rsid w:val="00D27A4B"/>
    <w:rsid w:val="00D308EA"/>
    <w:rsid w:val="00D34EB7"/>
    <w:rsid w:val="00D3556F"/>
    <w:rsid w:val="00D375C6"/>
    <w:rsid w:val="00D411BC"/>
    <w:rsid w:val="00D442D8"/>
    <w:rsid w:val="00D454A3"/>
    <w:rsid w:val="00D45BC9"/>
    <w:rsid w:val="00D4619C"/>
    <w:rsid w:val="00D4654A"/>
    <w:rsid w:val="00D47D22"/>
    <w:rsid w:val="00D50D83"/>
    <w:rsid w:val="00D516DF"/>
    <w:rsid w:val="00D529EC"/>
    <w:rsid w:val="00D52F95"/>
    <w:rsid w:val="00D53AC2"/>
    <w:rsid w:val="00D546E2"/>
    <w:rsid w:val="00D5556E"/>
    <w:rsid w:val="00D56C36"/>
    <w:rsid w:val="00D60C39"/>
    <w:rsid w:val="00D610A0"/>
    <w:rsid w:val="00D67CA0"/>
    <w:rsid w:val="00D67ED4"/>
    <w:rsid w:val="00D7118C"/>
    <w:rsid w:val="00D72607"/>
    <w:rsid w:val="00D73B56"/>
    <w:rsid w:val="00D8078C"/>
    <w:rsid w:val="00D82CB3"/>
    <w:rsid w:val="00D8336B"/>
    <w:rsid w:val="00D85FA4"/>
    <w:rsid w:val="00D87D6E"/>
    <w:rsid w:val="00D91253"/>
    <w:rsid w:val="00D94006"/>
    <w:rsid w:val="00D952FF"/>
    <w:rsid w:val="00D9603F"/>
    <w:rsid w:val="00D96C7F"/>
    <w:rsid w:val="00D978CD"/>
    <w:rsid w:val="00DA3D80"/>
    <w:rsid w:val="00DA487D"/>
    <w:rsid w:val="00DA4CCD"/>
    <w:rsid w:val="00DA67EF"/>
    <w:rsid w:val="00DA6877"/>
    <w:rsid w:val="00DA68EE"/>
    <w:rsid w:val="00DB3089"/>
    <w:rsid w:val="00DB3F3F"/>
    <w:rsid w:val="00DB6D4E"/>
    <w:rsid w:val="00DC02B4"/>
    <w:rsid w:val="00DC31A1"/>
    <w:rsid w:val="00DC67DE"/>
    <w:rsid w:val="00DD0051"/>
    <w:rsid w:val="00DD316A"/>
    <w:rsid w:val="00DD53F9"/>
    <w:rsid w:val="00DD5F5C"/>
    <w:rsid w:val="00DD6155"/>
    <w:rsid w:val="00DD6400"/>
    <w:rsid w:val="00DD6846"/>
    <w:rsid w:val="00DD7ABA"/>
    <w:rsid w:val="00DE07AE"/>
    <w:rsid w:val="00DE0E4F"/>
    <w:rsid w:val="00DE1A4B"/>
    <w:rsid w:val="00DE4B06"/>
    <w:rsid w:val="00DE4FFF"/>
    <w:rsid w:val="00DE507B"/>
    <w:rsid w:val="00DE72E7"/>
    <w:rsid w:val="00DF0BEC"/>
    <w:rsid w:val="00DF1C6B"/>
    <w:rsid w:val="00DF3D0F"/>
    <w:rsid w:val="00E00E80"/>
    <w:rsid w:val="00E0317A"/>
    <w:rsid w:val="00E05A12"/>
    <w:rsid w:val="00E104FA"/>
    <w:rsid w:val="00E1187C"/>
    <w:rsid w:val="00E120FB"/>
    <w:rsid w:val="00E12AA2"/>
    <w:rsid w:val="00E13D2B"/>
    <w:rsid w:val="00E169E5"/>
    <w:rsid w:val="00E24E67"/>
    <w:rsid w:val="00E26252"/>
    <w:rsid w:val="00E265C2"/>
    <w:rsid w:val="00E32CC5"/>
    <w:rsid w:val="00E3427A"/>
    <w:rsid w:val="00E426B2"/>
    <w:rsid w:val="00E43CF6"/>
    <w:rsid w:val="00E44C2B"/>
    <w:rsid w:val="00E468F7"/>
    <w:rsid w:val="00E529ED"/>
    <w:rsid w:val="00E56569"/>
    <w:rsid w:val="00E63094"/>
    <w:rsid w:val="00E631D6"/>
    <w:rsid w:val="00E6468D"/>
    <w:rsid w:val="00E64C4F"/>
    <w:rsid w:val="00E658BB"/>
    <w:rsid w:val="00E65C65"/>
    <w:rsid w:val="00E7045F"/>
    <w:rsid w:val="00E708FC"/>
    <w:rsid w:val="00E7504A"/>
    <w:rsid w:val="00E76A2A"/>
    <w:rsid w:val="00E7721E"/>
    <w:rsid w:val="00E77E13"/>
    <w:rsid w:val="00E809B8"/>
    <w:rsid w:val="00E8133B"/>
    <w:rsid w:val="00E813FF"/>
    <w:rsid w:val="00E8221E"/>
    <w:rsid w:val="00E82BEA"/>
    <w:rsid w:val="00E84888"/>
    <w:rsid w:val="00E85328"/>
    <w:rsid w:val="00E85449"/>
    <w:rsid w:val="00E85474"/>
    <w:rsid w:val="00E86990"/>
    <w:rsid w:val="00E86A7B"/>
    <w:rsid w:val="00E90CDF"/>
    <w:rsid w:val="00E910DB"/>
    <w:rsid w:val="00E91E91"/>
    <w:rsid w:val="00E94DC2"/>
    <w:rsid w:val="00E97E42"/>
    <w:rsid w:val="00EA0B2D"/>
    <w:rsid w:val="00EA4B21"/>
    <w:rsid w:val="00EA54ED"/>
    <w:rsid w:val="00EA6B9F"/>
    <w:rsid w:val="00EA6D42"/>
    <w:rsid w:val="00EB09DB"/>
    <w:rsid w:val="00EB17A0"/>
    <w:rsid w:val="00EB1F7C"/>
    <w:rsid w:val="00EB7F34"/>
    <w:rsid w:val="00EC2011"/>
    <w:rsid w:val="00EC704D"/>
    <w:rsid w:val="00ED1097"/>
    <w:rsid w:val="00ED1587"/>
    <w:rsid w:val="00ED46AD"/>
    <w:rsid w:val="00ED4F11"/>
    <w:rsid w:val="00EE11FB"/>
    <w:rsid w:val="00EE7F03"/>
    <w:rsid w:val="00EF1459"/>
    <w:rsid w:val="00EF26A1"/>
    <w:rsid w:val="00EF542B"/>
    <w:rsid w:val="00F05724"/>
    <w:rsid w:val="00F116E5"/>
    <w:rsid w:val="00F118C4"/>
    <w:rsid w:val="00F118D2"/>
    <w:rsid w:val="00F12256"/>
    <w:rsid w:val="00F12BF1"/>
    <w:rsid w:val="00F14307"/>
    <w:rsid w:val="00F14FD6"/>
    <w:rsid w:val="00F17ED1"/>
    <w:rsid w:val="00F218E9"/>
    <w:rsid w:val="00F32BA5"/>
    <w:rsid w:val="00F33820"/>
    <w:rsid w:val="00F36E16"/>
    <w:rsid w:val="00F42E41"/>
    <w:rsid w:val="00F43344"/>
    <w:rsid w:val="00F44761"/>
    <w:rsid w:val="00F447F7"/>
    <w:rsid w:val="00F450C2"/>
    <w:rsid w:val="00F453BB"/>
    <w:rsid w:val="00F53443"/>
    <w:rsid w:val="00F5514B"/>
    <w:rsid w:val="00F569B2"/>
    <w:rsid w:val="00F632E0"/>
    <w:rsid w:val="00F67590"/>
    <w:rsid w:val="00F707A7"/>
    <w:rsid w:val="00F71DAB"/>
    <w:rsid w:val="00F7408D"/>
    <w:rsid w:val="00F7595D"/>
    <w:rsid w:val="00F80868"/>
    <w:rsid w:val="00F86EB9"/>
    <w:rsid w:val="00F926A8"/>
    <w:rsid w:val="00F933D8"/>
    <w:rsid w:val="00F9598E"/>
    <w:rsid w:val="00FB14D5"/>
    <w:rsid w:val="00FB4552"/>
    <w:rsid w:val="00FB513C"/>
    <w:rsid w:val="00FB762D"/>
    <w:rsid w:val="00FC0AD0"/>
    <w:rsid w:val="00FC1427"/>
    <w:rsid w:val="00FC2AF6"/>
    <w:rsid w:val="00FC30B9"/>
    <w:rsid w:val="00FC3D61"/>
    <w:rsid w:val="00FC70A6"/>
    <w:rsid w:val="00FD00F3"/>
    <w:rsid w:val="00FD1B1A"/>
    <w:rsid w:val="00FD1BB0"/>
    <w:rsid w:val="00FD5E8E"/>
    <w:rsid w:val="00FD5FDC"/>
    <w:rsid w:val="00FE0D64"/>
    <w:rsid w:val="00FE23F2"/>
    <w:rsid w:val="00FE2D6C"/>
    <w:rsid w:val="00FE37F9"/>
    <w:rsid w:val="00FE3D99"/>
    <w:rsid w:val="00FE7983"/>
    <w:rsid w:val="00FE7EAA"/>
    <w:rsid w:val="00FF17A2"/>
    <w:rsid w:val="00FF2DDE"/>
    <w:rsid w:val="00FF50D1"/>
    <w:rsid w:val="00FF657B"/>
    <w:rsid w:val="00FF72D2"/>
    <w:rsid w:val="00FF74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0BFA"/>
  <w15:docId w15:val="{78F2707C-3B1C-4991-93AE-17480DDE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D7A"/>
    <w:pPr>
      <w:spacing w:after="0" w:line="240" w:lineRule="auto"/>
    </w:pPr>
    <w:rPr>
      <w:rFonts w:ascii="Times New Roman" w:eastAsia="Times New Roman" w:hAnsi="Times New Roman" w:cs="Times New Roman"/>
      <w:sz w:val="24"/>
      <w:szCs w:val="24"/>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7A"/>
    <w:pPr>
      <w:tabs>
        <w:tab w:val="center" w:pos="4680"/>
        <w:tab w:val="right" w:pos="9360"/>
      </w:tabs>
    </w:pPr>
  </w:style>
  <w:style w:type="character" w:customStyle="1" w:styleId="HeaderChar">
    <w:name w:val="Header Char"/>
    <w:basedOn w:val="DefaultParagraphFont"/>
    <w:link w:val="Header"/>
    <w:uiPriority w:val="99"/>
    <w:rsid w:val="005A4D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4D7A"/>
    <w:pPr>
      <w:tabs>
        <w:tab w:val="center" w:pos="4680"/>
        <w:tab w:val="right" w:pos="9360"/>
      </w:tabs>
    </w:pPr>
  </w:style>
  <w:style w:type="character" w:customStyle="1" w:styleId="FooterChar">
    <w:name w:val="Footer Char"/>
    <w:basedOn w:val="DefaultParagraphFont"/>
    <w:link w:val="Footer"/>
    <w:uiPriority w:val="99"/>
    <w:rsid w:val="005A4D7A"/>
    <w:rPr>
      <w:rFonts w:ascii="Times New Roman" w:eastAsia="Times New Roman" w:hAnsi="Times New Roman" w:cs="Times New Roman"/>
      <w:sz w:val="24"/>
      <w:szCs w:val="24"/>
    </w:rPr>
  </w:style>
  <w:style w:type="paragraph" w:styleId="ListParagraph">
    <w:name w:val="List Paragraph"/>
    <w:basedOn w:val="Normal"/>
    <w:uiPriority w:val="34"/>
    <w:qFormat/>
    <w:rsid w:val="004A61A8"/>
    <w:pPr>
      <w:ind w:left="720"/>
      <w:contextualSpacing/>
    </w:pPr>
  </w:style>
  <w:style w:type="paragraph" w:styleId="BalloonText">
    <w:name w:val="Balloon Text"/>
    <w:basedOn w:val="Normal"/>
    <w:link w:val="BalloonTextChar"/>
    <w:uiPriority w:val="99"/>
    <w:semiHidden/>
    <w:unhideWhenUsed/>
    <w:rsid w:val="00B12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6B"/>
    <w:rPr>
      <w:rFonts w:ascii="Segoe UI" w:eastAsia="Times New Roman" w:hAnsi="Segoe UI" w:cs="Segoe UI"/>
      <w:sz w:val="18"/>
      <w:szCs w:val="18"/>
    </w:rPr>
  </w:style>
  <w:style w:type="paragraph" w:customStyle="1" w:styleId="nl--1-">
    <w:name w:val="nl--1-"/>
    <w:basedOn w:val="Normal"/>
    <w:rsid w:val="00B678AE"/>
    <w:pPr>
      <w:spacing w:before="100" w:beforeAutospacing="1" w:after="100" w:afterAutospacing="1"/>
    </w:pPr>
    <w:rPr>
      <w:lang w:eastAsia="en-ZW"/>
    </w:rPr>
  </w:style>
  <w:style w:type="paragraph" w:customStyle="1" w:styleId="ll">
    <w:name w:val="ll"/>
    <w:basedOn w:val="Normal"/>
    <w:rsid w:val="00B678AE"/>
    <w:pPr>
      <w:spacing w:before="100" w:beforeAutospacing="1" w:after="100" w:afterAutospacing="1"/>
    </w:pPr>
    <w:rPr>
      <w:lang w:eastAsia="en-ZW"/>
    </w:rPr>
  </w:style>
  <w:style w:type="paragraph" w:customStyle="1" w:styleId="test">
    <w:name w:val="test"/>
    <w:basedOn w:val="Normal"/>
    <w:rsid w:val="00B678AE"/>
    <w:pPr>
      <w:spacing w:before="100" w:beforeAutospacing="1" w:after="100" w:afterAutospacing="1"/>
    </w:pPr>
    <w:rPr>
      <w:lang w:eastAsia="en-ZW"/>
    </w:rPr>
  </w:style>
  <w:style w:type="paragraph" w:customStyle="1" w:styleId="h1">
    <w:name w:val="h1"/>
    <w:basedOn w:val="Normal"/>
    <w:rsid w:val="00160404"/>
    <w:pPr>
      <w:spacing w:before="100" w:beforeAutospacing="1" w:after="100" w:afterAutospacing="1"/>
    </w:pPr>
    <w:rPr>
      <w:lang w:eastAsia="en-ZW"/>
    </w:rPr>
  </w:style>
  <w:style w:type="character" w:customStyle="1" w:styleId="bold">
    <w:name w:val="bold"/>
    <w:basedOn w:val="DefaultParagraphFont"/>
    <w:rsid w:val="00160404"/>
  </w:style>
  <w:style w:type="paragraph" w:customStyle="1" w:styleId="text">
    <w:name w:val="text"/>
    <w:basedOn w:val="Normal"/>
    <w:rsid w:val="00160404"/>
    <w:pPr>
      <w:spacing w:before="100" w:beforeAutospacing="1" w:after="100" w:afterAutospacing="1"/>
    </w:pPr>
    <w:rPr>
      <w:lang w:eastAsia="en-ZW"/>
    </w:rPr>
  </w:style>
  <w:style w:type="paragraph" w:styleId="NormalWeb">
    <w:name w:val="Normal (Web)"/>
    <w:basedOn w:val="Normal"/>
    <w:uiPriority w:val="99"/>
    <w:semiHidden/>
    <w:unhideWhenUsed/>
    <w:rsid w:val="009E026D"/>
    <w:pPr>
      <w:spacing w:before="100" w:beforeAutospacing="1" w:after="100" w:afterAutospacing="1"/>
    </w:pPr>
    <w:rPr>
      <w:lang w:eastAsia="en-ZW"/>
    </w:rPr>
  </w:style>
  <w:style w:type="character" w:styleId="Emphasis">
    <w:name w:val="Emphasis"/>
    <w:basedOn w:val="DefaultParagraphFont"/>
    <w:uiPriority w:val="20"/>
    <w:qFormat/>
    <w:rsid w:val="009E02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76729">
      <w:bodyDiv w:val="1"/>
      <w:marLeft w:val="0"/>
      <w:marRight w:val="0"/>
      <w:marTop w:val="0"/>
      <w:marBottom w:val="0"/>
      <w:divBdr>
        <w:top w:val="none" w:sz="0" w:space="0" w:color="auto"/>
        <w:left w:val="none" w:sz="0" w:space="0" w:color="auto"/>
        <w:bottom w:val="none" w:sz="0" w:space="0" w:color="auto"/>
        <w:right w:val="none" w:sz="0" w:space="0" w:color="auto"/>
      </w:divBdr>
    </w:div>
    <w:div w:id="1113017618">
      <w:bodyDiv w:val="1"/>
      <w:marLeft w:val="0"/>
      <w:marRight w:val="0"/>
      <w:marTop w:val="0"/>
      <w:marBottom w:val="0"/>
      <w:divBdr>
        <w:top w:val="none" w:sz="0" w:space="0" w:color="auto"/>
        <w:left w:val="none" w:sz="0" w:space="0" w:color="auto"/>
        <w:bottom w:val="none" w:sz="0" w:space="0" w:color="auto"/>
        <w:right w:val="none" w:sz="0" w:space="0" w:color="auto"/>
      </w:divBdr>
    </w:div>
    <w:div w:id="202855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735A54-2D72-4882-BB86-7660CD284175}">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5</Pages>
  <Words>1578</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2021-11-03T07:39:00Z</cp:lastPrinted>
  <dcterms:created xsi:type="dcterms:W3CDTF">2024-05-17T10:28:00Z</dcterms:created>
  <dcterms:modified xsi:type="dcterms:W3CDTF">2024-05-17T10:28:00Z</dcterms:modified>
</cp:coreProperties>
</file>