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42D" w:rsidRDefault="0068442D">
      <w:pPr>
        <w:spacing w:after="0"/>
        <w:jc w:val="both"/>
        <w:rPr>
          <w:rFonts w:ascii="Times New Roman" w:eastAsia="Times New Roman" w:hAnsi="Times New Roman" w:cs="Times New Roman"/>
          <w:sz w:val="24"/>
        </w:rPr>
      </w:pPr>
      <w:bookmarkStart w:id="0" w:name="_GoBack"/>
      <w:bookmarkEnd w:id="0"/>
    </w:p>
    <w:p w:rsidR="00032980" w:rsidRDefault="00032980">
      <w:pPr>
        <w:spacing w:after="0"/>
        <w:jc w:val="both"/>
        <w:rPr>
          <w:rFonts w:ascii="Times New Roman" w:eastAsia="Times New Roman" w:hAnsi="Times New Roman" w:cs="Times New Roman"/>
          <w:sz w:val="24"/>
        </w:rPr>
      </w:pPr>
    </w:p>
    <w:p w:rsidR="0068442D" w:rsidRDefault="00DB4193">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NATIONAL FOODS LTD</w:t>
      </w:r>
    </w:p>
    <w:p w:rsidR="0068442D" w:rsidRDefault="00DB4193">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versus</w:t>
      </w:r>
    </w:p>
    <w:p w:rsidR="0068442D" w:rsidRDefault="00DB4193">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KNIGHT FRANK (PVT) LTD</w:t>
      </w:r>
    </w:p>
    <w:p w:rsidR="0068442D" w:rsidRDefault="0068442D">
      <w:pPr>
        <w:spacing w:after="0"/>
        <w:jc w:val="both"/>
        <w:rPr>
          <w:rFonts w:ascii="Times New Roman" w:eastAsia="Times New Roman" w:hAnsi="Times New Roman" w:cs="Times New Roman"/>
          <w:sz w:val="24"/>
        </w:rPr>
      </w:pPr>
    </w:p>
    <w:p w:rsidR="0068442D" w:rsidRDefault="0068442D">
      <w:pPr>
        <w:spacing w:after="0"/>
        <w:jc w:val="both"/>
        <w:rPr>
          <w:rFonts w:ascii="Times New Roman" w:eastAsia="Times New Roman" w:hAnsi="Times New Roman" w:cs="Times New Roman"/>
          <w:sz w:val="24"/>
        </w:rPr>
      </w:pPr>
    </w:p>
    <w:p w:rsidR="0068442D" w:rsidRDefault="0068442D">
      <w:pPr>
        <w:spacing w:after="0"/>
        <w:jc w:val="both"/>
        <w:rPr>
          <w:rFonts w:ascii="Times New Roman" w:eastAsia="Times New Roman" w:hAnsi="Times New Roman" w:cs="Times New Roman"/>
          <w:sz w:val="24"/>
        </w:rPr>
      </w:pPr>
    </w:p>
    <w:p w:rsidR="0068442D" w:rsidRDefault="00DB4193">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HIGH COURT OF ZIMBABWE</w:t>
      </w:r>
    </w:p>
    <w:p w:rsidR="0068442D" w:rsidRDefault="00DB4193">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DUBE J</w:t>
      </w:r>
    </w:p>
    <w:p w:rsidR="0068442D" w:rsidRDefault="004F41AE">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HARARE, 28 June 2018 </w:t>
      </w:r>
      <w:r w:rsidR="00546AC2">
        <w:rPr>
          <w:rFonts w:ascii="Times New Roman" w:eastAsia="Times New Roman" w:hAnsi="Times New Roman" w:cs="Times New Roman"/>
          <w:sz w:val="24"/>
        </w:rPr>
        <w:t>&amp; 3</w:t>
      </w:r>
      <w:r>
        <w:rPr>
          <w:rFonts w:ascii="Times New Roman" w:eastAsia="Times New Roman" w:hAnsi="Times New Roman" w:cs="Times New Roman"/>
          <w:sz w:val="24"/>
        </w:rPr>
        <w:t xml:space="preserve"> October 2018</w:t>
      </w:r>
    </w:p>
    <w:p w:rsidR="0068442D" w:rsidRDefault="0068442D">
      <w:pPr>
        <w:spacing w:after="0"/>
        <w:jc w:val="both"/>
        <w:rPr>
          <w:rFonts w:ascii="Times New Roman" w:eastAsia="Times New Roman" w:hAnsi="Times New Roman" w:cs="Times New Roman"/>
          <w:sz w:val="24"/>
        </w:rPr>
      </w:pPr>
    </w:p>
    <w:p w:rsidR="0068442D" w:rsidRDefault="0068442D">
      <w:pPr>
        <w:spacing w:after="0"/>
        <w:jc w:val="both"/>
        <w:rPr>
          <w:rFonts w:ascii="Times New Roman" w:eastAsia="Times New Roman" w:hAnsi="Times New Roman" w:cs="Times New Roman"/>
          <w:sz w:val="24"/>
        </w:rPr>
      </w:pPr>
    </w:p>
    <w:p w:rsidR="0068442D" w:rsidRDefault="00DB4193">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Trial</w:t>
      </w:r>
    </w:p>
    <w:p w:rsidR="0068442D" w:rsidRDefault="0068442D">
      <w:pPr>
        <w:spacing w:after="0"/>
        <w:jc w:val="both"/>
        <w:rPr>
          <w:rFonts w:ascii="Times New Roman" w:eastAsia="Times New Roman" w:hAnsi="Times New Roman" w:cs="Times New Roman"/>
          <w:sz w:val="24"/>
        </w:rPr>
      </w:pPr>
    </w:p>
    <w:p w:rsidR="0068442D" w:rsidRDefault="0068442D">
      <w:pPr>
        <w:spacing w:after="0"/>
        <w:jc w:val="both"/>
        <w:rPr>
          <w:rFonts w:ascii="Times New Roman" w:eastAsia="Times New Roman" w:hAnsi="Times New Roman" w:cs="Times New Roman"/>
          <w:sz w:val="24"/>
        </w:rPr>
      </w:pPr>
    </w:p>
    <w:p w:rsidR="0068442D" w:rsidRDefault="00DB4193">
      <w:pPr>
        <w:spacing w:after="0"/>
        <w:jc w:val="both"/>
        <w:rPr>
          <w:rFonts w:ascii="Times New Roman" w:eastAsia="Times New Roman" w:hAnsi="Times New Roman" w:cs="Times New Roman"/>
          <w:sz w:val="24"/>
        </w:rPr>
      </w:pPr>
      <w:r>
        <w:rPr>
          <w:rFonts w:ascii="Times New Roman" w:eastAsia="Times New Roman" w:hAnsi="Times New Roman" w:cs="Times New Roman"/>
          <w:i/>
          <w:sz w:val="24"/>
        </w:rPr>
        <w:t>T Mpofu</w:t>
      </w:r>
      <w:r>
        <w:rPr>
          <w:rFonts w:ascii="Times New Roman" w:eastAsia="Times New Roman" w:hAnsi="Times New Roman" w:cs="Times New Roman"/>
          <w:sz w:val="24"/>
        </w:rPr>
        <w:t>, for the plaintiff</w:t>
      </w:r>
    </w:p>
    <w:p w:rsidR="0068442D" w:rsidRDefault="00DB4193">
      <w:pPr>
        <w:spacing w:after="0"/>
        <w:jc w:val="both"/>
        <w:rPr>
          <w:rFonts w:ascii="Times New Roman" w:eastAsia="Times New Roman" w:hAnsi="Times New Roman" w:cs="Times New Roman"/>
          <w:sz w:val="24"/>
        </w:rPr>
      </w:pPr>
      <w:r>
        <w:rPr>
          <w:rFonts w:ascii="Times New Roman" w:eastAsia="Times New Roman" w:hAnsi="Times New Roman" w:cs="Times New Roman"/>
          <w:i/>
          <w:sz w:val="24"/>
        </w:rPr>
        <w:t xml:space="preserve">T </w:t>
      </w:r>
      <w:r w:rsidR="000D0FAA">
        <w:rPr>
          <w:rFonts w:ascii="Times New Roman" w:eastAsia="Times New Roman" w:hAnsi="Times New Roman" w:cs="Times New Roman"/>
          <w:i/>
          <w:sz w:val="24"/>
        </w:rPr>
        <w:t>Magwaliba,</w:t>
      </w:r>
      <w:r>
        <w:rPr>
          <w:rFonts w:ascii="Times New Roman" w:eastAsia="Times New Roman" w:hAnsi="Times New Roman" w:cs="Times New Roman"/>
          <w:sz w:val="24"/>
        </w:rPr>
        <w:t xml:space="preserve"> for the defendant</w:t>
      </w:r>
    </w:p>
    <w:p w:rsidR="0068442D" w:rsidRDefault="0068442D">
      <w:pPr>
        <w:jc w:val="both"/>
        <w:rPr>
          <w:rFonts w:ascii="Times New Roman" w:eastAsia="Times New Roman" w:hAnsi="Times New Roman" w:cs="Times New Roman"/>
          <w:sz w:val="24"/>
        </w:rPr>
      </w:pPr>
    </w:p>
    <w:p w:rsidR="0068442D"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DUBE J: The plaintiff claims damages based on the following common cause facts;</w:t>
      </w:r>
    </w:p>
    <w:p w:rsidR="004F41AE"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An entity known as Superbake trading as Trinpac Investments (Pvt) </w:t>
      </w:r>
      <w:r w:rsidR="000D0FAA">
        <w:rPr>
          <w:rFonts w:ascii="Times New Roman" w:eastAsia="Times New Roman" w:hAnsi="Times New Roman" w:cs="Times New Roman"/>
          <w:sz w:val="24"/>
        </w:rPr>
        <w:t>Ltd,</w:t>
      </w:r>
      <w:r>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Trinpac] and</w:t>
      </w:r>
      <w:r>
        <w:rPr>
          <w:rFonts w:ascii="Times New Roman" w:eastAsia="Times New Roman" w:hAnsi="Times New Roman" w:cs="Times New Roman"/>
          <w:sz w:val="24"/>
        </w:rPr>
        <w:t xml:space="preserve"> Medworth Properties (Pvt) </w:t>
      </w:r>
      <w:r w:rsidR="000D0FAA">
        <w:rPr>
          <w:rFonts w:ascii="Times New Roman" w:eastAsia="Times New Roman" w:hAnsi="Times New Roman" w:cs="Times New Roman"/>
          <w:sz w:val="24"/>
        </w:rPr>
        <w:t>Ltd,</w:t>
      </w:r>
      <w:r>
        <w:rPr>
          <w:rFonts w:ascii="Times New Roman" w:eastAsia="Times New Roman" w:hAnsi="Times New Roman" w:cs="Times New Roman"/>
          <w:sz w:val="24"/>
        </w:rPr>
        <w:t xml:space="preserve"> [Medworth</w:t>
      </w:r>
      <w:r w:rsidR="000D0FAA">
        <w:rPr>
          <w:rFonts w:ascii="Times New Roman" w:eastAsia="Times New Roman" w:hAnsi="Times New Roman" w:cs="Times New Roman"/>
          <w:sz w:val="24"/>
        </w:rPr>
        <w:t>], applied</w:t>
      </w:r>
      <w:r>
        <w:rPr>
          <w:rFonts w:ascii="Times New Roman" w:eastAsia="Times New Roman" w:hAnsi="Times New Roman" w:cs="Times New Roman"/>
          <w:sz w:val="24"/>
        </w:rPr>
        <w:t xml:space="preserve"> for a credit facility from the plaintiff. Superbake agreed to transfer its rights, </w:t>
      </w:r>
      <w:r w:rsidR="004F41AE">
        <w:rPr>
          <w:rFonts w:ascii="Times New Roman" w:eastAsia="Times New Roman" w:hAnsi="Times New Roman" w:cs="Times New Roman"/>
          <w:sz w:val="24"/>
        </w:rPr>
        <w:t>title and interest in Stand 104</w:t>
      </w:r>
      <w:r>
        <w:rPr>
          <w:rFonts w:ascii="Times New Roman" w:eastAsia="Times New Roman" w:hAnsi="Times New Roman" w:cs="Times New Roman"/>
          <w:sz w:val="24"/>
        </w:rPr>
        <w:t xml:space="preserve">82 Seki Township, </w:t>
      </w:r>
      <w:r w:rsidR="000D0FAA">
        <w:rPr>
          <w:rFonts w:ascii="Times New Roman" w:eastAsia="Times New Roman" w:hAnsi="Times New Roman" w:cs="Times New Roman"/>
          <w:sz w:val="24"/>
        </w:rPr>
        <w:t>[hereinafter</w:t>
      </w:r>
      <w:r>
        <w:rPr>
          <w:rFonts w:ascii="Times New Roman" w:eastAsia="Times New Roman" w:hAnsi="Times New Roman" w:cs="Times New Roman"/>
          <w:sz w:val="24"/>
        </w:rPr>
        <w:t xml:space="preserve"> referred to as the stand], as security for the debt.</w:t>
      </w:r>
      <w:r>
        <w:rPr>
          <w:rFonts w:ascii="Calibri" w:eastAsia="Calibri" w:hAnsi="Calibri" w:cs="Calibri"/>
          <w:sz w:val="24"/>
        </w:rPr>
        <w:t xml:space="preserve"> </w:t>
      </w:r>
      <w:r>
        <w:rPr>
          <w:rFonts w:ascii="Times New Roman" w:eastAsia="Times New Roman" w:hAnsi="Times New Roman" w:cs="Times New Roman"/>
          <w:sz w:val="24"/>
        </w:rPr>
        <w:t xml:space="preserve">The plaintiff commissioned production </w:t>
      </w:r>
      <w:r w:rsidR="000D0FAA">
        <w:rPr>
          <w:rFonts w:ascii="Times New Roman" w:eastAsia="Times New Roman" w:hAnsi="Times New Roman" w:cs="Times New Roman"/>
          <w:sz w:val="24"/>
        </w:rPr>
        <w:t>of a</w:t>
      </w:r>
      <w:r>
        <w:rPr>
          <w:rFonts w:ascii="Times New Roman" w:eastAsia="Times New Roman" w:hAnsi="Times New Roman" w:cs="Times New Roman"/>
          <w:sz w:val="24"/>
        </w:rPr>
        <w:t xml:space="preserve"> valuation report of the stand. A mortgage bond was registered over the property and the stand</w:t>
      </w:r>
      <w:r w:rsidR="004F41AE">
        <w:rPr>
          <w:rFonts w:ascii="Times New Roman" w:eastAsia="Times New Roman" w:hAnsi="Times New Roman" w:cs="Times New Roman"/>
          <w:sz w:val="24"/>
        </w:rPr>
        <w:t xml:space="preserve"> was </w:t>
      </w:r>
      <w:r w:rsidR="00546AC2">
        <w:rPr>
          <w:rFonts w:ascii="Times New Roman" w:eastAsia="Times New Roman" w:hAnsi="Times New Roman" w:cs="Times New Roman"/>
          <w:sz w:val="24"/>
        </w:rPr>
        <w:t>valued at</w:t>
      </w:r>
      <w:r w:rsidR="00032980">
        <w:rPr>
          <w:rFonts w:ascii="Times New Roman" w:eastAsia="Times New Roman" w:hAnsi="Times New Roman" w:cs="Times New Roman"/>
          <w:sz w:val="24"/>
        </w:rPr>
        <w:t xml:space="preserve"> $250 000.</w:t>
      </w:r>
      <w:r>
        <w:rPr>
          <w:rFonts w:ascii="Times New Roman" w:eastAsia="Times New Roman" w:hAnsi="Times New Roman" w:cs="Times New Roman"/>
          <w:sz w:val="24"/>
        </w:rPr>
        <w:t xml:space="preserve">00. Superbake defaulted. </w:t>
      </w:r>
      <w:r w:rsidR="000C3336">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plaintiff entered into an agreement with its </w:t>
      </w:r>
      <w:r w:rsidR="000D0FAA">
        <w:rPr>
          <w:rFonts w:ascii="Times New Roman" w:eastAsia="Times New Roman" w:hAnsi="Times New Roman" w:cs="Times New Roman"/>
          <w:sz w:val="24"/>
        </w:rPr>
        <w:t>debtor in</w:t>
      </w:r>
      <w:r>
        <w:rPr>
          <w:rFonts w:ascii="Times New Roman" w:eastAsia="Times New Roman" w:hAnsi="Times New Roman" w:cs="Times New Roman"/>
          <w:sz w:val="24"/>
        </w:rPr>
        <w:t xml:space="preserve"> terms of which the plaintiff accepted two immovable properties </w:t>
      </w:r>
      <w:r w:rsidR="000C3336">
        <w:rPr>
          <w:rFonts w:ascii="Times New Roman" w:eastAsia="Times New Roman" w:hAnsi="Times New Roman" w:cs="Times New Roman"/>
          <w:sz w:val="24"/>
        </w:rPr>
        <w:t>i</w:t>
      </w:r>
      <w:r>
        <w:rPr>
          <w:rFonts w:ascii="Times New Roman" w:eastAsia="Times New Roman" w:hAnsi="Times New Roman" w:cs="Times New Roman"/>
          <w:sz w:val="24"/>
        </w:rPr>
        <w:t xml:space="preserve">n full and final settlement </w:t>
      </w:r>
      <w:r w:rsidR="000C3336">
        <w:rPr>
          <w:rFonts w:ascii="Times New Roman" w:eastAsia="Times New Roman" w:hAnsi="Times New Roman" w:cs="Times New Roman"/>
          <w:sz w:val="24"/>
        </w:rPr>
        <w:t>of the</w:t>
      </w:r>
      <w:r>
        <w:rPr>
          <w:rFonts w:ascii="Times New Roman" w:eastAsia="Times New Roman" w:hAnsi="Times New Roman" w:cs="Times New Roman"/>
          <w:sz w:val="24"/>
        </w:rPr>
        <w:t xml:space="preserve"> liability owed.</w:t>
      </w:r>
      <w:r w:rsidR="000D0FAA">
        <w:rPr>
          <w:rFonts w:ascii="Times New Roman" w:eastAsia="Times New Roman" w:hAnsi="Times New Roman" w:cs="Times New Roman"/>
          <w:sz w:val="24"/>
        </w:rPr>
        <w:t xml:space="preserve"> </w:t>
      </w:r>
      <w:r w:rsidR="004F41AE">
        <w:rPr>
          <w:rFonts w:ascii="Times New Roman" w:eastAsia="Times New Roman" w:hAnsi="Times New Roman" w:cs="Times New Roman"/>
          <w:sz w:val="24"/>
        </w:rPr>
        <w:t xml:space="preserve"> L</w:t>
      </w:r>
      <w:r w:rsidR="00803162">
        <w:rPr>
          <w:rFonts w:ascii="Times New Roman" w:eastAsia="Times New Roman" w:hAnsi="Times New Roman" w:cs="Times New Roman"/>
          <w:sz w:val="24"/>
        </w:rPr>
        <w:t>ater</w:t>
      </w:r>
      <w:r w:rsidR="004F41AE">
        <w:rPr>
          <w:rFonts w:ascii="Times New Roman" w:eastAsia="Times New Roman" w:hAnsi="Times New Roman" w:cs="Times New Roman"/>
          <w:sz w:val="24"/>
        </w:rPr>
        <w:t>,</w:t>
      </w:r>
      <w:r w:rsidR="00803162">
        <w:rPr>
          <w:rFonts w:ascii="Times New Roman" w:eastAsia="Times New Roman" w:hAnsi="Times New Roman" w:cs="Times New Roman"/>
          <w:sz w:val="24"/>
        </w:rPr>
        <w:t xml:space="preserve"> </w:t>
      </w:r>
      <w:r w:rsidR="000C3336">
        <w:rPr>
          <w:rFonts w:ascii="Times New Roman" w:eastAsia="Times New Roman" w:hAnsi="Times New Roman" w:cs="Times New Roman"/>
          <w:sz w:val="24"/>
        </w:rPr>
        <w:t xml:space="preserve">it </w:t>
      </w:r>
      <w:r w:rsidR="00546AC2">
        <w:rPr>
          <w:rFonts w:ascii="Times New Roman" w:eastAsia="Times New Roman" w:hAnsi="Times New Roman" w:cs="Times New Roman"/>
          <w:sz w:val="24"/>
        </w:rPr>
        <w:t>was discovered</w:t>
      </w:r>
      <w:r>
        <w:rPr>
          <w:rFonts w:ascii="Times New Roman" w:eastAsia="Times New Roman" w:hAnsi="Times New Roman" w:cs="Times New Roman"/>
          <w:sz w:val="24"/>
        </w:rPr>
        <w:t xml:space="preserve"> that the valuation of the stand included improvements on stand 10481. A second valuation </w:t>
      </w:r>
      <w:r w:rsidR="000D0FAA">
        <w:rPr>
          <w:rFonts w:ascii="Times New Roman" w:eastAsia="Times New Roman" w:hAnsi="Times New Roman" w:cs="Times New Roman"/>
          <w:sz w:val="24"/>
        </w:rPr>
        <w:t xml:space="preserve">report </w:t>
      </w:r>
      <w:r w:rsidR="000C3336">
        <w:rPr>
          <w:rFonts w:ascii="Times New Roman" w:eastAsia="Times New Roman" w:hAnsi="Times New Roman" w:cs="Times New Roman"/>
          <w:sz w:val="24"/>
        </w:rPr>
        <w:t>valued the stand at $100.000.00.</w:t>
      </w:r>
      <w:r>
        <w:rPr>
          <w:rFonts w:ascii="Times New Roman" w:eastAsia="Times New Roman" w:hAnsi="Times New Roman" w:cs="Times New Roman"/>
          <w:sz w:val="24"/>
        </w:rPr>
        <w:t xml:space="preserve">The first valuation </w:t>
      </w:r>
      <w:r w:rsidR="000D0FAA">
        <w:rPr>
          <w:rFonts w:ascii="Times New Roman" w:eastAsia="Times New Roman" w:hAnsi="Times New Roman" w:cs="Times New Roman"/>
          <w:sz w:val="24"/>
        </w:rPr>
        <w:t>had overstated</w:t>
      </w:r>
      <w:r>
        <w:rPr>
          <w:rFonts w:ascii="Times New Roman" w:eastAsia="Times New Roman" w:hAnsi="Times New Roman" w:cs="Times New Roman"/>
          <w:sz w:val="24"/>
        </w:rPr>
        <w:t xml:space="preserve"> the value of the stand by $150 000.00. </w:t>
      </w:r>
    </w:p>
    <w:p w:rsidR="0068442D"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plaintiff claims that it relied on the first valuation resulting in it entering into an agreement with its debtor based on an incorrect valuation. It asserts </w:t>
      </w:r>
      <w:r w:rsidR="000D0FAA">
        <w:rPr>
          <w:rFonts w:ascii="Times New Roman" w:eastAsia="Times New Roman" w:hAnsi="Times New Roman" w:cs="Times New Roman"/>
          <w:sz w:val="24"/>
        </w:rPr>
        <w:t>that</w:t>
      </w:r>
      <w:r>
        <w:rPr>
          <w:rFonts w:ascii="Times New Roman" w:eastAsia="Times New Roman" w:hAnsi="Times New Roman" w:cs="Times New Roman"/>
          <w:sz w:val="24"/>
        </w:rPr>
        <w:t xml:space="preserve">  defendant negligently took into account developments on an adjoining </w:t>
      </w:r>
      <w:r w:rsidR="000D0FAA">
        <w:rPr>
          <w:rFonts w:ascii="Times New Roman" w:eastAsia="Times New Roman" w:hAnsi="Times New Roman" w:cs="Times New Roman"/>
          <w:sz w:val="24"/>
        </w:rPr>
        <w:t>property</w:t>
      </w:r>
      <w:r>
        <w:rPr>
          <w:rFonts w:ascii="Times New Roman" w:eastAsia="Times New Roman" w:hAnsi="Times New Roman" w:cs="Times New Roman"/>
          <w:sz w:val="24"/>
        </w:rPr>
        <w:t xml:space="preserve"> .When it was discovered that the valuation was incorrect, the plaintiff had already committed itself to an  </w:t>
      </w:r>
      <w:r w:rsidR="000D0FAA">
        <w:rPr>
          <w:rFonts w:ascii="Times New Roman" w:eastAsia="Times New Roman" w:hAnsi="Times New Roman" w:cs="Times New Roman"/>
          <w:sz w:val="24"/>
        </w:rPr>
        <w:t>irrevocable</w:t>
      </w:r>
      <w:r>
        <w:rPr>
          <w:rFonts w:ascii="Times New Roman" w:eastAsia="Times New Roman" w:hAnsi="Times New Roman" w:cs="Times New Roman"/>
          <w:sz w:val="24"/>
        </w:rPr>
        <w:t xml:space="preserve"> agreement  with its debtor on the basis of what it thought was sufficient security. The plaintiff claims $150 000.00 being the difference between the initial and second valuation. The plaintiff maintains that the valuation was carried out by the defendant.</w:t>
      </w:r>
    </w:p>
    <w:p w:rsidR="0068442D"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 xml:space="preserve">The defendant defends the claim. It refutes that it is a real estate company and that it carried out </w:t>
      </w:r>
      <w:r w:rsidR="00E27D8A">
        <w:rPr>
          <w:rFonts w:ascii="Times New Roman" w:eastAsia="Times New Roman" w:hAnsi="Times New Roman" w:cs="Times New Roman"/>
          <w:sz w:val="24"/>
        </w:rPr>
        <w:t xml:space="preserve">the </w:t>
      </w:r>
      <w:r>
        <w:rPr>
          <w:rFonts w:ascii="Times New Roman" w:eastAsia="Times New Roman" w:hAnsi="Times New Roman" w:cs="Times New Roman"/>
          <w:sz w:val="24"/>
        </w:rPr>
        <w:t>valuation</w:t>
      </w:r>
      <w:r w:rsidR="00D27673">
        <w:rPr>
          <w:rFonts w:ascii="Times New Roman" w:eastAsia="Times New Roman" w:hAnsi="Times New Roman" w:cs="Times New Roman"/>
          <w:sz w:val="24"/>
        </w:rPr>
        <w:t xml:space="preserve"> b</w:t>
      </w:r>
      <w:r w:rsidR="00E27D8A">
        <w:rPr>
          <w:rFonts w:ascii="Times New Roman" w:eastAsia="Times New Roman" w:hAnsi="Times New Roman" w:cs="Times New Roman"/>
          <w:sz w:val="24"/>
        </w:rPr>
        <w:t>ut</w:t>
      </w:r>
      <w:r w:rsidR="00D94B36">
        <w:rPr>
          <w:rFonts w:ascii="Times New Roman" w:eastAsia="Times New Roman" w:hAnsi="Times New Roman" w:cs="Times New Roman"/>
          <w:sz w:val="24"/>
        </w:rPr>
        <w:t xml:space="preserve"> asserts </w:t>
      </w:r>
      <w:r w:rsidR="00E27D8A">
        <w:rPr>
          <w:rFonts w:ascii="Times New Roman" w:eastAsia="Times New Roman" w:hAnsi="Times New Roman" w:cs="Times New Roman"/>
          <w:sz w:val="24"/>
        </w:rPr>
        <w:t>that it was done by</w:t>
      </w:r>
      <w:r w:rsidR="00032980">
        <w:rPr>
          <w:rFonts w:ascii="Times New Roman" w:eastAsia="Times New Roman" w:hAnsi="Times New Roman" w:cs="Times New Roman"/>
          <w:sz w:val="24"/>
        </w:rPr>
        <w:t xml:space="preserve"> Knight Frank Zimbabwe, a P</w:t>
      </w:r>
      <w:r>
        <w:rPr>
          <w:rFonts w:ascii="Times New Roman" w:eastAsia="Times New Roman" w:hAnsi="Times New Roman" w:cs="Times New Roman"/>
          <w:sz w:val="24"/>
        </w:rPr>
        <w:t xml:space="preserve">artnership of persons distinct from the defendant. It denies the averments of error and negligence on its part. The defendant </w:t>
      </w:r>
      <w:r w:rsidR="00E27D8A">
        <w:rPr>
          <w:rFonts w:ascii="Times New Roman" w:eastAsia="Times New Roman" w:hAnsi="Times New Roman" w:cs="Times New Roman"/>
          <w:sz w:val="24"/>
        </w:rPr>
        <w:t xml:space="preserve">initially took the position that </w:t>
      </w:r>
      <w:r>
        <w:rPr>
          <w:rFonts w:ascii="Times New Roman" w:eastAsia="Times New Roman" w:hAnsi="Times New Roman" w:cs="Times New Roman"/>
          <w:sz w:val="24"/>
        </w:rPr>
        <w:t xml:space="preserve">the valuation report was not prepared for </w:t>
      </w:r>
      <w:r w:rsidR="00546AC2">
        <w:rPr>
          <w:rFonts w:ascii="Times New Roman" w:eastAsia="Times New Roman" w:hAnsi="Times New Roman" w:cs="Times New Roman"/>
          <w:sz w:val="24"/>
        </w:rPr>
        <w:t>plaintiff but</w:t>
      </w:r>
      <w:r w:rsidR="00E27D8A">
        <w:rPr>
          <w:rFonts w:ascii="Times New Roman" w:eastAsia="Times New Roman" w:hAnsi="Times New Roman" w:cs="Times New Roman"/>
          <w:sz w:val="24"/>
        </w:rPr>
        <w:t xml:space="preserve"> later conceded during the trial that the valuation was prepared for the plaintiff.</w:t>
      </w:r>
      <w:r>
        <w:rPr>
          <w:rFonts w:ascii="Times New Roman" w:eastAsia="Times New Roman" w:hAnsi="Times New Roman" w:cs="Times New Roman"/>
          <w:sz w:val="24"/>
        </w:rPr>
        <w:tab/>
        <w:t>The following issues were referred to trial</w:t>
      </w:r>
    </w:p>
    <w:p w:rsidR="0068442D" w:rsidRDefault="00032980" w:rsidP="00032980">
      <w:pPr>
        <w:spacing w:after="0" w:line="360" w:lineRule="auto"/>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sidR="00DB4193">
        <w:rPr>
          <w:rFonts w:ascii="Times New Roman" w:eastAsia="Times New Roman" w:hAnsi="Times New Roman" w:cs="Times New Roman"/>
          <w:sz w:val="24"/>
        </w:rPr>
        <w:t xml:space="preserve">Whether or not plaintiff was in existence on 7 June 2010. </w:t>
      </w:r>
      <w:r w:rsidR="000D0FAA">
        <w:rPr>
          <w:rFonts w:ascii="Times New Roman" w:eastAsia="Times New Roman" w:hAnsi="Times New Roman" w:cs="Times New Roman"/>
          <w:sz w:val="24"/>
        </w:rPr>
        <w:t>If so, whether the valuation and report dated 7 June in respect of Stand 10482 was prepared for plaintiff, or for the use of plaintiff.</w:t>
      </w:r>
    </w:p>
    <w:p w:rsidR="0068442D" w:rsidRDefault="00032980" w:rsidP="00032980">
      <w:pPr>
        <w:spacing w:after="0" w:line="360" w:lineRule="auto"/>
        <w:ind w:left="144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B4193">
        <w:rPr>
          <w:rFonts w:ascii="Times New Roman" w:eastAsia="Times New Roman" w:hAnsi="Times New Roman" w:cs="Times New Roman"/>
          <w:sz w:val="24"/>
        </w:rPr>
        <w:t xml:space="preserve">2. </w:t>
      </w:r>
      <w:r>
        <w:rPr>
          <w:rFonts w:ascii="Times New Roman" w:eastAsia="Times New Roman" w:hAnsi="Times New Roman" w:cs="Times New Roman"/>
          <w:sz w:val="24"/>
        </w:rPr>
        <w:tab/>
      </w:r>
      <w:r w:rsidR="00DB4193">
        <w:rPr>
          <w:rFonts w:ascii="Times New Roman" w:eastAsia="Times New Roman" w:hAnsi="Times New Roman" w:cs="Times New Roman"/>
          <w:sz w:val="24"/>
        </w:rPr>
        <w:t>Whether or not defendant was at all material times a registered real estate or property valuer trading in either business to the public. If so, whether defendant and the partnership called Knight Frank Zimbabwe can be considered as two distinct and/or separable entities for the purposes of this dispute.</w:t>
      </w:r>
    </w:p>
    <w:p w:rsidR="0068442D" w:rsidRDefault="00DB4193" w:rsidP="00032980">
      <w:pPr>
        <w:spacing w:after="0" w:line="360" w:lineRule="auto"/>
        <w:ind w:left="1440" w:hanging="660"/>
        <w:jc w:val="both"/>
        <w:rPr>
          <w:rFonts w:ascii="Times New Roman" w:eastAsia="Times New Roman" w:hAnsi="Times New Roman" w:cs="Times New Roman"/>
          <w:sz w:val="24"/>
        </w:rPr>
      </w:pPr>
      <w:r>
        <w:rPr>
          <w:rFonts w:ascii="Times New Roman" w:eastAsia="Times New Roman" w:hAnsi="Times New Roman" w:cs="Times New Roman"/>
          <w:sz w:val="24"/>
        </w:rPr>
        <w:t>3.</w:t>
      </w:r>
      <w:r w:rsidR="00032980">
        <w:rPr>
          <w:rFonts w:ascii="Times New Roman" w:eastAsia="Times New Roman" w:hAnsi="Times New Roman" w:cs="Times New Roman"/>
          <w:sz w:val="24"/>
        </w:rPr>
        <w:tab/>
      </w:r>
      <w:r>
        <w:rPr>
          <w:rFonts w:ascii="Times New Roman" w:eastAsia="Times New Roman" w:hAnsi="Times New Roman" w:cs="Times New Roman"/>
          <w:sz w:val="24"/>
        </w:rPr>
        <w:t xml:space="preserve"> Whether or not it was defendant that prepared the </w:t>
      </w:r>
      <w:r w:rsidR="000D0FAA">
        <w:rPr>
          <w:rFonts w:ascii="Times New Roman" w:eastAsia="Times New Roman" w:hAnsi="Times New Roman" w:cs="Times New Roman"/>
          <w:sz w:val="24"/>
        </w:rPr>
        <w:t>valuation and</w:t>
      </w:r>
      <w:r>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report in</w:t>
      </w:r>
      <w:r>
        <w:rPr>
          <w:rFonts w:ascii="Times New Roman" w:eastAsia="Times New Roman" w:hAnsi="Times New Roman" w:cs="Times New Roman"/>
          <w:sz w:val="24"/>
        </w:rPr>
        <w:t xml:space="preserve"> respect of Stand 10482 on 7 June 2010.If so, whether Defendant was </w:t>
      </w:r>
      <w:r w:rsidR="000D0FAA">
        <w:rPr>
          <w:rFonts w:ascii="Times New Roman" w:eastAsia="Times New Roman" w:hAnsi="Times New Roman" w:cs="Times New Roman"/>
          <w:sz w:val="24"/>
        </w:rPr>
        <w:t>professionally</w:t>
      </w:r>
      <w:r>
        <w:rPr>
          <w:rFonts w:ascii="Times New Roman" w:eastAsia="Times New Roman" w:hAnsi="Times New Roman" w:cs="Times New Roman"/>
          <w:sz w:val="24"/>
        </w:rPr>
        <w:t xml:space="preserve"> negligent in its valuation and report.</w:t>
      </w:r>
    </w:p>
    <w:p w:rsidR="0068442D" w:rsidRDefault="00DB4193" w:rsidP="00032980">
      <w:pPr>
        <w:spacing w:after="0" w:line="360" w:lineRule="auto"/>
        <w:ind w:left="1440" w:hanging="66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032980">
        <w:rPr>
          <w:rFonts w:ascii="Times New Roman" w:eastAsia="Times New Roman" w:hAnsi="Times New Roman" w:cs="Times New Roman"/>
          <w:sz w:val="24"/>
        </w:rPr>
        <w:tab/>
      </w:r>
      <w:r>
        <w:rPr>
          <w:rFonts w:ascii="Times New Roman" w:eastAsia="Times New Roman" w:hAnsi="Times New Roman" w:cs="Times New Roman"/>
          <w:sz w:val="24"/>
        </w:rPr>
        <w:t>If the valuation and report were prepared by the partnership called Knight Frank Zimbabwe, whether the members of that partnership were the directors of defendant, whether the partnership and defendant were both in the real estate business, whether they used the same acronym and/or logo, whether their business operations were inextricably linked, whether they failed to inform the public of the distinction between them, and whether defendant can be held professionally negligent on the basis of the same economic entity principle.</w:t>
      </w:r>
    </w:p>
    <w:p w:rsidR="0068442D" w:rsidRDefault="00DB4193" w:rsidP="00032980">
      <w:pPr>
        <w:spacing w:after="0" w:line="360" w:lineRule="auto"/>
        <w:ind w:left="1440" w:hanging="600"/>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032980">
        <w:rPr>
          <w:rFonts w:ascii="Times New Roman" w:eastAsia="Times New Roman" w:hAnsi="Times New Roman" w:cs="Times New Roman"/>
          <w:sz w:val="24"/>
        </w:rPr>
        <w:tab/>
      </w:r>
      <w:r>
        <w:rPr>
          <w:rFonts w:ascii="Times New Roman" w:eastAsia="Times New Roman" w:hAnsi="Times New Roman" w:cs="Times New Roman"/>
          <w:sz w:val="24"/>
        </w:rPr>
        <w:t xml:space="preserve">Whether plaintiff relied on the valuation report as its basis for committing to the Agreement of 27 September 2011 with </w:t>
      </w:r>
      <w:r w:rsidR="000D0FAA">
        <w:rPr>
          <w:rFonts w:ascii="Times New Roman" w:eastAsia="Times New Roman" w:hAnsi="Times New Roman" w:cs="Times New Roman"/>
          <w:sz w:val="24"/>
        </w:rPr>
        <w:t>Trinpac</w:t>
      </w:r>
      <w:r>
        <w:rPr>
          <w:rFonts w:ascii="Times New Roman" w:eastAsia="Times New Roman" w:hAnsi="Times New Roman" w:cs="Times New Roman"/>
          <w:sz w:val="24"/>
        </w:rPr>
        <w:t xml:space="preserve"> Investments (Pvt) Ltd and Medworth Investments (Pvt) Ltd. If so, whether the plaintiff was able to resile from or renegotiate the Agreement.</w:t>
      </w:r>
    </w:p>
    <w:p w:rsidR="00E27D8A" w:rsidRDefault="00DB4193" w:rsidP="00032980">
      <w:pPr>
        <w:spacing w:after="0" w:line="360" w:lineRule="auto"/>
        <w:ind w:left="1440" w:hanging="660"/>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032980">
        <w:rPr>
          <w:rFonts w:ascii="Times New Roman" w:eastAsia="Times New Roman" w:hAnsi="Times New Roman" w:cs="Times New Roman"/>
          <w:sz w:val="24"/>
        </w:rPr>
        <w:tab/>
      </w:r>
      <w:r>
        <w:rPr>
          <w:rFonts w:ascii="Times New Roman" w:eastAsia="Times New Roman" w:hAnsi="Times New Roman" w:cs="Times New Roman"/>
          <w:sz w:val="24"/>
        </w:rPr>
        <w:t xml:space="preserve">Whether or not plaintiff suffered pecuniary loss in the sum of US$150 000.00 or at all as a result of the inaccuracy of the valuation and report, and, if so, whether such loss was recovered by it from any third party or source. </w:t>
      </w:r>
    </w:p>
    <w:p w:rsidR="0068442D" w:rsidRPr="00032980"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The </w:t>
      </w:r>
      <w:r w:rsidR="000D0FAA">
        <w:rPr>
          <w:rFonts w:ascii="Times New Roman" w:eastAsia="Times New Roman" w:hAnsi="Times New Roman" w:cs="Times New Roman"/>
          <w:sz w:val="24"/>
        </w:rPr>
        <w:t>plaintiff</w:t>
      </w:r>
      <w:r w:rsidR="00E27D8A">
        <w:rPr>
          <w:rFonts w:ascii="Times New Roman" w:eastAsia="Times New Roman" w:hAnsi="Times New Roman" w:cs="Times New Roman"/>
          <w:sz w:val="24"/>
        </w:rPr>
        <w:t xml:space="preserve"> </w:t>
      </w:r>
      <w:r w:rsidR="00546AC2">
        <w:rPr>
          <w:rFonts w:ascii="Times New Roman" w:eastAsia="Times New Roman" w:hAnsi="Times New Roman" w:cs="Times New Roman"/>
          <w:sz w:val="24"/>
        </w:rPr>
        <w:t>called its</w:t>
      </w:r>
      <w:r>
        <w:rPr>
          <w:rFonts w:ascii="Times New Roman" w:eastAsia="Times New Roman" w:hAnsi="Times New Roman" w:cs="Times New Roman"/>
          <w:sz w:val="24"/>
        </w:rPr>
        <w:t xml:space="preserve"> Group </w:t>
      </w:r>
      <w:r w:rsidR="000D0FAA">
        <w:rPr>
          <w:rFonts w:ascii="Times New Roman" w:eastAsia="Times New Roman" w:hAnsi="Times New Roman" w:cs="Times New Roman"/>
          <w:sz w:val="24"/>
        </w:rPr>
        <w:t>Chief</w:t>
      </w:r>
      <w:r>
        <w:rPr>
          <w:rFonts w:ascii="Times New Roman" w:eastAsia="Times New Roman" w:hAnsi="Times New Roman" w:cs="Times New Roman"/>
          <w:sz w:val="24"/>
        </w:rPr>
        <w:t xml:space="preserve"> Executive Ntokozo Mkandla as its sole witness. She testified as follows. In 2013 National Foods Operations approached Knight Frank to do a valuation of a property that was offered by their customer Superbake, trading as </w:t>
      </w:r>
      <w:r w:rsidR="000D0FAA">
        <w:rPr>
          <w:rFonts w:ascii="Times New Roman" w:eastAsia="Times New Roman" w:hAnsi="Times New Roman" w:cs="Times New Roman"/>
          <w:sz w:val="24"/>
        </w:rPr>
        <w:t>Trinpac</w:t>
      </w:r>
      <w:r>
        <w:rPr>
          <w:rFonts w:ascii="Times New Roman" w:eastAsia="Times New Roman" w:hAnsi="Times New Roman" w:cs="Times New Roman"/>
          <w:sz w:val="24"/>
        </w:rPr>
        <w:t xml:space="preserve"> (Pvt) </w:t>
      </w:r>
      <w:r>
        <w:rPr>
          <w:rFonts w:ascii="Times New Roman" w:eastAsia="Times New Roman" w:hAnsi="Times New Roman" w:cs="Times New Roman"/>
          <w:sz w:val="24"/>
        </w:rPr>
        <w:lastRenderedPageBreak/>
        <w:t xml:space="preserve">Ltd as collateral for a credit facility for the supply of flower. The credit was </w:t>
      </w:r>
      <w:r w:rsidR="00CD3096">
        <w:rPr>
          <w:rFonts w:ascii="Times New Roman" w:eastAsia="Times New Roman" w:hAnsi="Times New Roman" w:cs="Times New Roman"/>
          <w:sz w:val="24"/>
        </w:rPr>
        <w:t xml:space="preserve">applied for in about May 2010 </w:t>
      </w:r>
      <w:r>
        <w:rPr>
          <w:rFonts w:ascii="Times New Roman" w:eastAsia="Times New Roman" w:hAnsi="Times New Roman" w:cs="Times New Roman"/>
          <w:sz w:val="24"/>
        </w:rPr>
        <w:t xml:space="preserve">for $650 000.00. </w:t>
      </w:r>
      <w:r w:rsidR="000D0FAA">
        <w:rPr>
          <w:rFonts w:ascii="Times New Roman" w:eastAsia="Times New Roman" w:hAnsi="Times New Roman" w:cs="Times New Roman"/>
          <w:sz w:val="24"/>
        </w:rPr>
        <w:t>Trinpac</w:t>
      </w:r>
      <w:r>
        <w:rPr>
          <w:rFonts w:ascii="Times New Roman" w:eastAsia="Times New Roman" w:hAnsi="Times New Roman" w:cs="Times New Roman"/>
          <w:sz w:val="24"/>
        </w:rPr>
        <w:t xml:space="preserve"> offered two properties, one in Ardbenie and the other in Seke. National Foods required a valuation to ensure that the credit facility that they offered Superbake was adequately secured. The first valuation, of 7 June 2010, resulted in an erroneous valuation. </w:t>
      </w:r>
      <w:r w:rsidR="00E27D8A">
        <w:rPr>
          <w:rFonts w:ascii="Times New Roman" w:eastAsia="Times New Roman" w:hAnsi="Times New Roman" w:cs="Times New Roman"/>
          <w:sz w:val="24"/>
        </w:rPr>
        <w:t xml:space="preserve">It </w:t>
      </w:r>
      <w:r>
        <w:rPr>
          <w:rFonts w:ascii="Times New Roman" w:eastAsia="Times New Roman" w:hAnsi="Times New Roman" w:cs="Times New Roman"/>
          <w:sz w:val="24"/>
        </w:rPr>
        <w:t>included improvements on stand 10481. Knight Frank did not pick up</w:t>
      </w:r>
      <w:r>
        <w:rPr>
          <w:rFonts w:ascii="Calibri" w:eastAsia="Calibri" w:hAnsi="Calibri" w:cs="Calibri"/>
          <w:sz w:val="24"/>
        </w:rPr>
        <w:t xml:space="preserve"> </w:t>
      </w:r>
      <w:r>
        <w:rPr>
          <w:rFonts w:ascii="Times New Roman" w:eastAsia="Times New Roman" w:hAnsi="Times New Roman" w:cs="Times New Roman"/>
          <w:sz w:val="24"/>
        </w:rPr>
        <w:t>that the property was actually subdivided when it did the valuation.</w:t>
      </w:r>
      <w:r>
        <w:rPr>
          <w:rFonts w:ascii="Calibri" w:eastAsia="Calibri" w:hAnsi="Calibri" w:cs="Calibri"/>
          <w:sz w:val="24"/>
        </w:rPr>
        <w:t xml:space="preserve"> </w:t>
      </w:r>
      <w:r w:rsidRPr="00032980">
        <w:rPr>
          <w:rFonts w:ascii="Times New Roman" w:eastAsia="Calibri" w:hAnsi="Times New Roman" w:cs="Times New Roman"/>
          <w:sz w:val="24"/>
        </w:rPr>
        <w:t xml:space="preserve">A credit agreement was entered into between National Foods and Trinpac for </w:t>
      </w:r>
      <w:r w:rsidR="000D0FAA" w:rsidRPr="00032980">
        <w:rPr>
          <w:rFonts w:ascii="Times New Roman" w:eastAsia="Calibri" w:hAnsi="Times New Roman" w:cs="Times New Roman"/>
          <w:sz w:val="24"/>
        </w:rPr>
        <w:t>the supply</w:t>
      </w:r>
      <w:r w:rsidRPr="00032980">
        <w:rPr>
          <w:rFonts w:ascii="Times New Roman" w:eastAsia="Calibri" w:hAnsi="Times New Roman" w:cs="Times New Roman"/>
          <w:sz w:val="24"/>
        </w:rPr>
        <w:t xml:space="preserve"> of flower on 27 September 2011 based on the valuation.</w:t>
      </w:r>
      <w:r w:rsidR="00E27D8A" w:rsidRPr="00032980">
        <w:rPr>
          <w:rFonts w:ascii="Times New Roman" w:hAnsi="Times New Roman" w:cs="Times New Roman"/>
        </w:rPr>
        <w:t xml:space="preserve"> </w:t>
      </w:r>
      <w:r w:rsidR="00E27D8A" w:rsidRPr="00032980">
        <w:rPr>
          <w:rFonts w:ascii="Times New Roman" w:eastAsia="Calibri" w:hAnsi="Times New Roman" w:cs="Times New Roman"/>
          <w:sz w:val="24"/>
        </w:rPr>
        <w:t xml:space="preserve">The plaintiff advanced credit on the basis of a false valuation report and used it to assess what credit facility to advance. </w:t>
      </w:r>
      <w:r w:rsidRPr="00032980">
        <w:rPr>
          <w:rFonts w:ascii="Times New Roman" w:eastAsia="Calibri" w:hAnsi="Times New Roman" w:cs="Times New Roman"/>
          <w:sz w:val="24"/>
        </w:rPr>
        <w:t xml:space="preserve"> </w:t>
      </w:r>
      <w:r w:rsidRPr="00032980">
        <w:rPr>
          <w:rFonts w:ascii="Times New Roman" w:eastAsia="Times New Roman" w:hAnsi="Times New Roman" w:cs="Times New Roman"/>
          <w:sz w:val="24"/>
        </w:rPr>
        <w:t>At the time that the agreement was entered into, it was believed that the value of the collateral property was US$250 000.00. The defendant was negligent.</w:t>
      </w:r>
    </w:p>
    <w:p w:rsidR="00CD3096" w:rsidRPr="00CD3096" w:rsidRDefault="00E27D8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75A6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A </w:t>
      </w:r>
      <w:r w:rsidR="00DB4193">
        <w:rPr>
          <w:rFonts w:ascii="Times New Roman" w:eastAsia="Times New Roman" w:hAnsi="Times New Roman" w:cs="Times New Roman"/>
          <w:sz w:val="24"/>
        </w:rPr>
        <w:t>second valuation was requested and done in order to get a proper valuation and to determine the prejudice to National Foods as a result of the error in valuation.</w:t>
      </w:r>
      <w:r w:rsidR="00DB4193">
        <w:rPr>
          <w:rFonts w:ascii="Calibri" w:eastAsia="Calibri" w:hAnsi="Calibri" w:cs="Calibri"/>
          <w:sz w:val="24"/>
        </w:rPr>
        <w:t xml:space="preserve"> </w:t>
      </w:r>
      <w:r w:rsidR="00DB4193" w:rsidRPr="00CD3096">
        <w:rPr>
          <w:rFonts w:ascii="Times New Roman" w:eastAsia="Calibri" w:hAnsi="Times New Roman" w:cs="Times New Roman"/>
          <w:sz w:val="24"/>
        </w:rPr>
        <w:t xml:space="preserve">The </w:t>
      </w:r>
      <w:r w:rsidRPr="00CD3096">
        <w:rPr>
          <w:rFonts w:ascii="Times New Roman" w:eastAsia="Calibri" w:hAnsi="Times New Roman" w:cs="Times New Roman"/>
          <w:sz w:val="24"/>
        </w:rPr>
        <w:t xml:space="preserve">value of the stand </w:t>
      </w:r>
      <w:r w:rsidR="00DB4193" w:rsidRPr="00CD3096">
        <w:rPr>
          <w:rFonts w:ascii="Times New Roman" w:eastAsia="Calibri" w:hAnsi="Times New Roman" w:cs="Times New Roman"/>
          <w:sz w:val="24"/>
        </w:rPr>
        <w:t xml:space="preserve">was placed at </w:t>
      </w:r>
      <w:r w:rsidR="00DB4193" w:rsidRPr="00CD3096">
        <w:rPr>
          <w:rFonts w:ascii="Times New Roman" w:eastAsia="Times New Roman" w:hAnsi="Times New Roman" w:cs="Times New Roman"/>
          <w:sz w:val="24"/>
        </w:rPr>
        <w:t xml:space="preserve">$100 000.00.  The erroneous valuation resulted in prejudice of </w:t>
      </w:r>
    </w:p>
    <w:p w:rsidR="0068442D"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$150 000.00 to National Food</w:t>
      </w:r>
      <w:r w:rsidR="00E27D8A">
        <w:rPr>
          <w:rFonts w:ascii="Times New Roman" w:eastAsia="Times New Roman" w:hAnsi="Times New Roman" w:cs="Times New Roman"/>
          <w:sz w:val="24"/>
        </w:rPr>
        <w:t>s when the customer defaulted.</w:t>
      </w:r>
      <w:r>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An agreement was entered into between Trinpac and National Foods   whereby the collateral property over which they had a mortgage bond was transferred to</w:t>
      </w:r>
      <w:r w:rsidR="000D0FAA">
        <w:rPr>
          <w:rFonts w:ascii="Calibri" w:eastAsia="Calibri" w:hAnsi="Calibri" w:cs="Calibri"/>
          <w:sz w:val="24"/>
        </w:rPr>
        <w:t xml:space="preserve"> </w:t>
      </w:r>
      <w:r w:rsidR="00576ADE" w:rsidRPr="00CD3096">
        <w:rPr>
          <w:rFonts w:ascii="Times New Roman" w:eastAsia="Times New Roman" w:hAnsi="Times New Roman" w:cs="Times New Roman"/>
          <w:sz w:val="24"/>
        </w:rPr>
        <w:t>Pili</w:t>
      </w:r>
      <w:r w:rsidR="000D0FAA" w:rsidRPr="00CD3096">
        <w:rPr>
          <w:rFonts w:ascii="Times New Roman" w:eastAsia="Times New Roman" w:hAnsi="Times New Roman" w:cs="Times New Roman"/>
          <w:sz w:val="24"/>
        </w:rPr>
        <w:t>route</w:t>
      </w:r>
      <w:r w:rsidR="000D0FAA">
        <w:rPr>
          <w:rFonts w:ascii="Times New Roman" w:eastAsia="Times New Roman" w:hAnsi="Times New Roman" w:cs="Times New Roman"/>
          <w:sz w:val="24"/>
        </w:rPr>
        <w:t xml:space="preserve"> Investments (Pvt) Ltd, a subsidiary of the plaintiff in full and final settlement of the outstanding debt in January 2012. Trinpac</w:t>
      </w:r>
      <w:r>
        <w:rPr>
          <w:rFonts w:ascii="Times New Roman" w:eastAsia="Times New Roman" w:hAnsi="Times New Roman" w:cs="Times New Roman"/>
          <w:sz w:val="24"/>
        </w:rPr>
        <w:t xml:space="preserve"> was going into liquidation so the plaintiff could not resile from the agreement. The property was valued at   $354 970.26. There was no valuation report at that time when the transfer happened. The value was negotiated between the parties. The defendant must </w:t>
      </w:r>
      <w:r w:rsidR="0033028B">
        <w:rPr>
          <w:rFonts w:ascii="Times New Roman" w:eastAsia="Times New Roman" w:hAnsi="Times New Roman" w:cs="Times New Roman"/>
          <w:sz w:val="24"/>
        </w:rPr>
        <w:t xml:space="preserve">be paid </w:t>
      </w:r>
      <w:r>
        <w:rPr>
          <w:rFonts w:ascii="Times New Roman" w:eastAsia="Times New Roman" w:hAnsi="Times New Roman" w:cs="Times New Roman"/>
          <w:sz w:val="24"/>
        </w:rPr>
        <w:t>$150 000.00</w:t>
      </w:r>
      <w:r w:rsidR="00E27D8A">
        <w:rPr>
          <w:rFonts w:ascii="Times New Roman" w:eastAsia="Times New Roman" w:hAnsi="Times New Roman" w:cs="Times New Roman"/>
          <w:sz w:val="24"/>
        </w:rPr>
        <w:t xml:space="preserve"> being the </w:t>
      </w:r>
      <w:r w:rsidR="00546AC2">
        <w:rPr>
          <w:rFonts w:ascii="Times New Roman" w:eastAsia="Times New Roman" w:hAnsi="Times New Roman" w:cs="Times New Roman"/>
          <w:sz w:val="24"/>
        </w:rPr>
        <w:t>prejudice the</w:t>
      </w:r>
      <w:r>
        <w:rPr>
          <w:rFonts w:ascii="Times New Roman" w:eastAsia="Times New Roman" w:hAnsi="Times New Roman" w:cs="Times New Roman"/>
          <w:sz w:val="24"/>
        </w:rPr>
        <w:t xml:space="preserve"> plaintiff suffered. </w:t>
      </w:r>
    </w:p>
    <w:p w:rsidR="0068442D"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When they engaged Knight Frank to do the valuation their understanding was that Knight Frank is a property valuation company.</w:t>
      </w:r>
      <w:r>
        <w:rPr>
          <w:rFonts w:ascii="Calibri" w:eastAsia="Calibri" w:hAnsi="Calibri" w:cs="Calibri"/>
          <w:sz w:val="24"/>
        </w:rPr>
        <w:t xml:space="preserve"> </w:t>
      </w:r>
      <w:r>
        <w:rPr>
          <w:rFonts w:ascii="Times New Roman" w:eastAsia="Times New Roman" w:hAnsi="Times New Roman" w:cs="Times New Roman"/>
          <w:sz w:val="24"/>
        </w:rPr>
        <w:t>They were not told that the valua</w:t>
      </w:r>
      <w:r w:rsidR="00CD3096">
        <w:rPr>
          <w:rFonts w:ascii="Times New Roman" w:eastAsia="Times New Roman" w:hAnsi="Times New Roman" w:cs="Times New Roman"/>
          <w:sz w:val="24"/>
        </w:rPr>
        <w:t>tion was going to be done by a P</w:t>
      </w:r>
      <w:r>
        <w:rPr>
          <w:rFonts w:ascii="Times New Roman" w:eastAsia="Times New Roman" w:hAnsi="Times New Roman" w:cs="Times New Roman"/>
          <w:sz w:val="24"/>
        </w:rPr>
        <w:t xml:space="preserve">artnership. National Foods had been using Knight Frank for other valuation assignments. The company is known to them as a company that does valuations. She is not aware that there are various other Knight Franks. They believed that they were </w:t>
      </w:r>
      <w:r>
        <w:rPr>
          <w:rFonts w:ascii="Times New Roman" w:eastAsia="Times New Roman" w:hAnsi="Times New Roman" w:cs="Times New Roman"/>
          <w:sz w:val="24"/>
        </w:rPr>
        <w:lastRenderedPageBreak/>
        <w:t>dealing with a company and there was nothing to suggest</w:t>
      </w:r>
      <w:r w:rsidR="00CD3096">
        <w:rPr>
          <w:rFonts w:ascii="Times New Roman" w:eastAsia="Times New Roman" w:hAnsi="Times New Roman" w:cs="Times New Roman"/>
          <w:sz w:val="24"/>
        </w:rPr>
        <w:t xml:space="preserve"> that they were dealing with a P</w:t>
      </w:r>
      <w:r w:rsidR="00D94B36">
        <w:rPr>
          <w:rFonts w:ascii="Times New Roman" w:eastAsia="Times New Roman" w:hAnsi="Times New Roman" w:cs="Times New Roman"/>
          <w:sz w:val="24"/>
        </w:rPr>
        <w:t>artnership and hence t</w:t>
      </w:r>
      <w:r>
        <w:rPr>
          <w:rFonts w:ascii="Times New Roman" w:eastAsia="Times New Roman" w:hAnsi="Times New Roman" w:cs="Times New Roman"/>
          <w:sz w:val="24"/>
        </w:rPr>
        <w:t>heir</w:t>
      </w:r>
      <w:r w:rsidR="007E16ED">
        <w:rPr>
          <w:rFonts w:ascii="Times New Roman" w:eastAsia="Times New Roman" w:hAnsi="Times New Roman" w:cs="Times New Roman"/>
          <w:sz w:val="24"/>
        </w:rPr>
        <w:t xml:space="preserve"> </w:t>
      </w:r>
      <w:r>
        <w:rPr>
          <w:rFonts w:ascii="Times New Roman" w:eastAsia="Times New Roman" w:hAnsi="Times New Roman" w:cs="Times New Roman"/>
          <w:sz w:val="24"/>
        </w:rPr>
        <w:t>claim was made against Knight Frank</w:t>
      </w:r>
      <w:r w:rsidR="00D27673">
        <w:rPr>
          <w:rFonts w:ascii="Times New Roman" w:eastAsia="Times New Roman" w:hAnsi="Times New Roman" w:cs="Times New Roman"/>
          <w:sz w:val="24"/>
        </w:rPr>
        <w:t xml:space="preserve"> (Pvt) Ltd</w:t>
      </w:r>
      <w:r>
        <w:rPr>
          <w:rFonts w:ascii="Times New Roman" w:eastAsia="Times New Roman" w:hAnsi="Times New Roman" w:cs="Times New Roman"/>
          <w:sz w:val="24"/>
        </w:rPr>
        <w:t xml:space="preserve">. When they engaged Knight Frank, Mr </w:t>
      </w:r>
      <w:r w:rsidR="000D0FAA">
        <w:rPr>
          <w:rFonts w:ascii="Times New Roman" w:eastAsia="Times New Roman" w:hAnsi="Times New Roman" w:cs="Times New Roman"/>
          <w:sz w:val="24"/>
        </w:rPr>
        <w:t>Mazarire whom</w:t>
      </w:r>
      <w:r>
        <w:rPr>
          <w:rFonts w:ascii="Times New Roman" w:eastAsia="Times New Roman" w:hAnsi="Times New Roman" w:cs="Times New Roman"/>
          <w:sz w:val="24"/>
        </w:rPr>
        <w:t xml:space="preserve"> plaintiff's officials dealt </w:t>
      </w:r>
      <w:r w:rsidR="000D0FAA">
        <w:rPr>
          <w:rFonts w:ascii="Times New Roman" w:eastAsia="Times New Roman" w:hAnsi="Times New Roman" w:cs="Times New Roman"/>
          <w:sz w:val="24"/>
        </w:rPr>
        <w:t>with, never</w:t>
      </w:r>
      <w:r>
        <w:rPr>
          <w:rFonts w:ascii="Times New Roman" w:eastAsia="Times New Roman" w:hAnsi="Times New Roman" w:cs="Times New Roman"/>
          <w:sz w:val="24"/>
        </w:rPr>
        <w:t xml:space="preserve"> refuted that the </w:t>
      </w:r>
      <w:r w:rsidR="000D0FAA">
        <w:rPr>
          <w:rFonts w:ascii="Times New Roman" w:eastAsia="Times New Roman" w:hAnsi="Times New Roman" w:cs="Times New Roman"/>
          <w:sz w:val="24"/>
        </w:rPr>
        <w:t xml:space="preserve">defendant </w:t>
      </w:r>
      <w:r>
        <w:rPr>
          <w:rFonts w:ascii="Times New Roman" w:eastAsia="Times New Roman" w:hAnsi="Times New Roman" w:cs="Times New Roman"/>
          <w:sz w:val="24"/>
        </w:rPr>
        <w:t xml:space="preserve">was commissioned to do the valuation. </w:t>
      </w:r>
      <w:r w:rsidR="00D27673">
        <w:rPr>
          <w:rFonts w:ascii="Times New Roman" w:eastAsia="Times New Roman" w:hAnsi="Times New Roman" w:cs="Times New Roman"/>
          <w:sz w:val="24"/>
        </w:rPr>
        <w:t>They were not told that the valuation was going to be done by a Partnership or a (Pvt) Ltd company.</w:t>
      </w:r>
    </w:p>
    <w:p w:rsidR="0068442D"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She knew the real estate company and property management company. The logo of the company they dealt with is written Knight Frank. The letter dated 7 June 2016 written by Knight Frank speaks to the valuation. The letter gives an understanding that the valuation was done by a professional. She later learnt that Mr Mazarire is a shareholder of Knight Frank (Pvt) Ltd together with M.P Mtara. She did not know the part</w:t>
      </w:r>
      <w:r w:rsidR="00D27673">
        <w:rPr>
          <w:rFonts w:ascii="Times New Roman" w:eastAsia="Times New Roman" w:hAnsi="Times New Roman" w:cs="Times New Roman"/>
          <w:sz w:val="24"/>
        </w:rPr>
        <w:t>ners of Knight Frank.</w:t>
      </w:r>
      <w:r>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At</w:t>
      </w:r>
      <w:r>
        <w:rPr>
          <w:rFonts w:ascii="Times New Roman" w:eastAsia="Times New Roman" w:hAnsi="Times New Roman" w:cs="Times New Roman"/>
          <w:sz w:val="24"/>
        </w:rPr>
        <w:t xml:space="preserve"> all times, they considered that they </w:t>
      </w:r>
      <w:r w:rsidR="00975A62">
        <w:rPr>
          <w:rFonts w:ascii="Times New Roman" w:eastAsia="Times New Roman" w:hAnsi="Times New Roman" w:cs="Times New Roman"/>
          <w:sz w:val="24"/>
        </w:rPr>
        <w:t>were dealing with the defendant</w:t>
      </w:r>
      <w:r>
        <w:rPr>
          <w:rFonts w:ascii="Times New Roman" w:eastAsia="Times New Roman" w:hAnsi="Times New Roman" w:cs="Times New Roman"/>
          <w:sz w:val="24"/>
        </w:rPr>
        <w:t>.</w:t>
      </w:r>
      <w:r w:rsidR="00975A6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There were attempts at settlement after the </w:t>
      </w:r>
      <w:r w:rsidR="000D0FAA">
        <w:rPr>
          <w:rFonts w:ascii="Times New Roman" w:eastAsia="Times New Roman" w:hAnsi="Times New Roman" w:cs="Times New Roman"/>
          <w:sz w:val="24"/>
        </w:rPr>
        <w:t xml:space="preserve">summons. The defendant participated in the negotiations until after the lapse of 3 years after the cause of action arose when the defendant took the position that the valuation had not been done by it. They approached the Estates Agents Council against the defendant but there was no response. The many Knight Franks are meant to generate confusion which the defendant is capitalising on. She maintained under cross-examination that they just wanted a valuation done and did not go beyond Knight Frank’s façade. </w:t>
      </w:r>
      <w:r>
        <w:rPr>
          <w:rFonts w:ascii="Times New Roman" w:eastAsia="Times New Roman" w:hAnsi="Times New Roman" w:cs="Times New Roman"/>
          <w:sz w:val="24"/>
        </w:rPr>
        <w:t>Although the witnes</w:t>
      </w:r>
      <w:r w:rsidR="001F6579">
        <w:rPr>
          <w:rFonts w:ascii="Times New Roman" w:eastAsia="Times New Roman" w:hAnsi="Times New Roman" w:cs="Times New Roman"/>
          <w:sz w:val="24"/>
        </w:rPr>
        <w:t>s was subjected to lengthy and r</w:t>
      </w:r>
      <w:r>
        <w:rPr>
          <w:rFonts w:ascii="Times New Roman" w:eastAsia="Times New Roman" w:hAnsi="Times New Roman" w:cs="Times New Roman"/>
          <w:sz w:val="24"/>
        </w:rPr>
        <w:t>igorous questioning under cross-examination, she maintained her version. She testified well and the court found her to be an honest witness who was quick to concede the correct position.</w:t>
      </w:r>
    </w:p>
    <w:p w:rsidR="0068442D"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defendant called Amos Mazarire as its witness. His evidence is as follows.</w:t>
      </w:r>
      <w:r>
        <w:rPr>
          <w:rFonts w:ascii="Calibri" w:eastAsia="Calibri" w:hAnsi="Calibri" w:cs="Calibri"/>
          <w:sz w:val="24"/>
        </w:rPr>
        <w:t xml:space="preserve"> </w:t>
      </w:r>
      <w:r>
        <w:rPr>
          <w:rFonts w:ascii="Times New Roman" w:eastAsia="Times New Roman" w:hAnsi="Times New Roman" w:cs="Times New Roman"/>
          <w:sz w:val="24"/>
        </w:rPr>
        <w:t xml:space="preserve">He is a valuer.  He is a director in the defendant’s company and represents it. The defendant is a dormant company since it was incorporated in 1981. Knight Frank Zimbabwe is not a trading company. He is a partner in Knight Frank Zimbabwe Partnership. When Knight Frank came into Zimbabwe it was a partnership and in order </w:t>
      </w:r>
      <w:r w:rsidR="000D0FAA">
        <w:rPr>
          <w:rFonts w:ascii="Times New Roman" w:eastAsia="Times New Roman" w:hAnsi="Times New Roman" w:cs="Times New Roman"/>
          <w:sz w:val="24"/>
        </w:rPr>
        <w:t>to protect</w:t>
      </w:r>
      <w:r>
        <w:rPr>
          <w:rFonts w:ascii="Times New Roman" w:eastAsia="Times New Roman" w:hAnsi="Times New Roman" w:cs="Times New Roman"/>
          <w:sz w:val="24"/>
        </w:rPr>
        <w:t xml:space="preserve"> the name of the partnership and stop other entities having title similar to theirs, they protected the name by registering protection companies. The protection companies are registered as Rutley (Pvt) Ltd, Knight Frank Zimbabwe (Pvt) Ltd. As a result, nobody else can register a Knight Frank Company. The partnership is Knight Frank</w:t>
      </w:r>
      <w:r w:rsidR="00D27673">
        <w:rPr>
          <w:rFonts w:ascii="Times New Roman" w:eastAsia="Times New Roman" w:hAnsi="Times New Roman" w:cs="Times New Roman"/>
          <w:sz w:val="24"/>
        </w:rPr>
        <w:t xml:space="preserve"> Zimbabwe</w:t>
      </w:r>
      <w:r>
        <w:rPr>
          <w:rFonts w:ascii="Times New Roman" w:eastAsia="Times New Roman" w:hAnsi="Times New Roman" w:cs="Times New Roman"/>
          <w:sz w:val="24"/>
        </w:rPr>
        <w:t xml:space="preserve"> .The partnership benefits from the protection. T</w:t>
      </w:r>
      <w:r w:rsidR="00D27673">
        <w:rPr>
          <w:rFonts w:ascii="Times New Roman" w:eastAsia="Times New Roman" w:hAnsi="Times New Roman" w:cs="Times New Roman"/>
          <w:sz w:val="24"/>
        </w:rPr>
        <w:t>he logo ‘</w:t>
      </w:r>
      <w:r>
        <w:rPr>
          <w:rFonts w:ascii="Times New Roman" w:eastAsia="Times New Roman" w:hAnsi="Times New Roman" w:cs="Times New Roman"/>
          <w:sz w:val="24"/>
        </w:rPr>
        <w:t>Kn</w:t>
      </w:r>
      <w:r w:rsidR="00CD3096">
        <w:rPr>
          <w:rFonts w:ascii="Times New Roman" w:eastAsia="Times New Roman" w:hAnsi="Times New Roman" w:cs="Times New Roman"/>
          <w:sz w:val="24"/>
        </w:rPr>
        <w:t>ight Frank’ on p 14 is for the P</w:t>
      </w:r>
      <w:r>
        <w:rPr>
          <w:rFonts w:ascii="Times New Roman" w:eastAsia="Times New Roman" w:hAnsi="Times New Roman" w:cs="Times New Roman"/>
          <w:sz w:val="24"/>
        </w:rPr>
        <w:t xml:space="preserve">artnership </w:t>
      </w:r>
      <w:r w:rsidR="000D0FAA">
        <w:rPr>
          <w:rFonts w:ascii="Times New Roman" w:eastAsia="Times New Roman" w:hAnsi="Times New Roman" w:cs="Times New Roman"/>
          <w:sz w:val="24"/>
        </w:rPr>
        <w:t>and which</w:t>
      </w:r>
      <w:r>
        <w:rPr>
          <w:rFonts w:ascii="Times New Roman" w:eastAsia="Times New Roman" w:hAnsi="Times New Roman" w:cs="Times New Roman"/>
          <w:sz w:val="24"/>
        </w:rPr>
        <w:t xml:space="preserve"> is registered with the Estates Agents Council. He holds a share in Knight Frank (Pvt) Ltd and in trust for the partners of Knight Frank Zimbabwe. It</w:t>
      </w:r>
      <w:r w:rsidR="00CD3096">
        <w:rPr>
          <w:rFonts w:ascii="Times New Roman" w:eastAsia="Times New Roman" w:hAnsi="Times New Roman" w:cs="Times New Roman"/>
          <w:sz w:val="24"/>
        </w:rPr>
        <w:t xml:space="preserve"> is Knight Frank Zimbabwe, the P</w:t>
      </w:r>
      <w:r>
        <w:rPr>
          <w:rFonts w:ascii="Times New Roman" w:eastAsia="Times New Roman" w:hAnsi="Times New Roman" w:cs="Times New Roman"/>
          <w:sz w:val="24"/>
        </w:rPr>
        <w:t>artnership that is involved</w:t>
      </w:r>
      <w:r w:rsidR="003841BE">
        <w:rPr>
          <w:rFonts w:ascii="Times New Roman" w:eastAsia="Times New Roman" w:hAnsi="Times New Roman" w:cs="Times New Roman"/>
          <w:sz w:val="24"/>
        </w:rPr>
        <w:t xml:space="preserve"> in the real estate business. </w:t>
      </w:r>
      <w:r>
        <w:rPr>
          <w:rFonts w:ascii="Times New Roman" w:eastAsia="Times New Roman" w:hAnsi="Times New Roman" w:cs="Times New Roman"/>
          <w:sz w:val="24"/>
        </w:rPr>
        <w:t xml:space="preserve">The defendant could not carry out the valuation as it is dormant. The </w:t>
      </w:r>
      <w:r>
        <w:rPr>
          <w:rFonts w:ascii="Times New Roman" w:eastAsia="Times New Roman" w:hAnsi="Times New Roman" w:cs="Times New Roman"/>
          <w:sz w:val="24"/>
        </w:rPr>
        <w:lastRenderedPageBreak/>
        <w:t xml:space="preserve">company known as Knight Frank, (Pvt) Ltd is the defendant in this case. Knight Frank (Pvt) Ltd has no employees as it does not do business. Knight Frank (Pvt) Ltd has no logo. </w:t>
      </w:r>
      <w:r w:rsidR="00360B5E" w:rsidRPr="00360B5E">
        <w:rPr>
          <w:rFonts w:ascii="Times New Roman" w:eastAsia="Times New Roman" w:hAnsi="Times New Roman" w:cs="Times New Roman"/>
          <w:sz w:val="24"/>
        </w:rPr>
        <w:t>The partnership and the defendant share the same offices.</w:t>
      </w:r>
    </w:p>
    <w:p w:rsidR="0068442D" w:rsidRDefault="00D2767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valuation was done by the P</w:t>
      </w:r>
      <w:r w:rsidR="00DB4193">
        <w:rPr>
          <w:rFonts w:ascii="Times New Roman" w:eastAsia="Times New Roman" w:hAnsi="Times New Roman" w:cs="Times New Roman"/>
          <w:sz w:val="24"/>
        </w:rPr>
        <w:t xml:space="preserve">artnership </w:t>
      </w:r>
      <w:r w:rsidR="000D0FAA">
        <w:rPr>
          <w:rFonts w:ascii="Times New Roman" w:eastAsia="Times New Roman" w:hAnsi="Times New Roman" w:cs="Times New Roman"/>
          <w:sz w:val="24"/>
        </w:rPr>
        <w:t>for the</w:t>
      </w:r>
      <w:r w:rsidR="00DB4193">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plaintiff. It</w:t>
      </w:r>
      <w:r>
        <w:rPr>
          <w:rFonts w:ascii="Times New Roman" w:eastAsia="Times New Roman" w:hAnsi="Times New Roman" w:cs="Times New Roman"/>
          <w:sz w:val="24"/>
        </w:rPr>
        <w:t xml:space="preserve"> is the P</w:t>
      </w:r>
      <w:r w:rsidR="00DB4193">
        <w:rPr>
          <w:rFonts w:ascii="Times New Roman" w:eastAsia="Times New Roman" w:hAnsi="Times New Roman" w:cs="Times New Roman"/>
          <w:sz w:val="24"/>
        </w:rPr>
        <w:t xml:space="preserve">artnership that gave the terms of engagement. </w:t>
      </w:r>
      <w:r w:rsidR="000D0FAA">
        <w:rPr>
          <w:rFonts w:ascii="Times New Roman" w:eastAsia="Times New Roman" w:hAnsi="Times New Roman" w:cs="Times New Roman"/>
          <w:sz w:val="24"/>
        </w:rPr>
        <w:t>The</w:t>
      </w:r>
      <w:r w:rsidR="00DB4193">
        <w:rPr>
          <w:rFonts w:ascii="Times New Roman" w:eastAsia="Times New Roman" w:hAnsi="Times New Roman" w:cs="Times New Roman"/>
          <w:sz w:val="24"/>
        </w:rPr>
        <w:t xml:space="preserve"> first valuation report for $250 000.00 includes improvements which were overstated. A second valuation valued the same property at $100 000.00. When the mortgage bond was registered the valuation report had not been prepared. The plaintiff could not have relied on this report as they did not know the value they were going to declare. He insisted under cross-examination that the plaintiff sued the wrong party. </w:t>
      </w:r>
      <w:r w:rsidR="000D0FAA">
        <w:rPr>
          <w:rFonts w:ascii="Times New Roman" w:eastAsia="Times New Roman" w:hAnsi="Times New Roman" w:cs="Times New Roman"/>
          <w:sz w:val="24"/>
        </w:rPr>
        <w:t xml:space="preserve">He accepted that Knight Frank was a trade name. He was taken to task over the necessity to incorporate </w:t>
      </w:r>
      <w:r w:rsidR="009B2DF6">
        <w:rPr>
          <w:rFonts w:ascii="Times New Roman" w:eastAsia="Times New Roman" w:hAnsi="Times New Roman" w:cs="Times New Roman"/>
          <w:sz w:val="24"/>
        </w:rPr>
        <w:t>three</w:t>
      </w:r>
      <w:r w:rsidR="000D0FAA">
        <w:rPr>
          <w:rFonts w:ascii="Times New Roman" w:eastAsia="Times New Roman" w:hAnsi="Times New Roman" w:cs="Times New Roman"/>
          <w:sz w:val="24"/>
        </w:rPr>
        <w:t xml:space="preserve"> companies with identical names. </w:t>
      </w:r>
      <w:r w:rsidR="00DB4193">
        <w:rPr>
          <w:rFonts w:ascii="Times New Roman" w:eastAsia="Times New Roman" w:hAnsi="Times New Roman" w:cs="Times New Roman"/>
          <w:sz w:val="24"/>
        </w:rPr>
        <w:t xml:space="preserve">He maintained that </w:t>
      </w:r>
      <w:r w:rsidR="000D0FAA">
        <w:rPr>
          <w:rFonts w:ascii="Times New Roman" w:eastAsia="Times New Roman" w:hAnsi="Times New Roman" w:cs="Times New Roman"/>
          <w:sz w:val="24"/>
        </w:rPr>
        <w:t>this</w:t>
      </w:r>
      <w:r w:rsidR="00DB4193">
        <w:rPr>
          <w:rFonts w:ascii="Times New Roman" w:eastAsia="Times New Roman" w:hAnsi="Times New Roman" w:cs="Times New Roman"/>
          <w:sz w:val="24"/>
        </w:rPr>
        <w:t xml:space="preserve"> was done in order to protect the name Knight Frank</w:t>
      </w:r>
      <w:r w:rsidR="003F4D20">
        <w:rPr>
          <w:rFonts w:ascii="Times New Roman" w:eastAsia="Times New Roman" w:hAnsi="Times New Roman" w:cs="Times New Roman"/>
          <w:sz w:val="24"/>
        </w:rPr>
        <w:t>.</w:t>
      </w:r>
      <w:r w:rsidR="00DB4193">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He</w:t>
      </w:r>
      <w:r w:rsidR="00DB4193">
        <w:rPr>
          <w:rFonts w:ascii="Times New Roman" w:eastAsia="Times New Roman" w:hAnsi="Times New Roman" w:cs="Times New Roman"/>
          <w:sz w:val="24"/>
        </w:rPr>
        <w:t xml:space="preserve"> maintained that there was no prejudice suffered by the plaintiff because it took transfer of the property at a higher value. If the plaintiff was going to suffer any prejudice, it was supposed to mitigate its loss by </w:t>
      </w:r>
      <w:r w:rsidR="000D0FAA">
        <w:rPr>
          <w:rFonts w:ascii="Times New Roman" w:eastAsia="Times New Roman" w:hAnsi="Times New Roman" w:cs="Times New Roman"/>
          <w:sz w:val="24"/>
        </w:rPr>
        <w:t>resiling</w:t>
      </w:r>
      <w:r w:rsidR="00DB4193">
        <w:rPr>
          <w:rFonts w:ascii="Times New Roman" w:eastAsia="Times New Roman" w:hAnsi="Times New Roman" w:cs="Times New Roman"/>
          <w:sz w:val="24"/>
        </w:rPr>
        <w:t xml:space="preserve"> from the contract. The witness appeared very excited and seemed to be in court for a show down with the plaintiff’s legal practitioner. He did not impress as a good witness.</w:t>
      </w:r>
    </w:p>
    <w:p w:rsidR="0068442D"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 xml:space="preserve">      </w:t>
      </w:r>
      <w:r w:rsidR="00395496">
        <w:rPr>
          <w:rFonts w:ascii="Times New Roman" w:eastAsia="Times New Roman" w:hAnsi="Times New Roman" w:cs="Times New Roman"/>
          <w:sz w:val="24"/>
        </w:rPr>
        <w:t>The first i</w:t>
      </w:r>
      <w:r>
        <w:rPr>
          <w:rFonts w:ascii="Times New Roman" w:eastAsia="Times New Roman" w:hAnsi="Times New Roman" w:cs="Times New Roman"/>
          <w:sz w:val="24"/>
        </w:rPr>
        <w:t xml:space="preserve">ssue falls away as the defendant's witness conceded that the valuation was done for the </w:t>
      </w:r>
      <w:r w:rsidR="000D0FAA">
        <w:rPr>
          <w:rFonts w:ascii="Times New Roman" w:eastAsia="Times New Roman" w:hAnsi="Times New Roman" w:cs="Times New Roman"/>
          <w:sz w:val="24"/>
        </w:rPr>
        <w:t>plaintiff. The</w:t>
      </w:r>
      <w:r>
        <w:rPr>
          <w:rFonts w:ascii="Times New Roman" w:eastAsia="Times New Roman" w:hAnsi="Times New Roman" w:cs="Times New Roman"/>
          <w:sz w:val="24"/>
        </w:rPr>
        <w:t xml:space="preserve"> real issues to be decided centre on the identity of the entity that carried out the </w:t>
      </w:r>
      <w:r w:rsidR="000D0FAA">
        <w:rPr>
          <w:rFonts w:ascii="Times New Roman" w:eastAsia="Times New Roman" w:hAnsi="Times New Roman" w:cs="Times New Roman"/>
          <w:sz w:val="24"/>
        </w:rPr>
        <w:t>valuation, whether</w:t>
      </w:r>
      <w:r>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the plaintiff</w:t>
      </w:r>
      <w:r>
        <w:rPr>
          <w:rFonts w:ascii="Times New Roman" w:eastAsia="Times New Roman" w:hAnsi="Times New Roman" w:cs="Times New Roman"/>
          <w:sz w:val="24"/>
        </w:rPr>
        <w:t xml:space="preserve"> relied on the valuation and the consequences of its reliance if </w:t>
      </w:r>
      <w:r w:rsidR="000D0FAA">
        <w:rPr>
          <w:rFonts w:ascii="Times New Roman" w:eastAsia="Times New Roman" w:hAnsi="Times New Roman" w:cs="Times New Roman"/>
          <w:sz w:val="24"/>
        </w:rPr>
        <w:t>any. The</w:t>
      </w:r>
      <w:r>
        <w:rPr>
          <w:rFonts w:ascii="Times New Roman" w:eastAsia="Times New Roman" w:hAnsi="Times New Roman" w:cs="Times New Roman"/>
          <w:sz w:val="24"/>
        </w:rPr>
        <w:t xml:space="preserve"> second issue raises questions regarding whether the defendant carries on real e</w:t>
      </w:r>
      <w:r w:rsidR="00CD3096">
        <w:rPr>
          <w:rFonts w:ascii="Times New Roman" w:eastAsia="Times New Roman" w:hAnsi="Times New Roman" w:cs="Times New Roman"/>
          <w:sz w:val="24"/>
        </w:rPr>
        <w:t>state business and whether the P</w:t>
      </w:r>
      <w:r>
        <w:rPr>
          <w:rFonts w:ascii="Times New Roman" w:eastAsia="Times New Roman" w:hAnsi="Times New Roman" w:cs="Times New Roman"/>
          <w:sz w:val="24"/>
        </w:rPr>
        <w:t xml:space="preserve">artnership should be considered as distinct from the </w:t>
      </w:r>
      <w:r w:rsidR="000D0FAA">
        <w:rPr>
          <w:rFonts w:ascii="Times New Roman" w:eastAsia="Times New Roman" w:hAnsi="Times New Roman" w:cs="Times New Roman"/>
          <w:sz w:val="24"/>
        </w:rPr>
        <w:t>defendant. The third</w:t>
      </w:r>
      <w:r>
        <w:rPr>
          <w:rFonts w:ascii="Times New Roman" w:eastAsia="Times New Roman" w:hAnsi="Times New Roman" w:cs="Times New Roman"/>
          <w:sz w:val="24"/>
        </w:rPr>
        <w:t xml:space="preserve"> and </w:t>
      </w:r>
      <w:r w:rsidR="000D0FAA">
        <w:rPr>
          <w:rFonts w:ascii="Times New Roman" w:eastAsia="Times New Roman" w:hAnsi="Times New Roman" w:cs="Times New Roman"/>
          <w:sz w:val="24"/>
        </w:rPr>
        <w:t>fourth issue</w:t>
      </w:r>
      <w:r>
        <w:rPr>
          <w:rFonts w:ascii="Times New Roman" w:eastAsia="Times New Roman" w:hAnsi="Times New Roman" w:cs="Times New Roman"/>
          <w:sz w:val="24"/>
        </w:rPr>
        <w:t xml:space="preserve"> feed into the second issue. The </w:t>
      </w:r>
      <w:r w:rsidR="007E16ED">
        <w:rPr>
          <w:rFonts w:ascii="Times New Roman" w:eastAsia="Times New Roman" w:hAnsi="Times New Roman" w:cs="Times New Roman"/>
          <w:sz w:val="24"/>
        </w:rPr>
        <w:t xml:space="preserve">fifth and sixth issues centre  </w:t>
      </w:r>
      <w:r>
        <w:rPr>
          <w:rFonts w:ascii="Times New Roman" w:eastAsia="Times New Roman" w:hAnsi="Times New Roman" w:cs="Times New Roman"/>
          <w:sz w:val="24"/>
        </w:rPr>
        <w:t xml:space="preserve">on negligence </w:t>
      </w:r>
      <w:r w:rsidR="000D0FAA">
        <w:rPr>
          <w:rFonts w:ascii="Times New Roman" w:eastAsia="Times New Roman" w:hAnsi="Times New Roman" w:cs="Times New Roman"/>
          <w:sz w:val="24"/>
        </w:rPr>
        <w:t>and will</w:t>
      </w:r>
      <w:r>
        <w:rPr>
          <w:rFonts w:ascii="Times New Roman" w:eastAsia="Times New Roman" w:hAnsi="Times New Roman" w:cs="Times New Roman"/>
          <w:sz w:val="24"/>
        </w:rPr>
        <w:t xml:space="preserve"> be </w:t>
      </w:r>
      <w:r w:rsidR="000D0FAA">
        <w:rPr>
          <w:rFonts w:ascii="Times New Roman" w:eastAsia="Times New Roman" w:hAnsi="Times New Roman" w:cs="Times New Roman"/>
          <w:sz w:val="24"/>
        </w:rPr>
        <w:t>addressed</w:t>
      </w:r>
      <w:r>
        <w:rPr>
          <w:rFonts w:ascii="Times New Roman" w:eastAsia="Times New Roman" w:hAnsi="Times New Roman" w:cs="Times New Roman"/>
          <w:sz w:val="24"/>
        </w:rPr>
        <w:t xml:space="preserve"> after the issue regarding the identity of the valuer has been resolved.</w:t>
      </w:r>
    </w:p>
    <w:p w:rsidR="00D27673" w:rsidRDefault="000D0FA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B4193">
        <w:rPr>
          <w:rFonts w:ascii="Times New Roman" w:eastAsia="Times New Roman" w:hAnsi="Times New Roman" w:cs="Times New Roman"/>
          <w:sz w:val="24"/>
        </w:rPr>
        <w:t>The defendant’s witness testified that the defendant company was registered</w:t>
      </w:r>
      <w:r w:rsidR="00DB4193">
        <w:rPr>
          <w:rFonts w:ascii="Calibri" w:eastAsia="Calibri" w:hAnsi="Calibri" w:cs="Calibri"/>
          <w:sz w:val="24"/>
        </w:rPr>
        <w:t xml:space="preserve"> in order to </w:t>
      </w:r>
      <w:r w:rsidR="007E16ED">
        <w:rPr>
          <w:rFonts w:ascii="Times New Roman" w:eastAsia="Times New Roman" w:hAnsi="Times New Roman" w:cs="Times New Roman"/>
          <w:sz w:val="24"/>
        </w:rPr>
        <w:t>protect  the P</w:t>
      </w:r>
      <w:r w:rsidR="00DB4193">
        <w:rPr>
          <w:rFonts w:ascii="Times New Roman" w:eastAsia="Times New Roman" w:hAnsi="Times New Roman" w:cs="Times New Roman"/>
          <w:sz w:val="24"/>
        </w:rPr>
        <w:t>artnership</w:t>
      </w:r>
      <w:r w:rsidR="00DB4193">
        <w:rPr>
          <w:rFonts w:ascii="Calibri" w:eastAsia="Calibri" w:hAnsi="Calibri" w:cs="Calibri"/>
          <w:sz w:val="24"/>
        </w:rPr>
        <w:t xml:space="preserve"> </w:t>
      </w:r>
      <w:r w:rsidR="00DB4193" w:rsidRPr="00CD3096">
        <w:rPr>
          <w:rFonts w:ascii="Times New Roman" w:eastAsia="Calibri" w:hAnsi="Times New Roman" w:cs="Times New Roman"/>
          <w:sz w:val="24"/>
        </w:rPr>
        <w:t xml:space="preserve">for the purpose of making it difficult for any </w:t>
      </w:r>
      <w:r w:rsidR="00DB4193" w:rsidRPr="00CD3096">
        <w:rPr>
          <w:rFonts w:ascii="Times New Roman" w:eastAsia="Times New Roman" w:hAnsi="Times New Roman" w:cs="Times New Roman"/>
          <w:sz w:val="24"/>
        </w:rPr>
        <w:t>other company to be</w:t>
      </w:r>
      <w:r w:rsidR="00DB4193">
        <w:rPr>
          <w:rFonts w:ascii="Times New Roman" w:eastAsia="Times New Roman" w:hAnsi="Times New Roman" w:cs="Times New Roman"/>
          <w:sz w:val="24"/>
        </w:rPr>
        <w:t xml:space="preserve"> registered as a Knight Frank Company. Further, </w:t>
      </w:r>
      <w:r>
        <w:rPr>
          <w:rFonts w:ascii="Times New Roman" w:eastAsia="Times New Roman" w:hAnsi="Times New Roman" w:cs="Times New Roman"/>
          <w:sz w:val="24"/>
        </w:rPr>
        <w:t>that it</w:t>
      </w:r>
      <w:r w:rsidR="00DB4193">
        <w:rPr>
          <w:rFonts w:ascii="Times New Roman" w:eastAsia="Times New Roman" w:hAnsi="Times New Roman" w:cs="Times New Roman"/>
          <w:sz w:val="24"/>
        </w:rPr>
        <w:t xml:space="preserve"> is a dormant company</w:t>
      </w:r>
      <w:r w:rsidR="00395496">
        <w:rPr>
          <w:rFonts w:ascii="Times New Roman" w:eastAsia="Times New Roman" w:hAnsi="Times New Roman" w:cs="Times New Roman"/>
          <w:sz w:val="24"/>
        </w:rPr>
        <w:t xml:space="preserve">. It has not traded since its </w:t>
      </w:r>
      <w:r>
        <w:rPr>
          <w:rFonts w:ascii="Times New Roman" w:eastAsia="Times New Roman" w:hAnsi="Times New Roman" w:cs="Times New Roman"/>
          <w:sz w:val="24"/>
        </w:rPr>
        <w:t>incorporation</w:t>
      </w:r>
      <w:r w:rsidR="00DB4193">
        <w:rPr>
          <w:rFonts w:ascii="Times New Roman" w:eastAsia="Times New Roman" w:hAnsi="Times New Roman" w:cs="Times New Roman"/>
          <w:sz w:val="24"/>
        </w:rPr>
        <w:t xml:space="preserve"> </w:t>
      </w:r>
      <w:r>
        <w:rPr>
          <w:rFonts w:ascii="Times New Roman" w:eastAsia="Times New Roman" w:hAnsi="Times New Roman" w:cs="Times New Roman"/>
          <w:sz w:val="24"/>
        </w:rPr>
        <w:t>and is</w:t>
      </w:r>
      <w:r w:rsidR="00DB4193">
        <w:rPr>
          <w:rFonts w:ascii="Times New Roman" w:eastAsia="Times New Roman" w:hAnsi="Times New Roman" w:cs="Times New Roman"/>
          <w:sz w:val="24"/>
        </w:rPr>
        <w:t xml:space="preserve"> not involved in real estate management. </w:t>
      </w:r>
      <w:r w:rsidR="00DB4193" w:rsidRPr="00CD3096">
        <w:rPr>
          <w:rFonts w:ascii="Times New Roman" w:eastAsia="Calibri" w:hAnsi="Times New Roman" w:cs="Times New Roman"/>
          <w:sz w:val="24"/>
        </w:rPr>
        <w:t>M</w:t>
      </w:r>
      <w:r w:rsidR="00D27673">
        <w:rPr>
          <w:rFonts w:ascii="Times New Roman" w:eastAsia="Calibri" w:hAnsi="Times New Roman" w:cs="Times New Roman"/>
          <w:sz w:val="24"/>
        </w:rPr>
        <w:t>s</w:t>
      </w:r>
      <w:r w:rsidR="00DB4193" w:rsidRPr="00CD3096">
        <w:rPr>
          <w:rFonts w:ascii="Times New Roman" w:eastAsia="Calibri" w:hAnsi="Times New Roman" w:cs="Times New Roman"/>
          <w:sz w:val="24"/>
        </w:rPr>
        <w:t xml:space="preserve"> </w:t>
      </w:r>
      <w:r w:rsidR="00DB4193" w:rsidRPr="00CD3096">
        <w:rPr>
          <w:rFonts w:ascii="Times New Roman" w:eastAsia="Times New Roman" w:hAnsi="Times New Roman" w:cs="Times New Roman"/>
          <w:sz w:val="24"/>
        </w:rPr>
        <w:t>Mkandla</w:t>
      </w:r>
      <w:r w:rsidR="00DB4193">
        <w:rPr>
          <w:rFonts w:ascii="Calibri" w:eastAsia="Calibri" w:hAnsi="Calibri" w:cs="Calibri"/>
          <w:sz w:val="24"/>
        </w:rPr>
        <w:t xml:space="preserve"> </w:t>
      </w:r>
      <w:r w:rsidR="00DB4193" w:rsidRPr="00CD3096">
        <w:rPr>
          <w:rFonts w:ascii="Times New Roman" w:eastAsia="Calibri" w:hAnsi="Times New Roman" w:cs="Times New Roman"/>
          <w:sz w:val="24"/>
        </w:rPr>
        <w:t>testified that s</w:t>
      </w:r>
      <w:r w:rsidR="00DB4193" w:rsidRPr="00CD3096">
        <w:rPr>
          <w:rFonts w:ascii="Times New Roman" w:eastAsia="Times New Roman" w:hAnsi="Times New Roman" w:cs="Times New Roman"/>
          <w:sz w:val="24"/>
        </w:rPr>
        <w:t>he was not</w:t>
      </w:r>
      <w:r w:rsidR="00DB4193">
        <w:rPr>
          <w:rFonts w:ascii="Times New Roman" w:eastAsia="Times New Roman" w:hAnsi="Times New Roman" w:cs="Times New Roman"/>
          <w:sz w:val="24"/>
        </w:rPr>
        <w:t xml:space="preserve"> aware that there were various Knight Franks. The plaintiff understood that Knight Frank was a real estate company and property management company and had been using the company for other valuation assignments. She insisted that the valuation was done by Knight Frank (Pvt) Ltd, the defendant.  The evidence led discloses that there are vario</w:t>
      </w:r>
      <w:r w:rsidR="00CD3096">
        <w:rPr>
          <w:rFonts w:ascii="Times New Roman" w:eastAsia="Times New Roman" w:hAnsi="Times New Roman" w:cs="Times New Roman"/>
          <w:sz w:val="24"/>
        </w:rPr>
        <w:t>us Knight Franks. There is the P</w:t>
      </w:r>
      <w:r w:rsidR="00DB4193">
        <w:rPr>
          <w:rFonts w:ascii="Times New Roman" w:eastAsia="Times New Roman" w:hAnsi="Times New Roman" w:cs="Times New Roman"/>
          <w:sz w:val="24"/>
        </w:rPr>
        <w:t xml:space="preserve">artnership known as Knight Frank Zimbabwe </w:t>
      </w:r>
      <w:r w:rsidR="00DB4193">
        <w:rPr>
          <w:rFonts w:ascii="Times New Roman" w:eastAsia="Times New Roman" w:hAnsi="Times New Roman" w:cs="Times New Roman"/>
          <w:sz w:val="24"/>
        </w:rPr>
        <w:lastRenderedPageBreak/>
        <w:t xml:space="preserve">which is the property valuation company </w:t>
      </w:r>
      <w:r>
        <w:rPr>
          <w:rFonts w:ascii="Times New Roman" w:eastAsia="Times New Roman" w:hAnsi="Times New Roman" w:cs="Times New Roman"/>
          <w:sz w:val="24"/>
        </w:rPr>
        <w:t>and practices</w:t>
      </w:r>
      <w:r w:rsidR="00DB4193">
        <w:rPr>
          <w:rFonts w:ascii="Times New Roman" w:eastAsia="Times New Roman" w:hAnsi="Times New Roman" w:cs="Times New Roman"/>
          <w:sz w:val="24"/>
        </w:rPr>
        <w:t xml:space="preserve"> as an estate agent. It is the entity that is registered under the Estates Agents Council as a </w:t>
      </w:r>
      <w:r>
        <w:rPr>
          <w:rFonts w:ascii="Times New Roman" w:eastAsia="Times New Roman" w:hAnsi="Times New Roman" w:cs="Times New Roman"/>
          <w:sz w:val="24"/>
        </w:rPr>
        <w:t>valuer. No</w:t>
      </w:r>
      <w:r w:rsidR="00DB4193">
        <w:rPr>
          <w:rFonts w:ascii="Times New Roman" w:eastAsia="Times New Roman" w:hAnsi="Times New Roman" w:cs="Times New Roman"/>
          <w:sz w:val="24"/>
        </w:rPr>
        <w:t xml:space="preserve"> evidence was produced to show that the defendant </w:t>
      </w:r>
      <w:r>
        <w:rPr>
          <w:rFonts w:ascii="Times New Roman" w:eastAsia="Times New Roman" w:hAnsi="Times New Roman" w:cs="Times New Roman"/>
          <w:sz w:val="24"/>
        </w:rPr>
        <w:t>is registered</w:t>
      </w:r>
      <w:r w:rsidR="00DB4193">
        <w:rPr>
          <w:rFonts w:ascii="Times New Roman" w:eastAsia="Times New Roman" w:hAnsi="Times New Roman" w:cs="Times New Roman"/>
          <w:sz w:val="24"/>
        </w:rPr>
        <w:t xml:space="preserve"> as a real estate company or property valuer .The onus was on the plaintiff to prove that the defendant is an estate agent and a valuer. It failed to do so. </w:t>
      </w:r>
      <w:r>
        <w:rPr>
          <w:rFonts w:ascii="Times New Roman" w:eastAsia="Times New Roman" w:hAnsi="Times New Roman" w:cs="Times New Roman"/>
          <w:sz w:val="24"/>
        </w:rPr>
        <w:t>Whether</w:t>
      </w:r>
      <w:r w:rsidR="00DB4193">
        <w:rPr>
          <w:rFonts w:ascii="Times New Roman" w:eastAsia="Times New Roman" w:hAnsi="Times New Roman" w:cs="Times New Roman"/>
          <w:sz w:val="24"/>
        </w:rPr>
        <w:t xml:space="preserve"> the defendant did in fact trade as a valuer or real estate agent to the public </w:t>
      </w:r>
      <w:r>
        <w:rPr>
          <w:rFonts w:ascii="Times New Roman" w:eastAsia="Times New Roman" w:hAnsi="Times New Roman" w:cs="Times New Roman"/>
          <w:sz w:val="24"/>
        </w:rPr>
        <w:t xml:space="preserve">and </w:t>
      </w:r>
      <w:r w:rsidR="00D27673">
        <w:rPr>
          <w:rFonts w:ascii="Times New Roman" w:eastAsia="Times New Roman" w:hAnsi="Times New Roman" w:cs="Times New Roman"/>
          <w:sz w:val="24"/>
        </w:rPr>
        <w:t>can be said to have</w:t>
      </w:r>
      <w:r>
        <w:rPr>
          <w:rFonts w:ascii="Times New Roman" w:eastAsia="Times New Roman" w:hAnsi="Times New Roman" w:cs="Times New Roman"/>
          <w:sz w:val="24"/>
        </w:rPr>
        <w:t xml:space="preserve"> produce</w:t>
      </w:r>
      <w:r w:rsidR="00D27673">
        <w:rPr>
          <w:rFonts w:ascii="Times New Roman" w:eastAsia="Times New Roman" w:hAnsi="Times New Roman" w:cs="Times New Roman"/>
          <w:sz w:val="24"/>
        </w:rPr>
        <w:t>d</w:t>
      </w:r>
      <w:r w:rsidR="00DB4193">
        <w:rPr>
          <w:rFonts w:ascii="Times New Roman" w:eastAsia="Times New Roman" w:hAnsi="Times New Roman" w:cs="Times New Roman"/>
          <w:sz w:val="24"/>
        </w:rPr>
        <w:t xml:space="preserve"> the valuation report </w:t>
      </w:r>
      <w:r w:rsidR="00D27673">
        <w:rPr>
          <w:rFonts w:ascii="Times New Roman" w:eastAsia="Times New Roman" w:hAnsi="Times New Roman" w:cs="Times New Roman"/>
          <w:sz w:val="24"/>
        </w:rPr>
        <w:t xml:space="preserve">will be </w:t>
      </w:r>
      <w:r w:rsidR="00DB4193">
        <w:rPr>
          <w:rFonts w:ascii="Times New Roman" w:eastAsia="Times New Roman" w:hAnsi="Times New Roman" w:cs="Times New Roman"/>
          <w:sz w:val="24"/>
        </w:rPr>
        <w:t>resolved</w:t>
      </w:r>
      <w:r w:rsidR="00D27673">
        <w:rPr>
          <w:rFonts w:ascii="Times New Roman" w:eastAsia="Times New Roman" w:hAnsi="Times New Roman" w:cs="Times New Roman"/>
          <w:sz w:val="24"/>
        </w:rPr>
        <w:t xml:space="preserve"> later.</w:t>
      </w:r>
    </w:p>
    <w:p w:rsidR="0068442D" w:rsidRDefault="00360B5E">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D309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DB4193">
        <w:rPr>
          <w:rFonts w:ascii="Times New Roman" w:eastAsia="Times New Roman" w:hAnsi="Times New Roman" w:cs="Times New Roman"/>
          <w:sz w:val="24"/>
        </w:rPr>
        <w:t xml:space="preserve">A single economic entity was defined in an article by Neil </w:t>
      </w:r>
      <w:r w:rsidR="000D0FAA">
        <w:rPr>
          <w:rFonts w:ascii="Times New Roman" w:eastAsia="Times New Roman" w:hAnsi="Times New Roman" w:cs="Times New Roman"/>
          <w:sz w:val="24"/>
        </w:rPr>
        <w:t>Mackenzie,</w:t>
      </w:r>
      <w:r w:rsidR="00DB4193">
        <w:rPr>
          <w:rFonts w:ascii="Times New Roman" w:eastAsia="Times New Roman" w:hAnsi="Times New Roman" w:cs="Times New Roman"/>
          <w:sz w:val="24"/>
        </w:rPr>
        <w:t xml:space="preserve"> Ingrid Rogers a</w:t>
      </w:r>
      <w:r w:rsidR="00CD3096">
        <w:rPr>
          <w:rFonts w:ascii="Times New Roman" w:eastAsia="Times New Roman" w:hAnsi="Times New Roman" w:cs="Times New Roman"/>
          <w:sz w:val="24"/>
        </w:rPr>
        <w:t xml:space="preserve">nd Stephen Langbridge titled, </w:t>
      </w:r>
      <w:r w:rsidR="00DB4193">
        <w:rPr>
          <w:rFonts w:ascii="Times New Roman" w:eastAsia="Times New Roman" w:hAnsi="Times New Roman" w:cs="Times New Roman"/>
          <w:i/>
          <w:sz w:val="24"/>
        </w:rPr>
        <w:t xml:space="preserve">The Single Economic Entity Doctrine in South Africa and its implication for competition </w:t>
      </w:r>
      <w:r w:rsidR="000D0FAA">
        <w:rPr>
          <w:rFonts w:ascii="Times New Roman" w:eastAsia="Times New Roman" w:hAnsi="Times New Roman" w:cs="Times New Roman"/>
          <w:i/>
          <w:sz w:val="24"/>
        </w:rPr>
        <w:t>policy</w:t>
      </w:r>
      <w:r w:rsidR="00CD3096">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as</w:t>
      </w:r>
      <w:r w:rsidR="00DB4193">
        <w:rPr>
          <w:rFonts w:ascii="Times New Roman" w:eastAsia="Times New Roman" w:hAnsi="Times New Roman" w:cs="Times New Roman"/>
          <w:sz w:val="24"/>
        </w:rPr>
        <w:t xml:space="preserve"> follows,</w:t>
      </w:r>
    </w:p>
    <w:p w:rsidR="0068442D" w:rsidRDefault="00DB4193" w:rsidP="00CD3096">
      <w:pPr>
        <w:spacing w:after="0" w:line="240" w:lineRule="auto"/>
        <w:ind w:left="1020"/>
        <w:jc w:val="both"/>
        <w:rPr>
          <w:rFonts w:ascii="Times New Roman" w:eastAsia="Times New Roman" w:hAnsi="Times New Roman" w:cs="Times New Roman"/>
          <w:sz w:val="24"/>
        </w:rPr>
      </w:pPr>
      <w:r>
        <w:rPr>
          <w:rFonts w:ascii="Times New Roman" w:eastAsia="Times New Roman" w:hAnsi="Times New Roman" w:cs="Times New Roman"/>
          <w:sz w:val="24"/>
        </w:rPr>
        <w:t>“This is the principle that juristic entities can sometimes be related so closely to each other that it would be artificial to treat them as separate economic actors for purposes of competition law.”</w:t>
      </w:r>
    </w:p>
    <w:p w:rsidR="0068442D" w:rsidRDefault="0068442D">
      <w:pPr>
        <w:spacing w:after="0" w:line="240" w:lineRule="auto"/>
        <w:jc w:val="both"/>
        <w:rPr>
          <w:rFonts w:ascii="Times New Roman" w:eastAsia="Times New Roman" w:hAnsi="Times New Roman" w:cs="Times New Roman"/>
          <w:sz w:val="24"/>
        </w:rPr>
      </w:pPr>
    </w:p>
    <w:p w:rsidR="00B6594B" w:rsidRPr="00B6594B" w:rsidRDefault="00DB4193" w:rsidP="00D253B2">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single economic </w:t>
      </w:r>
      <w:r w:rsidR="000D0FAA">
        <w:rPr>
          <w:rFonts w:ascii="Times New Roman" w:eastAsia="Times New Roman" w:hAnsi="Times New Roman" w:cs="Times New Roman"/>
          <w:sz w:val="24"/>
        </w:rPr>
        <w:t>entity doctrine is</w:t>
      </w:r>
      <w:r>
        <w:rPr>
          <w:rFonts w:ascii="Times New Roman" w:eastAsia="Times New Roman" w:hAnsi="Times New Roman" w:cs="Times New Roman"/>
          <w:sz w:val="24"/>
        </w:rPr>
        <w:t xml:space="preserve"> a </w:t>
      </w:r>
      <w:r w:rsidR="000D0FAA">
        <w:rPr>
          <w:rFonts w:ascii="Times New Roman" w:eastAsia="Times New Roman" w:hAnsi="Times New Roman" w:cs="Times New Roman"/>
          <w:sz w:val="24"/>
        </w:rPr>
        <w:t>competition</w:t>
      </w:r>
      <w:r>
        <w:rPr>
          <w:rFonts w:ascii="Times New Roman" w:eastAsia="Times New Roman" w:hAnsi="Times New Roman" w:cs="Times New Roman"/>
          <w:sz w:val="24"/>
        </w:rPr>
        <w:t xml:space="preserve"> law concept. It applies in a case where </w:t>
      </w:r>
      <w:r w:rsidR="00FB6FED">
        <w:rPr>
          <w:rFonts w:ascii="Times New Roman" w:eastAsia="Times New Roman" w:hAnsi="Times New Roman" w:cs="Times New Roman"/>
          <w:sz w:val="24"/>
        </w:rPr>
        <w:t xml:space="preserve">companies </w:t>
      </w:r>
      <w:r w:rsidR="004B7712">
        <w:rPr>
          <w:rFonts w:ascii="Times New Roman" w:eastAsia="Times New Roman" w:hAnsi="Times New Roman" w:cs="Times New Roman"/>
          <w:sz w:val="24"/>
        </w:rPr>
        <w:t xml:space="preserve">within a corporate group </w:t>
      </w:r>
      <w:r w:rsidR="00FB6FED">
        <w:rPr>
          <w:rFonts w:ascii="Times New Roman" w:eastAsia="Times New Roman" w:hAnsi="Times New Roman" w:cs="Times New Roman"/>
          <w:sz w:val="24"/>
        </w:rPr>
        <w:t xml:space="preserve">are </w:t>
      </w:r>
      <w:r>
        <w:rPr>
          <w:rFonts w:ascii="Times New Roman" w:eastAsia="Times New Roman" w:hAnsi="Times New Roman" w:cs="Times New Roman"/>
          <w:sz w:val="24"/>
        </w:rPr>
        <w:t>closely associated with each other, are commonly controlled and op</w:t>
      </w:r>
      <w:r w:rsidR="007C131A">
        <w:rPr>
          <w:rFonts w:ascii="Times New Roman" w:eastAsia="Times New Roman" w:hAnsi="Times New Roman" w:cs="Times New Roman"/>
          <w:sz w:val="24"/>
        </w:rPr>
        <w:t>erate as a single economic unit</w:t>
      </w:r>
      <w:r>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 xml:space="preserve">In </w:t>
      </w:r>
      <w:r w:rsidR="004F7FDC">
        <w:rPr>
          <w:rFonts w:ascii="Times New Roman" w:eastAsia="Times New Roman" w:hAnsi="Times New Roman" w:cs="Times New Roman"/>
          <w:i/>
          <w:sz w:val="24"/>
        </w:rPr>
        <w:t>Viho</w:t>
      </w:r>
      <w:r w:rsidR="000D0FAA">
        <w:rPr>
          <w:rFonts w:ascii="Times New Roman" w:eastAsia="Times New Roman" w:hAnsi="Times New Roman" w:cs="Times New Roman"/>
          <w:i/>
          <w:sz w:val="24"/>
        </w:rPr>
        <w:t xml:space="preserve"> Europe B </w:t>
      </w:r>
      <w:r w:rsidR="000D0FAA" w:rsidRPr="00CD3096">
        <w:rPr>
          <w:rFonts w:ascii="Times New Roman" w:eastAsia="Times New Roman" w:hAnsi="Times New Roman" w:cs="Times New Roman"/>
          <w:sz w:val="24"/>
        </w:rPr>
        <w:t>v</w:t>
      </w:r>
      <w:r w:rsidR="000D0FAA">
        <w:rPr>
          <w:rFonts w:ascii="Times New Roman" w:eastAsia="Times New Roman" w:hAnsi="Times New Roman" w:cs="Times New Roman"/>
          <w:i/>
          <w:sz w:val="24"/>
        </w:rPr>
        <w:t xml:space="preserve"> Commission of the European Communities </w:t>
      </w:r>
      <w:r w:rsidR="00CD3096">
        <w:rPr>
          <w:rFonts w:ascii="Times New Roman" w:eastAsia="Times New Roman" w:hAnsi="Times New Roman" w:cs="Times New Roman"/>
          <w:sz w:val="24"/>
        </w:rPr>
        <w:t>Case No.</w:t>
      </w:r>
      <w:r w:rsidR="000D0FAA">
        <w:rPr>
          <w:rFonts w:ascii="Times New Roman" w:eastAsia="Times New Roman" w:hAnsi="Times New Roman" w:cs="Times New Roman"/>
          <w:sz w:val="24"/>
        </w:rPr>
        <w:t xml:space="preserve"> C 73/95 ECJ, it was shown that a company used to hold one hundred percent shares of its subsidiary companies and that the sales and marketing activities of the subsidiaries were directed by an area team appointed by the parent team. </w:t>
      </w:r>
      <w:r>
        <w:rPr>
          <w:rFonts w:ascii="Times New Roman" w:eastAsia="Times New Roman" w:hAnsi="Times New Roman" w:cs="Times New Roman"/>
          <w:sz w:val="24"/>
        </w:rPr>
        <w:t xml:space="preserve">The Commission concluded that the parent company and its subsidiaries formed a single economic </w:t>
      </w:r>
      <w:r w:rsidR="000D0FAA">
        <w:rPr>
          <w:rFonts w:ascii="Times New Roman" w:eastAsia="Times New Roman" w:hAnsi="Times New Roman" w:cs="Times New Roman"/>
          <w:sz w:val="24"/>
        </w:rPr>
        <w:t>unit.</w:t>
      </w:r>
      <w:r w:rsidR="00086C89">
        <w:rPr>
          <w:rFonts w:ascii="Times New Roman" w:eastAsia="Times New Roman" w:hAnsi="Times New Roman" w:cs="Times New Roman"/>
          <w:sz w:val="24"/>
        </w:rPr>
        <w:t xml:space="preserve"> </w:t>
      </w:r>
      <w:r w:rsidR="00B6594B">
        <w:rPr>
          <w:rFonts w:ascii="Times New Roman" w:eastAsia="Times New Roman" w:hAnsi="Times New Roman" w:cs="Times New Roman"/>
          <w:sz w:val="24"/>
        </w:rPr>
        <w:t xml:space="preserve">In </w:t>
      </w:r>
      <w:r w:rsidR="00DA2311" w:rsidRPr="00B6594B">
        <w:rPr>
          <w:rFonts w:ascii="Times New Roman" w:eastAsia="Times New Roman" w:hAnsi="Times New Roman" w:cs="Times New Roman"/>
          <w:i/>
          <w:sz w:val="24"/>
        </w:rPr>
        <w:t>Ben H</w:t>
      </w:r>
      <w:r w:rsidR="00B6594B" w:rsidRPr="00B6594B">
        <w:rPr>
          <w:rFonts w:ascii="Times New Roman" w:eastAsia="Times New Roman" w:hAnsi="Times New Roman" w:cs="Times New Roman"/>
          <w:i/>
          <w:sz w:val="24"/>
        </w:rPr>
        <w:t xml:space="preserve">ashem </w:t>
      </w:r>
      <w:r w:rsidR="00CD3096">
        <w:rPr>
          <w:rFonts w:ascii="Times New Roman" w:eastAsia="Times New Roman" w:hAnsi="Times New Roman" w:cs="Times New Roman"/>
          <w:sz w:val="24"/>
        </w:rPr>
        <w:t>v</w:t>
      </w:r>
      <w:r w:rsidR="00B6594B" w:rsidRPr="00B6594B">
        <w:rPr>
          <w:rFonts w:ascii="Times New Roman" w:eastAsia="Times New Roman" w:hAnsi="Times New Roman" w:cs="Times New Roman"/>
          <w:i/>
          <w:sz w:val="24"/>
        </w:rPr>
        <w:t xml:space="preserve"> </w:t>
      </w:r>
      <w:r w:rsidR="00DA2311" w:rsidRPr="00B6594B">
        <w:rPr>
          <w:rFonts w:ascii="Times New Roman" w:eastAsia="Times New Roman" w:hAnsi="Times New Roman" w:cs="Times New Roman"/>
          <w:i/>
          <w:sz w:val="24"/>
        </w:rPr>
        <w:t xml:space="preserve">Al Shayif and Anor </w:t>
      </w:r>
      <w:r w:rsidR="007F06D8">
        <w:rPr>
          <w:rFonts w:ascii="Times New Roman" w:eastAsia="Times New Roman" w:hAnsi="Times New Roman" w:cs="Times New Roman"/>
          <w:sz w:val="24"/>
        </w:rPr>
        <w:t>[2008</w:t>
      </w:r>
      <w:r w:rsidR="00B6594B">
        <w:rPr>
          <w:rFonts w:ascii="Times New Roman" w:eastAsia="Times New Roman" w:hAnsi="Times New Roman" w:cs="Times New Roman"/>
          <w:sz w:val="24"/>
        </w:rPr>
        <w:t>]</w:t>
      </w:r>
      <w:r w:rsidR="007F06D8">
        <w:rPr>
          <w:rFonts w:ascii="Times New Roman" w:eastAsia="Times New Roman" w:hAnsi="Times New Roman" w:cs="Times New Roman"/>
          <w:sz w:val="24"/>
        </w:rPr>
        <w:t xml:space="preserve"> </w:t>
      </w:r>
      <w:r w:rsidR="00B6594B">
        <w:rPr>
          <w:rFonts w:ascii="Times New Roman" w:eastAsia="Times New Roman" w:hAnsi="Times New Roman" w:cs="Times New Roman"/>
          <w:sz w:val="24"/>
        </w:rPr>
        <w:t xml:space="preserve">EWHC </w:t>
      </w:r>
      <w:r w:rsidR="007F06D8">
        <w:rPr>
          <w:rFonts w:ascii="Times New Roman" w:eastAsia="Times New Roman" w:hAnsi="Times New Roman" w:cs="Times New Roman"/>
          <w:sz w:val="24"/>
        </w:rPr>
        <w:t>2380</w:t>
      </w:r>
      <w:r w:rsidR="00B6594B">
        <w:rPr>
          <w:rFonts w:ascii="Times New Roman" w:eastAsia="Times New Roman" w:hAnsi="Times New Roman" w:cs="Times New Roman"/>
          <w:sz w:val="24"/>
        </w:rPr>
        <w:t xml:space="preserve"> [Fam]</w:t>
      </w:r>
      <w:r w:rsidR="00CD3096">
        <w:rPr>
          <w:rFonts w:ascii="Times New Roman" w:eastAsia="Times New Roman" w:hAnsi="Times New Roman" w:cs="Times New Roman"/>
          <w:sz w:val="24"/>
        </w:rPr>
        <w:t xml:space="preserve"> </w:t>
      </w:r>
      <w:r w:rsidR="00B6594B">
        <w:rPr>
          <w:rFonts w:ascii="Times New Roman" w:eastAsia="Times New Roman" w:hAnsi="Times New Roman" w:cs="Times New Roman"/>
          <w:sz w:val="24"/>
        </w:rPr>
        <w:t>the court laid out principles related to the piercing of the corporate veil as follows;</w:t>
      </w:r>
    </w:p>
    <w:p w:rsidR="00B6594B" w:rsidRPr="00041001" w:rsidRDefault="00B6594B" w:rsidP="00CD3096">
      <w:pPr>
        <w:spacing w:after="0" w:line="360" w:lineRule="auto"/>
        <w:ind w:left="1440" w:hanging="720"/>
        <w:jc w:val="both"/>
        <w:rPr>
          <w:rFonts w:ascii="Times New Roman" w:eastAsia="Times New Roman" w:hAnsi="Times New Roman" w:cs="Times New Roman"/>
          <w:sz w:val="24"/>
        </w:rPr>
      </w:pPr>
      <w:r w:rsidRPr="00041001">
        <w:rPr>
          <w:rFonts w:ascii="Times New Roman" w:eastAsia="Times New Roman" w:hAnsi="Times New Roman" w:cs="Times New Roman"/>
          <w:sz w:val="24"/>
        </w:rPr>
        <w:t>1.</w:t>
      </w:r>
      <w:r w:rsidR="00CD3096">
        <w:rPr>
          <w:rFonts w:ascii="Times New Roman" w:eastAsia="Times New Roman" w:hAnsi="Times New Roman" w:cs="Times New Roman"/>
          <w:sz w:val="24"/>
        </w:rPr>
        <w:tab/>
      </w:r>
      <w:r w:rsidRPr="00041001">
        <w:rPr>
          <w:rFonts w:ascii="Times New Roman" w:eastAsia="Times New Roman" w:hAnsi="Times New Roman" w:cs="Times New Roman"/>
          <w:sz w:val="24"/>
        </w:rPr>
        <w:t>Ownership and control of a company are not of themselves sufficient to justify piercing the veil.</w:t>
      </w:r>
    </w:p>
    <w:p w:rsidR="00B6594B" w:rsidRPr="00041001" w:rsidRDefault="00B6594B" w:rsidP="00CD3096">
      <w:pPr>
        <w:spacing w:after="0" w:line="360" w:lineRule="auto"/>
        <w:ind w:left="1440" w:hanging="720"/>
        <w:jc w:val="both"/>
        <w:rPr>
          <w:rFonts w:ascii="Times New Roman" w:eastAsia="Times New Roman" w:hAnsi="Times New Roman" w:cs="Times New Roman"/>
          <w:sz w:val="24"/>
        </w:rPr>
      </w:pPr>
      <w:r w:rsidRPr="00041001">
        <w:rPr>
          <w:rFonts w:ascii="Times New Roman" w:eastAsia="Times New Roman" w:hAnsi="Times New Roman" w:cs="Times New Roman"/>
          <w:sz w:val="24"/>
        </w:rPr>
        <w:t>2.</w:t>
      </w:r>
      <w:r w:rsidR="00CD3096">
        <w:rPr>
          <w:rFonts w:ascii="Times New Roman" w:eastAsia="Times New Roman" w:hAnsi="Times New Roman" w:cs="Times New Roman"/>
          <w:sz w:val="24"/>
        </w:rPr>
        <w:tab/>
      </w:r>
      <w:r w:rsidRPr="00041001">
        <w:rPr>
          <w:rFonts w:ascii="Times New Roman" w:eastAsia="Times New Roman" w:hAnsi="Times New Roman" w:cs="Times New Roman"/>
          <w:sz w:val="24"/>
        </w:rPr>
        <w:t>The court cannot pierce the veil, even when no unconnected third party is involved, merely because it is perceived that to do so is necessary in the interests of justice.</w:t>
      </w:r>
    </w:p>
    <w:p w:rsidR="00B6594B" w:rsidRPr="00041001" w:rsidRDefault="00B6594B" w:rsidP="00CD3096">
      <w:pPr>
        <w:spacing w:after="0" w:line="360" w:lineRule="auto"/>
        <w:ind w:firstLine="720"/>
        <w:jc w:val="both"/>
        <w:rPr>
          <w:rFonts w:ascii="Times New Roman" w:eastAsia="Times New Roman" w:hAnsi="Times New Roman" w:cs="Times New Roman"/>
          <w:sz w:val="24"/>
        </w:rPr>
      </w:pPr>
      <w:r w:rsidRPr="00041001">
        <w:rPr>
          <w:rFonts w:ascii="Times New Roman" w:eastAsia="Times New Roman" w:hAnsi="Times New Roman" w:cs="Times New Roman"/>
          <w:sz w:val="24"/>
        </w:rPr>
        <w:t>3.</w:t>
      </w:r>
      <w:r w:rsidR="00CD3096">
        <w:rPr>
          <w:rFonts w:ascii="Times New Roman" w:eastAsia="Times New Roman" w:hAnsi="Times New Roman" w:cs="Times New Roman"/>
          <w:sz w:val="24"/>
        </w:rPr>
        <w:tab/>
      </w:r>
      <w:r w:rsidRPr="00041001">
        <w:rPr>
          <w:rFonts w:ascii="Times New Roman" w:eastAsia="Times New Roman" w:hAnsi="Times New Roman" w:cs="Times New Roman"/>
          <w:sz w:val="24"/>
        </w:rPr>
        <w:t xml:space="preserve">The corporate veil can only be pierced </w:t>
      </w:r>
      <w:r w:rsidR="007C131A">
        <w:rPr>
          <w:rFonts w:ascii="Times New Roman" w:eastAsia="Times New Roman" w:hAnsi="Times New Roman" w:cs="Times New Roman"/>
          <w:sz w:val="24"/>
        </w:rPr>
        <w:t>when there is some “impropriety</w:t>
      </w:r>
      <w:r w:rsidRPr="00041001">
        <w:rPr>
          <w:rFonts w:ascii="Times New Roman" w:eastAsia="Times New Roman" w:hAnsi="Times New Roman" w:cs="Times New Roman"/>
          <w:sz w:val="24"/>
        </w:rPr>
        <w:t>.</w:t>
      </w:r>
    </w:p>
    <w:p w:rsidR="00B6594B" w:rsidRPr="00041001" w:rsidRDefault="00B6594B" w:rsidP="00CD3096">
      <w:pPr>
        <w:spacing w:after="0" w:line="360" w:lineRule="auto"/>
        <w:ind w:left="1440" w:hanging="720"/>
        <w:jc w:val="both"/>
        <w:rPr>
          <w:rFonts w:ascii="Times New Roman" w:eastAsia="Times New Roman" w:hAnsi="Times New Roman" w:cs="Times New Roman"/>
          <w:sz w:val="24"/>
        </w:rPr>
      </w:pPr>
      <w:r w:rsidRPr="00041001">
        <w:rPr>
          <w:rFonts w:ascii="Times New Roman" w:eastAsia="Times New Roman" w:hAnsi="Times New Roman" w:cs="Times New Roman"/>
          <w:sz w:val="24"/>
        </w:rPr>
        <w:t>4.</w:t>
      </w:r>
      <w:r w:rsidR="00CD3096">
        <w:rPr>
          <w:rFonts w:ascii="Times New Roman" w:eastAsia="Times New Roman" w:hAnsi="Times New Roman" w:cs="Times New Roman"/>
          <w:sz w:val="24"/>
        </w:rPr>
        <w:tab/>
      </w:r>
      <w:r w:rsidRPr="00041001">
        <w:rPr>
          <w:rFonts w:ascii="Times New Roman" w:eastAsia="Times New Roman" w:hAnsi="Times New Roman" w:cs="Times New Roman"/>
          <w:sz w:val="24"/>
        </w:rPr>
        <w:t>The company’s involvement in an impropriety will not by itself justify a piercing of its veil: the impropriety “must be linked to use of the company structur</w:t>
      </w:r>
      <w:r w:rsidR="007C131A">
        <w:rPr>
          <w:rFonts w:ascii="Times New Roman" w:eastAsia="Times New Roman" w:hAnsi="Times New Roman" w:cs="Times New Roman"/>
          <w:sz w:val="24"/>
        </w:rPr>
        <w:t>e to avoid or conceal liability</w:t>
      </w:r>
      <w:r w:rsidRPr="00041001">
        <w:rPr>
          <w:rFonts w:ascii="Times New Roman" w:eastAsia="Times New Roman" w:hAnsi="Times New Roman" w:cs="Times New Roman"/>
          <w:sz w:val="24"/>
        </w:rPr>
        <w:t>.</w:t>
      </w:r>
    </w:p>
    <w:p w:rsidR="004B7712" w:rsidRDefault="00B6594B" w:rsidP="00CD3096">
      <w:pPr>
        <w:spacing w:after="0" w:line="360" w:lineRule="auto"/>
        <w:ind w:left="1440" w:hanging="720"/>
        <w:jc w:val="both"/>
        <w:rPr>
          <w:rFonts w:ascii="Times New Roman" w:eastAsia="Times New Roman" w:hAnsi="Times New Roman" w:cs="Times New Roman"/>
          <w:sz w:val="24"/>
        </w:rPr>
      </w:pPr>
      <w:r w:rsidRPr="00041001">
        <w:rPr>
          <w:rFonts w:ascii="Times New Roman" w:eastAsia="Times New Roman" w:hAnsi="Times New Roman" w:cs="Times New Roman"/>
          <w:sz w:val="24"/>
        </w:rPr>
        <w:t>5.</w:t>
      </w:r>
      <w:r w:rsidR="00CD3096">
        <w:rPr>
          <w:rFonts w:ascii="Times New Roman" w:eastAsia="Times New Roman" w:hAnsi="Times New Roman" w:cs="Times New Roman"/>
          <w:sz w:val="24"/>
        </w:rPr>
        <w:tab/>
      </w:r>
      <w:r w:rsidRPr="00041001">
        <w:rPr>
          <w:rFonts w:ascii="Times New Roman" w:eastAsia="Times New Roman" w:hAnsi="Times New Roman" w:cs="Times New Roman"/>
          <w:sz w:val="24"/>
        </w:rPr>
        <w:t xml:space="preserve">It follows that if the court is to pierce the veil, it is necessary to show both control of the company by the wrongdoer and impropriety in the sense of a </w:t>
      </w:r>
      <w:r w:rsidRPr="00041001">
        <w:rPr>
          <w:rFonts w:ascii="Times New Roman" w:eastAsia="Times New Roman" w:hAnsi="Times New Roman" w:cs="Times New Roman"/>
          <w:sz w:val="24"/>
        </w:rPr>
        <w:lastRenderedPageBreak/>
        <w:t>misuse of the company as a device or façade to conceal wrongdoing.</w:t>
      </w:r>
      <w:r w:rsidR="00CD3096">
        <w:rPr>
          <w:rFonts w:ascii="Times New Roman" w:eastAsia="Times New Roman" w:hAnsi="Times New Roman" w:cs="Times New Roman"/>
          <w:sz w:val="24"/>
        </w:rPr>
        <w:t>”</w:t>
      </w:r>
      <w:r w:rsidR="00041001">
        <w:rPr>
          <w:rFonts w:ascii="Times New Roman" w:eastAsia="Times New Roman" w:hAnsi="Times New Roman" w:cs="Times New Roman"/>
          <w:sz w:val="24"/>
        </w:rPr>
        <w:t xml:space="preserve"> </w:t>
      </w:r>
      <w:r w:rsidR="00041001" w:rsidRPr="00041001">
        <w:rPr>
          <w:rFonts w:ascii="Times New Roman" w:eastAsia="Times New Roman" w:hAnsi="Times New Roman" w:cs="Times New Roman"/>
          <w:sz w:val="24"/>
        </w:rPr>
        <w:t xml:space="preserve">See </w:t>
      </w:r>
      <w:r w:rsidR="007C131A">
        <w:rPr>
          <w:rFonts w:ascii="Times New Roman" w:eastAsia="Times New Roman" w:hAnsi="Times New Roman" w:cs="Times New Roman"/>
          <w:sz w:val="24"/>
        </w:rPr>
        <w:t xml:space="preserve">also </w:t>
      </w:r>
      <w:r w:rsidR="00041001" w:rsidRPr="00041001">
        <w:rPr>
          <w:rFonts w:ascii="Times New Roman" w:eastAsia="Times New Roman" w:hAnsi="Times New Roman" w:cs="Times New Roman"/>
          <w:i/>
          <w:sz w:val="24"/>
        </w:rPr>
        <w:t xml:space="preserve">VTB Capital PLC </w:t>
      </w:r>
      <w:r w:rsidR="00CD3096">
        <w:rPr>
          <w:rFonts w:ascii="Times New Roman" w:eastAsia="Times New Roman" w:hAnsi="Times New Roman" w:cs="Times New Roman"/>
          <w:sz w:val="24"/>
        </w:rPr>
        <w:t>v</w:t>
      </w:r>
      <w:r w:rsidR="00041001" w:rsidRPr="00041001">
        <w:rPr>
          <w:rFonts w:ascii="Times New Roman" w:eastAsia="Times New Roman" w:hAnsi="Times New Roman" w:cs="Times New Roman"/>
          <w:i/>
          <w:sz w:val="24"/>
        </w:rPr>
        <w:t xml:space="preserve"> Nutritek International Corp SC (UKSC)</w:t>
      </w:r>
      <w:r w:rsidR="00CD3096">
        <w:rPr>
          <w:rFonts w:ascii="Times New Roman" w:eastAsia="Times New Roman" w:hAnsi="Times New Roman" w:cs="Times New Roman"/>
          <w:i/>
          <w:sz w:val="24"/>
        </w:rPr>
        <w:t xml:space="preserve"> </w:t>
      </w:r>
      <w:r w:rsidR="00041001">
        <w:rPr>
          <w:rFonts w:ascii="Times New Roman" w:eastAsia="Times New Roman" w:hAnsi="Times New Roman" w:cs="Times New Roman"/>
          <w:sz w:val="24"/>
        </w:rPr>
        <w:t>2012 /0167</w:t>
      </w:r>
      <w:r w:rsidR="00CD3096">
        <w:rPr>
          <w:rFonts w:ascii="Times New Roman" w:eastAsia="Times New Roman" w:hAnsi="Times New Roman" w:cs="Times New Roman"/>
          <w:sz w:val="24"/>
        </w:rPr>
        <w:t>.</w:t>
      </w:r>
    </w:p>
    <w:p w:rsidR="00C22700"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F1DCE">
        <w:rPr>
          <w:rFonts w:ascii="Times New Roman" w:eastAsia="Times New Roman" w:hAnsi="Times New Roman" w:cs="Times New Roman"/>
          <w:sz w:val="24"/>
        </w:rPr>
        <w:t xml:space="preserve">    </w:t>
      </w:r>
      <w:r w:rsidR="00CD3096">
        <w:rPr>
          <w:rFonts w:ascii="Times New Roman" w:eastAsia="Times New Roman" w:hAnsi="Times New Roman" w:cs="Times New Roman"/>
          <w:sz w:val="24"/>
        </w:rPr>
        <w:t xml:space="preserve"> </w:t>
      </w:r>
      <w:r w:rsidR="004B7712">
        <w:rPr>
          <w:rFonts w:ascii="Times New Roman" w:eastAsia="Times New Roman" w:hAnsi="Times New Roman" w:cs="Times New Roman"/>
          <w:sz w:val="24"/>
        </w:rPr>
        <w:t xml:space="preserve">The </w:t>
      </w:r>
      <w:r w:rsidR="00086C89">
        <w:rPr>
          <w:rFonts w:ascii="Times New Roman" w:eastAsia="Times New Roman" w:hAnsi="Times New Roman" w:cs="Times New Roman"/>
          <w:sz w:val="24"/>
        </w:rPr>
        <w:t xml:space="preserve">approach </w:t>
      </w:r>
      <w:r w:rsidR="00CD3096">
        <w:rPr>
          <w:rFonts w:ascii="Times New Roman" w:eastAsia="Times New Roman" w:hAnsi="Times New Roman" w:cs="Times New Roman"/>
          <w:sz w:val="24"/>
        </w:rPr>
        <w:t xml:space="preserve">is to treat as one </w:t>
      </w:r>
      <w:r w:rsidR="004B7712">
        <w:rPr>
          <w:rFonts w:ascii="Times New Roman" w:eastAsia="Times New Roman" w:hAnsi="Times New Roman" w:cs="Times New Roman"/>
          <w:sz w:val="24"/>
        </w:rPr>
        <w:t>single econ</w:t>
      </w:r>
      <w:r w:rsidR="00CD3096">
        <w:rPr>
          <w:rFonts w:ascii="Times New Roman" w:eastAsia="Times New Roman" w:hAnsi="Times New Roman" w:cs="Times New Roman"/>
          <w:sz w:val="24"/>
        </w:rPr>
        <w:t xml:space="preserve">omic unit companies even though they have separate </w:t>
      </w:r>
      <w:r w:rsidR="004B7712">
        <w:rPr>
          <w:rFonts w:ascii="Times New Roman" w:eastAsia="Times New Roman" w:hAnsi="Times New Roman" w:cs="Times New Roman"/>
          <w:sz w:val="24"/>
        </w:rPr>
        <w:t>personalities</w:t>
      </w:r>
      <w:r w:rsidR="00086C89">
        <w:rPr>
          <w:rFonts w:ascii="Times New Roman" w:eastAsia="Times New Roman" w:hAnsi="Times New Roman" w:cs="Times New Roman"/>
          <w:sz w:val="24"/>
        </w:rPr>
        <w:t xml:space="preserve"> </w:t>
      </w:r>
      <w:r w:rsidR="004B7712">
        <w:rPr>
          <w:rFonts w:ascii="Times New Roman" w:eastAsia="Times New Roman" w:hAnsi="Times New Roman" w:cs="Times New Roman"/>
          <w:sz w:val="24"/>
        </w:rPr>
        <w:t>because t</w:t>
      </w:r>
      <w:r w:rsidR="00086C89">
        <w:rPr>
          <w:rFonts w:ascii="Times New Roman" w:eastAsia="Times New Roman" w:hAnsi="Times New Roman" w:cs="Times New Roman"/>
          <w:sz w:val="24"/>
        </w:rPr>
        <w:t>hey c</w:t>
      </w:r>
      <w:r w:rsidR="004B7712">
        <w:rPr>
          <w:rFonts w:ascii="Times New Roman" w:eastAsia="Times New Roman" w:hAnsi="Times New Roman" w:cs="Times New Roman"/>
          <w:sz w:val="24"/>
        </w:rPr>
        <w:t>onstitute a single unit for economic purposes.</w:t>
      </w:r>
      <w:r w:rsidR="00E756DB">
        <w:rPr>
          <w:rFonts w:ascii="Times New Roman" w:eastAsia="Times New Roman" w:hAnsi="Times New Roman" w:cs="Times New Roman"/>
          <w:sz w:val="24"/>
        </w:rPr>
        <w:t xml:space="preserve"> </w:t>
      </w:r>
      <w:r w:rsidR="00041001">
        <w:rPr>
          <w:rFonts w:ascii="Times New Roman" w:eastAsia="Times New Roman" w:hAnsi="Times New Roman" w:cs="Times New Roman"/>
          <w:sz w:val="24"/>
        </w:rPr>
        <w:t xml:space="preserve">The </w:t>
      </w:r>
      <w:r w:rsidR="000346C5">
        <w:rPr>
          <w:rFonts w:ascii="Times New Roman" w:eastAsia="Times New Roman" w:hAnsi="Times New Roman" w:cs="Times New Roman"/>
          <w:sz w:val="24"/>
        </w:rPr>
        <w:t xml:space="preserve">doctrine </w:t>
      </w:r>
      <w:r w:rsidR="00041001">
        <w:rPr>
          <w:rFonts w:ascii="Times New Roman" w:eastAsia="Times New Roman" w:hAnsi="Times New Roman" w:cs="Times New Roman"/>
          <w:sz w:val="24"/>
        </w:rPr>
        <w:t xml:space="preserve">comes into play where a </w:t>
      </w:r>
      <w:r w:rsidR="000346C5">
        <w:rPr>
          <w:rFonts w:ascii="Times New Roman" w:eastAsia="Times New Roman" w:hAnsi="Times New Roman" w:cs="Times New Roman"/>
          <w:sz w:val="24"/>
        </w:rPr>
        <w:t xml:space="preserve">company </w:t>
      </w:r>
      <w:r w:rsidR="00041001">
        <w:rPr>
          <w:rFonts w:ascii="Times New Roman" w:eastAsia="Times New Roman" w:hAnsi="Times New Roman" w:cs="Times New Roman"/>
          <w:sz w:val="24"/>
        </w:rPr>
        <w:t>with an obligation or liability evades or frustrates</w:t>
      </w:r>
      <w:r w:rsidR="00E756DB">
        <w:rPr>
          <w:rFonts w:ascii="Times New Roman" w:eastAsia="Times New Roman" w:hAnsi="Times New Roman" w:cs="Times New Roman"/>
          <w:sz w:val="24"/>
        </w:rPr>
        <w:t xml:space="preserve"> liability </w:t>
      </w:r>
      <w:r w:rsidR="000346C5">
        <w:rPr>
          <w:rFonts w:ascii="Times New Roman" w:eastAsia="Times New Roman" w:hAnsi="Times New Roman" w:cs="Times New Roman"/>
          <w:sz w:val="24"/>
        </w:rPr>
        <w:t>by concealing the true state o</w:t>
      </w:r>
      <w:r w:rsidR="00E756DB">
        <w:rPr>
          <w:rFonts w:ascii="Times New Roman" w:eastAsia="Times New Roman" w:hAnsi="Times New Roman" w:cs="Times New Roman"/>
          <w:sz w:val="24"/>
        </w:rPr>
        <w:t>f affairs</w:t>
      </w:r>
      <w:r w:rsidR="00A17289">
        <w:rPr>
          <w:rFonts w:ascii="Times New Roman" w:eastAsia="Times New Roman" w:hAnsi="Times New Roman" w:cs="Times New Roman"/>
          <w:sz w:val="24"/>
        </w:rPr>
        <w:t xml:space="preserve"> in order to avoid the effects of a court </w:t>
      </w:r>
      <w:r w:rsidR="00031CF0">
        <w:rPr>
          <w:rFonts w:ascii="Times New Roman" w:eastAsia="Times New Roman" w:hAnsi="Times New Roman" w:cs="Times New Roman"/>
          <w:sz w:val="24"/>
        </w:rPr>
        <w:t>order</w:t>
      </w:r>
      <w:r w:rsidR="00A17289" w:rsidRPr="00CD3096">
        <w:rPr>
          <w:rFonts w:ascii="Times New Roman" w:eastAsia="Times New Roman" w:hAnsi="Times New Roman" w:cs="Times New Roman"/>
          <w:sz w:val="24"/>
        </w:rPr>
        <w:t>.</w:t>
      </w:r>
      <w:r w:rsidR="000346C5" w:rsidRPr="00CD3096">
        <w:rPr>
          <w:rFonts w:ascii="Times New Roman" w:hAnsi="Times New Roman" w:cs="Times New Roman"/>
        </w:rPr>
        <w:t xml:space="preserve"> </w:t>
      </w:r>
      <w:r w:rsidR="00CD3096">
        <w:rPr>
          <w:rFonts w:ascii="Times New Roman" w:hAnsi="Times New Roman" w:cs="Times New Roman"/>
        </w:rPr>
        <w:t>In such cases, the</w:t>
      </w:r>
      <w:r w:rsidR="006B305A" w:rsidRPr="00CD3096">
        <w:rPr>
          <w:rFonts w:ascii="Times New Roman" w:hAnsi="Times New Roman" w:cs="Times New Roman"/>
        </w:rPr>
        <w:t xml:space="preserve"> court lifts the corporate veil in order to peep</w:t>
      </w:r>
      <w:r w:rsidR="007C131A">
        <w:rPr>
          <w:rFonts w:ascii="Times New Roman" w:hAnsi="Times New Roman" w:cs="Times New Roman"/>
        </w:rPr>
        <w:t xml:space="preserve"> under the corporate veil</w:t>
      </w:r>
      <w:r w:rsidR="006B305A" w:rsidRPr="00CD3096">
        <w:rPr>
          <w:rFonts w:ascii="Times New Roman" w:hAnsi="Times New Roman" w:cs="Times New Roman"/>
        </w:rPr>
        <w:t xml:space="preserve"> and </w:t>
      </w:r>
      <w:r w:rsidR="006F065C" w:rsidRPr="00CD3096">
        <w:rPr>
          <w:rFonts w:ascii="Times New Roman" w:hAnsi="Times New Roman" w:cs="Times New Roman"/>
        </w:rPr>
        <w:t xml:space="preserve">examine </w:t>
      </w:r>
      <w:r w:rsidR="006B305A" w:rsidRPr="00CD3096">
        <w:rPr>
          <w:rFonts w:ascii="Times New Roman" w:hAnsi="Times New Roman" w:cs="Times New Roman"/>
        </w:rPr>
        <w:t xml:space="preserve">the activities of the companies involved. </w:t>
      </w:r>
      <w:r w:rsidR="000346C5" w:rsidRPr="00CD3096">
        <w:rPr>
          <w:rFonts w:ascii="Times New Roman" w:eastAsia="Times New Roman" w:hAnsi="Times New Roman" w:cs="Times New Roman"/>
          <w:sz w:val="24"/>
        </w:rPr>
        <w:t>The corporate veil is only lifted where it has been shown that there is</w:t>
      </w:r>
      <w:r w:rsidR="000346C5" w:rsidRPr="000346C5">
        <w:rPr>
          <w:rFonts w:ascii="Times New Roman" w:eastAsia="Times New Roman" w:hAnsi="Times New Roman" w:cs="Times New Roman"/>
          <w:sz w:val="24"/>
        </w:rPr>
        <w:t xml:space="preserve"> impropriety linked to</w:t>
      </w:r>
      <w:r w:rsidR="00CD3096">
        <w:rPr>
          <w:rFonts w:ascii="Times New Roman" w:eastAsia="Times New Roman" w:hAnsi="Times New Roman" w:cs="Times New Roman"/>
          <w:sz w:val="24"/>
        </w:rPr>
        <w:t xml:space="preserve"> abuse of the company structure</w:t>
      </w:r>
      <w:r w:rsidR="000346C5" w:rsidRPr="000346C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 xml:space="preserve">A litigant alleging that two or more companies constitute a single economic unity is required to show that there is a connection or affiliation between one and more of the companies. </w:t>
      </w:r>
      <w:r>
        <w:rPr>
          <w:rFonts w:ascii="Times New Roman" w:eastAsia="Times New Roman" w:hAnsi="Times New Roman" w:cs="Times New Roman"/>
          <w:sz w:val="24"/>
        </w:rPr>
        <w:t xml:space="preserve">The </w:t>
      </w:r>
      <w:r w:rsidR="000D0FAA">
        <w:rPr>
          <w:rFonts w:ascii="Times New Roman" w:eastAsia="Times New Roman" w:hAnsi="Times New Roman" w:cs="Times New Roman"/>
          <w:sz w:val="24"/>
        </w:rPr>
        <w:t>structure,</w:t>
      </w:r>
      <w:r>
        <w:rPr>
          <w:rFonts w:ascii="Times New Roman" w:eastAsia="Times New Roman" w:hAnsi="Times New Roman" w:cs="Times New Roman"/>
          <w:sz w:val="24"/>
        </w:rPr>
        <w:t xml:space="preserve"> operations and economic activities of each company </w:t>
      </w:r>
      <w:r w:rsidR="000D0FAA">
        <w:rPr>
          <w:rFonts w:ascii="Times New Roman" w:eastAsia="Times New Roman" w:hAnsi="Times New Roman" w:cs="Times New Roman"/>
          <w:sz w:val="24"/>
        </w:rPr>
        <w:t>must reveal</w:t>
      </w:r>
      <w:r>
        <w:rPr>
          <w:rFonts w:ascii="Times New Roman" w:eastAsia="Times New Roman" w:hAnsi="Times New Roman" w:cs="Times New Roman"/>
          <w:sz w:val="24"/>
        </w:rPr>
        <w:t xml:space="preserve"> a connection between the companies. There must exist practices that exhibit that the companies constitute the same legal entity.</w:t>
      </w:r>
      <w:r w:rsidR="007C131A">
        <w:rPr>
          <w:rFonts w:ascii="Times New Roman" w:eastAsia="Times New Roman" w:hAnsi="Times New Roman" w:cs="Times New Roman"/>
          <w:sz w:val="24"/>
        </w:rPr>
        <w:t xml:space="preserve"> The fact that different companies constitute one single entity may be evidenced by the consolidated financial statements of such companies. It </w:t>
      </w:r>
      <w:r>
        <w:rPr>
          <w:rFonts w:ascii="Times New Roman" w:eastAsia="Times New Roman" w:hAnsi="Times New Roman" w:cs="Times New Roman"/>
          <w:sz w:val="24"/>
        </w:rPr>
        <w:t xml:space="preserve">must be shown that the different companies or </w:t>
      </w:r>
      <w:r w:rsidR="000D0FAA">
        <w:rPr>
          <w:rFonts w:ascii="Times New Roman" w:eastAsia="Times New Roman" w:hAnsi="Times New Roman" w:cs="Times New Roman"/>
          <w:sz w:val="24"/>
        </w:rPr>
        <w:t>entities are</w:t>
      </w:r>
      <w:r>
        <w:rPr>
          <w:rFonts w:ascii="Times New Roman" w:eastAsia="Times New Roman" w:hAnsi="Times New Roman" w:cs="Times New Roman"/>
          <w:sz w:val="24"/>
        </w:rPr>
        <w:t xml:space="preserve"> inextricably linked </w:t>
      </w:r>
      <w:r w:rsidR="007C131A">
        <w:rPr>
          <w:rFonts w:ascii="Times New Roman" w:eastAsia="Times New Roman" w:hAnsi="Times New Roman" w:cs="Times New Roman"/>
          <w:sz w:val="24"/>
        </w:rPr>
        <w:t xml:space="preserve">so </w:t>
      </w:r>
      <w:r w:rsidR="00083B99">
        <w:rPr>
          <w:rFonts w:ascii="Times New Roman" w:eastAsia="Times New Roman" w:hAnsi="Times New Roman" w:cs="Times New Roman"/>
          <w:sz w:val="24"/>
        </w:rPr>
        <w:t xml:space="preserve">as to </w:t>
      </w:r>
      <w:r>
        <w:rPr>
          <w:rFonts w:ascii="Times New Roman" w:eastAsia="Times New Roman" w:hAnsi="Times New Roman" w:cs="Times New Roman"/>
          <w:sz w:val="24"/>
        </w:rPr>
        <w:t xml:space="preserve">constitute one legal entity from an economical point of view and act as a </w:t>
      </w:r>
      <w:r w:rsidR="000D0FAA">
        <w:rPr>
          <w:rFonts w:ascii="Times New Roman" w:eastAsia="Times New Roman" w:hAnsi="Times New Roman" w:cs="Times New Roman"/>
          <w:sz w:val="24"/>
        </w:rPr>
        <w:t>whole. There</w:t>
      </w:r>
      <w:r>
        <w:rPr>
          <w:rFonts w:ascii="Times New Roman" w:eastAsia="Times New Roman" w:hAnsi="Times New Roman" w:cs="Times New Roman"/>
          <w:sz w:val="24"/>
        </w:rPr>
        <w:t xml:space="preserve"> must be </w:t>
      </w:r>
      <w:r w:rsidR="000D0FAA">
        <w:rPr>
          <w:rFonts w:ascii="Times New Roman" w:eastAsia="Times New Roman" w:hAnsi="Times New Roman" w:cs="Times New Roman"/>
          <w:sz w:val="24"/>
        </w:rPr>
        <w:t>allegations of</w:t>
      </w:r>
      <w:r>
        <w:rPr>
          <w:rFonts w:ascii="Times New Roman" w:eastAsia="Times New Roman" w:hAnsi="Times New Roman" w:cs="Times New Roman"/>
          <w:sz w:val="24"/>
        </w:rPr>
        <w:t xml:space="preserve"> wrongdoing on the part of the entity complained against.</w:t>
      </w:r>
      <w:r w:rsidR="006474D2" w:rsidRPr="006474D2">
        <w:t xml:space="preserve"> </w:t>
      </w:r>
      <w:r w:rsidR="006474D2" w:rsidRPr="006474D2">
        <w:rPr>
          <w:rFonts w:ascii="Times New Roman" w:eastAsia="Times New Roman" w:hAnsi="Times New Roman" w:cs="Times New Roman"/>
          <w:sz w:val="24"/>
        </w:rPr>
        <w:t xml:space="preserve">The doctrine is invoked mostly in cases where there are allegations of fraud or other improper conduct on the part of one of one or more of the companies. </w:t>
      </w:r>
      <w:r w:rsidR="00C22700" w:rsidRPr="00C22700">
        <w:rPr>
          <w:rFonts w:ascii="Times New Roman" w:eastAsia="Times New Roman" w:hAnsi="Times New Roman" w:cs="Times New Roman"/>
          <w:sz w:val="24"/>
        </w:rPr>
        <w:t xml:space="preserve">It must </w:t>
      </w:r>
      <w:r w:rsidR="006474D2">
        <w:rPr>
          <w:rFonts w:ascii="Times New Roman" w:eastAsia="Times New Roman" w:hAnsi="Times New Roman" w:cs="Times New Roman"/>
          <w:sz w:val="24"/>
        </w:rPr>
        <w:t xml:space="preserve">be </w:t>
      </w:r>
      <w:r w:rsidR="00C22700" w:rsidRPr="00C22700">
        <w:rPr>
          <w:rFonts w:ascii="Times New Roman" w:eastAsia="Times New Roman" w:hAnsi="Times New Roman" w:cs="Times New Roman"/>
          <w:sz w:val="24"/>
        </w:rPr>
        <w:t>show</w:t>
      </w:r>
      <w:r w:rsidR="006474D2">
        <w:rPr>
          <w:rFonts w:ascii="Times New Roman" w:eastAsia="Times New Roman" w:hAnsi="Times New Roman" w:cs="Times New Roman"/>
          <w:sz w:val="24"/>
        </w:rPr>
        <w:t>n</w:t>
      </w:r>
      <w:r w:rsidR="00C22700" w:rsidRPr="00C22700">
        <w:rPr>
          <w:rFonts w:ascii="Times New Roman" w:eastAsia="Times New Roman" w:hAnsi="Times New Roman" w:cs="Times New Roman"/>
          <w:sz w:val="24"/>
        </w:rPr>
        <w:t xml:space="preserve"> that the entity or c</w:t>
      </w:r>
      <w:r w:rsidR="007C131A">
        <w:rPr>
          <w:rFonts w:ascii="Times New Roman" w:eastAsia="Times New Roman" w:hAnsi="Times New Roman" w:cs="Times New Roman"/>
          <w:sz w:val="24"/>
        </w:rPr>
        <w:t>ompany involved is a sham or fac</w:t>
      </w:r>
      <w:r w:rsidR="00C22700" w:rsidRPr="00C22700">
        <w:rPr>
          <w:rFonts w:ascii="Times New Roman" w:eastAsia="Times New Roman" w:hAnsi="Times New Roman" w:cs="Times New Roman"/>
          <w:sz w:val="24"/>
        </w:rPr>
        <w:t>ade.</w:t>
      </w:r>
      <w:r w:rsidR="006474D2">
        <w:rPr>
          <w:rFonts w:ascii="Times New Roman" w:eastAsia="Times New Roman" w:hAnsi="Times New Roman" w:cs="Times New Roman"/>
          <w:sz w:val="24"/>
        </w:rPr>
        <w:t xml:space="preserve"> </w:t>
      </w:r>
      <w:r w:rsidR="00BF7FE3">
        <w:rPr>
          <w:rFonts w:ascii="Times New Roman" w:eastAsia="Times New Roman" w:hAnsi="Times New Roman" w:cs="Times New Roman"/>
          <w:sz w:val="24"/>
        </w:rPr>
        <w:t>A</w:t>
      </w:r>
      <w:r w:rsidR="002154CD">
        <w:rPr>
          <w:rFonts w:ascii="Times New Roman" w:eastAsia="Times New Roman" w:hAnsi="Times New Roman" w:cs="Times New Roman"/>
          <w:sz w:val="24"/>
        </w:rPr>
        <w:t xml:space="preserve"> </w:t>
      </w:r>
      <w:r w:rsidR="00BF7FE3">
        <w:rPr>
          <w:rFonts w:ascii="Times New Roman" w:eastAsia="Times New Roman" w:hAnsi="Times New Roman" w:cs="Times New Roman"/>
          <w:sz w:val="24"/>
        </w:rPr>
        <w:t xml:space="preserve">party which relies </w:t>
      </w:r>
      <w:r w:rsidR="002154CD">
        <w:rPr>
          <w:rFonts w:ascii="Times New Roman" w:eastAsia="Times New Roman" w:hAnsi="Times New Roman" w:cs="Times New Roman"/>
          <w:sz w:val="24"/>
        </w:rPr>
        <w:t>o</w:t>
      </w:r>
      <w:r w:rsidR="00BF7FE3">
        <w:rPr>
          <w:rFonts w:ascii="Times New Roman" w:eastAsia="Times New Roman" w:hAnsi="Times New Roman" w:cs="Times New Roman"/>
          <w:sz w:val="24"/>
        </w:rPr>
        <w:t xml:space="preserve">n the </w:t>
      </w:r>
      <w:r w:rsidR="00C22700">
        <w:rPr>
          <w:rFonts w:ascii="Times New Roman" w:eastAsia="Times New Roman" w:hAnsi="Times New Roman" w:cs="Times New Roman"/>
          <w:sz w:val="24"/>
        </w:rPr>
        <w:t xml:space="preserve">same economic entity </w:t>
      </w:r>
      <w:r w:rsidR="007C131A">
        <w:rPr>
          <w:rFonts w:ascii="Times New Roman" w:eastAsia="Times New Roman" w:hAnsi="Times New Roman" w:cs="Times New Roman"/>
          <w:sz w:val="24"/>
        </w:rPr>
        <w:t xml:space="preserve">doctrine </w:t>
      </w:r>
      <w:r w:rsidR="00BF7FE3">
        <w:rPr>
          <w:rFonts w:ascii="Times New Roman" w:eastAsia="Times New Roman" w:hAnsi="Times New Roman" w:cs="Times New Roman"/>
          <w:sz w:val="24"/>
        </w:rPr>
        <w:t>effectively ask</w:t>
      </w:r>
      <w:r w:rsidR="00C22700">
        <w:rPr>
          <w:rFonts w:ascii="Times New Roman" w:eastAsia="Times New Roman" w:hAnsi="Times New Roman" w:cs="Times New Roman"/>
          <w:sz w:val="24"/>
        </w:rPr>
        <w:t>s</w:t>
      </w:r>
      <w:r w:rsidR="00BF7FE3">
        <w:rPr>
          <w:rFonts w:ascii="Times New Roman" w:eastAsia="Times New Roman" w:hAnsi="Times New Roman" w:cs="Times New Roman"/>
          <w:sz w:val="24"/>
        </w:rPr>
        <w:t xml:space="preserve"> the court to lift the co</w:t>
      </w:r>
      <w:r w:rsidR="002154CD">
        <w:rPr>
          <w:rFonts w:ascii="Times New Roman" w:eastAsia="Times New Roman" w:hAnsi="Times New Roman" w:cs="Times New Roman"/>
          <w:sz w:val="24"/>
        </w:rPr>
        <w:t>r</w:t>
      </w:r>
      <w:r w:rsidR="00BF7FE3">
        <w:rPr>
          <w:rFonts w:ascii="Times New Roman" w:eastAsia="Times New Roman" w:hAnsi="Times New Roman" w:cs="Times New Roman"/>
          <w:sz w:val="24"/>
        </w:rPr>
        <w:t xml:space="preserve">porate veil </w:t>
      </w:r>
      <w:r w:rsidR="007C131A">
        <w:rPr>
          <w:rFonts w:ascii="Times New Roman" w:eastAsia="Times New Roman" w:hAnsi="Times New Roman" w:cs="Times New Roman"/>
          <w:sz w:val="24"/>
        </w:rPr>
        <w:t xml:space="preserve">in order that the </w:t>
      </w:r>
      <w:r w:rsidR="002154CD">
        <w:rPr>
          <w:rFonts w:ascii="Times New Roman" w:eastAsia="Times New Roman" w:hAnsi="Times New Roman" w:cs="Times New Roman"/>
          <w:sz w:val="24"/>
        </w:rPr>
        <w:t>shareholders or other relevant actors on whom the obligations of the</w:t>
      </w:r>
      <w:r w:rsidR="00616FBA">
        <w:rPr>
          <w:rFonts w:ascii="Times New Roman" w:eastAsia="Times New Roman" w:hAnsi="Times New Roman" w:cs="Times New Roman"/>
          <w:sz w:val="24"/>
        </w:rPr>
        <w:t xml:space="preserve"> entity </w:t>
      </w:r>
      <w:r w:rsidR="007C131A">
        <w:rPr>
          <w:rFonts w:ascii="Times New Roman" w:eastAsia="Times New Roman" w:hAnsi="Times New Roman" w:cs="Times New Roman"/>
          <w:sz w:val="24"/>
        </w:rPr>
        <w:t xml:space="preserve">are placed </w:t>
      </w:r>
      <w:r w:rsidR="002154CD">
        <w:rPr>
          <w:rFonts w:ascii="Times New Roman" w:eastAsia="Times New Roman" w:hAnsi="Times New Roman" w:cs="Times New Roman"/>
          <w:sz w:val="24"/>
        </w:rPr>
        <w:t>are made responsible for their actions.</w:t>
      </w:r>
      <w:r w:rsidR="00041001" w:rsidRPr="00041001">
        <w:t xml:space="preserve"> </w:t>
      </w:r>
      <w:r w:rsidR="007C131A">
        <w:rPr>
          <w:rFonts w:ascii="Times New Roman" w:hAnsi="Times New Roman" w:cs="Times New Roman"/>
          <w:sz w:val="24"/>
          <w:szCs w:val="24"/>
        </w:rPr>
        <w:t xml:space="preserve">Where </w:t>
      </w:r>
      <w:r w:rsidR="0004415E">
        <w:rPr>
          <w:rFonts w:ascii="Times New Roman" w:hAnsi="Times New Roman" w:cs="Times New Roman"/>
          <w:sz w:val="24"/>
          <w:szCs w:val="24"/>
        </w:rPr>
        <w:t>it is</w:t>
      </w:r>
      <w:r w:rsidR="000C1D4B">
        <w:rPr>
          <w:rFonts w:ascii="Times New Roman" w:hAnsi="Times New Roman" w:cs="Times New Roman"/>
          <w:sz w:val="24"/>
          <w:szCs w:val="24"/>
        </w:rPr>
        <w:t xml:space="preserve"> </w:t>
      </w:r>
      <w:r w:rsidR="0004415E">
        <w:rPr>
          <w:rFonts w:ascii="Times New Roman" w:hAnsi="Times New Roman" w:cs="Times New Roman"/>
          <w:sz w:val="24"/>
          <w:szCs w:val="24"/>
        </w:rPr>
        <w:t>shown that</w:t>
      </w:r>
      <w:r w:rsidR="007C131A">
        <w:rPr>
          <w:rFonts w:ascii="Times New Roman" w:hAnsi="Times New Roman" w:cs="Times New Roman"/>
          <w:sz w:val="24"/>
          <w:szCs w:val="24"/>
        </w:rPr>
        <w:t xml:space="preserve"> a unit of companies constitute one economic entity</w:t>
      </w:r>
      <w:r w:rsidR="000C1D4B">
        <w:rPr>
          <w:rFonts w:ascii="Times New Roman" w:hAnsi="Times New Roman" w:cs="Times New Roman"/>
          <w:sz w:val="24"/>
          <w:szCs w:val="24"/>
        </w:rPr>
        <w:t>,</w:t>
      </w:r>
      <w:r w:rsidR="007C131A">
        <w:rPr>
          <w:rFonts w:ascii="Times New Roman" w:hAnsi="Times New Roman" w:cs="Times New Roman"/>
          <w:sz w:val="24"/>
          <w:szCs w:val="24"/>
        </w:rPr>
        <w:t xml:space="preserve"> </w:t>
      </w:r>
      <w:r w:rsidR="007C131A">
        <w:rPr>
          <w:rFonts w:ascii="Times New Roman" w:eastAsia="Times New Roman" w:hAnsi="Times New Roman" w:cs="Times New Roman"/>
          <w:sz w:val="24"/>
        </w:rPr>
        <w:t xml:space="preserve">liability </w:t>
      </w:r>
      <w:r w:rsidR="00041001" w:rsidRPr="00041001">
        <w:rPr>
          <w:rFonts w:ascii="Times New Roman" w:eastAsia="Times New Roman" w:hAnsi="Times New Roman" w:cs="Times New Roman"/>
          <w:sz w:val="24"/>
        </w:rPr>
        <w:t>attaches to all the entities</w:t>
      </w:r>
      <w:r w:rsidR="007C131A">
        <w:rPr>
          <w:rFonts w:ascii="Times New Roman" w:eastAsia="Times New Roman" w:hAnsi="Times New Roman" w:cs="Times New Roman"/>
          <w:sz w:val="24"/>
        </w:rPr>
        <w:t>.</w:t>
      </w:r>
      <w:r w:rsidR="00041001" w:rsidRPr="00041001">
        <w:rPr>
          <w:rFonts w:ascii="Times New Roman" w:eastAsia="Times New Roman" w:hAnsi="Times New Roman" w:cs="Times New Roman"/>
          <w:sz w:val="24"/>
        </w:rPr>
        <w:t xml:space="preserve"> </w:t>
      </w:r>
      <w:r w:rsidR="00101127" w:rsidRPr="00101127">
        <w:rPr>
          <w:rFonts w:ascii="Times New Roman" w:eastAsia="Times New Roman" w:hAnsi="Times New Roman" w:cs="Times New Roman"/>
          <w:sz w:val="24"/>
        </w:rPr>
        <w:t>The corporate veil may only be lifted in the case of some impropriety linked to use of company structure in order to evade an obligation  and that the entity concerned is controlled   by the wrongdoers and that they used the company to evade liability. Ownership of a company is not on its own sufficient to justify a court lifting the corporate veil.</w:t>
      </w:r>
    </w:p>
    <w:p w:rsidR="0068442D" w:rsidRDefault="008F1DCE">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B4193">
        <w:rPr>
          <w:rFonts w:ascii="Times New Roman" w:eastAsia="Times New Roman" w:hAnsi="Times New Roman" w:cs="Times New Roman"/>
          <w:sz w:val="24"/>
        </w:rPr>
        <w:t xml:space="preserve"> </w:t>
      </w:r>
      <w:r w:rsidR="00D505F3">
        <w:rPr>
          <w:rFonts w:ascii="Times New Roman" w:eastAsia="Times New Roman" w:hAnsi="Times New Roman" w:cs="Times New Roman"/>
          <w:sz w:val="24"/>
        </w:rPr>
        <w:t>Loo</w:t>
      </w:r>
      <w:r w:rsidR="00546AC2">
        <w:rPr>
          <w:rFonts w:ascii="Times New Roman" w:eastAsia="Times New Roman" w:hAnsi="Times New Roman" w:cs="Times New Roman"/>
          <w:sz w:val="24"/>
        </w:rPr>
        <w:t>king at the facts of this case,</w:t>
      </w:r>
      <w:r w:rsidR="00D505F3">
        <w:rPr>
          <w:rFonts w:ascii="Times New Roman" w:eastAsia="Times New Roman" w:hAnsi="Times New Roman" w:cs="Times New Roman"/>
          <w:sz w:val="24"/>
        </w:rPr>
        <w:t xml:space="preserve"> it is apparent that t</w:t>
      </w:r>
      <w:r w:rsidR="00DB4193">
        <w:rPr>
          <w:rFonts w:ascii="Times New Roman" w:eastAsia="Times New Roman" w:hAnsi="Times New Roman" w:cs="Times New Roman"/>
          <w:sz w:val="24"/>
        </w:rPr>
        <w:t xml:space="preserve">he identity of the valuer was always clear to the plaintiff right from the moment the parties entered into the business transaction which is at the centre of this </w:t>
      </w:r>
      <w:r w:rsidR="000D0FAA">
        <w:rPr>
          <w:rFonts w:ascii="Times New Roman" w:eastAsia="Times New Roman" w:hAnsi="Times New Roman" w:cs="Times New Roman"/>
          <w:sz w:val="24"/>
        </w:rPr>
        <w:t>dispute. A</w:t>
      </w:r>
      <w:r w:rsidR="00DB4193">
        <w:rPr>
          <w:rFonts w:ascii="Times New Roman" w:eastAsia="Times New Roman" w:hAnsi="Times New Roman" w:cs="Times New Roman"/>
          <w:sz w:val="24"/>
        </w:rPr>
        <w:t xml:space="preserve"> covering letter written on 20 December </w:t>
      </w:r>
      <w:r w:rsidR="000D0FAA">
        <w:rPr>
          <w:rFonts w:ascii="Times New Roman" w:eastAsia="Times New Roman" w:hAnsi="Times New Roman" w:cs="Times New Roman"/>
          <w:sz w:val="24"/>
        </w:rPr>
        <w:t>2011 by</w:t>
      </w:r>
      <w:r w:rsidR="00DB4193">
        <w:rPr>
          <w:rFonts w:ascii="Times New Roman" w:eastAsia="Times New Roman" w:hAnsi="Times New Roman" w:cs="Times New Roman"/>
          <w:sz w:val="24"/>
        </w:rPr>
        <w:t xml:space="preserve"> the valuer has the logo </w:t>
      </w:r>
      <w:r w:rsidR="007C131A">
        <w:rPr>
          <w:rFonts w:ascii="Times New Roman" w:eastAsia="Times New Roman" w:hAnsi="Times New Roman" w:cs="Times New Roman"/>
          <w:sz w:val="24"/>
        </w:rPr>
        <w:t>‘</w:t>
      </w:r>
      <w:r w:rsidR="00DB4193">
        <w:rPr>
          <w:rFonts w:ascii="Times New Roman" w:eastAsia="Times New Roman" w:hAnsi="Times New Roman" w:cs="Times New Roman"/>
          <w:sz w:val="24"/>
        </w:rPr>
        <w:t xml:space="preserve">Knight </w:t>
      </w:r>
      <w:r w:rsidR="000D0FAA">
        <w:rPr>
          <w:rFonts w:ascii="Times New Roman" w:eastAsia="Times New Roman" w:hAnsi="Times New Roman" w:cs="Times New Roman"/>
          <w:sz w:val="24"/>
        </w:rPr>
        <w:t>Frank</w:t>
      </w:r>
      <w:r w:rsidR="007C131A">
        <w:rPr>
          <w:rFonts w:ascii="Times New Roman" w:eastAsia="Times New Roman" w:hAnsi="Times New Roman" w:cs="Times New Roman"/>
          <w:sz w:val="24"/>
        </w:rPr>
        <w:t>’</w:t>
      </w:r>
      <w:r w:rsidR="000D0FAA">
        <w:rPr>
          <w:rFonts w:ascii="Times New Roman" w:eastAsia="Times New Roman" w:hAnsi="Times New Roman" w:cs="Times New Roman"/>
          <w:sz w:val="24"/>
        </w:rPr>
        <w:t xml:space="preserve"> but</w:t>
      </w:r>
      <w:r w:rsidR="00DB4193">
        <w:rPr>
          <w:rFonts w:ascii="Times New Roman" w:eastAsia="Times New Roman" w:hAnsi="Times New Roman" w:cs="Times New Roman"/>
          <w:sz w:val="24"/>
        </w:rPr>
        <w:t xml:space="preserve"> is signed by Knight Frank </w:t>
      </w:r>
      <w:r w:rsidR="007C131A">
        <w:rPr>
          <w:rFonts w:ascii="Times New Roman" w:eastAsia="Times New Roman" w:hAnsi="Times New Roman" w:cs="Times New Roman"/>
          <w:sz w:val="24"/>
        </w:rPr>
        <w:t>Zimbabwe</w:t>
      </w:r>
      <w:r w:rsidR="000D0FAA">
        <w:rPr>
          <w:rFonts w:ascii="Times New Roman" w:eastAsia="Times New Roman" w:hAnsi="Times New Roman" w:cs="Times New Roman"/>
          <w:sz w:val="24"/>
        </w:rPr>
        <w:t>. The terms</w:t>
      </w:r>
      <w:r w:rsidR="00DB4193">
        <w:rPr>
          <w:rFonts w:ascii="Times New Roman" w:eastAsia="Times New Roman" w:hAnsi="Times New Roman" w:cs="Times New Roman"/>
          <w:sz w:val="24"/>
        </w:rPr>
        <w:t xml:space="preserve"> of </w:t>
      </w:r>
      <w:r w:rsidR="000D0FAA">
        <w:rPr>
          <w:rFonts w:ascii="Times New Roman" w:eastAsia="Times New Roman" w:hAnsi="Times New Roman" w:cs="Times New Roman"/>
          <w:sz w:val="24"/>
        </w:rPr>
        <w:t>business in</w:t>
      </w:r>
      <w:r w:rsidR="00DB4193">
        <w:rPr>
          <w:rFonts w:ascii="Times New Roman" w:eastAsia="Times New Roman" w:hAnsi="Times New Roman" w:cs="Times New Roman"/>
          <w:sz w:val="24"/>
        </w:rPr>
        <w:t xml:space="preserve"> the opening </w:t>
      </w:r>
      <w:r w:rsidR="000D0FAA">
        <w:rPr>
          <w:rFonts w:ascii="Times New Roman" w:eastAsia="Times New Roman" w:hAnsi="Times New Roman" w:cs="Times New Roman"/>
          <w:sz w:val="24"/>
        </w:rPr>
        <w:t>statement read</w:t>
      </w:r>
      <w:r w:rsidR="00DB4193">
        <w:rPr>
          <w:rFonts w:ascii="Times New Roman" w:eastAsia="Times New Roman" w:hAnsi="Times New Roman" w:cs="Times New Roman"/>
          <w:sz w:val="24"/>
        </w:rPr>
        <w:t xml:space="preserve"> as follows,</w:t>
      </w:r>
    </w:p>
    <w:p w:rsidR="0068442D" w:rsidRDefault="00CD3096" w:rsidP="00CD3096">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sz w:val="24"/>
        </w:rPr>
        <w:lastRenderedPageBreak/>
        <w:t>“</w:t>
      </w:r>
      <w:r w:rsidR="00DB4193">
        <w:rPr>
          <w:rFonts w:ascii="Times New Roman" w:eastAsia="Times New Roman" w:hAnsi="Times New Roman" w:cs="Times New Roman"/>
        </w:rPr>
        <w:t>The following General Terms of Business apply to all valuations and appraisals undertaken by Knight Frank Zimbabwe unless specifically agreed otherwise in confirming instructions and so stated within the mai</w:t>
      </w:r>
      <w:r>
        <w:rPr>
          <w:rFonts w:ascii="Times New Roman" w:eastAsia="Times New Roman" w:hAnsi="Times New Roman" w:cs="Times New Roman"/>
        </w:rPr>
        <w:t>n body of the valuation report”</w:t>
      </w:r>
    </w:p>
    <w:p w:rsidR="0068442D" w:rsidRDefault="0068442D">
      <w:pPr>
        <w:spacing w:after="0" w:line="240" w:lineRule="auto"/>
        <w:jc w:val="both"/>
        <w:rPr>
          <w:rFonts w:ascii="Times New Roman" w:eastAsia="Times New Roman" w:hAnsi="Times New Roman" w:cs="Times New Roman"/>
        </w:rPr>
      </w:pPr>
    </w:p>
    <w:p w:rsidR="00083B99" w:rsidRDefault="00306494" w:rsidP="007C131A">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szCs w:val="24"/>
        </w:rPr>
        <w:t>The terms of b</w:t>
      </w:r>
      <w:r w:rsidR="00DB4193" w:rsidRPr="008F1DCE">
        <w:rPr>
          <w:rFonts w:ascii="Times New Roman" w:eastAsia="Times New Roman" w:hAnsi="Times New Roman" w:cs="Times New Roman"/>
          <w:sz w:val="24"/>
          <w:szCs w:val="24"/>
        </w:rPr>
        <w:t>usiness show without any doubt that the valuation was going to be carried out by the partnership.</w:t>
      </w:r>
      <w:r w:rsidR="00DB4193">
        <w:rPr>
          <w:rFonts w:ascii="Times New Roman" w:eastAsia="Times New Roman" w:hAnsi="Times New Roman" w:cs="Times New Roman"/>
          <w:sz w:val="24"/>
        </w:rPr>
        <w:t xml:space="preserve"> </w:t>
      </w:r>
      <w:r w:rsidR="00083B99">
        <w:rPr>
          <w:rFonts w:ascii="Times New Roman" w:eastAsia="Times New Roman" w:hAnsi="Times New Roman" w:cs="Times New Roman"/>
          <w:sz w:val="24"/>
        </w:rPr>
        <w:t xml:space="preserve">The defence </w:t>
      </w:r>
      <w:r w:rsidR="00DB4193">
        <w:rPr>
          <w:rFonts w:ascii="Times New Roman" w:eastAsia="Times New Roman" w:hAnsi="Times New Roman" w:cs="Times New Roman"/>
          <w:sz w:val="24"/>
        </w:rPr>
        <w:t xml:space="preserve">witness </w:t>
      </w:r>
      <w:r w:rsidR="00083B99">
        <w:rPr>
          <w:rFonts w:ascii="Times New Roman" w:eastAsia="Times New Roman" w:hAnsi="Times New Roman" w:cs="Times New Roman"/>
          <w:sz w:val="24"/>
        </w:rPr>
        <w:t xml:space="preserve">told the court that </w:t>
      </w:r>
      <w:r w:rsidR="00134417">
        <w:rPr>
          <w:rFonts w:ascii="Times New Roman" w:eastAsia="Times New Roman" w:hAnsi="Times New Roman" w:cs="Times New Roman"/>
          <w:sz w:val="24"/>
        </w:rPr>
        <w:t>the P</w:t>
      </w:r>
      <w:r w:rsidR="000D0FAA">
        <w:rPr>
          <w:rFonts w:ascii="Times New Roman" w:eastAsia="Times New Roman" w:hAnsi="Times New Roman" w:cs="Times New Roman"/>
          <w:sz w:val="24"/>
        </w:rPr>
        <w:t>artners</w:t>
      </w:r>
      <w:r w:rsidR="00083B99">
        <w:rPr>
          <w:rFonts w:ascii="Times New Roman" w:eastAsia="Times New Roman" w:hAnsi="Times New Roman" w:cs="Times New Roman"/>
          <w:sz w:val="24"/>
        </w:rPr>
        <w:t>h</w:t>
      </w:r>
      <w:r w:rsidR="000D0FAA">
        <w:rPr>
          <w:rFonts w:ascii="Times New Roman" w:eastAsia="Times New Roman" w:hAnsi="Times New Roman" w:cs="Times New Roman"/>
          <w:sz w:val="24"/>
        </w:rPr>
        <w:t>ip</w:t>
      </w:r>
      <w:r w:rsidR="00DB4193">
        <w:rPr>
          <w:rFonts w:ascii="Times New Roman" w:eastAsia="Times New Roman" w:hAnsi="Times New Roman" w:cs="Times New Roman"/>
          <w:sz w:val="24"/>
        </w:rPr>
        <w:t xml:space="preserve"> uses the logo </w:t>
      </w:r>
      <w:r w:rsidR="007C131A">
        <w:rPr>
          <w:rFonts w:ascii="Times New Roman" w:eastAsia="Times New Roman" w:hAnsi="Times New Roman" w:cs="Times New Roman"/>
          <w:sz w:val="24"/>
        </w:rPr>
        <w:t>‘Knight Frank’</w:t>
      </w:r>
      <w:r w:rsidR="00DB4193">
        <w:rPr>
          <w:rFonts w:ascii="Times New Roman" w:eastAsia="Times New Roman" w:hAnsi="Times New Roman" w:cs="Times New Roman"/>
          <w:sz w:val="24"/>
        </w:rPr>
        <w:t xml:space="preserve"> in legal dealings</w:t>
      </w:r>
      <w:r w:rsidR="007C131A">
        <w:rPr>
          <w:rFonts w:ascii="Times New Roman" w:eastAsia="Times New Roman" w:hAnsi="Times New Roman" w:cs="Times New Roman"/>
          <w:sz w:val="24"/>
        </w:rPr>
        <w:t xml:space="preserve"> including terms of reference</w:t>
      </w:r>
      <w:r w:rsidR="00DB4193">
        <w:rPr>
          <w:rFonts w:ascii="Times New Roman" w:eastAsia="Times New Roman" w:hAnsi="Times New Roman" w:cs="Times New Roman"/>
          <w:sz w:val="24"/>
        </w:rPr>
        <w:t xml:space="preserve">. </w:t>
      </w:r>
      <w:r w:rsidR="00083B99">
        <w:rPr>
          <w:rFonts w:ascii="Times New Roman" w:eastAsia="Times New Roman" w:hAnsi="Times New Roman" w:cs="Times New Roman"/>
          <w:sz w:val="24"/>
        </w:rPr>
        <w:t>This is evide</w:t>
      </w:r>
      <w:r w:rsidR="00134417">
        <w:rPr>
          <w:rFonts w:ascii="Times New Roman" w:eastAsia="Times New Roman" w:hAnsi="Times New Roman" w:cs="Times New Roman"/>
          <w:sz w:val="24"/>
        </w:rPr>
        <w:t>nced by communication from the P</w:t>
      </w:r>
      <w:r w:rsidR="00083B99">
        <w:rPr>
          <w:rFonts w:ascii="Times New Roman" w:eastAsia="Times New Roman" w:hAnsi="Times New Roman" w:cs="Times New Roman"/>
          <w:sz w:val="24"/>
        </w:rPr>
        <w:t xml:space="preserve">artnership. </w:t>
      </w:r>
      <w:r w:rsidR="000D0FAA">
        <w:rPr>
          <w:rFonts w:ascii="Times New Roman" w:eastAsia="Times New Roman" w:hAnsi="Times New Roman" w:cs="Times New Roman"/>
          <w:sz w:val="24"/>
        </w:rPr>
        <w:t>It</w:t>
      </w:r>
      <w:r w:rsidR="00DB4193">
        <w:rPr>
          <w:rFonts w:ascii="Times New Roman" w:eastAsia="Times New Roman" w:hAnsi="Times New Roman" w:cs="Times New Roman"/>
          <w:sz w:val="24"/>
        </w:rPr>
        <w:t xml:space="preserve"> was not shown that the </w:t>
      </w:r>
      <w:r w:rsidR="000D0FAA">
        <w:rPr>
          <w:rFonts w:ascii="Times New Roman" w:eastAsia="Times New Roman" w:hAnsi="Times New Roman" w:cs="Times New Roman"/>
          <w:sz w:val="24"/>
        </w:rPr>
        <w:t>defendant has</w:t>
      </w:r>
      <w:r w:rsidR="00DB4193">
        <w:rPr>
          <w:rFonts w:ascii="Times New Roman" w:eastAsia="Times New Roman" w:hAnsi="Times New Roman" w:cs="Times New Roman"/>
          <w:sz w:val="24"/>
        </w:rPr>
        <w:t xml:space="preserve"> a logo or </w:t>
      </w:r>
      <w:r w:rsidR="00083B99">
        <w:rPr>
          <w:rFonts w:ascii="Times New Roman" w:eastAsia="Times New Roman" w:hAnsi="Times New Roman" w:cs="Times New Roman"/>
          <w:sz w:val="24"/>
        </w:rPr>
        <w:t xml:space="preserve">that it </w:t>
      </w:r>
      <w:r w:rsidR="00DB4193">
        <w:rPr>
          <w:rFonts w:ascii="Times New Roman" w:eastAsia="Times New Roman" w:hAnsi="Times New Roman" w:cs="Times New Roman"/>
          <w:sz w:val="24"/>
        </w:rPr>
        <w:t xml:space="preserve">uses the acronym </w:t>
      </w:r>
      <w:r w:rsidR="00CD3096">
        <w:rPr>
          <w:rFonts w:ascii="Times New Roman" w:eastAsia="Times New Roman" w:hAnsi="Times New Roman" w:cs="Times New Roman"/>
          <w:sz w:val="24"/>
        </w:rPr>
        <w:t>“</w:t>
      </w:r>
      <w:r w:rsidR="00DB4193">
        <w:rPr>
          <w:rFonts w:ascii="Times New Roman" w:eastAsia="Times New Roman" w:hAnsi="Times New Roman" w:cs="Times New Roman"/>
          <w:sz w:val="24"/>
        </w:rPr>
        <w:t xml:space="preserve">Knight </w:t>
      </w:r>
      <w:r w:rsidR="00CD3096">
        <w:rPr>
          <w:rFonts w:ascii="Times New Roman" w:eastAsia="Times New Roman" w:hAnsi="Times New Roman" w:cs="Times New Roman"/>
          <w:sz w:val="24"/>
        </w:rPr>
        <w:t>Frank.”</w:t>
      </w:r>
    </w:p>
    <w:p w:rsidR="00982637" w:rsidRDefault="00083B99" w:rsidP="007E16ED">
      <w:pPr>
        <w:tabs>
          <w:tab w:val="left" w:pos="440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The</w:t>
      </w:r>
      <w:r w:rsidR="00DB4193">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contractual</w:t>
      </w:r>
      <w:r w:rsidR="00DB4193">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document</w:t>
      </w:r>
      <w:r w:rsidR="00086C89" w:rsidRPr="00086C89">
        <w:rPr>
          <w:rFonts w:ascii="Times New Roman" w:eastAsia="Times New Roman" w:hAnsi="Times New Roman" w:cs="Times New Roman"/>
          <w:sz w:val="24"/>
        </w:rPr>
        <w:t xml:space="preserve"> in</w:t>
      </w:r>
      <w:r w:rsidR="00086C89">
        <w:rPr>
          <w:rFonts w:ascii="Times New Roman" w:eastAsia="Times New Roman" w:hAnsi="Times New Roman" w:cs="Times New Roman"/>
          <w:sz w:val="24"/>
        </w:rPr>
        <w:t xml:space="preserve"> </w:t>
      </w:r>
      <w:r w:rsidR="00DB4193">
        <w:rPr>
          <w:rFonts w:ascii="Times New Roman" w:eastAsia="Times New Roman" w:hAnsi="Times New Roman" w:cs="Times New Roman"/>
          <w:sz w:val="24"/>
        </w:rPr>
        <w:t>terms of which the valuation reports were prepared was executed between the plaintiff and Knight Frank Zimbabwe. The terms of reference for the valuation were given to Mr Mazarire in his capacity as the senior pa</w:t>
      </w:r>
      <w:r>
        <w:rPr>
          <w:rFonts w:ascii="Times New Roman" w:eastAsia="Times New Roman" w:hAnsi="Times New Roman" w:cs="Times New Roman"/>
          <w:sz w:val="24"/>
        </w:rPr>
        <w:t>rtner of Knight Frank Zimbabwe.</w:t>
      </w:r>
      <w:r w:rsidR="00A9765E">
        <w:rPr>
          <w:rFonts w:ascii="Times New Roman" w:eastAsia="Times New Roman" w:hAnsi="Times New Roman" w:cs="Times New Roman"/>
          <w:sz w:val="24"/>
        </w:rPr>
        <w:t xml:space="preserve"> </w:t>
      </w:r>
      <w:r>
        <w:rPr>
          <w:rFonts w:ascii="Times New Roman" w:eastAsia="Times New Roman" w:hAnsi="Times New Roman" w:cs="Times New Roman"/>
          <w:sz w:val="24"/>
        </w:rPr>
        <w:t>I</w:t>
      </w:r>
      <w:r w:rsidR="00DB4193">
        <w:rPr>
          <w:rFonts w:ascii="Times New Roman" w:eastAsia="Times New Roman" w:hAnsi="Times New Roman" w:cs="Times New Roman"/>
          <w:sz w:val="24"/>
        </w:rPr>
        <w:t xml:space="preserve">t is unlikely that the plaintiff considered that Mr Mazarire was a partner in a private limited company. It is </w:t>
      </w:r>
      <w:r w:rsidR="000D0FAA">
        <w:rPr>
          <w:rFonts w:ascii="Times New Roman" w:eastAsia="Times New Roman" w:hAnsi="Times New Roman" w:cs="Times New Roman"/>
          <w:sz w:val="24"/>
        </w:rPr>
        <w:t>clear from</w:t>
      </w:r>
      <w:r w:rsidR="00DB4193">
        <w:rPr>
          <w:rFonts w:ascii="Times New Roman" w:eastAsia="Times New Roman" w:hAnsi="Times New Roman" w:cs="Times New Roman"/>
          <w:sz w:val="24"/>
        </w:rPr>
        <w:t xml:space="preserve"> the terms of engagement that the plaintiff was dealing with Knight Frank Zimbabwe. All correspondence from the valuers </w:t>
      </w:r>
      <w:r w:rsidR="000D0FAA">
        <w:rPr>
          <w:rFonts w:ascii="Times New Roman" w:eastAsia="Times New Roman" w:hAnsi="Times New Roman" w:cs="Times New Roman"/>
          <w:sz w:val="24"/>
        </w:rPr>
        <w:t>shows</w:t>
      </w:r>
      <w:r w:rsidR="00DB4193">
        <w:rPr>
          <w:rFonts w:ascii="Times New Roman" w:eastAsia="Times New Roman" w:hAnsi="Times New Roman" w:cs="Times New Roman"/>
          <w:sz w:val="24"/>
        </w:rPr>
        <w:t xml:space="preserve"> that the plaintiff was dealing with </w:t>
      </w:r>
      <w:r w:rsidR="000D0FAA">
        <w:rPr>
          <w:rFonts w:ascii="Times New Roman" w:eastAsia="Times New Roman" w:hAnsi="Times New Roman" w:cs="Times New Roman"/>
          <w:sz w:val="24"/>
        </w:rPr>
        <w:t>the</w:t>
      </w:r>
      <w:r w:rsidR="007C131A">
        <w:rPr>
          <w:rFonts w:ascii="Times New Roman" w:eastAsia="Times New Roman" w:hAnsi="Times New Roman" w:cs="Times New Roman"/>
          <w:sz w:val="24"/>
        </w:rPr>
        <w:t xml:space="preserve"> P</w:t>
      </w:r>
      <w:r w:rsidR="00DB4193">
        <w:rPr>
          <w:rFonts w:ascii="Times New Roman" w:eastAsia="Times New Roman" w:hAnsi="Times New Roman" w:cs="Times New Roman"/>
          <w:sz w:val="24"/>
        </w:rPr>
        <w:t xml:space="preserve">artnership as they are signed by Knight Frank </w:t>
      </w:r>
      <w:r w:rsidR="000D0FAA">
        <w:rPr>
          <w:rFonts w:ascii="Times New Roman" w:eastAsia="Times New Roman" w:hAnsi="Times New Roman" w:cs="Times New Roman"/>
          <w:sz w:val="24"/>
        </w:rPr>
        <w:t xml:space="preserve">Zimbabwe. </w:t>
      </w:r>
      <w:r w:rsidR="00546AC2">
        <w:rPr>
          <w:rFonts w:ascii="Times New Roman" w:eastAsia="Times New Roman" w:hAnsi="Times New Roman" w:cs="Times New Roman"/>
          <w:sz w:val="24"/>
        </w:rPr>
        <w:t>The</w:t>
      </w:r>
      <w:r w:rsidR="007C131A">
        <w:rPr>
          <w:rFonts w:ascii="Times New Roman" w:eastAsia="Times New Roman" w:hAnsi="Times New Roman" w:cs="Times New Roman"/>
          <w:sz w:val="24"/>
        </w:rPr>
        <w:t xml:space="preserve"> last paragraph of the letter  </w:t>
      </w:r>
      <w:r w:rsidR="00546AC2">
        <w:rPr>
          <w:rFonts w:ascii="Times New Roman" w:eastAsia="Times New Roman" w:hAnsi="Times New Roman" w:cs="Times New Roman"/>
          <w:sz w:val="24"/>
        </w:rPr>
        <w:t xml:space="preserve">written by the </w:t>
      </w:r>
      <w:r>
        <w:rPr>
          <w:rFonts w:ascii="Times New Roman" w:eastAsia="Times New Roman" w:hAnsi="Times New Roman" w:cs="Times New Roman"/>
          <w:sz w:val="24"/>
        </w:rPr>
        <w:t xml:space="preserve">defendant </w:t>
      </w:r>
      <w:r w:rsidR="00546AC2">
        <w:rPr>
          <w:rFonts w:ascii="Times New Roman" w:eastAsia="Times New Roman" w:hAnsi="Times New Roman" w:cs="Times New Roman"/>
          <w:sz w:val="24"/>
        </w:rPr>
        <w:t xml:space="preserve"> after commission of the valuation states in the last paragraph, “Thank you for instructing Knight Frank Zimbabwe.''  </w:t>
      </w:r>
      <w:r w:rsidR="000D0FAA">
        <w:rPr>
          <w:rFonts w:ascii="Times New Roman" w:eastAsia="Times New Roman" w:hAnsi="Times New Roman" w:cs="Times New Roman"/>
          <w:sz w:val="24"/>
        </w:rPr>
        <w:t>Here is</w:t>
      </w:r>
      <w:r w:rsidR="00765EB7">
        <w:rPr>
          <w:rFonts w:ascii="Times New Roman" w:eastAsia="Times New Roman" w:hAnsi="Times New Roman" w:cs="Times New Roman"/>
          <w:sz w:val="24"/>
        </w:rPr>
        <w:t xml:space="preserve"> a clear indication from the P</w:t>
      </w:r>
      <w:r w:rsidR="00DB4193">
        <w:rPr>
          <w:rFonts w:ascii="Times New Roman" w:eastAsia="Times New Roman" w:hAnsi="Times New Roman" w:cs="Times New Roman"/>
          <w:sz w:val="24"/>
        </w:rPr>
        <w:t>artnership that it is the</w:t>
      </w:r>
      <w:r>
        <w:rPr>
          <w:rFonts w:ascii="Times New Roman" w:eastAsia="Times New Roman" w:hAnsi="Times New Roman" w:cs="Times New Roman"/>
          <w:sz w:val="24"/>
        </w:rPr>
        <w:t xml:space="preserve"> entity</w:t>
      </w:r>
      <w:r w:rsidR="00DB4193">
        <w:rPr>
          <w:rFonts w:ascii="Times New Roman" w:eastAsia="Times New Roman" w:hAnsi="Times New Roman" w:cs="Times New Roman"/>
          <w:sz w:val="24"/>
        </w:rPr>
        <w:t xml:space="preserve"> that was carrying </w:t>
      </w:r>
      <w:r w:rsidR="000D0FAA">
        <w:rPr>
          <w:rFonts w:ascii="Times New Roman" w:eastAsia="Times New Roman" w:hAnsi="Times New Roman" w:cs="Times New Roman"/>
          <w:sz w:val="24"/>
        </w:rPr>
        <w:t>out the</w:t>
      </w:r>
      <w:r w:rsidR="00DB4193">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valuation. Clause</w:t>
      </w:r>
      <w:r w:rsidR="00DB4193">
        <w:rPr>
          <w:rFonts w:ascii="Times New Roman" w:eastAsia="Times New Roman" w:hAnsi="Times New Roman" w:cs="Times New Roman"/>
          <w:sz w:val="24"/>
        </w:rPr>
        <w:t xml:space="preserve"> 3.2 </w:t>
      </w:r>
      <w:r w:rsidR="000D0FAA">
        <w:rPr>
          <w:rFonts w:ascii="Times New Roman" w:eastAsia="Times New Roman" w:hAnsi="Times New Roman" w:cs="Times New Roman"/>
          <w:sz w:val="24"/>
        </w:rPr>
        <w:t>of the</w:t>
      </w:r>
      <w:r w:rsidR="00DB4193">
        <w:rPr>
          <w:rFonts w:ascii="Times New Roman" w:eastAsia="Times New Roman" w:hAnsi="Times New Roman" w:cs="Times New Roman"/>
          <w:sz w:val="24"/>
        </w:rPr>
        <w:t xml:space="preserve"> general terms of business for the </w:t>
      </w:r>
      <w:r w:rsidR="000D0FAA">
        <w:rPr>
          <w:rFonts w:ascii="Times New Roman" w:eastAsia="Times New Roman" w:hAnsi="Times New Roman" w:cs="Times New Roman"/>
          <w:sz w:val="24"/>
        </w:rPr>
        <w:t>valuation</w:t>
      </w:r>
      <w:r w:rsidR="00DB4193">
        <w:rPr>
          <w:rFonts w:ascii="Times New Roman" w:eastAsia="Times New Roman" w:hAnsi="Times New Roman" w:cs="Times New Roman"/>
          <w:sz w:val="24"/>
        </w:rPr>
        <w:t xml:space="preserve"> is </w:t>
      </w:r>
      <w:r w:rsidR="000D0FAA">
        <w:rPr>
          <w:rFonts w:ascii="Times New Roman" w:eastAsia="Times New Roman" w:hAnsi="Times New Roman" w:cs="Times New Roman"/>
          <w:sz w:val="24"/>
        </w:rPr>
        <w:t>explicit that in</w:t>
      </w:r>
      <w:r w:rsidR="00DB4193">
        <w:rPr>
          <w:rFonts w:ascii="Times New Roman" w:eastAsia="Times New Roman" w:hAnsi="Times New Roman" w:cs="Times New Roman"/>
          <w:sz w:val="24"/>
        </w:rPr>
        <w:t xml:space="preserve"> the event </w:t>
      </w:r>
      <w:r w:rsidR="000D0FAA">
        <w:rPr>
          <w:rFonts w:ascii="Times New Roman" w:eastAsia="Times New Roman" w:hAnsi="Times New Roman" w:cs="Times New Roman"/>
          <w:sz w:val="24"/>
        </w:rPr>
        <w:t>of error</w:t>
      </w:r>
      <w:r w:rsidR="00DB4193">
        <w:rPr>
          <w:rFonts w:ascii="Times New Roman" w:eastAsia="Times New Roman" w:hAnsi="Times New Roman" w:cs="Times New Roman"/>
          <w:sz w:val="24"/>
        </w:rPr>
        <w:t xml:space="preserve"> or mistake on the valuation report, the plaintiff must bring a claim against the </w:t>
      </w:r>
      <w:r w:rsidR="00765EB7">
        <w:rPr>
          <w:rFonts w:ascii="Times New Roman" w:eastAsia="Times New Roman" w:hAnsi="Times New Roman" w:cs="Times New Roman"/>
          <w:sz w:val="24"/>
        </w:rPr>
        <w:t>P</w:t>
      </w:r>
      <w:r w:rsidR="000D0FAA">
        <w:rPr>
          <w:rFonts w:ascii="Times New Roman" w:eastAsia="Times New Roman" w:hAnsi="Times New Roman" w:cs="Times New Roman"/>
          <w:sz w:val="24"/>
        </w:rPr>
        <w:t>artnership. That</w:t>
      </w:r>
      <w:r w:rsidR="00DB4193">
        <w:rPr>
          <w:rFonts w:ascii="Times New Roman" w:eastAsia="Times New Roman" w:hAnsi="Times New Roman" w:cs="Times New Roman"/>
          <w:sz w:val="24"/>
        </w:rPr>
        <w:t xml:space="preserve"> </w:t>
      </w:r>
      <w:r w:rsidR="005866E6">
        <w:rPr>
          <w:rFonts w:ascii="Times New Roman" w:eastAsia="Times New Roman" w:hAnsi="Times New Roman" w:cs="Times New Roman"/>
          <w:sz w:val="24"/>
        </w:rPr>
        <w:t xml:space="preserve">clause </w:t>
      </w:r>
      <w:r w:rsidR="00DB4193">
        <w:rPr>
          <w:rFonts w:ascii="Times New Roman" w:eastAsia="Times New Roman" w:hAnsi="Times New Roman" w:cs="Times New Roman"/>
          <w:sz w:val="24"/>
        </w:rPr>
        <w:t>was not complied with.</w:t>
      </w:r>
      <w:r w:rsidR="007E16ED">
        <w:rPr>
          <w:rFonts w:ascii="Times New Roman" w:eastAsia="Times New Roman" w:hAnsi="Times New Roman" w:cs="Times New Roman"/>
          <w:sz w:val="24"/>
        </w:rPr>
        <w:t xml:space="preserve"> </w:t>
      </w:r>
    </w:p>
    <w:p w:rsidR="0068442D" w:rsidRDefault="00982637" w:rsidP="007E16ED">
      <w:pPr>
        <w:tabs>
          <w:tab w:val="left" w:pos="440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C131A">
        <w:rPr>
          <w:rFonts w:ascii="Times New Roman" w:eastAsia="Times New Roman" w:hAnsi="Times New Roman" w:cs="Times New Roman"/>
          <w:sz w:val="24"/>
        </w:rPr>
        <w:t xml:space="preserve">The letter of demand </w:t>
      </w:r>
      <w:r w:rsidR="00DB4193">
        <w:rPr>
          <w:rFonts w:ascii="Times New Roman" w:eastAsia="Times New Roman" w:hAnsi="Times New Roman" w:cs="Times New Roman"/>
          <w:sz w:val="24"/>
        </w:rPr>
        <w:t xml:space="preserve">from the plaintiff at p 163 of </w:t>
      </w:r>
      <w:r w:rsidR="0004415E">
        <w:rPr>
          <w:rFonts w:ascii="Times New Roman" w:eastAsia="Times New Roman" w:hAnsi="Times New Roman" w:cs="Times New Roman"/>
          <w:sz w:val="24"/>
        </w:rPr>
        <w:t>the plaintiff’s</w:t>
      </w:r>
      <w:r w:rsidR="00DB4193">
        <w:rPr>
          <w:rFonts w:ascii="Times New Roman" w:eastAsia="Times New Roman" w:hAnsi="Times New Roman" w:cs="Times New Roman"/>
          <w:sz w:val="24"/>
        </w:rPr>
        <w:t xml:space="preserve"> bundle of documents gives the impression </w:t>
      </w:r>
      <w:r w:rsidR="000D0FAA">
        <w:rPr>
          <w:rFonts w:ascii="Times New Roman" w:eastAsia="Times New Roman" w:hAnsi="Times New Roman" w:cs="Times New Roman"/>
          <w:sz w:val="24"/>
        </w:rPr>
        <w:t>that the</w:t>
      </w:r>
      <w:r w:rsidR="00DB4193">
        <w:rPr>
          <w:rFonts w:ascii="Times New Roman" w:eastAsia="Times New Roman" w:hAnsi="Times New Roman" w:cs="Times New Roman"/>
          <w:sz w:val="24"/>
        </w:rPr>
        <w:t xml:space="preserve"> plaintiff </w:t>
      </w:r>
      <w:r w:rsidR="000D0FAA">
        <w:rPr>
          <w:rFonts w:ascii="Times New Roman" w:eastAsia="Times New Roman" w:hAnsi="Times New Roman" w:cs="Times New Roman"/>
          <w:sz w:val="24"/>
        </w:rPr>
        <w:t>dealt with</w:t>
      </w:r>
      <w:r w:rsidR="00DB4193">
        <w:rPr>
          <w:rFonts w:ascii="Times New Roman" w:eastAsia="Times New Roman" w:hAnsi="Times New Roman" w:cs="Times New Roman"/>
          <w:sz w:val="24"/>
        </w:rPr>
        <w:t xml:space="preserve"> </w:t>
      </w:r>
      <w:r w:rsidR="00765EB7">
        <w:rPr>
          <w:rFonts w:ascii="Times New Roman" w:eastAsia="Times New Roman" w:hAnsi="Times New Roman" w:cs="Times New Roman"/>
          <w:sz w:val="24"/>
        </w:rPr>
        <w:t>the P</w:t>
      </w:r>
      <w:r w:rsidR="000D0FAA">
        <w:rPr>
          <w:rFonts w:ascii="Times New Roman" w:eastAsia="Times New Roman" w:hAnsi="Times New Roman" w:cs="Times New Roman"/>
          <w:sz w:val="24"/>
        </w:rPr>
        <w:t>artnership</w:t>
      </w:r>
      <w:r w:rsidR="00DB4193">
        <w:rPr>
          <w:rFonts w:ascii="Times New Roman" w:eastAsia="Times New Roman" w:hAnsi="Times New Roman" w:cs="Times New Roman"/>
          <w:sz w:val="24"/>
        </w:rPr>
        <w:t xml:space="preserve">.  The </w:t>
      </w:r>
      <w:r w:rsidR="000D0FAA">
        <w:rPr>
          <w:rFonts w:ascii="Times New Roman" w:eastAsia="Times New Roman" w:hAnsi="Times New Roman" w:cs="Times New Roman"/>
          <w:sz w:val="24"/>
        </w:rPr>
        <w:t>letter is</w:t>
      </w:r>
      <w:r w:rsidR="00DB4193">
        <w:rPr>
          <w:rFonts w:ascii="Times New Roman" w:eastAsia="Times New Roman" w:hAnsi="Times New Roman" w:cs="Times New Roman"/>
          <w:sz w:val="24"/>
        </w:rPr>
        <w:t xml:space="preserve"> addressed to “The Senior </w:t>
      </w:r>
      <w:r w:rsidR="00730FA8">
        <w:rPr>
          <w:rFonts w:ascii="Times New Roman" w:eastAsia="Times New Roman" w:hAnsi="Times New Roman" w:cs="Times New Roman"/>
          <w:sz w:val="24"/>
        </w:rPr>
        <w:t>Partner Knight Frank Zimbabwe.”</w:t>
      </w:r>
      <w:r w:rsidR="005364C2">
        <w:rPr>
          <w:rFonts w:ascii="Times New Roman" w:eastAsia="Times New Roman" w:hAnsi="Times New Roman" w:cs="Times New Roman"/>
          <w:sz w:val="24"/>
        </w:rPr>
        <w:t xml:space="preserve"> </w:t>
      </w:r>
      <w:r w:rsidR="00DB4193">
        <w:rPr>
          <w:rFonts w:ascii="Times New Roman" w:eastAsia="Times New Roman" w:hAnsi="Times New Roman" w:cs="Times New Roman"/>
          <w:sz w:val="24"/>
        </w:rPr>
        <w:t xml:space="preserve">The plaintiff has not explained why the letter was </w:t>
      </w:r>
      <w:r w:rsidR="000D0FAA">
        <w:rPr>
          <w:rFonts w:ascii="Times New Roman" w:eastAsia="Times New Roman" w:hAnsi="Times New Roman" w:cs="Times New Roman"/>
          <w:sz w:val="24"/>
        </w:rPr>
        <w:t>addressed to</w:t>
      </w:r>
      <w:r w:rsidR="00DB4193">
        <w:rPr>
          <w:rFonts w:ascii="Times New Roman" w:eastAsia="Times New Roman" w:hAnsi="Times New Roman" w:cs="Times New Roman"/>
          <w:sz w:val="24"/>
        </w:rPr>
        <w:t xml:space="preserve"> the partnership </w:t>
      </w:r>
      <w:r w:rsidR="000D0FAA">
        <w:rPr>
          <w:rFonts w:ascii="Times New Roman" w:eastAsia="Times New Roman" w:hAnsi="Times New Roman" w:cs="Times New Roman"/>
          <w:sz w:val="24"/>
        </w:rPr>
        <w:t>if the</w:t>
      </w:r>
      <w:r w:rsidR="00DB4193">
        <w:rPr>
          <w:rFonts w:ascii="Times New Roman" w:eastAsia="Times New Roman" w:hAnsi="Times New Roman" w:cs="Times New Roman"/>
          <w:sz w:val="24"/>
        </w:rPr>
        <w:t xml:space="preserve"> erroneous valuation had been </w:t>
      </w:r>
      <w:r w:rsidR="000D0FAA">
        <w:rPr>
          <w:rFonts w:ascii="Times New Roman" w:eastAsia="Times New Roman" w:hAnsi="Times New Roman" w:cs="Times New Roman"/>
          <w:sz w:val="24"/>
        </w:rPr>
        <w:t>carried</w:t>
      </w:r>
      <w:r w:rsidR="00DB4193">
        <w:rPr>
          <w:rFonts w:ascii="Times New Roman" w:eastAsia="Times New Roman" w:hAnsi="Times New Roman" w:cs="Times New Roman"/>
          <w:sz w:val="24"/>
        </w:rPr>
        <w:t xml:space="preserve"> out by the </w:t>
      </w:r>
      <w:r w:rsidR="0004415E">
        <w:rPr>
          <w:rFonts w:ascii="Times New Roman" w:eastAsia="Times New Roman" w:hAnsi="Times New Roman" w:cs="Times New Roman"/>
          <w:sz w:val="24"/>
        </w:rPr>
        <w:t>defendant. The</w:t>
      </w:r>
      <w:r w:rsidR="00DB4193">
        <w:rPr>
          <w:rFonts w:ascii="Times New Roman" w:eastAsia="Times New Roman" w:hAnsi="Times New Roman" w:cs="Times New Roman"/>
          <w:sz w:val="24"/>
        </w:rPr>
        <w:t xml:space="preserve"> allegation in that letter was that the valuation had been carried out by the Partnership. The plaintiff threatened to institute proceedings against the Partnership. The plaintiff proceeded from the premise that the report had been prepared by Knight Frank Zimbabwe. Suddenly in its summons, it sues the defendant. There is no explanation for the sudden change in focus</w:t>
      </w:r>
      <w:r w:rsidR="004F37C0">
        <w:rPr>
          <w:rFonts w:ascii="Times New Roman" w:eastAsia="Times New Roman" w:hAnsi="Times New Roman" w:cs="Times New Roman"/>
          <w:sz w:val="24"/>
        </w:rPr>
        <w:t xml:space="preserve"> and </w:t>
      </w:r>
      <w:r w:rsidR="00086C89">
        <w:rPr>
          <w:rFonts w:ascii="Times New Roman" w:eastAsia="Times New Roman" w:hAnsi="Times New Roman" w:cs="Times New Roman"/>
          <w:sz w:val="24"/>
        </w:rPr>
        <w:t xml:space="preserve">why </w:t>
      </w:r>
      <w:r w:rsidR="000D0FAA">
        <w:rPr>
          <w:rFonts w:ascii="Times New Roman" w:eastAsia="Times New Roman" w:hAnsi="Times New Roman" w:cs="Times New Roman"/>
          <w:sz w:val="24"/>
        </w:rPr>
        <w:t>summons was eventually issued against the defendant as opposed to Knight Frank Zimbabwe as per the general terms of business and the fact that the valuation had clearly been done by</w:t>
      </w:r>
      <w:r w:rsidR="00765EB7">
        <w:rPr>
          <w:rFonts w:ascii="Times New Roman" w:eastAsia="Times New Roman" w:hAnsi="Times New Roman" w:cs="Times New Roman"/>
          <w:sz w:val="24"/>
        </w:rPr>
        <w:t xml:space="preserve"> the P</w:t>
      </w:r>
      <w:r w:rsidR="000D0FAA">
        <w:rPr>
          <w:rFonts w:ascii="Times New Roman" w:eastAsia="Times New Roman" w:hAnsi="Times New Roman" w:cs="Times New Roman"/>
          <w:sz w:val="24"/>
        </w:rPr>
        <w:t>artnership.</w:t>
      </w:r>
      <w:r w:rsidR="00FD1B65">
        <w:rPr>
          <w:rFonts w:ascii="Times New Roman" w:eastAsia="Times New Roman" w:hAnsi="Times New Roman" w:cs="Times New Roman"/>
          <w:sz w:val="24"/>
        </w:rPr>
        <w:t xml:space="preserve"> </w:t>
      </w:r>
      <w:r w:rsidR="00730FA8">
        <w:rPr>
          <w:rFonts w:ascii="Times New Roman" w:eastAsia="Times New Roman" w:hAnsi="Times New Roman" w:cs="Times New Roman"/>
          <w:sz w:val="24"/>
        </w:rPr>
        <w:t>The P</w:t>
      </w:r>
      <w:r w:rsidR="00DB4193">
        <w:rPr>
          <w:rFonts w:ascii="Times New Roman" w:eastAsia="Times New Roman" w:hAnsi="Times New Roman" w:cs="Times New Roman"/>
          <w:sz w:val="24"/>
        </w:rPr>
        <w:t xml:space="preserve">artnership is the entity that is registered as a valuer and always gave out that it is the one carrying out the </w:t>
      </w:r>
      <w:r w:rsidR="000D0FAA">
        <w:rPr>
          <w:rFonts w:ascii="Times New Roman" w:eastAsia="Times New Roman" w:hAnsi="Times New Roman" w:cs="Times New Roman"/>
          <w:sz w:val="24"/>
        </w:rPr>
        <w:t xml:space="preserve">valuation. If the </w:t>
      </w:r>
      <w:r w:rsidR="000D0FAA">
        <w:rPr>
          <w:rFonts w:ascii="Times New Roman" w:eastAsia="Times New Roman" w:hAnsi="Times New Roman" w:cs="Times New Roman"/>
          <w:sz w:val="24"/>
        </w:rPr>
        <w:lastRenderedPageBreak/>
        <w:t>plaintiff was</w:t>
      </w:r>
      <w:r w:rsidR="00DB4193">
        <w:rPr>
          <w:rFonts w:ascii="Times New Roman" w:eastAsia="Times New Roman" w:hAnsi="Times New Roman" w:cs="Times New Roman"/>
          <w:sz w:val="24"/>
        </w:rPr>
        <w:t xml:space="preserve"> confused about the identity of the valuer, such did not emanate from the </w:t>
      </w:r>
      <w:r w:rsidR="000D0FAA">
        <w:rPr>
          <w:rFonts w:ascii="Times New Roman" w:eastAsia="Times New Roman" w:hAnsi="Times New Roman" w:cs="Times New Roman"/>
          <w:sz w:val="24"/>
        </w:rPr>
        <w:t>defenda</w:t>
      </w:r>
      <w:r w:rsidR="004F37C0">
        <w:rPr>
          <w:rFonts w:ascii="Times New Roman" w:eastAsia="Times New Roman" w:hAnsi="Times New Roman" w:cs="Times New Roman"/>
          <w:sz w:val="24"/>
        </w:rPr>
        <w:t>n</w:t>
      </w:r>
      <w:r w:rsidR="000D0FAA">
        <w:rPr>
          <w:rFonts w:ascii="Times New Roman" w:eastAsia="Times New Roman" w:hAnsi="Times New Roman" w:cs="Times New Roman"/>
          <w:sz w:val="24"/>
        </w:rPr>
        <w:t>t. The</w:t>
      </w:r>
      <w:r w:rsidR="00DB4193">
        <w:rPr>
          <w:rFonts w:ascii="Times New Roman" w:eastAsia="Times New Roman" w:hAnsi="Times New Roman" w:cs="Times New Roman"/>
          <w:sz w:val="24"/>
        </w:rPr>
        <w:t xml:space="preserve"> plaintiff c</w:t>
      </w:r>
      <w:r w:rsidR="00765EB7">
        <w:rPr>
          <w:rFonts w:ascii="Times New Roman" w:eastAsia="Times New Roman" w:hAnsi="Times New Roman" w:cs="Times New Roman"/>
          <w:sz w:val="24"/>
        </w:rPr>
        <w:t>hose instead to argue that the P</w:t>
      </w:r>
      <w:r w:rsidR="00DB4193">
        <w:rPr>
          <w:rFonts w:ascii="Times New Roman" w:eastAsia="Times New Roman" w:hAnsi="Times New Roman" w:cs="Times New Roman"/>
          <w:sz w:val="24"/>
        </w:rPr>
        <w:t xml:space="preserve">artnership and the defendant </w:t>
      </w:r>
      <w:r w:rsidR="000D0FAA">
        <w:rPr>
          <w:rFonts w:ascii="Times New Roman" w:eastAsia="Times New Roman" w:hAnsi="Times New Roman" w:cs="Times New Roman"/>
          <w:sz w:val="24"/>
        </w:rPr>
        <w:t>constitute</w:t>
      </w:r>
      <w:r w:rsidR="00DB4193">
        <w:rPr>
          <w:rFonts w:ascii="Times New Roman" w:eastAsia="Times New Roman" w:hAnsi="Times New Roman" w:cs="Times New Roman"/>
          <w:sz w:val="24"/>
        </w:rPr>
        <w:t xml:space="preserve"> one economic entity.</w:t>
      </w:r>
    </w:p>
    <w:p w:rsidR="0096115E" w:rsidRDefault="008F1DCE">
      <w:pPr>
        <w:spacing w:after="0" w:line="360" w:lineRule="auto"/>
        <w:jc w:val="both"/>
        <w:rPr>
          <w:rFonts w:ascii="Times New Roman" w:eastAsia="Calibri" w:hAnsi="Times New Roman" w:cs="Times New Roman"/>
          <w:sz w:val="24"/>
        </w:rPr>
      </w:pPr>
      <w:r>
        <w:rPr>
          <w:rFonts w:ascii="Times New Roman" w:eastAsia="Times New Roman" w:hAnsi="Times New Roman" w:cs="Times New Roman"/>
          <w:sz w:val="24"/>
        </w:rPr>
        <w:t xml:space="preserve">          </w:t>
      </w:r>
      <w:r w:rsidR="00456B48">
        <w:rPr>
          <w:rFonts w:ascii="Times New Roman" w:eastAsia="Times New Roman" w:hAnsi="Times New Roman" w:cs="Times New Roman"/>
          <w:sz w:val="24"/>
        </w:rPr>
        <w:t xml:space="preserve">There was no evidence showing </w:t>
      </w:r>
      <w:r w:rsidR="00DB4193">
        <w:rPr>
          <w:rFonts w:ascii="Times New Roman" w:eastAsia="Times New Roman" w:hAnsi="Times New Roman" w:cs="Times New Roman"/>
          <w:sz w:val="24"/>
        </w:rPr>
        <w:t>that the defendant is operating or carrying out any economic activities together with</w:t>
      </w:r>
      <w:r w:rsidR="0096115E">
        <w:rPr>
          <w:rFonts w:ascii="Times New Roman" w:eastAsia="Times New Roman" w:hAnsi="Times New Roman" w:cs="Times New Roman"/>
          <w:sz w:val="24"/>
        </w:rPr>
        <w:t xml:space="preserve"> or of </w:t>
      </w:r>
      <w:r w:rsidR="00DB4193">
        <w:rPr>
          <w:rFonts w:ascii="Times New Roman" w:eastAsia="Times New Roman" w:hAnsi="Times New Roman" w:cs="Times New Roman"/>
          <w:sz w:val="24"/>
        </w:rPr>
        <w:t>the Partnership</w:t>
      </w:r>
      <w:r w:rsidR="000D0FAA">
        <w:rPr>
          <w:rFonts w:ascii="Times New Roman" w:eastAsia="Times New Roman" w:hAnsi="Times New Roman" w:cs="Times New Roman"/>
          <w:sz w:val="24"/>
        </w:rPr>
        <w:t>. The</w:t>
      </w:r>
      <w:r w:rsidR="00DB4193">
        <w:rPr>
          <w:rFonts w:ascii="Times New Roman" w:eastAsia="Times New Roman" w:hAnsi="Times New Roman" w:cs="Times New Roman"/>
          <w:sz w:val="24"/>
        </w:rPr>
        <w:t xml:space="preserve"> defendant failed to show </w:t>
      </w:r>
      <w:r w:rsidR="000D0FAA">
        <w:rPr>
          <w:rFonts w:ascii="Times New Roman" w:eastAsia="Times New Roman" w:hAnsi="Times New Roman" w:cs="Times New Roman"/>
          <w:sz w:val="24"/>
        </w:rPr>
        <w:t>that the</w:t>
      </w:r>
      <w:r w:rsidR="00DB4193">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two entities carry</w:t>
      </w:r>
      <w:r w:rsidR="00DB4193">
        <w:rPr>
          <w:rFonts w:ascii="Times New Roman" w:eastAsia="Times New Roman" w:hAnsi="Times New Roman" w:cs="Times New Roman"/>
          <w:sz w:val="24"/>
        </w:rPr>
        <w:t xml:space="preserve"> out any activities in common as the defendant was said not to be operating.</w:t>
      </w:r>
      <w:r w:rsidR="00DB4193">
        <w:rPr>
          <w:rFonts w:ascii="Calibri" w:eastAsia="Calibri" w:hAnsi="Calibri" w:cs="Calibri"/>
          <w:sz w:val="24"/>
        </w:rPr>
        <w:t xml:space="preserve"> </w:t>
      </w:r>
      <w:r w:rsidR="00DB4193">
        <w:rPr>
          <w:rFonts w:ascii="Times New Roman" w:eastAsia="Times New Roman" w:hAnsi="Times New Roman" w:cs="Times New Roman"/>
          <w:sz w:val="24"/>
        </w:rPr>
        <w:t xml:space="preserve">No connection or business affiliation has been shown to exist between the two </w:t>
      </w:r>
      <w:r w:rsidR="000D0FAA">
        <w:rPr>
          <w:rFonts w:ascii="Times New Roman" w:eastAsia="Times New Roman" w:hAnsi="Times New Roman" w:cs="Times New Roman"/>
          <w:sz w:val="24"/>
        </w:rPr>
        <w:t>entities. There</w:t>
      </w:r>
      <w:r w:rsidR="00DB4193">
        <w:rPr>
          <w:rFonts w:ascii="Times New Roman" w:eastAsia="Times New Roman" w:hAnsi="Times New Roman" w:cs="Times New Roman"/>
          <w:sz w:val="24"/>
        </w:rPr>
        <w:t xml:space="preserve"> are no business practices that </w:t>
      </w:r>
      <w:r w:rsidR="000D0FAA">
        <w:rPr>
          <w:rFonts w:ascii="Times New Roman" w:eastAsia="Times New Roman" w:hAnsi="Times New Roman" w:cs="Times New Roman"/>
          <w:sz w:val="24"/>
        </w:rPr>
        <w:t>exhibits that</w:t>
      </w:r>
      <w:r w:rsidR="00DB4193">
        <w:rPr>
          <w:rFonts w:ascii="Times New Roman" w:eastAsia="Times New Roman" w:hAnsi="Times New Roman" w:cs="Times New Roman"/>
          <w:sz w:val="24"/>
        </w:rPr>
        <w:t xml:space="preserve"> the companies constitute the same legal </w:t>
      </w:r>
      <w:r w:rsidR="000D0FAA">
        <w:rPr>
          <w:rFonts w:ascii="Times New Roman" w:eastAsia="Times New Roman" w:hAnsi="Times New Roman" w:cs="Times New Roman"/>
          <w:sz w:val="24"/>
        </w:rPr>
        <w:t>entity. The</w:t>
      </w:r>
      <w:r w:rsidR="00DB4193">
        <w:rPr>
          <w:rFonts w:ascii="Times New Roman" w:eastAsia="Times New Roman" w:hAnsi="Times New Roman" w:cs="Times New Roman"/>
          <w:sz w:val="24"/>
        </w:rPr>
        <w:t xml:space="preserve"> defendant sought to suggest that </w:t>
      </w:r>
      <w:r w:rsidR="00765EB7">
        <w:rPr>
          <w:rFonts w:ascii="Times New Roman" w:eastAsia="Calibri" w:hAnsi="Times New Roman" w:cs="Times New Roman"/>
          <w:sz w:val="24"/>
        </w:rPr>
        <w:t>because the P</w:t>
      </w:r>
      <w:r w:rsidR="00DB4193" w:rsidRPr="00730FA8">
        <w:rPr>
          <w:rFonts w:ascii="Times New Roman" w:eastAsia="Calibri" w:hAnsi="Times New Roman" w:cs="Times New Roman"/>
          <w:sz w:val="24"/>
        </w:rPr>
        <w:t xml:space="preserve">artnership </w:t>
      </w:r>
      <w:r w:rsidR="000D0FAA" w:rsidRPr="00730FA8">
        <w:rPr>
          <w:rFonts w:ascii="Times New Roman" w:eastAsia="Calibri" w:hAnsi="Times New Roman" w:cs="Times New Roman"/>
          <w:sz w:val="24"/>
        </w:rPr>
        <w:t>and</w:t>
      </w:r>
      <w:r w:rsidR="00DB4193" w:rsidRPr="00730FA8">
        <w:rPr>
          <w:rFonts w:ascii="Times New Roman" w:eastAsia="Calibri" w:hAnsi="Times New Roman" w:cs="Times New Roman"/>
          <w:sz w:val="24"/>
        </w:rPr>
        <w:t xml:space="preserve"> the </w:t>
      </w:r>
      <w:r w:rsidR="000D0FAA" w:rsidRPr="00730FA8">
        <w:rPr>
          <w:rFonts w:ascii="Times New Roman" w:eastAsia="Calibri" w:hAnsi="Times New Roman" w:cs="Times New Roman"/>
          <w:sz w:val="24"/>
        </w:rPr>
        <w:t>defendant</w:t>
      </w:r>
      <w:r w:rsidR="00DB4193">
        <w:rPr>
          <w:rFonts w:ascii="Calibri" w:eastAsia="Calibri" w:hAnsi="Calibri" w:cs="Calibri"/>
          <w:sz w:val="24"/>
        </w:rPr>
        <w:t xml:space="preserve"> </w:t>
      </w:r>
      <w:r w:rsidR="000D0FAA" w:rsidRPr="00730FA8">
        <w:rPr>
          <w:rFonts w:ascii="Times New Roman" w:eastAsia="Calibri" w:hAnsi="Times New Roman" w:cs="Times New Roman"/>
          <w:sz w:val="24"/>
        </w:rPr>
        <w:t>both</w:t>
      </w:r>
      <w:r w:rsidR="00DB4193" w:rsidRPr="00730FA8">
        <w:rPr>
          <w:rFonts w:ascii="Times New Roman" w:eastAsia="Calibri" w:hAnsi="Times New Roman" w:cs="Times New Roman"/>
          <w:sz w:val="24"/>
        </w:rPr>
        <w:t xml:space="preserve"> use the acronym and </w:t>
      </w:r>
      <w:r w:rsidR="00730FA8">
        <w:rPr>
          <w:rFonts w:ascii="Times New Roman" w:eastAsia="Calibri" w:hAnsi="Times New Roman" w:cs="Times New Roman"/>
          <w:sz w:val="24"/>
        </w:rPr>
        <w:t>logo “</w:t>
      </w:r>
      <w:r w:rsidR="000D0FAA" w:rsidRPr="00730FA8">
        <w:rPr>
          <w:rFonts w:ascii="Times New Roman" w:eastAsia="Calibri" w:hAnsi="Times New Roman" w:cs="Times New Roman"/>
          <w:sz w:val="24"/>
        </w:rPr>
        <w:t>Knight</w:t>
      </w:r>
      <w:r w:rsidR="00730FA8" w:rsidRPr="00730FA8">
        <w:rPr>
          <w:rFonts w:ascii="Times New Roman" w:eastAsia="Calibri" w:hAnsi="Times New Roman" w:cs="Times New Roman"/>
          <w:sz w:val="24"/>
        </w:rPr>
        <w:t xml:space="preserve"> Frank,”</w:t>
      </w:r>
      <w:r w:rsidR="00DB4193" w:rsidRPr="00730FA8">
        <w:rPr>
          <w:rFonts w:ascii="Times New Roman" w:eastAsia="Calibri" w:hAnsi="Times New Roman" w:cs="Times New Roman"/>
          <w:sz w:val="24"/>
        </w:rPr>
        <w:t xml:space="preserve"> they are the same economic </w:t>
      </w:r>
      <w:r w:rsidR="000D0FAA" w:rsidRPr="00730FA8">
        <w:rPr>
          <w:rFonts w:ascii="Times New Roman" w:eastAsia="Calibri" w:hAnsi="Times New Roman" w:cs="Times New Roman"/>
          <w:sz w:val="24"/>
        </w:rPr>
        <w:t>unit. The</w:t>
      </w:r>
      <w:r w:rsidR="00DB4193" w:rsidRPr="00730FA8">
        <w:rPr>
          <w:rFonts w:ascii="Times New Roman" w:eastAsia="Calibri" w:hAnsi="Times New Roman" w:cs="Times New Roman"/>
          <w:sz w:val="24"/>
        </w:rPr>
        <w:t xml:space="preserve"> allegation was left</w:t>
      </w:r>
      <w:r w:rsidR="00FC2AAE" w:rsidRPr="00730FA8">
        <w:rPr>
          <w:rFonts w:ascii="Times New Roman" w:eastAsia="Calibri" w:hAnsi="Times New Roman" w:cs="Times New Roman"/>
          <w:sz w:val="24"/>
        </w:rPr>
        <w:t xml:space="preserve"> </w:t>
      </w:r>
      <w:r w:rsidR="00031CF0" w:rsidRPr="00730FA8">
        <w:rPr>
          <w:rFonts w:ascii="Times New Roman" w:eastAsia="Calibri" w:hAnsi="Times New Roman" w:cs="Times New Roman"/>
          <w:sz w:val="24"/>
        </w:rPr>
        <w:t>unsubstantiated</w:t>
      </w:r>
      <w:r w:rsidR="00DB4193" w:rsidRPr="00730FA8">
        <w:rPr>
          <w:rFonts w:ascii="Times New Roman" w:eastAsia="Calibri" w:hAnsi="Times New Roman" w:cs="Times New Roman"/>
          <w:sz w:val="24"/>
        </w:rPr>
        <w:t>.</w:t>
      </w:r>
      <w:r w:rsidR="00FC2AAE" w:rsidRPr="00730FA8">
        <w:rPr>
          <w:rFonts w:ascii="Times New Roman" w:eastAsia="Calibri" w:hAnsi="Times New Roman" w:cs="Times New Roman"/>
          <w:sz w:val="24"/>
        </w:rPr>
        <w:t xml:space="preserve"> The plaintiff was required to establish that the defendant was organised or maintained as a device to evade legal obligations. That has not been successfully done. The ownership of the entities involved as well as the decision making structure of the entities does not support the proposition that the entities are a single economic entity. It is not c</w:t>
      </w:r>
      <w:r w:rsidR="00765EB7">
        <w:rPr>
          <w:rFonts w:ascii="Times New Roman" w:eastAsia="Calibri" w:hAnsi="Times New Roman" w:cs="Times New Roman"/>
          <w:sz w:val="24"/>
        </w:rPr>
        <w:t>orrect that all members of the P</w:t>
      </w:r>
      <w:r w:rsidR="00FC2AAE" w:rsidRPr="00730FA8">
        <w:rPr>
          <w:rFonts w:ascii="Times New Roman" w:eastAsia="Calibri" w:hAnsi="Times New Roman" w:cs="Times New Roman"/>
          <w:sz w:val="24"/>
        </w:rPr>
        <w:t>artnership are listed as directors of the defendant. Only two partners, Mr Mazarire and Mr Mtara are the directors of the defendant.</w:t>
      </w:r>
    </w:p>
    <w:p w:rsidR="00C37650" w:rsidRPr="00C37650" w:rsidRDefault="008F1DCE" w:rsidP="00F132D7">
      <w:pPr>
        <w:spacing w:after="0" w:line="360" w:lineRule="auto"/>
        <w:jc w:val="both"/>
        <w:rPr>
          <w:rFonts w:ascii="Times New Roman" w:eastAsia="Times New Roman" w:hAnsi="Times New Roman" w:cs="Times New Roman"/>
          <w:sz w:val="24"/>
        </w:rPr>
      </w:pPr>
      <w:r w:rsidRPr="00730FA8">
        <w:rPr>
          <w:rFonts w:ascii="Times New Roman" w:eastAsia="Calibri" w:hAnsi="Times New Roman" w:cs="Times New Roman"/>
          <w:sz w:val="24"/>
        </w:rPr>
        <w:t xml:space="preserve">           </w:t>
      </w:r>
      <w:r w:rsidR="00DB4193" w:rsidRPr="00730FA8">
        <w:rPr>
          <w:rFonts w:ascii="Times New Roman" w:eastAsia="Calibri" w:hAnsi="Times New Roman" w:cs="Times New Roman"/>
          <w:sz w:val="24"/>
        </w:rPr>
        <w:t xml:space="preserve"> It was not shown that the defendant has employees and specifically that it employs </w:t>
      </w:r>
      <w:r w:rsidR="000D0FAA" w:rsidRPr="00730FA8">
        <w:rPr>
          <w:rFonts w:ascii="Times New Roman" w:eastAsia="Calibri" w:hAnsi="Times New Roman" w:cs="Times New Roman"/>
          <w:sz w:val="24"/>
        </w:rPr>
        <w:t>valuers. The</w:t>
      </w:r>
      <w:r w:rsidR="00DB4193" w:rsidRPr="00730FA8">
        <w:rPr>
          <w:rFonts w:ascii="Times New Roman" w:eastAsia="Calibri" w:hAnsi="Times New Roman" w:cs="Times New Roman"/>
          <w:sz w:val="24"/>
        </w:rPr>
        <w:t xml:space="preserve"> defendant is not a valuer and cannot be accountable for the activities of a valuer.</w:t>
      </w:r>
      <w:r w:rsidR="00DB4193" w:rsidRPr="00730FA8">
        <w:rPr>
          <w:rFonts w:ascii="Times New Roman" w:eastAsia="Times New Roman" w:hAnsi="Times New Roman" w:cs="Times New Roman"/>
          <w:sz w:val="24"/>
        </w:rPr>
        <w:t xml:space="preserve"> </w:t>
      </w:r>
      <w:r w:rsidR="000D0FAA" w:rsidRPr="00730FA8">
        <w:rPr>
          <w:rFonts w:ascii="Times New Roman" w:eastAsia="Times New Roman" w:hAnsi="Times New Roman" w:cs="Times New Roman"/>
          <w:sz w:val="24"/>
        </w:rPr>
        <w:t xml:space="preserve">The fact that two entities share the same office does not make one accountable for the actions of the </w:t>
      </w:r>
      <w:r w:rsidR="00546AC2" w:rsidRPr="00730FA8">
        <w:rPr>
          <w:rFonts w:ascii="Times New Roman" w:eastAsia="Times New Roman" w:hAnsi="Times New Roman" w:cs="Times New Roman"/>
          <w:sz w:val="24"/>
        </w:rPr>
        <w:t>other.</w:t>
      </w:r>
      <w:r w:rsidR="00546AC2" w:rsidRPr="00730FA8">
        <w:rPr>
          <w:rFonts w:ascii="Times New Roman" w:eastAsia="Calibri" w:hAnsi="Times New Roman" w:cs="Times New Roman"/>
          <w:sz w:val="24"/>
        </w:rPr>
        <w:t xml:space="preserve"> It</w:t>
      </w:r>
      <w:r w:rsidR="000D0FAA" w:rsidRPr="00730FA8">
        <w:rPr>
          <w:rFonts w:ascii="Times New Roman" w:eastAsia="Calibri" w:hAnsi="Times New Roman" w:cs="Times New Roman"/>
          <w:sz w:val="24"/>
        </w:rPr>
        <w:t xml:space="preserve"> do</w:t>
      </w:r>
      <w:r w:rsidR="00546AC2" w:rsidRPr="00730FA8">
        <w:rPr>
          <w:rFonts w:ascii="Times New Roman" w:eastAsia="Calibri" w:hAnsi="Times New Roman" w:cs="Times New Roman"/>
          <w:sz w:val="24"/>
        </w:rPr>
        <w:t>es</w:t>
      </w:r>
      <w:r w:rsidR="000D0FAA" w:rsidRPr="00730FA8">
        <w:rPr>
          <w:rFonts w:ascii="Times New Roman" w:eastAsia="Calibri" w:hAnsi="Times New Roman" w:cs="Times New Roman"/>
          <w:sz w:val="24"/>
        </w:rPr>
        <w:t xml:space="preserve"> not make them one economic entity. </w:t>
      </w:r>
      <w:r w:rsidR="00DB4193" w:rsidRPr="00730FA8">
        <w:rPr>
          <w:rFonts w:ascii="Times New Roman" w:eastAsia="Times New Roman" w:hAnsi="Times New Roman" w:cs="Times New Roman"/>
          <w:sz w:val="24"/>
        </w:rPr>
        <w:t>No evidence was led on the business operations of the defendant to rebut evidence</w:t>
      </w:r>
      <w:r w:rsidR="00DB4193">
        <w:rPr>
          <w:rFonts w:ascii="Times New Roman" w:eastAsia="Times New Roman" w:hAnsi="Times New Roman" w:cs="Times New Roman"/>
          <w:sz w:val="24"/>
        </w:rPr>
        <w:t xml:space="preserve"> that the defendant is a dormant company, does </w:t>
      </w:r>
      <w:r w:rsidR="000D0FAA">
        <w:rPr>
          <w:rFonts w:ascii="Times New Roman" w:eastAsia="Times New Roman" w:hAnsi="Times New Roman" w:cs="Times New Roman"/>
          <w:sz w:val="24"/>
        </w:rPr>
        <w:t>not</w:t>
      </w:r>
      <w:r w:rsidR="00DB4193">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operate</w:t>
      </w:r>
      <w:r w:rsidR="00DB4193">
        <w:rPr>
          <w:rFonts w:ascii="Times New Roman" w:eastAsia="Times New Roman" w:hAnsi="Times New Roman" w:cs="Times New Roman"/>
          <w:sz w:val="24"/>
        </w:rPr>
        <w:t xml:space="preserve"> and hence does not do </w:t>
      </w:r>
      <w:r w:rsidR="000D0FAA">
        <w:rPr>
          <w:rFonts w:ascii="Times New Roman" w:eastAsia="Times New Roman" w:hAnsi="Times New Roman" w:cs="Times New Roman"/>
          <w:sz w:val="24"/>
        </w:rPr>
        <w:t>valuations</w:t>
      </w:r>
      <w:r w:rsidR="000D0FAA" w:rsidRPr="00730FA8">
        <w:rPr>
          <w:rFonts w:ascii="Times New Roman" w:eastAsia="Times New Roman" w:hAnsi="Times New Roman" w:cs="Times New Roman"/>
          <w:sz w:val="24"/>
        </w:rPr>
        <w:t>.</w:t>
      </w:r>
      <w:r w:rsidR="000D0FAA" w:rsidRPr="00730FA8">
        <w:rPr>
          <w:rFonts w:ascii="Times New Roman" w:eastAsia="Calibri" w:hAnsi="Times New Roman" w:cs="Times New Roman"/>
          <w:sz w:val="24"/>
        </w:rPr>
        <w:t xml:space="preserve"> </w:t>
      </w:r>
      <w:r w:rsidR="00F132D7" w:rsidRPr="00F132D7">
        <w:rPr>
          <w:rFonts w:ascii="Times New Roman" w:eastAsia="Calibri" w:hAnsi="Times New Roman" w:cs="Times New Roman"/>
          <w:sz w:val="24"/>
        </w:rPr>
        <w:t>Although the Declaration of Trust and Deed of Waiver suggests that the defendant does business when it refers to “other monies that may accrue,” the defence witness maintained that no monies have accrued so far. That assertion was not rebutted. The defendant is not a registered real estate or property valuer. It was not shown that it carries out any business operations. This in no way suggests that it is a sham.</w:t>
      </w:r>
      <w:r w:rsidR="004F37C0" w:rsidRPr="00730FA8">
        <w:rPr>
          <w:rFonts w:ascii="Times New Roman" w:eastAsia="Calibri" w:hAnsi="Times New Roman" w:cs="Times New Roman"/>
          <w:sz w:val="24"/>
        </w:rPr>
        <w:t xml:space="preserve"> It is not good enough for a party relying on the single economic doctrine to simply prove that two or more entities constitute one economic entity. </w:t>
      </w:r>
      <w:r w:rsidR="000D0FAA" w:rsidRPr="00730FA8">
        <w:rPr>
          <w:rFonts w:ascii="Times New Roman" w:eastAsia="Calibri" w:hAnsi="Times New Roman" w:cs="Times New Roman"/>
          <w:sz w:val="24"/>
        </w:rPr>
        <w:t>It is the activities and dealings of the two entities that make</w:t>
      </w:r>
      <w:r w:rsidR="004F37C0" w:rsidRPr="00730FA8">
        <w:rPr>
          <w:rFonts w:ascii="Times New Roman" w:eastAsia="Calibri" w:hAnsi="Times New Roman" w:cs="Times New Roman"/>
          <w:sz w:val="24"/>
        </w:rPr>
        <w:t xml:space="preserve"> them one single entity. Proof of ownership</w:t>
      </w:r>
      <w:r w:rsidR="00765EB7">
        <w:rPr>
          <w:rFonts w:ascii="Times New Roman" w:eastAsia="Calibri" w:hAnsi="Times New Roman" w:cs="Times New Roman"/>
          <w:sz w:val="24"/>
        </w:rPr>
        <w:t xml:space="preserve"> of a company is not in itself </w:t>
      </w:r>
      <w:r w:rsidR="004F37C0" w:rsidRPr="00730FA8">
        <w:rPr>
          <w:rFonts w:ascii="Times New Roman" w:eastAsia="Calibri" w:hAnsi="Times New Roman" w:cs="Times New Roman"/>
          <w:sz w:val="24"/>
        </w:rPr>
        <w:t>justification for lifting the corporate veil.</w:t>
      </w:r>
      <w:r w:rsidR="004F37C0" w:rsidRPr="00730FA8">
        <w:rPr>
          <w:rFonts w:ascii="Times New Roman" w:hAnsi="Times New Roman" w:cs="Times New Roman"/>
        </w:rPr>
        <w:t xml:space="preserve"> </w:t>
      </w:r>
      <w:r w:rsidR="007E16ED">
        <w:rPr>
          <w:rFonts w:ascii="Times New Roman" w:eastAsia="Calibri" w:hAnsi="Times New Roman" w:cs="Times New Roman"/>
          <w:sz w:val="24"/>
        </w:rPr>
        <w:t>I</w:t>
      </w:r>
      <w:r w:rsidR="004F37C0" w:rsidRPr="00730FA8">
        <w:rPr>
          <w:rFonts w:ascii="Times New Roman" w:eastAsia="Calibri" w:hAnsi="Times New Roman" w:cs="Times New Roman"/>
          <w:sz w:val="24"/>
        </w:rPr>
        <w:t>t m</w:t>
      </w:r>
      <w:r w:rsidR="0018779B">
        <w:rPr>
          <w:rFonts w:ascii="Times New Roman" w:eastAsia="Calibri" w:hAnsi="Times New Roman" w:cs="Times New Roman"/>
          <w:sz w:val="24"/>
        </w:rPr>
        <w:t xml:space="preserve">ust be shown that the entities </w:t>
      </w:r>
      <w:r w:rsidR="004F37C0" w:rsidRPr="00730FA8">
        <w:rPr>
          <w:rFonts w:ascii="Times New Roman" w:eastAsia="Calibri" w:hAnsi="Times New Roman" w:cs="Times New Roman"/>
          <w:sz w:val="24"/>
        </w:rPr>
        <w:t>are inextricably linked and indivisible. There has to be evidence of impropriety</w:t>
      </w:r>
      <w:r w:rsidR="00FF2B87" w:rsidRPr="00730FA8">
        <w:rPr>
          <w:rFonts w:ascii="Times New Roman" w:eastAsia="Calibri" w:hAnsi="Times New Roman" w:cs="Times New Roman"/>
          <w:sz w:val="24"/>
        </w:rPr>
        <w:t>, wrong doing or conduct that is</w:t>
      </w:r>
      <w:r w:rsidR="004F37C0" w:rsidRPr="00730FA8">
        <w:rPr>
          <w:rFonts w:ascii="Times New Roman" w:eastAsia="Calibri" w:hAnsi="Times New Roman" w:cs="Times New Roman"/>
          <w:sz w:val="24"/>
        </w:rPr>
        <w:t xml:space="preserve"> attributes to the entity complained against.</w:t>
      </w:r>
      <w:r w:rsidR="00101127" w:rsidRPr="00730FA8">
        <w:rPr>
          <w:rFonts w:ascii="Times New Roman" w:eastAsia="Calibri" w:hAnsi="Times New Roman" w:cs="Times New Roman"/>
          <w:sz w:val="24"/>
        </w:rPr>
        <w:t xml:space="preserve"> </w:t>
      </w:r>
      <w:r w:rsidR="00DB4193" w:rsidRPr="00730FA8">
        <w:rPr>
          <w:rFonts w:ascii="Times New Roman" w:eastAsia="Calibri" w:hAnsi="Times New Roman" w:cs="Times New Roman"/>
          <w:sz w:val="24"/>
        </w:rPr>
        <w:t xml:space="preserve">The </w:t>
      </w:r>
      <w:r w:rsidR="000D0FAA" w:rsidRPr="00730FA8">
        <w:rPr>
          <w:rFonts w:ascii="Times New Roman" w:eastAsia="Calibri" w:hAnsi="Times New Roman" w:cs="Times New Roman"/>
          <w:sz w:val="24"/>
        </w:rPr>
        <w:t>plaintiff</w:t>
      </w:r>
      <w:r w:rsidR="00DB4193" w:rsidRPr="00730FA8">
        <w:rPr>
          <w:rFonts w:ascii="Times New Roman" w:eastAsia="Calibri" w:hAnsi="Times New Roman" w:cs="Times New Roman"/>
          <w:sz w:val="24"/>
        </w:rPr>
        <w:t xml:space="preserve"> does not </w:t>
      </w:r>
      <w:r w:rsidR="000D0FAA" w:rsidRPr="00730FA8">
        <w:rPr>
          <w:rFonts w:ascii="Times New Roman" w:eastAsia="Calibri" w:hAnsi="Times New Roman" w:cs="Times New Roman"/>
          <w:sz w:val="24"/>
        </w:rPr>
        <w:t>allege any</w:t>
      </w:r>
      <w:r w:rsidR="00DB4193" w:rsidRPr="00730FA8">
        <w:rPr>
          <w:rFonts w:ascii="Times New Roman" w:eastAsia="Calibri" w:hAnsi="Times New Roman" w:cs="Times New Roman"/>
          <w:sz w:val="24"/>
        </w:rPr>
        <w:t xml:space="preserve"> fraud </w:t>
      </w:r>
      <w:r w:rsidR="000D0FAA" w:rsidRPr="00730FA8">
        <w:rPr>
          <w:rFonts w:ascii="Times New Roman" w:eastAsia="Calibri" w:hAnsi="Times New Roman" w:cs="Times New Roman"/>
          <w:sz w:val="24"/>
        </w:rPr>
        <w:t>deceit,</w:t>
      </w:r>
      <w:r w:rsidR="00DB4193" w:rsidRPr="00730FA8">
        <w:rPr>
          <w:rFonts w:ascii="Times New Roman" w:eastAsia="Calibri" w:hAnsi="Times New Roman" w:cs="Times New Roman"/>
          <w:sz w:val="24"/>
        </w:rPr>
        <w:t xml:space="preserve"> </w:t>
      </w:r>
      <w:r w:rsidR="00DB4193" w:rsidRPr="00730FA8">
        <w:rPr>
          <w:rFonts w:ascii="Times New Roman" w:eastAsia="Calibri" w:hAnsi="Times New Roman" w:cs="Times New Roman"/>
          <w:i/>
          <w:sz w:val="24"/>
        </w:rPr>
        <w:t xml:space="preserve">mala fides </w:t>
      </w:r>
      <w:r w:rsidR="00DB4193" w:rsidRPr="00730FA8">
        <w:rPr>
          <w:rFonts w:ascii="Times New Roman" w:eastAsia="Calibri" w:hAnsi="Times New Roman" w:cs="Times New Roman"/>
          <w:sz w:val="24"/>
        </w:rPr>
        <w:t>or other improper conduct on th</w:t>
      </w:r>
      <w:r w:rsidR="00765EB7">
        <w:rPr>
          <w:rFonts w:ascii="Times New Roman" w:eastAsia="Calibri" w:hAnsi="Times New Roman" w:cs="Times New Roman"/>
          <w:sz w:val="24"/>
        </w:rPr>
        <w:t>e part of the defendant or the P</w:t>
      </w:r>
      <w:r w:rsidR="00DB4193" w:rsidRPr="00730FA8">
        <w:rPr>
          <w:rFonts w:ascii="Times New Roman" w:eastAsia="Calibri" w:hAnsi="Times New Roman" w:cs="Times New Roman"/>
          <w:sz w:val="24"/>
        </w:rPr>
        <w:t xml:space="preserve">artnership in the </w:t>
      </w:r>
      <w:r w:rsidR="000D0FAA" w:rsidRPr="00730FA8">
        <w:rPr>
          <w:rFonts w:ascii="Times New Roman" w:eastAsia="Calibri" w:hAnsi="Times New Roman" w:cs="Times New Roman"/>
          <w:sz w:val="24"/>
        </w:rPr>
        <w:lastRenderedPageBreak/>
        <w:t>summons. A</w:t>
      </w:r>
      <w:r w:rsidR="00DB4193" w:rsidRPr="00730FA8">
        <w:rPr>
          <w:rFonts w:ascii="Times New Roman" w:eastAsia="Calibri" w:hAnsi="Times New Roman" w:cs="Times New Roman"/>
          <w:sz w:val="24"/>
        </w:rPr>
        <w:t xml:space="preserve"> party that seeks to rely on fraud is not only required to </w:t>
      </w:r>
      <w:r w:rsidR="000D0FAA" w:rsidRPr="00730FA8">
        <w:rPr>
          <w:rFonts w:ascii="Times New Roman" w:eastAsia="Calibri" w:hAnsi="Times New Roman" w:cs="Times New Roman"/>
          <w:sz w:val="24"/>
        </w:rPr>
        <w:t>plead fraud</w:t>
      </w:r>
      <w:r w:rsidR="00DB4193" w:rsidRPr="00730FA8">
        <w:rPr>
          <w:rFonts w:ascii="Times New Roman" w:eastAsia="Calibri" w:hAnsi="Times New Roman" w:cs="Times New Roman"/>
          <w:sz w:val="24"/>
        </w:rPr>
        <w:t xml:space="preserve">, it must also prove </w:t>
      </w:r>
      <w:r w:rsidR="000D0FAA" w:rsidRPr="00730FA8">
        <w:rPr>
          <w:rFonts w:ascii="Times New Roman" w:eastAsia="Calibri" w:hAnsi="Times New Roman" w:cs="Times New Roman"/>
          <w:sz w:val="24"/>
        </w:rPr>
        <w:t>it</w:t>
      </w:r>
      <w:r w:rsidR="00FF2B87" w:rsidRPr="00730FA8">
        <w:rPr>
          <w:rFonts w:ascii="Times New Roman" w:eastAsia="Calibri" w:hAnsi="Times New Roman" w:cs="Times New Roman"/>
          <w:sz w:val="24"/>
        </w:rPr>
        <w:t>.</w:t>
      </w:r>
      <w:r w:rsidR="00101127" w:rsidRPr="00730FA8">
        <w:rPr>
          <w:rFonts w:ascii="Times New Roman" w:eastAsia="Calibri" w:hAnsi="Times New Roman" w:cs="Times New Roman"/>
          <w:sz w:val="24"/>
        </w:rPr>
        <w:t xml:space="preserve"> </w:t>
      </w:r>
      <w:r w:rsidR="00FF2B87" w:rsidRPr="00730FA8">
        <w:rPr>
          <w:rFonts w:ascii="Times New Roman" w:eastAsia="Calibri" w:hAnsi="Times New Roman" w:cs="Times New Roman"/>
          <w:sz w:val="24"/>
        </w:rPr>
        <w:t>T</w:t>
      </w:r>
      <w:r w:rsidR="000D0FAA" w:rsidRPr="00730FA8">
        <w:rPr>
          <w:rFonts w:ascii="Times New Roman" w:eastAsia="Calibri" w:hAnsi="Times New Roman" w:cs="Times New Roman"/>
          <w:sz w:val="24"/>
        </w:rPr>
        <w:t>he</w:t>
      </w:r>
      <w:r w:rsidR="00DB4193" w:rsidRPr="00730FA8">
        <w:rPr>
          <w:rFonts w:ascii="Times New Roman" w:eastAsia="Calibri" w:hAnsi="Times New Roman" w:cs="Times New Roman"/>
          <w:sz w:val="24"/>
        </w:rPr>
        <w:t xml:space="preserve"> plaintiff has only at trial stage sought to allege </w:t>
      </w:r>
      <w:r w:rsidR="00765EB7">
        <w:rPr>
          <w:rFonts w:ascii="Times New Roman" w:eastAsia="Calibri" w:hAnsi="Times New Roman" w:cs="Times New Roman"/>
          <w:sz w:val="24"/>
        </w:rPr>
        <w:t>that the defendant deliberately</w:t>
      </w:r>
      <w:r w:rsidR="00DB4193" w:rsidRPr="00730FA8">
        <w:rPr>
          <w:rFonts w:ascii="Times New Roman" w:eastAsia="Calibri" w:hAnsi="Times New Roman" w:cs="Times New Roman"/>
          <w:sz w:val="24"/>
        </w:rPr>
        <w:t xml:space="preserve">, together with the companies associated with it, set out to </w:t>
      </w:r>
      <w:r w:rsidR="000D0FAA" w:rsidRPr="00730FA8">
        <w:rPr>
          <w:rFonts w:ascii="Times New Roman" w:eastAsia="Calibri" w:hAnsi="Times New Roman" w:cs="Times New Roman"/>
          <w:sz w:val="24"/>
        </w:rPr>
        <w:t>deceive</w:t>
      </w:r>
      <w:r w:rsidR="00DB4193" w:rsidRPr="00730FA8">
        <w:rPr>
          <w:rFonts w:ascii="Times New Roman" w:eastAsia="Calibri" w:hAnsi="Times New Roman" w:cs="Times New Roman"/>
          <w:sz w:val="24"/>
        </w:rPr>
        <w:t xml:space="preserve"> members of the </w:t>
      </w:r>
      <w:r w:rsidR="000D0FAA" w:rsidRPr="00730FA8">
        <w:rPr>
          <w:rFonts w:ascii="Times New Roman" w:eastAsia="Calibri" w:hAnsi="Times New Roman" w:cs="Times New Roman"/>
          <w:sz w:val="24"/>
        </w:rPr>
        <w:t xml:space="preserve">public. </w:t>
      </w:r>
      <w:r w:rsidR="000D0FAA" w:rsidRPr="00730FA8">
        <w:rPr>
          <w:rFonts w:ascii="Times New Roman" w:eastAsia="Times New Roman" w:hAnsi="Times New Roman" w:cs="Times New Roman"/>
          <w:sz w:val="24"/>
        </w:rPr>
        <w:t>It</w:t>
      </w:r>
      <w:r w:rsidR="00DB4193" w:rsidRPr="00730FA8">
        <w:rPr>
          <w:rFonts w:ascii="Times New Roman" w:eastAsia="Times New Roman" w:hAnsi="Times New Roman" w:cs="Times New Roman"/>
          <w:sz w:val="24"/>
        </w:rPr>
        <w:t xml:space="preserve"> has not be</w:t>
      </w:r>
      <w:r w:rsidR="00765EB7">
        <w:rPr>
          <w:rFonts w:ascii="Times New Roman" w:eastAsia="Times New Roman" w:hAnsi="Times New Roman" w:cs="Times New Roman"/>
          <w:sz w:val="24"/>
        </w:rPr>
        <w:t>en shown that the defendant or P</w:t>
      </w:r>
      <w:r w:rsidR="00DB4193" w:rsidRPr="00730FA8">
        <w:rPr>
          <w:rFonts w:ascii="Times New Roman" w:eastAsia="Times New Roman" w:hAnsi="Times New Roman" w:cs="Times New Roman"/>
          <w:sz w:val="24"/>
        </w:rPr>
        <w:t xml:space="preserve">artnership </w:t>
      </w:r>
      <w:r w:rsidR="000D0FAA" w:rsidRPr="00730FA8">
        <w:rPr>
          <w:rFonts w:ascii="Times New Roman" w:eastAsia="Times New Roman" w:hAnsi="Times New Roman" w:cs="Times New Roman"/>
          <w:sz w:val="24"/>
        </w:rPr>
        <w:t>was involved</w:t>
      </w:r>
      <w:r w:rsidR="00DB4193" w:rsidRPr="00730FA8">
        <w:rPr>
          <w:rFonts w:ascii="Times New Roman" w:eastAsia="Times New Roman" w:hAnsi="Times New Roman" w:cs="Times New Roman"/>
          <w:sz w:val="24"/>
        </w:rPr>
        <w:t xml:space="preserve"> in any fraudulent activities or any</w:t>
      </w:r>
      <w:r w:rsidR="00DB4193">
        <w:rPr>
          <w:rFonts w:ascii="Times New Roman" w:eastAsia="Times New Roman" w:hAnsi="Times New Roman" w:cs="Times New Roman"/>
          <w:sz w:val="24"/>
        </w:rPr>
        <w:t xml:space="preserve"> </w:t>
      </w:r>
      <w:r w:rsidR="000D0FAA">
        <w:rPr>
          <w:rFonts w:ascii="Times New Roman" w:eastAsia="Times New Roman" w:hAnsi="Times New Roman" w:cs="Times New Roman"/>
          <w:sz w:val="24"/>
        </w:rPr>
        <w:t>other</w:t>
      </w:r>
      <w:r w:rsidR="00DB4193">
        <w:rPr>
          <w:rFonts w:ascii="Times New Roman" w:eastAsia="Times New Roman" w:hAnsi="Times New Roman" w:cs="Times New Roman"/>
          <w:sz w:val="24"/>
        </w:rPr>
        <w:t xml:space="preserve"> improper conduct in a bid </w:t>
      </w:r>
      <w:r w:rsidR="000D0FAA">
        <w:rPr>
          <w:rFonts w:ascii="Times New Roman" w:eastAsia="Times New Roman" w:hAnsi="Times New Roman" w:cs="Times New Roman"/>
          <w:sz w:val="24"/>
        </w:rPr>
        <w:t>to evade</w:t>
      </w:r>
      <w:r w:rsidR="00765EB7">
        <w:rPr>
          <w:rFonts w:ascii="Times New Roman" w:eastAsia="Times New Roman" w:hAnsi="Times New Roman" w:cs="Times New Roman"/>
          <w:sz w:val="24"/>
        </w:rPr>
        <w:t xml:space="preserve"> its legal responsibilities. </w:t>
      </w:r>
      <w:r w:rsidR="00DB4193">
        <w:rPr>
          <w:rFonts w:ascii="Times New Roman" w:eastAsia="Times New Roman" w:hAnsi="Times New Roman" w:cs="Times New Roman"/>
          <w:sz w:val="24"/>
        </w:rPr>
        <w:t xml:space="preserve">The identity of the entity that the plaintiff dealt with was always known to </w:t>
      </w:r>
      <w:r w:rsidR="000D0FAA">
        <w:rPr>
          <w:rFonts w:ascii="Times New Roman" w:eastAsia="Times New Roman" w:hAnsi="Times New Roman" w:cs="Times New Roman"/>
          <w:sz w:val="24"/>
        </w:rPr>
        <w:t>it and</w:t>
      </w:r>
      <w:r w:rsidR="00DB4193">
        <w:rPr>
          <w:rFonts w:ascii="Times New Roman" w:eastAsia="Times New Roman" w:hAnsi="Times New Roman" w:cs="Times New Roman"/>
          <w:sz w:val="24"/>
        </w:rPr>
        <w:t xml:space="preserve"> hence there is no fraud to talk about. </w:t>
      </w:r>
      <w:r w:rsidR="00101127">
        <w:rPr>
          <w:rFonts w:ascii="Times New Roman" w:eastAsia="Times New Roman" w:hAnsi="Times New Roman" w:cs="Times New Roman"/>
          <w:sz w:val="24"/>
        </w:rPr>
        <w:t>There is no suggestio</w:t>
      </w:r>
      <w:r w:rsidR="00765EB7">
        <w:rPr>
          <w:rFonts w:ascii="Times New Roman" w:eastAsia="Times New Roman" w:hAnsi="Times New Roman" w:cs="Times New Roman"/>
          <w:sz w:val="24"/>
        </w:rPr>
        <w:t xml:space="preserve">n that the defendant is a sham </w:t>
      </w:r>
      <w:r w:rsidR="00101127">
        <w:rPr>
          <w:rFonts w:ascii="Times New Roman" w:eastAsia="Times New Roman" w:hAnsi="Times New Roman" w:cs="Times New Roman"/>
          <w:sz w:val="24"/>
        </w:rPr>
        <w:t xml:space="preserve">or was used to avoid or conceal liability. </w:t>
      </w:r>
      <w:r w:rsidR="00086C89">
        <w:rPr>
          <w:rFonts w:ascii="Times New Roman" w:eastAsia="Times New Roman" w:hAnsi="Times New Roman" w:cs="Times New Roman"/>
          <w:sz w:val="24"/>
        </w:rPr>
        <w:t>There is no evidence to show that the defendant</w:t>
      </w:r>
      <w:r w:rsidR="00647F91">
        <w:rPr>
          <w:rFonts w:ascii="Times New Roman" w:eastAsia="Times New Roman" w:hAnsi="Times New Roman" w:cs="Times New Roman"/>
          <w:sz w:val="24"/>
        </w:rPr>
        <w:t xml:space="preserve"> was incorporated for any unlawful purpose or that it </w:t>
      </w:r>
      <w:r w:rsidR="00546AC2">
        <w:rPr>
          <w:rFonts w:ascii="Times New Roman" w:eastAsia="Times New Roman" w:hAnsi="Times New Roman" w:cs="Times New Roman"/>
          <w:sz w:val="24"/>
        </w:rPr>
        <w:t>is a</w:t>
      </w:r>
      <w:r w:rsidR="00086C89">
        <w:rPr>
          <w:rFonts w:ascii="Times New Roman" w:eastAsia="Times New Roman" w:hAnsi="Times New Roman" w:cs="Times New Roman"/>
          <w:sz w:val="24"/>
        </w:rPr>
        <w:t xml:space="preserve"> sham and was </w:t>
      </w:r>
      <w:r w:rsidR="00546AC2">
        <w:rPr>
          <w:rFonts w:ascii="Times New Roman" w:eastAsia="Times New Roman" w:hAnsi="Times New Roman" w:cs="Times New Roman"/>
          <w:sz w:val="24"/>
        </w:rPr>
        <w:t>incorporated</w:t>
      </w:r>
      <w:r w:rsidR="00086C89">
        <w:rPr>
          <w:rFonts w:ascii="Times New Roman" w:eastAsia="Times New Roman" w:hAnsi="Times New Roman" w:cs="Times New Roman"/>
          <w:sz w:val="24"/>
        </w:rPr>
        <w:t xml:space="preserve"> in order to evade either </w:t>
      </w:r>
      <w:r w:rsidR="00546AC2">
        <w:rPr>
          <w:rFonts w:ascii="Times New Roman" w:eastAsia="Times New Roman" w:hAnsi="Times New Roman" w:cs="Times New Roman"/>
          <w:sz w:val="24"/>
        </w:rPr>
        <w:t>pre-existing</w:t>
      </w:r>
      <w:r w:rsidR="00086C89">
        <w:rPr>
          <w:rFonts w:ascii="Times New Roman" w:eastAsia="Times New Roman" w:hAnsi="Times New Roman" w:cs="Times New Roman"/>
          <w:sz w:val="24"/>
        </w:rPr>
        <w:t xml:space="preserve"> or existing debts.</w:t>
      </w:r>
      <w:r w:rsidR="00DB4193">
        <w:rPr>
          <w:rFonts w:ascii="Times New Roman" w:eastAsia="Times New Roman" w:hAnsi="Times New Roman" w:cs="Times New Roman"/>
          <w:sz w:val="24"/>
        </w:rPr>
        <w:t xml:space="preserve"> </w:t>
      </w:r>
      <w:r w:rsidR="00A428AD">
        <w:rPr>
          <w:rFonts w:ascii="Times New Roman" w:eastAsia="Times New Roman" w:hAnsi="Times New Roman" w:cs="Times New Roman"/>
          <w:sz w:val="24"/>
        </w:rPr>
        <w:t xml:space="preserve">Further that it is </w:t>
      </w:r>
      <w:r w:rsidR="00546AC2">
        <w:rPr>
          <w:rFonts w:ascii="Times New Roman" w:eastAsia="Times New Roman" w:hAnsi="Times New Roman" w:cs="Times New Roman"/>
          <w:sz w:val="24"/>
        </w:rPr>
        <w:t>deliberately</w:t>
      </w:r>
      <w:r w:rsidR="00A428AD">
        <w:rPr>
          <w:rFonts w:ascii="Times New Roman" w:eastAsia="Times New Roman" w:hAnsi="Times New Roman" w:cs="Times New Roman"/>
          <w:sz w:val="24"/>
        </w:rPr>
        <w:t xml:space="preserve"> trying to </w:t>
      </w:r>
      <w:r w:rsidR="00546AC2">
        <w:rPr>
          <w:rFonts w:ascii="Times New Roman" w:eastAsia="Times New Roman" w:hAnsi="Times New Roman" w:cs="Times New Roman"/>
          <w:sz w:val="24"/>
        </w:rPr>
        <w:t>evade</w:t>
      </w:r>
      <w:r w:rsidR="00A428AD">
        <w:rPr>
          <w:rFonts w:ascii="Times New Roman" w:eastAsia="Times New Roman" w:hAnsi="Times New Roman" w:cs="Times New Roman"/>
          <w:sz w:val="24"/>
        </w:rPr>
        <w:t xml:space="preserve"> the </w:t>
      </w:r>
      <w:r w:rsidR="00A428AD" w:rsidRPr="00A17289">
        <w:rPr>
          <w:rFonts w:ascii="Times New Roman" w:eastAsia="Times New Roman" w:hAnsi="Times New Roman" w:cs="Times New Roman"/>
          <w:sz w:val="24"/>
        </w:rPr>
        <w:t xml:space="preserve">effects of a court </w:t>
      </w:r>
      <w:r w:rsidR="00546AC2" w:rsidRPr="00A17289">
        <w:rPr>
          <w:rFonts w:ascii="Times New Roman" w:eastAsia="Times New Roman" w:hAnsi="Times New Roman" w:cs="Times New Roman"/>
          <w:sz w:val="24"/>
        </w:rPr>
        <w:t>order.</w:t>
      </w:r>
      <w:r w:rsidR="00546AC2">
        <w:rPr>
          <w:rFonts w:ascii="Times New Roman" w:eastAsia="Times New Roman" w:hAnsi="Times New Roman" w:cs="Times New Roman"/>
          <w:sz w:val="24"/>
        </w:rPr>
        <w:t xml:space="preserve"> There</w:t>
      </w:r>
      <w:r w:rsidR="00086C89">
        <w:rPr>
          <w:rFonts w:ascii="Times New Roman" w:eastAsia="Times New Roman" w:hAnsi="Times New Roman" w:cs="Times New Roman"/>
          <w:sz w:val="24"/>
        </w:rPr>
        <w:t xml:space="preserve"> is </w:t>
      </w:r>
      <w:r w:rsidR="00A8133A">
        <w:rPr>
          <w:rFonts w:ascii="Times New Roman" w:eastAsia="Times New Roman" w:hAnsi="Times New Roman" w:cs="Times New Roman"/>
          <w:sz w:val="24"/>
        </w:rPr>
        <w:t xml:space="preserve">also </w:t>
      </w:r>
      <w:r w:rsidR="00086C89">
        <w:rPr>
          <w:rFonts w:ascii="Times New Roman" w:eastAsia="Times New Roman" w:hAnsi="Times New Roman" w:cs="Times New Roman"/>
          <w:sz w:val="24"/>
        </w:rPr>
        <w:t>no evidence of any wrong doing by the defendant as evidence reveals that it is th</w:t>
      </w:r>
      <w:r w:rsidR="00765EB7">
        <w:rPr>
          <w:rFonts w:ascii="Times New Roman" w:eastAsia="Times New Roman" w:hAnsi="Times New Roman" w:cs="Times New Roman"/>
          <w:sz w:val="24"/>
        </w:rPr>
        <w:t>e P</w:t>
      </w:r>
      <w:r w:rsidR="00086C89">
        <w:rPr>
          <w:rFonts w:ascii="Times New Roman" w:eastAsia="Times New Roman" w:hAnsi="Times New Roman" w:cs="Times New Roman"/>
          <w:sz w:val="24"/>
        </w:rPr>
        <w:t>artnership that carried out the valuation.</w:t>
      </w:r>
      <w:r w:rsidR="00071B2C">
        <w:rPr>
          <w:rFonts w:ascii="Times New Roman" w:eastAsia="Times New Roman" w:hAnsi="Times New Roman" w:cs="Times New Roman"/>
          <w:sz w:val="24"/>
        </w:rPr>
        <w:t xml:space="preserve"> </w:t>
      </w:r>
    </w:p>
    <w:p w:rsidR="0068442D" w:rsidRDefault="00C37650" w:rsidP="00C3765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30FA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C37650">
        <w:rPr>
          <w:rFonts w:ascii="Times New Roman" w:eastAsia="Times New Roman" w:hAnsi="Times New Roman" w:cs="Times New Roman"/>
          <w:sz w:val="24"/>
        </w:rPr>
        <w:t xml:space="preserve">The court is unable to </w:t>
      </w:r>
      <w:r w:rsidR="0096115E">
        <w:rPr>
          <w:rFonts w:ascii="Times New Roman" w:eastAsia="Times New Roman" w:hAnsi="Times New Roman" w:cs="Times New Roman"/>
          <w:sz w:val="24"/>
        </w:rPr>
        <w:t xml:space="preserve">find </w:t>
      </w:r>
      <w:r w:rsidRPr="00C37650">
        <w:rPr>
          <w:rFonts w:ascii="Times New Roman" w:eastAsia="Times New Roman" w:hAnsi="Times New Roman" w:cs="Times New Roman"/>
          <w:sz w:val="24"/>
        </w:rPr>
        <w:t>that the business operations of Knight Frank Zimbabwe and Knight Frank (Pvt) Ltd are so inextricably linked as to constitute one legal entity from an economical point of view and act as a whole. Even if the plaintiff had managed to show that the two entities constitute one economic entity, there</w:t>
      </w:r>
      <w:r w:rsidR="0018779B">
        <w:rPr>
          <w:rFonts w:ascii="Times New Roman" w:eastAsia="Times New Roman" w:hAnsi="Times New Roman" w:cs="Times New Roman"/>
          <w:sz w:val="24"/>
        </w:rPr>
        <w:t xml:space="preserve"> being</w:t>
      </w:r>
      <w:r w:rsidRPr="00C37650">
        <w:rPr>
          <w:rFonts w:ascii="Times New Roman" w:eastAsia="Times New Roman" w:hAnsi="Times New Roman" w:cs="Times New Roman"/>
          <w:sz w:val="24"/>
        </w:rPr>
        <w:t xml:space="preserve"> is no evidence to show any wrongdoing on the part of the defendant.</w:t>
      </w:r>
      <w:r w:rsidR="0018779B">
        <w:rPr>
          <w:rFonts w:ascii="Times New Roman" w:eastAsia="Times New Roman" w:hAnsi="Times New Roman" w:cs="Times New Roman"/>
          <w:sz w:val="24"/>
        </w:rPr>
        <w:t xml:space="preserve"> I am not convinced that the</w:t>
      </w:r>
      <w:r w:rsidR="00F132D7">
        <w:rPr>
          <w:rFonts w:ascii="Times New Roman" w:eastAsia="Times New Roman" w:hAnsi="Times New Roman" w:cs="Times New Roman"/>
          <w:sz w:val="24"/>
        </w:rPr>
        <w:t xml:space="preserve"> corporate</w:t>
      </w:r>
      <w:r w:rsidR="0018779B">
        <w:rPr>
          <w:rFonts w:ascii="Times New Roman" w:eastAsia="Times New Roman" w:hAnsi="Times New Roman" w:cs="Times New Roman"/>
          <w:sz w:val="24"/>
        </w:rPr>
        <w:t xml:space="preserve"> </w:t>
      </w:r>
      <w:r w:rsidR="00F132D7">
        <w:rPr>
          <w:rFonts w:ascii="Times New Roman" w:eastAsia="Times New Roman" w:hAnsi="Times New Roman" w:cs="Times New Roman"/>
          <w:sz w:val="24"/>
        </w:rPr>
        <w:t xml:space="preserve">veil </w:t>
      </w:r>
      <w:r w:rsidR="0018779B">
        <w:rPr>
          <w:rFonts w:ascii="Times New Roman" w:eastAsia="Times New Roman" w:hAnsi="Times New Roman" w:cs="Times New Roman"/>
          <w:sz w:val="24"/>
        </w:rPr>
        <w:t>should be lifted</w:t>
      </w:r>
      <w:r w:rsidR="00F132D7">
        <w:rPr>
          <w:rFonts w:ascii="Times New Roman" w:eastAsia="Times New Roman" w:hAnsi="Times New Roman" w:cs="Times New Roman"/>
          <w:sz w:val="24"/>
        </w:rPr>
        <w:t>.</w:t>
      </w:r>
      <w:r w:rsidRPr="00C37650">
        <w:rPr>
          <w:rFonts w:ascii="Times New Roman" w:eastAsia="Times New Roman" w:hAnsi="Times New Roman" w:cs="Times New Roman"/>
          <w:sz w:val="24"/>
        </w:rPr>
        <w:t xml:space="preserve"> A litigant who seeks to rely on the single economic entity doctrine is required to allege and prove wrongdoing on the part of the party complained against. The plaintiff cannot ask the court to pierce the corporate veil because its remedy lay in suing the partnership and it failed to take that course</w:t>
      </w:r>
      <w:r>
        <w:rPr>
          <w:rFonts w:ascii="Times New Roman" w:eastAsia="Times New Roman" w:hAnsi="Times New Roman" w:cs="Times New Roman"/>
          <w:sz w:val="24"/>
        </w:rPr>
        <w:t>.</w:t>
      </w:r>
      <w:r w:rsidRPr="00C37650">
        <w:t xml:space="preserve"> </w:t>
      </w:r>
      <w:r w:rsidRPr="00C37650">
        <w:rPr>
          <w:rFonts w:ascii="Times New Roman" w:eastAsia="Times New Roman" w:hAnsi="Times New Roman" w:cs="Times New Roman"/>
          <w:sz w:val="24"/>
        </w:rPr>
        <w:t>No basis has been sho</w:t>
      </w:r>
      <w:r w:rsidR="00765EB7">
        <w:rPr>
          <w:rFonts w:ascii="Times New Roman" w:eastAsia="Times New Roman" w:hAnsi="Times New Roman" w:cs="Times New Roman"/>
          <w:sz w:val="24"/>
        </w:rPr>
        <w:t xml:space="preserve">wn </w:t>
      </w:r>
      <w:r w:rsidRPr="00C37650">
        <w:rPr>
          <w:rFonts w:ascii="Times New Roman" w:eastAsia="Times New Roman" w:hAnsi="Times New Roman" w:cs="Times New Roman"/>
          <w:sz w:val="24"/>
        </w:rPr>
        <w:t>for lifting the corporate veil. Once the plaintiff became aware at the stage of negotiations that the defendant was denying liability, it ought to have pursued the partnership</w:t>
      </w:r>
      <w:r w:rsidR="00765EB7">
        <w:rPr>
          <w:rFonts w:ascii="Times New Roman" w:eastAsia="Times New Roman" w:hAnsi="Times New Roman" w:cs="Times New Roman"/>
          <w:sz w:val="24"/>
        </w:rPr>
        <w:t xml:space="preserve"> instead of persisting against </w:t>
      </w:r>
      <w:r w:rsidRPr="00C37650">
        <w:rPr>
          <w:rFonts w:ascii="Times New Roman" w:eastAsia="Times New Roman" w:hAnsi="Times New Roman" w:cs="Times New Roman"/>
          <w:sz w:val="24"/>
        </w:rPr>
        <w:t>the defendant.</w:t>
      </w:r>
      <w:r w:rsidR="0018779B">
        <w:rPr>
          <w:rFonts w:ascii="Times New Roman" w:eastAsia="Times New Roman" w:hAnsi="Times New Roman" w:cs="Times New Roman"/>
          <w:sz w:val="24"/>
        </w:rPr>
        <w:t xml:space="preserve"> </w:t>
      </w:r>
      <w:r w:rsidR="004501DB">
        <w:rPr>
          <w:rFonts w:ascii="Times New Roman" w:eastAsia="Times New Roman" w:hAnsi="Times New Roman" w:cs="Times New Roman"/>
          <w:sz w:val="24"/>
        </w:rPr>
        <w:t>The court is not persuaded to lift the corporate veil.</w:t>
      </w:r>
      <w:r w:rsidR="008F1DCE">
        <w:rPr>
          <w:rFonts w:ascii="Times New Roman" w:eastAsia="Times New Roman" w:hAnsi="Times New Roman" w:cs="Times New Roman"/>
          <w:sz w:val="24"/>
        </w:rPr>
        <w:t xml:space="preserve">        </w:t>
      </w:r>
    </w:p>
    <w:p w:rsidR="00C37650" w:rsidRDefault="00C3765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30FA8">
        <w:rPr>
          <w:rFonts w:ascii="Times New Roman" w:eastAsia="Times New Roman" w:hAnsi="Times New Roman" w:cs="Times New Roman"/>
          <w:sz w:val="24"/>
        </w:rPr>
        <w:t xml:space="preserve">      </w:t>
      </w:r>
      <w:r w:rsidRPr="00C37650">
        <w:rPr>
          <w:rFonts w:ascii="Times New Roman" w:eastAsia="Times New Roman" w:hAnsi="Times New Roman" w:cs="Times New Roman"/>
          <w:sz w:val="24"/>
        </w:rPr>
        <w:t>Out of folly, the pl</w:t>
      </w:r>
      <w:r>
        <w:rPr>
          <w:rFonts w:ascii="Times New Roman" w:eastAsia="Times New Roman" w:hAnsi="Times New Roman" w:cs="Times New Roman"/>
          <w:sz w:val="24"/>
        </w:rPr>
        <w:t xml:space="preserve">aintiff pursed the wrong </w:t>
      </w:r>
      <w:r w:rsidR="00031CF0">
        <w:rPr>
          <w:rFonts w:ascii="Times New Roman" w:eastAsia="Times New Roman" w:hAnsi="Times New Roman" w:cs="Times New Roman"/>
          <w:sz w:val="24"/>
        </w:rPr>
        <w:t>party.</w:t>
      </w:r>
      <w:r w:rsidR="00031CF0" w:rsidRPr="00C37650">
        <w:rPr>
          <w:rFonts w:ascii="Times New Roman" w:eastAsia="Times New Roman" w:hAnsi="Times New Roman" w:cs="Times New Roman"/>
          <w:sz w:val="24"/>
        </w:rPr>
        <w:t xml:space="preserve"> The</w:t>
      </w:r>
      <w:r w:rsidRPr="00C37650">
        <w:rPr>
          <w:rFonts w:ascii="Times New Roman" w:eastAsia="Times New Roman" w:hAnsi="Times New Roman" w:cs="Times New Roman"/>
          <w:sz w:val="24"/>
        </w:rPr>
        <w:t xml:space="preserve"> fact that the plaintiff may have confused itself over the identity of the valuer does not mean that there are other members of the public who were confused about the identity of the valuer.</w:t>
      </w:r>
      <w:r w:rsidR="0096115E" w:rsidRPr="0096115E">
        <w:t xml:space="preserve"> </w:t>
      </w:r>
      <w:r w:rsidR="0096115E" w:rsidRPr="0096115E">
        <w:rPr>
          <w:rFonts w:ascii="Times New Roman" w:eastAsia="Times New Roman" w:hAnsi="Times New Roman" w:cs="Times New Roman"/>
          <w:sz w:val="24"/>
        </w:rPr>
        <w:t xml:space="preserve">There was no need on the part of the defendant to inform the general public of the distinction between it and the Partnership as it did not operate. It was clear from the beginning that the </w:t>
      </w:r>
      <w:r w:rsidR="0018779B">
        <w:rPr>
          <w:rFonts w:ascii="Times New Roman" w:eastAsia="Times New Roman" w:hAnsi="Times New Roman" w:cs="Times New Roman"/>
          <w:sz w:val="24"/>
        </w:rPr>
        <w:t>plaintiff was dealing with the P</w:t>
      </w:r>
      <w:r w:rsidR="0096115E" w:rsidRPr="0096115E">
        <w:rPr>
          <w:rFonts w:ascii="Times New Roman" w:eastAsia="Times New Roman" w:hAnsi="Times New Roman" w:cs="Times New Roman"/>
          <w:sz w:val="24"/>
        </w:rPr>
        <w:t>artnership.</w:t>
      </w:r>
      <w:r w:rsidRPr="00C37650">
        <w:rPr>
          <w:rFonts w:ascii="Times New Roman" w:eastAsia="Times New Roman" w:hAnsi="Times New Roman" w:cs="Times New Roman"/>
          <w:sz w:val="24"/>
        </w:rPr>
        <w:t xml:space="preserve"> It was up to the plaintiff to visit the Deeds Registries Office where companies are registered in order to establish the structure and true identity of the entity it was dealing with through company registration documents in terms of s 357 of the Companies Act. No blame lies on the defendant for plaintiff’s failure to do a due diligence search.</w:t>
      </w:r>
      <w:r>
        <w:rPr>
          <w:rFonts w:ascii="Times New Roman" w:eastAsia="Times New Roman" w:hAnsi="Times New Roman" w:cs="Times New Roman"/>
          <w:sz w:val="24"/>
        </w:rPr>
        <w:t xml:space="preserve">     </w:t>
      </w:r>
      <w:r w:rsidRPr="00C37650">
        <w:rPr>
          <w:rFonts w:ascii="Times New Roman" w:eastAsia="Times New Roman" w:hAnsi="Times New Roman" w:cs="Times New Roman"/>
          <w:sz w:val="24"/>
        </w:rPr>
        <w:t xml:space="preserve"> </w:t>
      </w:r>
    </w:p>
    <w:p w:rsidR="0068442D" w:rsidRDefault="008F1DCE">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730FA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730FA8">
        <w:rPr>
          <w:rFonts w:ascii="Times New Roman" w:eastAsia="Times New Roman" w:hAnsi="Times New Roman" w:cs="Times New Roman"/>
          <w:sz w:val="24"/>
        </w:rPr>
        <w:tab/>
      </w:r>
      <w:r w:rsidR="00DB4193">
        <w:rPr>
          <w:rFonts w:ascii="Times New Roman" w:eastAsia="Times New Roman" w:hAnsi="Times New Roman" w:cs="Times New Roman"/>
          <w:sz w:val="24"/>
        </w:rPr>
        <w:t xml:space="preserve">The </w:t>
      </w:r>
      <w:r w:rsidR="000D0FAA">
        <w:rPr>
          <w:rFonts w:ascii="Times New Roman" w:eastAsia="Times New Roman" w:hAnsi="Times New Roman" w:cs="Times New Roman"/>
          <w:sz w:val="24"/>
        </w:rPr>
        <w:t>court has</w:t>
      </w:r>
      <w:r w:rsidR="00DB4193">
        <w:rPr>
          <w:rFonts w:ascii="Times New Roman" w:eastAsia="Times New Roman" w:hAnsi="Times New Roman" w:cs="Times New Roman"/>
          <w:sz w:val="24"/>
        </w:rPr>
        <w:t xml:space="preserve"> also considered that </w:t>
      </w:r>
      <w:r w:rsidR="000D0FAA">
        <w:rPr>
          <w:rFonts w:ascii="Times New Roman" w:eastAsia="Times New Roman" w:hAnsi="Times New Roman" w:cs="Times New Roman"/>
          <w:sz w:val="24"/>
        </w:rPr>
        <w:t>accompany</w:t>
      </w:r>
      <w:r w:rsidR="00DB4193">
        <w:rPr>
          <w:rFonts w:ascii="Times New Roman" w:eastAsia="Times New Roman" w:hAnsi="Times New Roman" w:cs="Times New Roman"/>
          <w:sz w:val="24"/>
        </w:rPr>
        <w:t xml:space="preserve"> cannot be held accountable for professional negligence on the basis of the same economic entity principle if it is not involved in the trade or profession in respect of w</w:t>
      </w:r>
      <w:r w:rsidR="00765EB7">
        <w:rPr>
          <w:rFonts w:ascii="Times New Roman" w:eastAsia="Times New Roman" w:hAnsi="Times New Roman" w:cs="Times New Roman"/>
          <w:sz w:val="24"/>
        </w:rPr>
        <w:t>hich the negligence is alleged. I</w:t>
      </w:r>
      <w:r w:rsidR="00DB4193">
        <w:rPr>
          <w:rFonts w:ascii="Times New Roman" w:eastAsia="Times New Roman" w:hAnsi="Times New Roman" w:cs="Times New Roman"/>
          <w:sz w:val="24"/>
        </w:rPr>
        <w:t xml:space="preserve">t has not been shown that the defendant is a valuer or that it employs professional valuers. The defendant cannot be sued for professional negligence when it is not a professional valuer and did not carry out the </w:t>
      </w:r>
      <w:r w:rsidR="000D0FAA">
        <w:rPr>
          <w:rFonts w:ascii="Times New Roman" w:eastAsia="Times New Roman" w:hAnsi="Times New Roman" w:cs="Times New Roman"/>
          <w:sz w:val="24"/>
        </w:rPr>
        <w:t>valuation. There</w:t>
      </w:r>
      <w:r w:rsidR="00DB4193">
        <w:rPr>
          <w:rFonts w:ascii="Times New Roman" w:eastAsia="Times New Roman" w:hAnsi="Times New Roman" w:cs="Times New Roman"/>
          <w:sz w:val="24"/>
        </w:rPr>
        <w:t xml:space="preserve"> was no evidence led to support the assertion that the defendant carried out the valuation either on its own or on any other basis.</w:t>
      </w:r>
    </w:p>
    <w:p w:rsidR="0068442D" w:rsidRPr="00730FA8" w:rsidRDefault="00647F9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30FA8">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00DB4193">
        <w:rPr>
          <w:rFonts w:ascii="Times New Roman" w:eastAsia="Times New Roman" w:hAnsi="Times New Roman" w:cs="Times New Roman"/>
          <w:sz w:val="24"/>
        </w:rPr>
        <w:t>Even assuming that the court’s finding that the report was pre</w:t>
      </w:r>
      <w:r w:rsidR="00730FA8">
        <w:rPr>
          <w:rFonts w:ascii="Times New Roman" w:eastAsia="Times New Roman" w:hAnsi="Times New Roman" w:cs="Times New Roman"/>
          <w:sz w:val="24"/>
        </w:rPr>
        <w:t xml:space="preserve">pared by the Partnership is not </w:t>
      </w:r>
      <w:r w:rsidR="000D0FAA">
        <w:rPr>
          <w:rFonts w:ascii="Times New Roman" w:eastAsia="Times New Roman" w:hAnsi="Times New Roman" w:cs="Times New Roman"/>
          <w:sz w:val="24"/>
        </w:rPr>
        <w:t>correct</w:t>
      </w:r>
      <w:r w:rsidR="00C37650">
        <w:rPr>
          <w:rFonts w:ascii="Times New Roman" w:eastAsia="Times New Roman" w:hAnsi="Times New Roman" w:cs="Times New Roman"/>
          <w:sz w:val="24"/>
        </w:rPr>
        <w:t>,</w:t>
      </w:r>
      <w:r w:rsidR="00DB4193">
        <w:rPr>
          <w:rFonts w:ascii="Times New Roman" w:eastAsia="Times New Roman" w:hAnsi="Times New Roman" w:cs="Times New Roman"/>
          <w:sz w:val="24"/>
        </w:rPr>
        <w:t xml:space="preserve"> the evidence led does not disclose that the plaintiff relied on the valuation report as a basis for committing to the agreement of 27 September 2011. The plaintiff’s witness testified that the plaintiff relied on the valuation report as its basis for committing to the agreement. There is no suggestion that the plaintiff relied on the valuation for any purpose whatsoever. When credit was granted and security registered, the valuation report was not yet in existence.</w:t>
      </w:r>
      <w:r w:rsidR="00DB4193">
        <w:rPr>
          <w:rFonts w:ascii="Calibri" w:eastAsia="Calibri" w:hAnsi="Calibri" w:cs="Calibri"/>
          <w:sz w:val="24"/>
        </w:rPr>
        <w:t xml:space="preserve"> </w:t>
      </w:r>
      <w:r w:rsidR="00DB4193">
        <w:rPr>
          <w:rFonts w:ascii="Times New Roman" w:eastAsia="Times New Roman" w:hAnsi="Times New Roman" w:cs="Times New Roman"/>
          <w:sz w:val="24"/>
        </w:rPr>
        <w:t xml:space="preserve">When collateral was taken, by the registration of the mortgage bond on 4 June 2010, the valuation report had not been prepared. The grant of credit supposedly based on the property as collateral could not have been based on the valuation report which was only prepared and presented to plaintiff </w:t>
      </w:r>
      <w:r w:rsidR="00DB4193" w:rsidRPr="00730FA8">
        <w:rPr>
          <w:rFonts w:ascii="Times New Roman" w:eastAsia="Times New Roman" w:hAnsi="Times New Roman" w:cs="Times New Roman"/>
          <w:sz w:val="24"/>
        </w:rPr>
        <w:t>on 7 June 2010.</w:t>
      </w:r>
      <w:r w:rsidR="00DB4193" w:rsidRPr="00730FA8">
        <w:rPr>
          <w:rFonts w:ascii="Times New Roman" w:eastAsia="Calibri" w:hAnsi="Times New Roman" w:cs="Times New Roman"/>
          <w:sz w:val="24"/>
        </w:rPr>
        <w:t xml:space="preserve"> The plaintiff could not have relied on this report as they did not know the value the valuation was going to declare.</w:t>
      </w:r>
    </w:p>
    <w:p w:rsidR="0068442D"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37650">
        <w:rPr>
          <w:rFonts w:ascii="Times New Roman" w:eastAsia="Times New Roman" w:hAnsi="Times New Roman" w:cs="Times New Roman"/>
          <w:sz w:val="24"/>
        </w:rPr>
        <w:t xml:space="preserve">    </w:t>
      </w:r>
      <w:r w:rsidR="00730FA8">
        <w:rPr>
          <w:rFonts w:ascii="Times New Roman" w:eastAsia="Times New Roman" w:hAnsi="Times New Roman" w:cs="Times New Roman"/>
          <w:sz w:val="24"/>
        </w:rPr>
        <w:tab/>
      </w:r>
      <w:r>
        <w:rPr>
          <w:rFonts w:ascii="Times New Roman" w:eastAsia="Times New Roman" w:hAnsi="Times New Roman" w:cs="Times New Roman"/>
          <w:sz w:val="24"/>
        </w:rPr>
        <w:t xml:space="preserve"> When the agreement of 27 September </w:t>
      </w:r>
      <w:r w:rsidR="00C37650">
        <w:rPr>
          <w:rFonts w:ascii="Times New Roman" w:eastAsia="Times New Roman" w:hAnsi="Times New Roman" w:cs="Times New Roman"/>
          <w:sz w:val="24"/>
        </w:rPr>
        <w:t xml:space="preserve">2011 </w:t>
      </w:r>
      <w:r>
        <w:rPr>
          <w:rFonts w:ascii="Times New Roman" w:eastAsia="Times New Roman" w:hAnsi="Times New Roman" w:cs="Times New Roman"/>
          <w:sz w:val="24"/>
        </w:rPr>
        <w:t xml:space="preserve">to transfer the debtor’s property to the plaintiff was concluded, this was 15 months after the valuation report. No evidence was led to show that the plaintiff relied on the report. The plaintiff’s witness could not say why she alleged that the plaintiff relied on the report. The person who signed the agreement on behalf of the plaintiff was not called. </w:t>
      </w:r>
      <w:r w:rsidR="000D0FAA">
        <w:rPr>
          <w:rFonts w:ascii="Times New Roman" w:eastAsia="Times New Roman" w:hAnsi="Times New Roman" w:cs="Times New Roman"/>
          <w:sz w:val="24"/>
        </w:rPr>
        <w:t xml:space="preserve">Pilerroute Investments (Pvt) Ltd   took transfer of the property valued at $354 970.26, a value higher than that ascribed to it by the valuation report. </w:t>
      </w:r>
      <w:r>
        <w:rPr>
          <w:rFonts w:ascii="Times New Roman" w:eastAsia="Times New Roman" w:hAnsi="Times New Roman" w:cs="Times New Roman"/>
          <w:sz w:val="24"/>
        </w:rPr>
        <w:t xml:space="preserve">The value given to the property is much higher than the value given to it by the valuer in the erroneous valuation. The plaintiff’s witness attributed this value to discussions between the directors of plaintiff and Mr Canaan </w:t>
      </w:r>
      <w:r w:rsidR="000D0FAA">
        <w:rPr>
          <w:rFonts w:ascii="Times New Roman" w:eastAsia="Times New Roman" w:hAnsi="Times New Roman" w:cs="Times New Roman"/>
          <w:sz w:val="24"/>
        </w:rPr>
        <w:t>Dube. Nothing</w:t>
      </w:r>
      <w:r>
        <w:rPr>
          <w:rFonts w:ascii="Times New Roman" w:eastAsia="Times New Roman" w:hAnsi="Times New Roman" w:cs="Times New Roman"/>
          <w:sz w:val="24"/>
        </w:rPr>
        <w:t xml:space="preserve"> suggests that the plaintiff relied on the valuation report.</w:t>
      </w:r>
    </w:p>
    <w:p w:rsidR="0068442D" w:rsidRDefault="00C37650" w:rsidP="00C3765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30FA8">
        <w:rPr>
          <w:rFonts w:ascii="Times New Roman" w:eastAsia="Times New Roman" w:hAnsi="Times New Roman" w:cs="Times New Roman"/>
          <w:sz w:val="24"/>
        </w:rPr>
        <w:tab/>
      </w:r>
      <w:r w:rsidR="00DB4193">
        <w:rPr>
          <w:rFonts w:ascii="Times New Roman" w:eastAsia="Times New Roman" w:hAnsi="Times New Roman" w:cs="Times New Roman"/>
          <w:sz w:val="24"/>
        </w:rPr>
        <w:t xml:space="preserve">In </w:t>
      </w:r>
      <w:r w:rsidR="00DB4193">
        <w:rPr>
          <w:rFonts w:ascii="Times New Roman" w:eastAsia="Times New Roman" w:hAnsi="Times New Roman" w:cs="Times New Roman"/>
          <w:i/>
          <w:sz w:val="24"/>
        </w:rPr>
        <w:t xml:space="preserve">Taunton Enterprises (Pvt) Ltd and Anor v Marais </w:t>
      </w:r>
      <w:r w:rsidR="00730FA8">
        <w:rPr>
          <w:rFonts w:ascii="Times New Roman" w:eastAsia="Times New Roman" w:hAnsi="Times New Roman" w:cs="Times New Roman"/>
          <w:sz w:val="24"/>
        </w:rPr>
        <w:t>1996 (2) ZLR 303 (H</w:t>
      </w:r>
      <w:r w:rsidR="00DB4193">
        <w:rPr>
          <w:rFonts w:ascii="Times New Roman" w:eastAsia="Times New Roman" w:hAnsi="Times New Roman" w:cs="Times New Roman"/>
          <w:sz w:val="24"/>
        </w:rPr>
        <w:t>) the court laid out the principles to be followed in a delictual claim where a plaintiff relies on negligent misstatements as follows:</w:t>
      </w:r>
      <w:r w:rsidR="00DB4193">
        <w:rPr>
          <w:rFonts w:ascii="Times New Roman" w:eastAsia="Times New Roman" w:hAnsi="Times New Roman" w:cs="Times New Roman"/>
          <w:sz w:val="24"/>
        </w:rPr>
        <w:tab/>
      </w:r>
    </w:p>
    <w:p w:rsidR="0068442D" w:rsidRDefault="00730FA8" w:rsidP="00730FA8">
      <w:pPr>
        <w:spacing w:after="0" w:line="240" w:lineRule="auto"/>
        <w:ind w:left="1440" w:hanging="1440"/>
        <w:jc w:val="both"/>
        <w:rPr>
          <w:rFonts w:ascii="Times New Roman" w:eastAsia="Times New Roman" w:hAnsi="Times New Roman" w:cs="Times New Roman"/>
        </w:rPr>
      </w:pPr>
      <w:r>
        <w:rPr>
          <w:rFonts w:ascii="Times New Roman" w:eastAsia="Times New Roman" w:hAnsi="Times New Roman" w:cs="Times New Roman"/>
          <w:sz w:val="24"/>
        </w:rPr>
        <w:lastRenderedPageBreak/>
        <w:t xml:space="preserve">             “</w:t>
      </w:r>
      <w:r w:rsidR="00DB4193">
        <w:rPr>
          <w:rFonts w:ascii="Times New Roman" w:eastAsia="Times New Roman" w:hAnsi="Times New Roman" w:cs="Times New Roman"/>
          <w:sz w:val="24"/>
        </w:rPr>
        <w:t xml:space="preserve">1. </w:t>
      </w:r>
      <w:r w:rsidRPr="00730FA8">
        <w:rPr>
          <w:rFonts w:ascii="Times New Roman" w:eastAsia="Times New Roman" w:hAnsi="Times New Roman" w:cs="Times New Roman"/>
        </w:rPr>
        <w:tab/>
      </w:r>
      <w:r w:rsidR="00DB4193" w:rsidRPr="00730FA8">
        <w:rPr>
          <w:rFonts w:ascii="Times New Roman" w:eastAsia="Times New Roman" w:hAnsi="Times New Roman" w:cs="Times New Roman"/>
        </w:rPr>
        <w:t xml:space="preserve">The plaintiff should have made a serious inquiry of or sought </w:t>
      </w:r>
      <w:r w:rsidRPr="00730FA8">
        <w:rPr>
          <w:rFonts w:ascii="Times New Roman" w:eastAsia="Times New Roman" w:hAnsi="Times New Roman" w:cs="Times New Roman"/>
        </w:rPr>
        <w:t xml:space="preserve">important information </w:t>
      </w:r>
      <w:r w:rsidR="00DB4193" w:rsidRPr="00730FA8">
        <w:rPr>
          <w:rFonts w:ascii="Times New Roman" w:eastAsia="Times New Roman" w:hAnsi="Times New Roman" w:cs="Times New Roman"/>
        </w:rPr>
        <w:t>from the defendant on a matter relating to a business or professional transaction whose nature he revealed to the defendant.</w:t>
      </w:r>
    </w:p>
    <w:p w:rsidR="00730FA8" w:rsidRPr="00730FA8" w:rsidRDefault="00730FA8" w:rsidP="00730FA8">
      <w:pPr>
        <w:spacing w:after="0" w:line="240" w:lineRule="auto"/>
        <w:ind w:left="1440" w:hanging="1440"/>
        <w:jc w:val="both"/>
        <w:rPr>
          <w:rFonts w:ascii="Times New Roman" w:eastAsia="Times New Roman" w:hAnsi="Times New Roman" w:cs="Times New Roman"/>
        </w:rPr>
      </w:pPr>
    </w:p>
    <w:p w:rsidR="0068442D" w:rsidRDefault="00730FA8" w:rsidP="00730FA8">
      <w:pPr>
        <w:spacing w:after="0" w:line="240" w:lineRule="auto"/>
        <w:ind w:left="1440" w:hanging="720"/>
        <w:jc w:val="both"/>
        <w:rPr>
          <w:rFonts w:ascii="Times New Roman" w:eastAsia="Times New Roman" w:hAnsi="Times New Roman" w:cs="Times New Roman"/>
        </w:rPr>
      </w:pPr>
      <w:r w:rsidRPr="00730FA8">
        <w:rPr>
          <w:rFonts w:ascii="Times New Roman" w:eastAsia="Times New Roman" w:hAnsi="Times New Roman" w:cs="Times New Roman"/>
        </w:rPr>
        <w:t>2.</w:t>
      </w:r>
      <w:r w:rsidRPr="00730FA8">
        <w:rPr>
          <w:rFonts w:ascii="Times New Roman" w:eastAsia="Times New Roman" w:hAnsi="Times New Roman" w:cs="Times New Roman"/>
        </w:rPr>
        <w:tab/>
        <w:t xml:space="preserve">The </w:t>
      </w:r>
      <w:r w:rsidR="00DB4193" w:rsidRPr="00730FA8">
        <w:rPr>
          <w:rFonts w:ascii="Times New Roman" w:eastAsia="Times New Roman" w:hAnsi="Times New Roman" w:cs="Times New Roman"/>
        </w:rPr>
        <w:t>defendant should have voluntarily undertaken or assumed the responsibility of providing the plaintiff with the correct information on the subject matter of the inquiry.</w:t>
      </w:r>
    </w:p>
    <w:p w:rsidR="00730FA8" w:rsidRPr="00730FA8" w:rsidRDefault="00730FA8" w:rsidP="00730FA8">
      <w:pPr>
        <w:spacing w:after="0" w:line="240" w:lineRule="auto"/>
        <w:ind w:left="1440" w:hanging="720"/>
        <w:jc w:val="both"/>
        <w:rPr>
          <w:rFonts w:ascii="Times New Roman" w:eastAsia="Times New Roman" w:hAnsi="Times New Roman" w:cs="Times New Roman"/>
        </w:rPr>
      </w:pPr>
    </w:p>
    <w:p w:rsidR="0068442D" w:rsidRDefault="000D0FAA" w:rsidP="00730FA8">
      <w:pPr>
        <w:spacing w:after="0" w:line="240" w:lineRule="auto"/>
        <w:ind w:left="1440" w:hanging="720"/>
        <w:jc w:val="both"/>
        <w:rPr>
          <w:rFonts w:ascii="Times New Roman" w:eastAsia="Times New Roman" w:hAnsi="Times New Roman" w:cs="Times New Roman"/>
        </w:rPr>
      </w:pPr>
      <w:r w:rsidRPr="00730FA8">
        <w:rPr>
          <w:rFonts w:ascii="Times New Roman" w:eastAsia="Times New Roman" w:hAnsi="Times New Roman" w:cs="Times New Roman"/>
        </w:rPr>
        <w:t xml:space="preserve">3. </w:t>
      </w:r>
      <w:r w:rsidR="00730FA8" w:rsidRPr="00730FA8">
        <w:rPr>
          <w:rFonts w:ascii="Times New Roman" w:eastAsia="Times New Roman" w:hAnsi="Times New Roman" w:cs="Times New Roman"/>
        </w:rPr>
        <w:tab/>
      </w:r>
      <w:r w:rsidRPr="00730FA8">
        <w:rPr>
          <w:rFonts w:ascii="Times New Roman" w:eastAsia="Times New Roman" w:hAnsi="Times New Roman" w:cs="Times New Roman"/>
        </w:rPr>
        <w:t>The</w:t>
      </w:r>
      <w:r w:rsidR="00DB4193" w:rsidRPr="00730FA8">
        <w:rPr>
          <w:rFonts w:ascii="Times New Roman" w:eastAsia="Times New Roman" w:hAnsi="Times New Roman" w:cs="Times New Roman"/>
        </w:rPr>
        <w:t xml:space="preserve"> defendant should know or ought to have known from the nature of the transaction of the gravity of the inquiry, and by the importance and influence attached by the inquirer to the answer, that the information was wanted for serious purposes and that the inquirer intended to rely and act on the answer.</w:t>
      </w:r>
    </w:p>
    <w:p w:rsidR="00730FA8" w:rsidRPr="00730FA8" w:rsidRDefault="00730FA8" w:rsidP="00730FA8">
      <w:pPr>
        <w:spacing w:after="0" w:line="240" w:lineRule="auto"/>
        <w:ind w:left="1440" w:hanging="720"/>
        <w:jc w:val="both"/>
        <w:rPr>
          <w:rFonts w:ascii="Times New Roman" w:eastAsia="Times New Roman" w:hAnsi="Times New Roman" w:cs="Times New Roman"/>
        </w:rPr>
      </w:pPr>
    </w:p>
    <w:p w:rsidR="0068442D" w:rsidRDefault="000D0FAA" w:rsidP="00730FA8">
      <w:pPr>
        <w:spacing w:after="0" w:line="240" w:lineRule="auto"/>
        <w:ind w:left="1440" w:hanging="720"/>
        <w:jc w:val="both"/>
        <w:rPr>
          <w:rFonts w:ascii="Times New Roman" w:eastAsia="Times New Roman" w:hAnsi="Times New Roman" w:cs="Times New Roman"/>
        </w:rPr>
      </w:pPr>
      <w:r w:rsidRPr="00730FA8">
        <w:rPr>
          <w:rFonts w:ascii="Times New Roman" w:eastAsia="Times New Roman" w:hAnsi="Times New Roman" w:cs="Times New Roman"/>
        </w:rPr>
        <w:t>4.</w:t>
      </w:r>
      <w:r w:rsidR="00730FA8" w:rsidRPr="00730FA8">
        <w:rPr>
          <w:rFonts w:ascii="Times New Roman" w:eastAsia="Times New Roman" w:hAnsi="Times New Roman" w:cs="Times New Roman"/>
        </w:rPr>
        <w:tab/>
      </w:r>
      <w:r w:rsidRPr="00730FA8">
        <w:rPr>
          <w:rFonts w:ascii="Times New Roman" w:eastAsia="Times New Roman" w:hAnsi="Times New Roman" w:cs="Times New Roman"/>
        </w:rPr>
        <w:t xml:space="preserve"> The</w:t>
      </w:r>
      <w:r w:rsidR="00DB4193" w:rsidRPr="00730FA8">
        <w:rPr>
          <w:rFonts w:ascii="Times New Roman" w:eastAsia="Times New Roman" w:hAnsi="Times New Roman" w:cs="Times New Roman"/>
        </w:rPr>
        <w:t xml:space="preserve"> defendant does not have to be in the business of giving advice on the matters asked for nor does he have to hold himself out to be in possession of a special skill or competence in the subject-matter of the inquiry.</w:t>
      </w:r>
    </w:p>
    <w:p w:rsidR="00730FA8" w:rsidRPr="00730FA8" w:rsidRDefault="00730FA8" w:rsidP="00730FA8">
      <w:pPr>
        <w:spacing w:after="0" w:line="240" w:lineRule="auto"/>
        <w:ind w:left="1440" w:hanging="720"/>
        <w:jc w:val="both"/>
        <w:rPr>
          <w:rFonts w:ascii="Times New Roman" w:eastAsia="Times New Roman" w:hAnsi="Times New Roman" w:cs="Times New Roman"/>
        </w:rPr>
      </w:pPr>
    </w:p>
    <w:p w:rsidR="0068442D" w:rsidRDefault="000D0FAA" w:rsidP="00730FA8">
      <w:pPr>
        <w:spacing w:after="0" w:line="240" w:lineRule="auto"/>
        <w:ind w:left="1440" w:hanging="720"/>
        <w:jc w:val="both"/>
        <w:rPr>
          <w:rFonts w:ascii="Times New Roman" w:eastAsia="Times New Roman" w:hAnsi="Times New Roman" w:cs="Times New Roman"/>
        </w:rPr>
      </w:pPr>
      <w:r w:rsidRPr="00730FA8">
        <w:rPr>
          <w:rFonts w:ascii="Times New Roman" w:eastAsia="Times New Roman" w:hAnsi="Times New Roman" w:cs="Times New Roman"/>
        </w:rPr>
        <w:t xml:space="preserve">5. </w:t>
      </w:r>
      <w:r w:rsidR="00730FA8" w:rsidRPr="00730FA8">
        <w:rPr>
          <w:rFonts w:ascii="Times New Roman" w:eastAsia="Times New Roman" w:hAnsi="Times New Roman" w:cs="Times New Roman"/>
        </w:rPr>
        <w:tab/>
      </w:r>
      <w:r w:rsidRPr="00730FA8">
        <w:rPr>
          <w:rFonts w:ascii="Times New Roman" w:eastAsia="Times New Roman" w:hAnsi="Times New Roman" w:cs="Times New Roman"/>
        </w:rPr>
        <w:t>The</w:t>
      </w:r>
      <w:r w:rsidR="00DB4193" w:rsidRPr="00730FA8">
        <w:rPr>
          <w:rFonts w:ascii="Times New Roman" w:eastAsia="Times New Roman" w:hAnsi="Times New Roman" w:cs="Times New Roman"/>
        </w:rPr>
        <w:t xml:space="preserve"> defendant should have made the misstatement to the plaintiff without a disclaimer of responsibility for or qualification of its accuracy.  </w:t>
      </w:r>
    </w:p>
    <w:p w:rsidR="00730FA8" w:rsidRPr="00730FA8" w:rsidRDefault="00730FA8" w:rsidP="00730FA8">
      <w:pPr>
        <w:spacing w:after="0" w:line="240" w:lineRule="auto"/>
        <w:ind w:left="1440" w:hanging="720"/>
        <w:jc w:val="both"/>
        <w:rPr>
          <w:rFonts w:ascii="Times New Roman" w:eastAsia="Times New Roman" w:hAnsi="Times New Roman" w:cs="Times New Roman"/>
        </w:rPr>
      </w:pPr>
    </w:p>
    <w:p w:rsidR="0068442D" w:rsidRDefault="000D0FAA" w:rsidP="00730FA8">
      <w:pPr>
        <w:spacing w:after="0" w:line="240" w:lineRule="auto"/>
        <w:ind w:left="1440" w:hanging="720"/>
        <w:jc w:val="both"/>
        <w:rPr>
          <w:rFonts w:ascii="Times New Roman" w:eastAsia="Times New Roman" w:hAnsi="Times New Roman" w:cs="Times New Roman"/>
        </w:rPr>
      </w:pPr>
      <w:r w:rsidRPr="00730FA8">
        <w:rPr>
          <w:rFonts w:ascii="Times New Roman" w:eastAsia="Times New Roman" w:hAnsi="Times New Roman" w:cs="Times New Roman"/>
        </w:rPr>
        <w:t xml:space="preserve">6. </w:t>
      </w:r>
      <w:r w:rsidR="00730FA8" w:rsidRPr="00730FA8">
        <w:rPr>
          <w:rFonts w:ascii="Times New Roman" w:eastAsia="Times New Roman" w:hAnsi="Times New Roman" w:cs="Times New Roman"/>
        </w:rPr>
        <w:tab/>
      </w:r>
      <w:r w:rsidRPr="00730FA8">
        <w:rPr>
          <w:rFonts w:ascii="Times New Roman" w:eastAsia="Times New Roman" w:hAnsi="Times New Roman" w:cs="Times New Roman"/>
        </w:rPr>
        <w:t>The</w:t>
      </w:r>
      <w:r w:rsidR="00DB4193" w:rsidRPr="00730FA8">
        <w:rPr>
          <w:rFonts w:ascii="Times New Roman" w:eastAsia="Times New Roman" w:hAnsi="Times New Roman" w:cs="Times New Roman"/>
        </w:rPr>
        <w:t xml:space="preserve"> plaintiff should have relied and acted on the misstatement as a result of which he suffered financial loss.</w:t>
      </w:r>
    </w:p>
    <w:p w:rsidR="00730FA8" w:rsidRPr="00730FA8" w:rsidRDefault="00730FA8" w:rsidP="00730FA8">
      <w:pPr>
        <w:spacing w:after="0" w:line="240" w:lineRule="auto"/>
        <w:ind w:left="1440" w:hanging="720"/>
        <w:jc w:val="both"/>
        <w:rPr>
          <w:rFonts w:ascii="Times New Roman" w:eastAsia="Times New Roman" w:hAnsi="Times New Roman" w:cs="Times New Roman"/>
        </w:rPr>
      </w:pPr>
    </w:p>
    <w:p w:rsidR="0068442D" w:rsidRDefault="000D0FAA" w:rsidP="00730FA8">
      <w:pPr>
        <w:spacing w:after="0" w:line="240" w:lineRule="auto"/>
        <w:ind w:left="1440" w:hanging="720"/>
        <w:jc w:val="both"/>
        <w:rPr>
          <w:rFonts w:ascii="Times New Roman" w:eastAsia="Times New Roman" w:hAnsi="Times New Roman" w:cs="Times New Roman"/>
        </w:rPr>
      </w:pPr>
      <w:r w:rsidRPr="00730FA8">
        <w:rPr>
          <w:rFonts w:ascii="Times New Roman" w:eastAsia="Times New Roman" w:hAnsi="Times New Roman" w:cs="Times New Roman"/>
        </w:rPr>
        <w:t>7.</w:t>
      </w:r>
      <w:r w:rsidR="00730FA8" w:rsidRPr="00730FA8">
        <w:rPr>
          <w:rFonts w:ascii="Times New Roman" w:eastAsia="Times New Roman" w:hAnsi="Times New Roman" w:cs="Times New Roman"/>
        </w:rPr>
        <w:tab/>
      </w:r>
      <w:r w:rsidRPr="00730FA8">
        <w:rPr>
          <w:rFonts w:ascii="Times New Roman" w:eastAsia="Times New Roman" w:hAnsi="Times New Roman" w:cs="Times New Roman"/>
        </w:rPr>
        <w:t xml:space="preserve"> It</w:t>
      </w:r>
      <w:r w:rsidR="00DB4193" w:rsidRPr="00730FA8">
        <w:rPr>
          <w:rFonts w:ascii="Times New Roman" w:eastAsia="Times New Roman" w:hAnsi="Times New Roman" w:cs="Times New Roman"/>
        </w:rPr>
        <w:t xml:space="preserve"> should have been reasonable in the circumstances of the case for the plaintiff to rely and act on the st</w:t>
      </w:r>
      <w:r w:rsidR="00730FA8" w:rsidRPr="00730FA8">
        <w:rPr>
          <w:rFonts w:ascii="Times New Roman" w:eastAsia="Times New Roman" w:hAnsi="Times New Roman" w:cs="Times New Roman"/>
        </w:rPr>
        <w:t>atement made by the defendant.”</w:t>
      </w:r>
    </w:p>
    <w:p w:rsidR="00EE78D7" w:rsidRDefault="00EE78D7" w:rsidP="00730FA8">
      <w:pPr>
        <w:spacing w:after="0" w:line="240" w:lineRule="auto"/>
        <w:ind w:left="1440" w:hanging="720"/>
        <w:jc w:val="both"/>
        <w:rPr>
          <w:rFonts w:ascii="Times New Roman" w:eastAsia="Times New Roman" w:hAnsi="Times New Roman" w:cs="Times New Roman"/>
        </w:rPr>
      </w:pPr>
    </w:p>
    <w:p w:rsidR="00EE78D7" w:rsidRPr="00EE78D7" w:rsidRDefault="00EE78D7" w:rsidP="0019485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EE78D7">
        <w:rPr>
          <w:rFonts w:ascii="Times New Roman" w:eastAsia="Times New Roman" w:hAnsi="Times New Roman" w:cs="Times New Roman"/>
          <w:sz w:val="24"/>
          <w:szCs w:val="24"/>
        </w:rPr>
        <w:t xml:space="preserve">In </w:t>
      </w:r>
      <w:r w:rsidRPr="00A13212">
        <w:rPr>
          <w:rFonts w:ascii="Times New Roman" w:eastAsia="Times New Roman" w:hAnsi="Times New Roman" w:cs="Times New Roman"/>
          <w:i/>
          <w:sz w:val="24"/>
          <w:szCs w:val="24"/>
        </w:rPr>
        <w:t>Thomas v BMW South Africa (Pty) Ltd</w:t>
      </w:r>
      <w:r w:rsidRPr="00EE78D7">
        <w:rPr>
          <w:rFonts w:ascii="Times New Roman" w:eastAsia="Times New Roman" w:hAnsi="Times New Roman" w:cs="Times New Roman"/>
          <w:sz w:val="24"/>
          <w:szCs w:val="24"/>
        </w:rPr>
        <w:t xml:space="preserve"> 1962 (2) SA 106 (c) the court stated thus,</w:t>
      </w:r>
    </w:p>
    <w:p w:rsidR="00EE78D7" w:rsidRPr="00EE78D7" w:rsidRDefault="00EE78D7" w:rsidP="0018779B">
      <w:pPr>
        <w:spacing w:after="0" w:line="240" w:lineRule="auto"/>
        <w:ind w:left="720"/>
        <w:jc w:val="both"/>
        <w:rPr>
          <w:rFonts w:ascii="Times New Roman" w:eastAsia="Times New Roman" w:hAnsi="Times New Roman" w:cs="Times New Roman"/>
        </w:rPr>
      </w:pPr>
      <w:r w:rsidRPr="00EE78D7">
        <w:rPr>
          <w:rFonts w:ascii="Times New Roman" w:eastAsia="Times New Roman" w:hAnsi="Times New Roman" w:cs="Times New Roman"/>
        </w:rPr>
        <w:t xml:space="preserve">“There can be no delict in the absence of a wrongful act or omission on the part of the </w:t>
      </w:r>
      <w:r w:rsidR="0018779B">
        <w:rPr>
          <w:rFonts w:ascii="Times New Roman" w:eastAsia="Times New Roman" w:hAnsi="Times New Roman" w:cs="Times New Roman"/>
        </w:rPr>
        <w:t xml:space="preserve">wrongdoer. </w:t>
      </w:r>
      <w:r w:rsidRPr="00EE78D7">
        <w:rPr>
          <w:rFonts w:ascii="Times New Roman" w:eastAsia="Times New Roman" w:hAnsi="Times New Roman" w:cs="Times New Roman"/>
        </w:rPr>
        <w:t xml:space="preserve">An act of omission can be characterized as wrongful only if it results in </w:t>
      </w:r>
      <w:r w:rsidRPr="00B65448">
        <w:rPr>
          <w:rFonts w:ascii="Times New Roman" w:eastAsia="Times New Roman" w:hAnsi="Times New Roman" w:cs="Times New Roman"/>
          <w:i/>
        </w:rPr>
        <w:t xml:space="preserve">damnum. </w:t>
      </w:r>
      <w:r w:rsidRPr="00EE78D7">
        <w:rPr>
          <w:rFonts w:ascii="Times New Roman" w:eastAsia="Times New Roman" w:hAnsi="Times New Roman" w:cs="Times New Roman"/>
        </w:rPr>
        <w:t xml:space="preserve">Until that </w:t>
      </w:r>
      <w:r w:rsidR="0004415E" w:rsidRPr="00EE78D7">
        <w:rPr>
          <w:rFonts w:ascii="Times New Roman" w:eastAsia="Times New Roman" w:hAnsi="Times New Roman" w:cs="Times New Roman"/>
        </w:rPr>
        <w:t>happens, an</w:t>
      </w:r>
      <w:r w:rsidRPr="00EE78D7">
        <w:rPr>
          <w:rFonts w:ascii="Times New Roman" w:eastAsia="Times New Roman" w:hAnsi="Times New Roman" w:cs="Times New Roman"/>
        </w:rPr>
        <w:t xml:space="preserve"> act or omission constitutes no more than “negligence in the air.”</w:t>
      </w:r>
      <w:r w:rsidRPr="00EE78D7">
        <w:rPr>
          <w:rFonts w:ascii="Times New Roman" w:eastAsia="Times New Roman" w:hAnsi="Times New Roman" w:cs="Times New Roman"/>
        </w:rPr>
        <w:tab/>
      </w:r>
      <w:r w:rsidRPr="00EE78D7">
        <w:rPr>
          <w:rFonts w:ascii="Times New Roman" w:eastAsia="Times New Roman" w:hAnsi="Times New Roman" w:cs="Times New Roman"/>
        </w:rPr>
        <w:tab/>
      </w:r>
    </w:p>
    <w:p w:rsidR="00EE78D7" w:rsidRPr="00EE78D7" w:rsidRDefault="00EE78D7" w:rsidP="0018779B">
      <w:pPr>
        <w:spacing w:after="0" w:line="360" w:lineRule="auto"/>
        <w:jc w:val="both"/>
        <w:rPr>
          <w:rFonts w:ascii="Times New Roman" w:eastAsia="Times New Roman" w:hAnsi="Times New Roman" w:cs="Times New Roman"/>
          <w:sz w:val="24"/>
          <w:szCs w:val="24"/>
        </w:rPr>
      </w:pPr>
      <w:r w:rsidRPr="0019485F">
        <w:rPr>
          <w:rFonts w:ascii="Times New Roman" w:eastAsia="Times New Roman" w:hAnsi="Times New Roman" w:cs="Times New Roman"/>
          <w:sz w:val="24"/>
          <w:szCs w:val="24"/>
        </w:rPr>
        <w:tab/>
        <w:t xml:space="preserve">The same principle was enunciated in </w:t>
      </w:r>
      <w:r w:rsidRPr="00A13212">
        <w:rPr>
          <w:rFonts w:ascii="Times New Roman" w:eastAsia="Times New Roman" w:hAnsi="Times New Roman" w:cs="Times New Roman"/>
          <w:i/>
          <w:sz w:val="24"/>
          <w:szCs w:val="24"/>
        </w:rPr>
        <w:t>Mukheiber v Raath and Anor</w:t>
      </w:r>
      <w:r w:rsidRPr="0019485F">
        <w:rPr>
          <w:rFonts w:ascii="Times New Roman" w:eastAsia="Times New Roman" w:hAnsi="Times New Roman" w:cs="Times New Roman"/>
          <w:sz w:val="24"/>
          <w:szCs w:val="24"/>
        </w:rPr>
        <w:t xml:space="preserve"> 1999 (3) SA 1065 (SCA) at 1075 where the remarked as follows;</w:t>
      </w:r>
    </w:p>
    <w:p w:rsidR="00EE78D7" w:rsidRPr="00EE78D7" w:rsidRDefault="00EE78D7" w:rsidP="0018779B">
      <w:pPr>
        <w:spacing w:after="0" w:line="240" w:lineRule="auto"/>
        <w:ind w:left="720"/>
        <w:jc w:val="both"/>
        <w:rPr>
          <w:rFonts w:ascii="Times New Roman" w:eastAsia="Times New Roman" w:hAnsi="Times New Roman" w:cs="Times New Roman"/>
        </w:rPr>
      </w:pPr>
      <w:r w:rsidRPr="00EE78D7">
        <w:rPr>
          <w:rFonts w:ascii="Times New Roman" w:eastAsia="Times New Roman" w:hAnsi="Times New Roman" w:cs="Times New Roman"/>
        </w:rPr>
        <w:t xml:space="preserve">“Common to all approaches to “the unlawfulness of a misrepresentation” is the fundamental principle that tortious liability is founded not upon the act performed by the defendant, but upon the consequences of that act (Viscount Simonds in overseas </w:t>
      </w:r>
      <w:r w:rsidRPr="00A13212">
        <w:rPr>
          <w:rFonts w:ascii="Times New Roman" w:eastAsia="Times New Roman" w:hAnsi="Times New Roman" w:cs="Times New Roman"/>
          <w:i/>
        </w:rPr>
        <w:t>Tanksh (UK) Ltd v Marks Dook &amp; Engineering Co Ltd [1961] ALL ER</w:t>
      </w:r>
      <w:r w:rsidRPr="00EE78D7">
        <w:rPr>
          <w:rFonts w:ascii="Times New Roman" w:eastAsia="Times New Roman" w:hAnsi="Times New Roman" w:cs="Times New Roman"/>
        </w:rPr>
        <w:t xml:space="preserve"> </w:t>
      </w:r>
      <w:r w:rsidRPr="00A13212">
        <w:rPr>
          <w:rFonts w:ascii="Times New Roman" w:eastAsia="Times New Roman" w:hAnsi="Times New Roman" w:cs="Times New Roman"/>
          <w:i/>
        </w:rPr>
        <w:t>404 (PC) (Wagon Mount M.O.I) 41 SA.</w:t>
      </w:r>
      <w:r w:rsidRPr="00EE78D7">
        <w:rPr>
          <w:rFonts w:ascii="Times New Roman" w:eastAsia="Times New Roman" w:hAnsi="Times New Roman" w:cs="Times New Roman"/>
        </w:rPr>
        <w:t xml:space="preserve"> “But there can be no liability until the damage has been done. It is not the act but the consequence on which the tortious liability is founded just as (as it has been said) that there is no such thing as liability in the air.”</w:t>
      </w:r>
    </w:p>
    <w:p w:rsidR="0068442D" w:rsidRDefault="0068442D">
      <w:pPr>
        <w:spacing w:after="0" w:line="240" w:lineRule="auto"/>
        <w:jc w:val="both"/>
        <w:rPr>
          <w:rFonts w:ascii="Times New Roman" w:eastAsia="Times New Roman" w:hAnsi="Times New Roman" w:cs="Times New Roman"/>
          <w:sz w:val="24"/>
        </w:rPr>
      </w:pPr>
    </w:p>
    <w:p w:rsidR="00B65448" w:rsidRDefault="000D0FAA" w:rsidP="00880660">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plaintif</w:t>
      </w:r>
      <w:r w:rsidR="00B65448">
        <w:rPr>
          <w:rFonts w:ascii="Times New Roman" w:eastAsia="Times New Roman" w:hAnsi="Times New Roman" w:cs="Times New Roman"/>
          <w:sz w:val="24"/>
        </w:rPr>
        <w:t xml:space="preserve">f was required to show that </w:t>
      </w:r>
      <w:r w:rsidR="0004415E">
        <w:rPr>
          <w:rFonts w:ascii="Times New Roman" w:eastAsia="Times New Roman" w:hAnsi="Times New Roman" w:cs="Times New Roman"/>
          <w:sz w:val="24"/>
        </w:rPr>
        <w:t>it acted</w:t>
      </w:r>
      <w:r>
        <w:rPr>
          <w:rFonts w:ascii="Times New Roman" w:eastAsia="Times New Roman" w:hAnsi="Times New Roman" w:cs="Times New Roman"/>
          <w:sz w:val="24"/>
        </w:rPr>
        <w:t xml:space="preserve"> on the report resulting in loss to it arising from its reliance on the valuation report. A </w:t>
      </w:r>
      <w:r w:rsidR="00C37650">
        <w:rPr>
          <w:rFonts w:ascii="Times New Roman" w:eastAsia="Times New Roman" w:hAnsi="Times New Roman" w:cs="Times New Roman"/>
          <w:sz w:val="24"/>
        </w:rPr>
        <w:t>litigant who</w:t>
      </w:r>
      <w:r>
        <w:rPr>
          <w:rFonts w:ascii="Times New Roman" w:eastAsia="Times New Roman" w:hAnsi="Times New Roman" w:cs="Times New Roman"/>
          <w:sz w:val="24"/>
        </w:rPr>
        <w:t xml:space="preserve"> brings a claim on the basis of a negligent misstatement must show, in addition to the requirements </w:t>
      </w:r>
      <w:r w:rsidR="00C37650">
        <w:rPr>
          <w:rFonts w:ascii="Times New Roman" w:eastAsia="Times New Roman" w:hAnsi="Times New Roman" w:cs="Times New Roman"/>
          <w:sz w:val="24"/>
        </w:rPr>
        <w:t>l</w:t>
      </w:r>
      <w:r>
        <w:rPr>
          <w:rFonts w:ascii="Times New Roman" w:eastAsia="Times New Roman" w:hAnsi="Times New Roman" w:cs="Times New Roman"/>
          <w:sz w:val="24"/>
        </w:rPr>
        <w:t xml:space="preserve">aid down in the </w:t>
      </w:r>
      <w:r w:rsidRPr="00C37650">
        <w:rPr>
          <w:rFonts w:ascii="Times New Roman" w:eastAsia="Times New Roman" w:hAnsi="Times New Roman" w:cs="Times New Roman"/>
          <w:i/>
          <w:sz w:val="24"/>
        </w:rPr>
        <w:t xml:space="preserve">Taunton </w:t>
      </w:r>
      <w:r w:rsidRPr="00730FA8">
        <w:rPr>
          <w:rFonts w:ascii="Times New Roman" w:eastAsia="Times New Roman" w:hAnsi="Times New Roman" w:cs="Times New Roman"/>
          <w:sz w:val="24"/>
        </w:rPr>
        <w:t xml:space="preserve">case </w:t>
      </w:r>
      <w:r>
        <w:rPr>
          <w:rFonts w:ascii="Times New Roman" w:eastAsia="Times New Roman" w:hAnsi="Times New Roman" w:cs="Times New Roman"/>
          <w:sz w:val="24"/>
        </w:rPr>
        <w:t xml:space="preserve">show that he relied on the misstatement resulting in him suffering damages. </w:t>
      </w:r>
      <w:r w:rsidR="00DB4193">
        <w:rPr>
          <w:rFonts w:ascii="Times New Roman" w:eastAsia="Times New Roman" w:hAnsi="Times New Roman" w:cs="Times New Roman"/>
          <w:sz w:val="24"/>
        </w:rPr>
        <w:t xml:space="preserve">Even if the claim had been brought against the correct party, the plaintiff </w:t>
      </w:r>
      <w:r w:rsidR="00C37650">
        <w:rPr>
          <w:rFonts w:ascii="Times New Roman" w:eastAsia="Times New Roman" w:hAnsi="Times New Roman" w:cs="Times New Roman"/>
          <w:sz w:val="24"/>
        </w:rPr>
        <w:t>does not satisfy</w:t>
      </w:r>
      <w:r w:rsidR="00DB4193">
        <w:rPr>
          <w:rFonts w:ascii="Times New Roman" w:eastAsia="Times New Roman" w:hAnsi="Times New Roman" w:cs="Times New Roman"/>
          <w:sz w:val="24"/>
        </w:rPr>
        <w:t xml:space="preserve"> the 6th requirement as laid out in the </w:t>
      </w:r>
      <w:r w:rsidR="00DB4193" w:rsidRPr="00C37650">
        <w:rPr>
          <w:rFonts w:ascii="Times New Roman" w:eastAsia="Times New Roman" w:hAnsi="Times New Roman" w:cs="Times New Roman"/>
          <w:i/>
          <w:sz w:val="24"/>
        </w:rPr>
        <w:t xml:space="preserve">Taunton </w:t>
      </w:r>
      <w:r w:rsidR="00DB4193" w:rsidRPr="00730FA8">
        <w:rPr>
          <w:rFonts w:ascii="Times New Roman" w:eastAsia="Times New Roman" w:hAnsi="Times New Roman" w:cs="Times New Roman"/>
          <w:sz w:val="24"/>
        </w:rPr>
        <w:t>case.</w:t>
      </w:r>
      <w:r w:rsidR="00DB4193">
        <w:rPr>
          <w:rFonts w:ascii="Times New Roman" w:eastAsia="Times New Roman" w:hAnsi="Times New Roman" w:cs="Times New Roman"/>
          <w:sz w:val="24"/>
        </w:rPr>
        <w:t xml:space="preserve"> The plaintiff has failed to show that it relied and </w:t>
      </w:r>
      <w:r w:rsidR="00DB4193">
        <w:rPr>
          <w:rFonts w:ascii="Times New Roman" w:eastAsia="Times New Roman" w:hAnsi="Times New Roman" w:cs="Times New Roman"/>
          <w:sz w:val="24"/>
        </w:rPr>
        <w:lastRenderedPageBreak/>
        <w:t>acted on the misstatement or valuation and hence has failed to satisfy the requirements of the law.</w:t>
      </w:r>
      <w:r w:rsidR="00880660">
        <w:rPr>
          <w:rFonts w:ascii="Times New Roman" w:eastAsia="Times New Roman" w:hAnsi="Times New Roman" w:cs="Times New Roman"/>
          <w:sz w:val="24"/>
        </w:rPr>
        <w:t xml:space="preserve"> </w:t>
      </w:r>
    </w:p>
    <w:p w:rsidR="00A56BA7" w:rsidRDefault="00DB41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F1DCE">
        <w:rPr>
          <w:rFonts w:ascii="Times New Roman" w:eastAsia="Times New Roman" w:hAnsi="Times New Roman" w:cs="Times New Roman"/>
          <w:sz w:val="24"/>
        </w:rPr>
        <w:t xml:space="preserve">  </w:t>
      </w:r>
      <w:r w:rsidR="00A56BA7">
        <w:rPr>
          <w:rFonts w:ascii="Times New Roman" w:eastAsia="Times New Roman" w:hAnsi="Times New Roman" w:cs="Times New Roman"/>
          <w:sz w:val="24"/>
        </w:rPr>
        <w:t xml:space="preserve"> </w:t>
      </w:r>
      <w:r w:rsidR="008F1DC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Once </w:t>
      </w:r>
      <w:r w:rsidR="000D0FAA">
        <w:rPr>
          <w:rFonts w:ascii="Times New Roman" w:eastAsia="Times New Roman" w:hAnsi="Times New Roman" w:cs="Times New Roman"/>
          <w:sz w:val="24"/>
        </w:rPr>
        <w:t>it</w:t>
      </w:r>
      <w:r w:rsidR="00C649CC">
        <w:rPr>
          <w:rFonts w:ascii="Times New Roman" w:eastAsia="Times New Roman" w:hAnsi="Times New Roman" w:cs="Times New Roman"/>
          <w:sz w:val="24"/>
        </w:rPr>
        <w:t xml:space="preserve"> </w:t>
      </w:r>
      <w:r w:rsidR="00546AC2">
        <w:rPr>
          <w:rFonts w:ascii="Times New Roman" w:eastAsia="Times New Roman" w:hAnsi="Times New Roman" w:cs="Times New Roman"/>
          <w:sz w:val="24"/>
        </w:rPr>
        <w:t>is accepted</w:t>
      </w:r>
      <w:r>
        <w:rPr>
          <w:rFonts w:ascii="Times New Roman" w:eastAsia="Times New Roman" w:hAnsi="Times New Roman" w:cs="Times New Roman"/>
          <w:sz w:val="24"/>
        </w:rPr>
        <w:t xml:space="preserve"> that the plaintiff did not rely on the valuation report for it to enter into the agreement of 21 September 2011, it follows that there was no wrongful act o</w:t>
      </w:r>
      <w:r w:rsidR="00765EB7">
        <w:rPr>
          <w:rFonts w:ascii="Times New Roman" w:eastAsia="Times New Roman" w:hAnsi="Times New Roman" w:cs="Times New Roman"/>
          <w:sz w:val="24"/>
        </w:rPr>
        <w:t xml:space="preserve">r omission </w:t>
      </w:r>
      <w:r>
        <w:rPr>
          <w:rFonts w:ascii="Times New Roman" w:eastAsia="Times New Roman" w:hAnsi="Times New Roman" w:cs="Times New Roman"/>
          <w:sz w:val="24"/>
        </w:rPr>
        <w:t xml:space="preserve">and hence no delict </w:t>
      </w:r>
      <w:r w:rsidR="00C37650">
        <w:rPr>
          <w:rFonts w:ascii="Times New Roman" w:eastAsia="Times New Roman" w:hAnsi="Times New Roman" w:cs="Times New Roman"/>
          <w:sz w:val="24"/>
        </w:rPr>
        <w:t>complained of</w:t>
      </w:r>
      <w:r>
        <w:rPr>
          <w:rFonts w:ascii="Times New Roman" w:eastAsia="Times New Roman" w:hAnsi="Times New Roman" w:cs="Times New Roman"/>
          <w:sz w:val="24"/>
        </w:rPr>
        <w:t>. The fact of a wrong va</w:t>
      </w:r>
      <w:r w:rsidR="00A56BA7">
        <w:rPr>
          <w:rFonts w:ascii="Times New Roman" w:eastAsia="Times New Roman" w:hAnsi="Times New Roman" w:cs="Times New Roman"/>
          <w:sz w:val="24"/>
        </w:rPr>
        <w:t>luation remains no more than, “negligence in the air.”</w:t>
      </w:r>
      <w:r>
        <w:rPr>
          <w:rFonts w:ascii="Times New Roman" w:eastAsia="Times New Roman" w:hAnsi="Times New Roman" w:cs="Times New Roman"/>
          <w:sz w:val="24"/>
        </w:rPr>
        <w:t xml:space="preserve"> The negligence of the defendant </w:t>
      </w:r>
      <w:r w:rsidR="000D0FAA">
        <w:rPr>
          <w:rFonts w:ascii="Times New Roman" w:eastAsia="Times New Roman" w:hAnsi="Times New Roman" w:cs="Times New Roman"/>
          <w:sz w:val="24"/>
        </w:rPr>
        <w:t>in</w:t>
      </w:r>
      <w:r w:rsidR="00765EB7">
        <w:rPr>
          <w:rFonts w:ascii="Times New Roman" w:eastAsia="Times New Roman" w:hAnsi="Times New Roman" w:cs="Times New Roman"/>
          <w:sz w:val="24"/>
        </w:rPr>
        <w:t xml:space="preserve"> conducting a wrong valuation </w:t>
      </w:r>
      <w:r>
        <w:rPr>
          <w:rFonts w:ascii="Times New Roman" w:eastAsia="Times New Roman" w:hAnsi="Times New Roman" w:cs="Times New Roman"/>
          <w:sz w:val="24"/>
        </w:rPr>
        <w:t xml:space="preserve">did not cause any loss to the plaintiff. </w:t>
      </w:r>
      <w:r w:rsidR="00204727" w:rsidRPr="00204727">
        <w:rPr>
          <w:rFonts w:ascii="Times New Roman" w:eastAsia="Times New Roman" w:hAnsi="Times New Roman" w:cs="Times New Roman"/>
          <w:sz w:val="24"/>
        </w:rPr>
        <w:t xml:space="preserve">Tortious liability is founded on proof </w:t>
      </w:r>
      <w:r w:rsidR="0004415E" w:rsidRPr="00204727">
        <w:rPr>
          <w:rFonts w:ascii="Times New Roman" w:eastAsia="Times New Roman" w:hAnsi="Times New Roman" w:cs="Times New Roman"/>
          <w:sz w:val="24"/>
        </w:rPr>
        <w:t>of consequences</w:t>
      </w:r>
      <w:r w:rsidR="0004415E">
        <w:rPr>
          <w:rFonts w:ascii="Times New Roman" w:eastAsia="Times New Roman" w:hAnsi="Times New Roman" w:cs="Times New Roman"/>
          <w:sz w:val="24"/>
        </w:rPr>
        <w:t xml:space="preserve"> arising out of </w:t>
      </w:r>
      <w:r w:rsidR="0004415E" w:rsidRPr="00204727">
        <w:rPr>
          <w:rFonts w:ascii="Times New Roman" w:eastAsia="Times New Roman" w:hAnsi="Times New Roman" w:cs="Times New Roman"/>
          <w:sz w:val="24"/>
        </w:rPr>
        <w:t>an</w:t>
      </w:r>
      <w:r w:rsidR="00204727" w:rsidRPr="00204727">
        <w:rPr>
          <w:rFonts w:ascii="Times New Roman" w:eastAsia="Times New Roman" w:hAnsi="Times New Roman" w:cs="Times New Roman"/>
          <w:sz w:val="24"/>
        </w:rPr>
        <w:t xml:space="preserve"> act or omission. It is not sufficient in a </w:t>
      </w:r>
      <w:r w:rsidR="0004415E">
        <w:rPr>
          <w:rFonts w:ascii="Times New Roman" w:eastAsia="Times New Roman" w:hAnsi="Times New Roman" w:cs="Times New Roman"/>
          <w:sz w:val="24"/>
        </w:rPr>
        <w:t xml:space="preserve">delictual  </w:t>
      </w:r>
      <w:r w:rsidR="00204727" w:rsidRPr="00204727">
        <w:rPr>
          <w:rFonts w:ascii="Times New Roman" w:eastAsia="Times New Roman" w:hAnsi="Times New Roman" w:cs="Times New Roman"/>
          <w:sz w:val="24"/>
        </w:rPr>
        <w:t>claim to merely prove that a defendant committed a wrongful act or omission. It must be shown that the act complained against has consequences which resulted in loss to the defendant. Negligence can only be founded on an act or omission that results directly in loss or prejudice suffered.</w:t>
      </w:r>
      <w:r w:rsidR="00204727">
        <w:rPr>
          <w:rFonts w:ascii="Times New Roman" w:eastAsia="Times New Roman" w:hAnsi="Times New Roman" w:cs="Times New Roman"/>
          <w:sz w:val="24"/>
        </w:rPr>
        <w:t xml:space="preserve"> </w:t>
      </w:r>
      <w:r>
        <w:rPr>
          <w:rFonts w:ascii="Times New Roman" w:eastAsia="Times New Roman" w:hAnsi="Times New Roman" w:cs="Times New Roman"/>
          <w:sz w:val="24"/>
        </w:rPr>
        <w:t>There is no claim and no pecuniary loss that the plaintiff suffered as it took transfer of the property at a higher value and hence there can be no valid claim. A claimant who fails to prove that he acted and relied on a misstatement by a defendant cannot succeed in convincing a court to find for him in a delictual claim for damages. The defendant has failed to prove that it relied and acted on the valuation resulting in it suffering financial loss.</w:t>
      </w:r>
    </w:p>
    <w:p w:rsidR="000C16BC" w:rsidRDefault="00DB4193" w:rsidP="00A56BA7">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In the result</w:t>
      </w:r>
      <w:r w:rsidR="000C16BC">
        <w:rPr>
          <w:rFonts w:ascii="Times New Roman" w:eastAsia="Times New Roman" w:hAnsi="Times New Roman" w:cs="Times New Roman"/>
          <w:sz w:val="24"/>
        </w:rPr>
        <w:t xml:space="preserve"> it is ordered as follows,</w:t>
      </w:r>
    </w:p>
    <w:p w:rsidR="0068442D" w:rsidRDefault="00DB4193" w:rsidP="00A56BA7">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plaintiff’s claim is dismissed with costs.</w:t>
      </w:r>
    </w:p>
    <w:p w:rsidR="0068442D" w:rsidRDefault="00A56BA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A56BA7" w:rsidRDefault="00A56BA7">
      <w:pPr>
        <w:spacing w:after="0" w:line="360" w:lineRule="auto"/>
        <w:jc w:val="both"/>
        <w:rPr>
          <w:rFonts w:ascii="Times New Roman" w:eastAsia="Times New Roman" w:hAnsi="Times New Roman" w:cs="Times New Roman"/>
          <w:sz w:val="24"/>
        </w:rPr>
      </w:pPr>
    </w:p>
    <w:p w:rsidR="00A56BA7" w:rsidRDefault="00A56BA7">
      <w:pPr>
        <w:spacing w:after="0" w:line="360" w:lineRule="auto"/>
        <w:jc w:val="both"/>
        <w:rPr>
          <w:rFonts w:ascii="Times New Roman" w:eastAsia="Times New Roman" w:hAnsi="Times New Roman" w:cs="Times New Roman"/>
          <w:sz w:val="24"/>
        </w:rPr>
      </w:pPr>
    </w:p>
    <w:p w:rsidR="0068442D" w:rsidRDefault="00DB419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Dube, Manikai &amp; Hwacha</w:t>
      </w:r>
      <w:r>
        <w:rPr>
          <w:rFonts w:ascii="Times New Roman" w:eastAsia="Times New Roman" w:hAnsi="Times New Roman" w:cs="Times New Roman"/>
          <w:sz w:val="24"/>
        </w:rPr>
        <w:t xml:space="preserve">, </w:t>
      </w:r>
      <w:r w:rsidR="0004415E">
        <w:rPr>
          <w:rFonts w:ascii="Times New Roman" w:eastAsia="Times New Roman" w:hAnsi="Times New Roman" w:cs="Times New Roman"/>
          <w:sz w:val="24"/>
        </w:rPr>
        <w:t>plaintiff’s legal</w:t>
      </w:r>
      <w:r>
        <w:rPr>
          <w:rFonts w:ascii="Times New Roman" w:eastAsia="Times New Roman" w:hAnsi="Times New Roman" w:cs="Times New Roman"/>
          <w:sz w:val="24"/>
        </w:rPr>
        <w:t xml:space="preserve"> practitioners </w:t>
      </w:r>
    </w:p>
    <w:p w:rsidR="0068442D" w:rsidRDefault="00DB419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Wintertons</w:t>
      </w:r>
      <w:r>
        <w:rPr>
          <w:rFonts w:ascii="Times New Roman" w:eastAsia="Times New Roman" w:hAnsi="Times New Roman" w:cs="Times New Roman"/>
          <w:sz w:val="24"/>
        </w:rPr>
        <w:t>, respondent’s legal practitioners</w:t>
      </w:r>
    </w:p>
    <w:p w:rsidR="0068442D" w:rsidRDefault="0068442D">
      <w:pPr>
        <w:spacing w:after="0" w:line="240" w:lineRule="auto"/>
        <w:jc w:val="both"/>
        <w:rPr>
          <w:rFonts w:ascii="Times New Roman" w:eastAsia="Times New Roman" w:hAnsi="Times New Roman" w:cs="Times New Roman"/>
          <w:sz w:val="24"/>
        </w:rPr>
      </w:pPr>
    </w:p>
    <w:sectPr w:rsidR="0068442D">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DCD" w:rsidRDefault="00365DCD" w:rsidP="00032980">
      <w:pPr>
        <w:spacing w:after="0" w:line="240" w:lineRule="auto"/>
      </w:pPr>
      <w:r>
        <w:separator/>
      </w:r>
    </w:p>
  </w:endnote>
  <w:endnote w:type="continuationSeparator" w:id="0">
    <w:p w:rsidR="00365DCD" w:rsidRDefault="00365DCD" w:rsidP="0003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DCD" w:rsidRDefault="00365DCD" w:rsidP="00032980">
      <w:pPr>
        <w:spacing w:after="0" w:line="240" w:lineRule="auto"/>
      </w:pPr>
      <w:r>
        <w:separator/>
      </w:r>
    </w:p>
  </w:footnote>
  <w:footnote w:type="continuationSeparator" w:id="0">
    <w:p w:rsidR="00365DCD" w:rsidRDefault="00365DCD" w:rsidP="00032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989898"/>
      <w:docPartObj>
        <w:docPartGallery w:val="Page Numbers (Top of Page)"/>
        <w:docPartUnique/>
      </w:docPartObj>
    </w:sdtPr>
    <w:sdtEndPr>
      <w:rPr>
        <w:noProof/>
      </w:rPr>
    </w:sdtEndPr>
    <w:sdtContent>
      <w:p w:rsidR="00032980" w:rsidRDefault="00032980">
        <w:pPr>
          <w:pStyle w:val="Header"/>
          <w:jc w:val="right"/>
          <w:rPr>
            <w:noProof/>
          </w:rPr>
        </w:pPr>
        <w:r>
          <w:fldChar w:fldCharType="begin"/>
        </w:r>
        <w:r>
          <w:instrText xml:space="preserve"> PAGE   \* MERGEFORMAT </w:instrText>
        </w:r>
        <w:r>
          <w:fldChar w:fldCharType="separate"/>
        </w:r>
        <w:r w:rsidR="00C25B0B">
          <w:rPr>
            <w:noProof/>
          </w:rPr>
          <w:t>1</w:t>
        </w:r>
        <w:r>
          <w:rPr>
            <w:noProof/>
          </w:rPr>
          <w:fldChar w:fldCharType="end"/>
        </w:r>
      </w:p>
      <w:p w:rsidR="00032980" w:rsidRDefault="00032980">
        <w:pPr>
          <w:pStyle w:val="Header"/>
          <w:jc w:val="right"/>
          <w:rPr>
            <w:noProof/>
          </w:rPr>
        </w:pPr>
        <w:r>
          <w:rPr>
            <w:noProof/>
          </w:rPr>
          <w:t>HH</w:t>
        </w:r>
        <w:r w:rsidR="00E27908">
          <w:rPr>
            <w:noProof/>
          </w:rPr>
          <w:t xml:space="preserve"> 598-18</w:t>
        </w:r>
      </w:p>
      <w:p w:rsidR="00032980" w:rsidRDefault="00032980">
        <w:pPr>
          <w:pStyle w:val="Header"/>
          <w:jc w:val="right"/>
        </w:pPr>
        <w:r>
          <w:rPr>
            <w:noProof/>
          </w:rPr>
          <w:t>HC 3803/14</w:t>
        </w:r>
      </w:p>
    </w:sdtContent>
  </w:sdt>
  <w:p w:rsidR="00032980" w:rsidRDefault="00032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2D"/>
    <w:rsid w:val="00001763"/>
    <w:rsid w:val="00031CF0"/>
    <w:rsid w:val="00032980"/>
    <w:rsid w:val="000346C5"/>
    <w:rsid w:val="00041001"/>
    <w:rsid w:val="0004415E"/>
    <w:rsid w:val="0005484E"/>
    <w:rsid w:val="00066443"/>
    <w:rsid w:val="00071B2C"/>
    <w:rsid w:val="00083B99"/>
    <w:rsid w:val="00086C89"/>
    <w:rsid w:val="00092698"/>
    <w:rsid w:val="000A33C4"/>
    <w:rsid w:val="000C16BC"/>
    <w:rsid w:val="000C1D4B"/>
    <w:rsid w:val="000C3336"/>
    <w:rsid w:val="000D0FAA"/>
    <w:rsid w:val="00101127"/>
    <w:rsid w:val="00134417"/>
    <w:rsid w:val="00163450"/>
    <w:rsid w:val="00163DD1"/>
    <w:rsid w:val="001812B2"/>
    <w:rsid w:val="0018428D"/>
    <w:rsid w:val="001856E3"/>
    <w:rsid w:val="0018779B"/>
    <w:rsid w:val="0019485F"/>
    <w:rsid w:val="001B0D69"/>
    <w:rsid w:val="001B51F6"/>
    <w:rsid w:val="001C161E"/>
    <w:rsid w:val="001E09DD"/>
    <w:rsid w:val="001F6579"/>
    <w:rsid w:val="00204727"/>
    <w:rsid w:val="002154CD"/>
    <w:rsid w:val="00223C77"/>
    <w:rsid w:val="00261DA5"/>
    <w:rsid w:val="00276741"/>
    <w:rsid w:val="002B0B3C"/>
    <w:rsid w:val="002D4496"/>
    <w:rsid w:val="002E4C08"/>
    <w:rsid w:val="002F6573"/>
    <w:rsid w:val="00304EF1"/>
    <w:rsid w:val="00306494"/>
    <w:rsid w:val="003140D1"/>
    <w:rsid w:val="0032514E"/>
    <w:rsid w:val="0033028B"/>
    <w:rsid w:val="00360B5E"/>
    <w:rsid w:val="0036240E"/>
    <w:rsid w:val="00365DCD"/>
    <w:rsid w:val="003841BE"/>
    <w:rsid w:val="00395496"/>
    <w:rsid w:val="003B493A"/>
    <w:rsid w:val="003C5653"/>
    <w:rsid w:val="003E10AF"/>
    <w:rsid w:val="003E49A9"/>
    <w:rsid w:val="003F004C"/>
    <w:rsid w:val="003F4D20"/>
    <w:rsid w:val="00405F3A"/>
    <w:rsid w:val="004126EF"/>
    <w:rsid w:val="00423E53"/>
    <w:rsid w:val="00427C80"/>
    <w:rsid w:val="00434022"/>
    <w:rsid w:val="00437774"/>
    <w:rsid w:val="004501DB"/>
    <w:rsid w:val="00456B48"/>
    <w:rsid w:val="00482306"/>
    <w:rsid w:val="00491753"/>
    <w:rsid w:val="004B7712"/>
    <w:rsid w:val="004F37C0"/>
    <w:rsid w:val="004F41AE"/>
    <w:rsid w:val="004F7FDC"/>
    <w:rsid w:val="005013B4"/>
    <w:rsid w:val="005364C2"/>
    <w:rsid w:val="00545A2D"/>
    <w:rsid w:val="00546AC2"/>
    <w:rsid w:val="005640D9"/>
    <w:rsid w:val="00576ADE"/>
    <w:rsid w:val="005823BC"/>
    <w:rsid w:val="005866E6"/>
    <w:rsid w:val="00616FBA"/>
    <w:rsid w:val="006227F3"/>
    <w:rsid w:val="006474D2"/>
    <w:rsid w:val="00647F91"/>
    <w:rsid w:val="0068442D"/>
    <w:rsid w:val="006958A3"/>
    <w:rsid w:val="006B305A"/>
    <w:rsid w:val="006C04F3"/>
    <w:rsid w:val="006E3D8D"/>
    <w:rsid w:val="006F065C"/>
    <w:rsid w:val="00700CD2"/>
    <w:rsid w:val="0070657E"/>
    <w:rsid w:val="00715DCC"/>
    <w:rsid w:val="00730FA8"/>
    <w:rsid w:val="00761634"/>
    <w:rsid w:val="00765EB7"/>
    <w:rsid w:val="00782FC3"/>
    <w:rsid w:val="00786D78"/>
    <w:rsid w:val="00795AE9"/>
    <w:rsid w:val="007B6C4D"/>
    <w:rsid w:val="007C131A"/>
    <w:rsid w:val="007E16ED"/>
    <w:rsid w:val="007F06D8"/>
    <w:rsid w:val="00803162"/>
    <w:rsid w:val="008075F2"/>
    <w:rsid w:val="00810ED4"/>
    <w:rsid w:val="0081486C"/>
    <w:rsid w:val="0086287D"/>
    <w:rsid w:val="0087129C"/>
    <w:rsid w:val="00880660"/>
    <w:rsid w:val="0088132E"/>
    <w:rsid w:val="00896173"/>
    <w:rsid w:val="008A7635"/>
    <w:rsid w:val="008D7FB7"/>
    <w:rsid w:val="008F1DCE"/>
    <w:rsid w:val="008F5C90"/>
    <w:rsid w:val="009067DC"/>
    <w:rsid w:val="00916241"/>
    <w:rsid w:val="009219E8"/>
    <w:rsid w:val="0092726A"/>
    <w:rsid w:val="00954FC4"/>
    <w:rsid w:val="0096115E"/>
    <w:rsid w:val="009673B0"/>
    <w:rsid w:val="00975A62"/>
    <w:rsid w:val="00982637"/>
    <w:rsid w:val="0098465E"/>
    <w:rsid w:val="009A658F"/>
    <w:rsid w:val="009B2B4C"/>
    <w:rsid w:val="009B2DF6"/>
    <w:rsid w:val="009B3CDE"/>
    <w:rsid w:val="009C0ECA"/>
    <w:rsid w:val="009C229E"/>
    <w:rsid w:val="009E4E1D"/>
    <w:rsid w:val="00A111BA"/>
    <w:rsid w:val="00A13212"/>
    <w:rsid w:val="00A17289"/>
    <w:rsid w:val="00A20154"/>
    <w:rsid w:val="00A24972"/>
    <w:rsid w:val="00A428AD"/>
    <w:rsid w:val="00A56BA7"/>
    <w:rsid w:val="00A63163"/>
    <w:rsid w:val="00A8133A"/>
    <w:rsid w:val="00A9765E"/>
    <w:rsid w:val="00AE2647"/>
    <w:rsid w:val="00B12369"/>
    <w:rsid w:val="00B4226E"/>
    <w:rsid w:val="00B65448"/>
    <w:rsid w:val="00B6594B"/>
    <w:rsid w:val="00B66950"/>
    <w:rsid w:val="00B7620C"/>
    <w:rsid w:val="00B87990"/>
    <w:rsid w:val="00BA064A"/>
    <w:rsid w:val="00BA704B"/>
    <w:rsid w:val="00BF7FE3"/>
    <w:rsid w:val="00C072DD"/>
    <w:rsid w:val="00C22700"/>
    <w:rsid w:val="00C25B0B"/>
    <w:rsid w:val="00C37650"/>
    <w:rsid w:val="00C61985"/>
    <w:rsid w:val="00C649CC"/>
    <w:rsid w:val="00C723E1"/>
    <w:rsid w:val="00C9554E"/>
    <w:rsid w:val="00CD3096"/>
    <w:rsid w:val="00D04AFC"/>
    <w:rsid w:val="00D212DC"/>
    <w:rsid w:val="00D25268"/>
    <w:rsid w:val="00D253B2"/>
    <w:rsid w:val="00D27673"/>
    <w:rsid w:val="00D505F3"/>
    <w:rsid w:val="00D56121"/>
    <w:rsid w:val="00D60855"/>
    <w:rsid w:val="00D71980"/>
    <w:rsid w:val="00D77D96"/>
    <w:rsid w:val="00D94B36"/>
    <w:rsid w:val="00DA2311"/>
    <w:rsid w:val="00DA79F7"/>
    <w:rsid w:val="00DB4193"/>
    <w:rsid w:val="00DE7630"/>
    <w:rsid w:val="00DE7FE4"/>
    <w:rsid w:val="00E00266"/>
    <w:rsid w:val="00E2067A"/>
    <w:rsid w:val="00E26E6D"/>
    <w:rsid w:val="00E27908"/>
    <w:rsid w:val="00E27D8A"/>
    <w:rsid w:val="00E356AD"/>
    <w:rsid w:val="00E70D53"/>
    <w:rsid w:val="00E756DB"/>
    <w:rsid w:val="00E83D5D"/>
    <w:rsid w:val="00EB400A"/>
    <w:rsid w:val="00EC1E6F"/>
    <w:rsid w:val="00ED1133"/>
    <w:rsid w:val="00EE7013"/>
    <w:rsid w:val="00EE78D7"/>
    <w:rsid w:val="00F04589"/>
    <w:rsid w:val="00F132D7"/>
    <w:rsid w:val="00F15272"/>
    <w:rsid w:val="00F50390"/>
    <w:rsid w:val="00F5395D"/>
    <w:rsid w:val="00FB6FED"/>
    <w:rsid w:val="00FC2AAE"/>
    <w:rsid w:val="00FC741E"/>
    <w:rsid w:val="00FD1B65"/>
    <w:rsid w:val="00FF2B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4FB97-2644-46AE-9AAB-7385BA65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980"/>
  </w:style>
  <w:style w:type="paragraph" w:styleId="Footer">
    <w:name w:val="footer"/>
    <w:basedOn w:val="Normal"/>
    <w:link w:val="FooterChar"/>
    <w:uiPriority w:val="99"/>
    <w:unhideWhenUsed/>
    <w:rsid w:val="00032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5083</Words>
  <Characters>28976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2018-10-04T14:47:00Z</cp:lastPrinted>
  <dcterms:created xsi:type="dcterms:W3CDTF">2018-10-09T09:13:00Z</dcterms:created>
  <dcterms:modified xsi:type="dcterms:W3CDTF">2018-10-09T09:13:00Z</dcterms:modified>
</cp:coreProperties>
</file>