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99" w:rsidRDefault="00111524"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EMPLOYMENT COUNCIL FOR THE CATERING INDUSTRY</w:t>
      </w:r>
    </w:p>
    <w:p w:rsidR="00DC6DF9" w:rsidRPr="00AD5299" w:rsidRDefault="00DC6DF9" w:rsidP="00DC6DF9">
      <w:pPr>
        <w:spacing w:after="0" w:line="240" w:lineRule="auto"/>
        <w:jc w:val="both"/>
        <w:rPr>
          <w:rFonts w:ascii="Times New Roman" w:hAnsi="Times New Roman" w:cs="Times New Roman"/>
          <w:sz w:val="24"/>
          <w:szCs w:val="24"/>
        </w:rPr>
      </w:pPr>
      <w:r w:rsidRPr="00AD5299">
        <w:rPr>
          <w:rFonts w:ascii="Times New Roman" w:hAnsi="Times New Roman" w:cs="Times New Roman"/>
          <w:sz w:val="24"/>
          <w:szCs w:val="24"/>
        </w:rPr>
        <w:t>versus</w:t>
      </w:r>
    </w:p>
    <w:p w:rsidR="00AD5299" w:rsidRDefault="00111524" w:rsidP="00111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SIMBISA BRANDS</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111524">
        <w:rPr>
          <w:rFonts w:ascii="Times New Roman" w:hAnsi="Times New Roman" w:cs="Times New Roman"/>
          <w:sz w:val="24"/>
          <w:szCs w:val="24"/>
        </w:rPr>
        <w:t>15, 17</w:t>
      </w:r>
      <w:r w:rsidR="00DC6DF9">
        <w:rPr>
          <w:rFonts w:ascii="Times New Roman" w:hAnsi="Times New Roman" w:cs="Times New Roman"/>
          <w:sz w:val="24"/>
          <w:szCs w:val="24"/>
        </w:rPr>
        <w:t xml:space="preserve"> Ma</w:t>
      </w:r>
      <w:r w:rsidR="00195092">
        <w:rPr>
          <w:rFonts w:ascii="Times New Roman" w:hAnsi="Times New Roman" w:cs="Times New Roman"/>
          <w:sz w:val="24"/>
          <w:szCs w:val="24"/>
        </w:rPr>
        <w:t>y</w:t>
      </w:r>
      <w:r w:rsidR="00B707CF">
        <w:rPr>
          <w:rFonts w:ascii="Times New Roman" w:hAnsi="Times New Roman" w:cs="Times New Roman"/>
          <w:sz w:val="24"/>
          <w:szCs w:val="24"/>
        </w:rPr>
        <w:t>,</w:t>
      </w:r>
      <w:r w:rsidR="00111524">
        <w:rPr>
          <w:rFonts w:ascii="Times New Roman" w:hAnsi="Times New Roman" w:cs="Times New Roman"/>
          <w:sz w:val="24"/>
          <w:szCs w:val="24"/>
        </w:rPr>
        <w:t xml:space="preserve"> 8 June</w:t>
      </w:r>
      <w:r w:rsidR="00B707CF">
        <w:rPr>
          <w:rFonts w:ascii="Times New Roman" w:hAnsi="Times New Roman" w:cs="Times New Roman"/>
          <w:sz w:val="24"/>
          <w:szCs w:val="24"/>
        </w:rPr>
        <w:t xml:space="preserve"> &amp; </w:t>
      </w:r>
      <w:r w:rsidR="00111524">
        <w:rPr>
          <w:rFonts w:ascii="Times New Roman" w:hAnsi="Times New Roman" w:cs="Times New Roman"/>
          <w:sz w:val="24"/>
          <w:szCs w:val="24"/>
        </w:rPr>
        <w:t>8</w:t>
      </w:r>
      <w:r w:rsidR="00B707CF">
        <w:rPr>
          <w:rFonts w:ascii="Times New Roman" w:hAnsi="Times New Roman" w:cs="Times New Roman"/>
          <w:sz w:val="24"/>
          <w:szCs w:val="24"/>
        </w:rPr>
        <w:t xml:space="preserve"> August 201</w:t>
      </w:r>
      <w:r w:rsidR="00111524">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AD30D7"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DC6DF9">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B707CF">
        <w:rPr>
          <w:rFonts w:ascii="Times New Roman" w:hAnsi="Times New Roman" w:cs="Times New Roman"/>
          <w:b/>
          <w:sz w:val="24"/>
          <w:szCs w:val="24"/>
        </w:rPr>
        <w:t>Stated C</w:t>
      </w:r>
      <w:r w:rsidR="00AD5299">
        <w:rPr>
          <w:rFonts w:ascii="Times New Roman" w:hAnsi="Times New Roman" w:cs="Times New Roman"/>
          <w:b/>
          <w:sz w:val="24"/>
          <w:szCs w:val="24"/>
        </w:rPr>
        <w:t>ase</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6A2160"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Mr</w:t>
      </w:r>
      <w:r w:rsidR="00A04393">
        <w:rPr>
          <w:rFonts w:ascii="Times New Roman" w:hAnsi="Times New Roman" w:cs="Times New Roman"/>
          <w:i/>
          <w:sz w:val="24"/>
          <w:szCs w:val="24"/>
        </w:rPr>
        <w:t xml:space="preserve"> </w:t>
      </w:r>
      <w:r w:rsidR="00111524">
        <w:rPr>
          <w:rFonts w:ascii="Times New Roman" w:hAnsi="Times New Roman" w:cs="Times New Roman"/>
          <w:i/>
          <w:sz w:val="24"/>
          <w:szCs w:val="24"/>
        </w:rPr>
        <w:t>G Machingambi</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AD30D7">
        <w:rPr>
          <w:rFonts w:ascii="Times New Roman" w:hAnsi="Times New Roman" w:cs="Times New Roman"/>
          <w:sz w:val="24"/>
          <w:szCs w:val="24"/>
        </w:rPr>
        <w:t>applicant</w:t>
      </w:r>
    </w:p>
    <w:p w:rsidR="00090BBF" w:rsidRDefault="006A2160"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111524">
        <w:rPr>
          <w:rFonts w:ascii="Times New Roman" w:hAnsi="Times New Roman" w:cs="Times New Roman"/>
          <w:i/>
          <w:sz w:val="24"/>
          <w:szCs w:val="24"/>
        </w:rPr>
        <w:t>Lunga</w:t>
      </w:r>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C6DF9">
        <w:rPr>
          <w:rFonts w:ascii="Times New Roman" w:hAnsi="Times New Roman" w:cs="Times New Roman"/>
          <w:sz w:val="24"/>
          <w:szCs w:val="24"/>
        </w:rPr>
        <w:t>respondent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F15771"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AD5299">
        <w:rPr>
          <w:rFonts w:ascii="Times New Roman" w:hAnsi="Times New Roman" w:cs="Times New Roman"/>
          <w:sz w:val="24"/>
          <w:szCs w:val="24"/>
        </w:rPr>
        <w:t>e p</w:t>
      </w:r>
      <w:r w:rsidR="00F04E18">
        <w:rPr>
          <w:rFonts w:ascii="Times New Roman" w:hAnsi="Times New Roman" w:cs="Times New Roman"/>
          <w:sz w:val="24"/>
          <w:szCs w:val="24"/>
        </w:rPr>
        <w:t xml:space="preserve">laintiff issued summons against the defendant claiming payment of $346 972.32 in respect of outstanding pension fund contributions </w:t>
      </w:r>
      <w:r w:rsidR="00BE44F6">
        <w:rPr>
          <w:rFonts w:ascii="Times New Roman" w:hAnsi="Times New Roman" w:cs="Times New Roman"/>
          <w:sz w:val="24"/>
          <w:szCs w:val="24"/>
        </w:rPr>
        <w:t xml:space="preserve">for the period 30 April 2016 to 31 January 2017. </w:t>
      </w:r>
    </w:p>
    <w:p w:rsidR="00883780" w:rsidRPr="00883780" w:rsidRDefault="00883780" w:rsidP="001F7BE4">
      <w:pPr>
        <w:spacing w:after="0" w:line="360" w:lineRule="auto"/>
        <w:ind w:firstLine="720"/>
        <w:jc w:val="both"/>
        <w:rPr>
          <w:rFonts w:ascii="Times New Roman" w:hAnsi="Times New Roman" w:cs="Times New Roman"/>
          <w:b/>
          <w:sz w:val="24"/>
          <w:szCs w:val="24"/>
        </w:rPr>
      </w:pPr>
      <w:r w:rsidRPr="00883780">
        <w:rPr>
          <w:rFonts w:ascii="Times New Roman" w:hAnsi="Times New Roman" w:cs="Times New Roman"/>
          <w:b/>
          <w:sz w:val="24"/>
          <w:szCs w:val="24"/>
        </w:rPr>
        <w:t>The facts and background</w:t>
      </w:r>
    </w:p>
    <w:p w:rsidR="005677CA" w:rsidRDefault="00AD529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and legal background of the matter are common cause: </w:t>
      </w:r>
      <w:r w:rsidR="005677CA">
        <w:rPr>
          <w:rFonts w:ascii="Times New Roman" w:hAnsi="Times New Roman" w:cs="Times New Roman"/>
          <w:sz w:val="24"/>
          <w:szCs w:val="24"/>
        </w:rPr>
        <w:t xml:space="preserve">at all material times the defendant was a member of the pension fund for the National Employment Council </w:t>
      </w:r>
      <w:r w:rsidR="00775958">
        <w:rPr>
          <w:rFonts w:ascii="Times New Roman" w:hAnsi="Times New Roman" w:cs="Times New Roman"/>
          <w:sz w:val="24"/>
          <w:szCs w:val="24"/>
        </w:rPr>
        <w:t xml:space="preserve">(NEC) </w:t>
      </w:r>
      <w:r w:rsidR="005677CA">
        <w:rPr>
          <w:rFonts w:ascii="Times New Roman" w:hAnsi="Times New Roman" w:cs="Times New Roman"/>
          <w:sz w:val="24"/>
          <w:szCs w:val="24"/>
        </w:rPr>
        <w:t xml:space="preserve">for the Catering Industry as required by s 8 of the Industrial Agreement: Catering Industry, S.I. 359 of 1980. On 10 March 2016 defendant notified plaintiff </w:t>
      </w:r>
      <w:r w:rsidR="00775958">
        <w:rPr>
          <w:rFonts w:ascii="Times New Roman" w:hAnsi="Times New Roman" w:cs="Times New Roman"/>
          <w:sz w:val="24"/>
          <w:szCs w:val="24"/>
        </w:rPr>
        <w:t>i</w:t>
      </w:r>
      <w:r w:rsidR="005677CA">
        <w:rPr>
          <w:rFonts w:ascii="Times New Roman" w:hAnsi="Times New Roman" w:cs="Times New Roman"/>
          <w:sz w:val="24"/>
          <w:szCs w:val="24"/>
        </w:rPr>
        <w:t>n writing of its intention to cease its membership with the plaintiff’s pension fund and to stop all contributions by 1 April 2016.</w:t>
      </w:r>
    </w:p>
    <w:p w:rsidR="005677CA" w:rsidRDefault="005677C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advised defendant that it could not resign membershi</w:t>
      </w:r>
      <w:r w:rsidR="00775958">
        <w:rPr>
          <w:rFonts w:ascii="Times New Roman" w:hAnsi="Times New Roman" w:cs="Times New Roman"/>
          <w:sz w:val="24"/>
          <w:szCs w:val="24"/>
        </w:rPr>
        <w:t xml:space="preserve">p but ought to seek exemption. Defendant </w:t>
      </w:r>
      <w:r>
        <w:rPr>
          <w:rFonts w:ascii="Times New Roman" w:hAnsi="Times New Roman" w:cs="Times New Roman"/>
          <w:sz w:val="24"/>
          <w:szCs w:val="24"/>
        </w:rPr>
        <w:t xml:space="preserve">was subsequently denied </w:t>
      </w:r>
      <w:r w:rsidR="00775958">
        <w:rPr>
          <w:rFonts w:ascii="Times New Roman" w:hAnsi="Times New Roman" w:cs="Times New Roman"/>
          <w:sz w:val="24"/>
          <w:szCs w:val="24"/>
        </w:rPr>
        <w:t>such exemption</w:t>
      </w:r>
      <w:r>
        <w:rPr>
          <w:rFonts w:ascii="Times New Roman" w:hAnsi="Times New Roman" w:cs="Times New Roman"/>
          <w:sz w:val="24"/>
          <w:szCs w:val="24"/>
        </w:rPr>
        <w:t>. On 1 April 2016, defendant ceased all contributions in terms of its notice previously given in March. Plaintiff therefore sued defendant for pension contributions from April 2016 to date of summons.</w:t>
      </w:r>
    </w:p>
    <w:p w:rsidR="001C16ED" w:rsidRPr="001C16ED" w:rsidRDefault="00B61378" w:rsidP="001F7BE4">
      <w:pPr>
        <w:spacing w:after="0" w:line="360" w:lineRule="auto"/>
        <w:ind w:firstLine="720"/>
        <w:jc w:val="both"/>
        <w:rPr>
          <w:rFonts w:ascii="Times New Roman" w:hAnsi="Times New Roman" w:cs="Times New Roman"/>
          <w:b/>
          <w:sz w:val="24"/>
          <w:szCs w:val="24"/>
        </w:rPr>
      </w:pPr>
      <w:r w:rsidRPr="001C16ED">
        <w:rPr>
          <w:rFonts w:ascii="Times New Roman" w:hAnsi="Times New Roman" w:cs="Times New Roman"/>
          <w:b/>
          <w:sz w:val="24"/>
          <w:szCs w:val="24"/>
        </w:rPr>
        <w:t>Parties’</w:t>
      </w:r>
      <w:r w:rsidR="001C16ED" w:rsidRPr="001C16ED">
        <w:rPr>
          <w:rFonts w:ascii="Times New Roman" w:hAnsi="Times New Roman" w:cs="Times New Roman"/>
          <w:b/>
          <w:sz w:val="24"/>
          <w:szCs w:val="24"/>
        </w:rPr>
        <w:t xml:space="preserve"> submissions</w:t>
      </w:r>
    </w:p>
    <w:p w:rsidR="00DD5E4B" w:rsidRPr="00F84269" w:rsidRDefault="00DD5E4B" w:rsidP="00DD5E4B">
      <w:pPr>
        <w:spacing w:after="0" w:line="360" w:lineRule="auto"/>
        <w:ind w:firstLine="720"/>
        <w:jc w:val="both"/>
        <w:rPr>
          <w:rFonts w:ascii="Times New Roman" w:hAnsi="Times New Roman" w:cs="Times New Roman"/>
          <w:sz w:val="24"/>
          <w:szCs w:val="24"/>
        </w:rPr>
      </w:pPr>
      <w:r w:rsidRPr="00F84269">
        <w:rPr>
          <w:rFonts w:ascii="Times New Roman" w:hAnsi="Times New Roman" w:cs="Times New Roman"/>
          <w:sz w:val="24"/>
          <w:szCs w:val="24"/>
        </w:rPr>
        <w:t>At the hearing, and</w:t>
      </w:r>
      <w:r>
        <w:rPr>
          <w:rFonts w:ascii="Times New Roman" w:hAnsi="Times New Roman" w:cs="Times New Roman"/>
          <w:i/>
          <w:sz w:val="24"/>
          <w:szCs w:val="24"/>
        </w:rPr>
        <w:t xml:space="preserve"> i</w:t>
      </w:r>
      <w:r w:rsidRPr="00F84269">
        <w:rPr>
          <w:rFonts w:ascii="Times New Roman" w:hAnsi="Times New Roman" w:cs="Times New Roman"/>
          <w:i/>
          <w:sz w:val="24"/>
          <w:szCs w:val="24"/>
        </w:rPr>
        <w:t>n limine</w:t>
      </w:r>
      <w:r>
        <w:rPr>
          <w:rFonts w:ascii="Times New Roman" w:hAnsi="Times New Roman" w:cs="Times New Roman"/>
          <w:i/>
          <w:sz w:val="24"/>
          <w:szCs w:val="24"/>
        </w:rPr>
        <w:t xml:space="preserve">, </w:t>
      </w:r>
      <w:r>
        <w:rPr>
          <w:rFonts w:ascii="Times New Roman" w:hAnsi="Times New Roman" w:cs="Times New Roman"/>
          <w:sz w:val="24"/>
          <w:szCs w:val="24"/>
        </w:rPr>
        <w:t xml:space="preserve">the defendant raised the question whether the plaintiff has </w:t>
      </w:r>
      <w:r w:rsidRPr="00F84269">
        <w:rPr>
          <w:rFonts w:ascii="Times New Roman" w:hAnsi="Times New Roman" w:cs="Times New Roman"/>
          <w:i/>
          <w:sz w:val="24"/>
          <w:szCs w:val="24"/>
        </w:rPr>
        <w:t>locus standi</w:t>
      </w:r>
      <w:r>
        <w:rPr>
          <w:rFonts w:ascii="Times New Roman" w:hAnsi="Times New Roman" w:cs="Times New Roman"/>
          <w:sz w:val="24"/>
          <w:szCs w:val="24"/>
        </w:rPr>
        <w:t xml:space="preserve"> to institute these proceedings against the defendant as this was the prerogative of the Trustees of the Catering Industry Pension Fund. Further, defendant argued that plaintiff has no cause of action against defendant as the relationship between it and the pension fund was in </w:t>
      </w:r>
      <w:r>
        <w:rPr>
          <w:rFonts w:ascii="Times New Roman" w:hAnsi="Times New Roman" w:cs="Times New Roman"/>
          <w:sz w:val="24"/>
          <w:szCs w:val="24"/>
        </w:rPr>
        <w:lastRenderedPageBreak/>
        <w:t>contract to which plaintiff was not party. In addition, it behove on the defendant’s employees, as the parties to the employment relationship to sue for payment of their pension contributions.</w:t>
      </w:r>
    </w:p>
    <w:p w:rsidR="004B6D9F" w:rsidRDefault="00DD5E4B"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w:t>
      </w:r>
      <w:r w:rsidR="00A04393">
        <w:rPr>
          <w:rFonts w:ascii="Times New Roman" w:hAnsi="Times New Roman" w:cs="Times New Roman"/>
          <w:sz w:val="24"/>
          <w:szCs w:val="24"/>
        </w:rPr>
        <w:t xml:space="preserve">he </w:t>
      </w:r>
      <w:r w:rsidR="005677CA">
        <w:rPr>
          <w:rFonts w:ascii="Times New Roman" w:hAnsi="Times New Roman" w:cs="Times New Roman"/>
          <w:sz w:val="24"/>
          <w:szCs w:val="24"/>
        </w:rPr>
        <w:t xml:space="preserve">defendant submits that there is no provision binding it to make pension fund contributions to the Catering Industry Pension Fund. </w:t>
      </w:r>
      <w:r w:rsidR="0042142A">
        <w:rPr>
          <w:rFonts w:ascii="Times New Roman" w:hAnsi="Times New Roman" w:cs="Times New Roman"/>
          <w:sz w:val="24"/>
          <w:szCs w:val="24"/>
        </w:rPr>
        <w:t>Further, defendant contends that</w:t>
      </w:r>
      <w:r>
        <w:rPr>
          <w:rFonts w:ascii="Times New Roman" w:hAnsi="Times New Roman" w:cs="Times New Roman"/>
          <w:sz w:val="24"/>
          <w:szCs w:val="24"/>
        </w:rPr>
        <w:t xml:space="preserve"> the provisions of</w:t>
      </w:r>
      <w:r w:rsidR="0042142A">
        <w:rPr>
          <w:rFonts w:ascii="Times New Roman" w:hAnsi="Times New Roman" w:cs="Times New Roman"/>
          <w:sz w:val="24"/>
          <w:szCs w:val="24"/>
        </w:rPr>
        <w:t xml:space="preserve"> </w:t>
      </w:r>
      <w:r w:rsidR="00E90765">
        <w:rPr>
          <w:rFonts w:ascii="Times New Roman" w:hAnsi="Times New Roman" w:cs="Times New Roman"/>
          <w:sz w:val="24"/>
          <w:szCs w:val="24"/>
        </w:rPr>
        <w:t>s8 (</w:t>
      </w:r>
      <w:r w:rsidR="0042142A">
        <w:rPr>
          <w:rFonts w:ascii="Times New Roman" w:hAnsi="Times New Roman" w:cs="Times New Roman"/>
          <w:sz w:val="24"/>
          <w:szCs w:val="24"/>
        </w:rPr>
        <w:t>1), (2) and (3) of S.I. 35</w:t>
      </w:r>
      <w:r w:rsidR="004B6D9F">
        <w:rPr>
          <w:rFonts w:ascii="Times New Roman" w:hAnsi="Times New Roman" w:cs="Times New Roman"/>
          <w:sz w:val="24"/>
          <w:szCs w:val="24"/>
        </w:rPr>
        <w:t>9</w:t>
      </w:r>
      <w:r w:rsidR="0042142A">
        <w:rPr>
          <w:rFonts w:ascii="Times New Roman" w:hAnsi="Times New Roman" w:cs="Times New Roman"/>
          <w:sz w:val="24"/>
          <w:szCs w:val="24"/>
        </w:rPr>
        <w:t xml:space="preserve"> of 1980 are no longer legally binding upon it from the date it ceased to make contributions, on the b</w:t>
      </w:r>
      <w:r>
        <w:rPr>
          <w:rFonts w:ascii="Times New Roman" w:hAnsi="Times New Roman" w:cs="Times New Roman"/>
          <w:sz w:val="24"/>
          <w:szCs w:val="24"/>
        </w:rPr>
        <w:t>asis that it resigned therefrom.</w:t>
      </w:r>
      <w:r w:rsidR="0042142A">
        <w:rPr>
          <w:rFonts w:ascii="Times New Roman" w:hAnsi="Times New Roman" w:cs="Times New Roman"/>
          <w:sz w:val="24"/>
          <w:szCs w:val="24"/>
        </w:rPr>
        <w:t xml:space="preserve"> </w:t>
      </w:r>
      <w:r>
        <w:rPr>
          <w:rFonts w:ascii="Times New Roman" w:hAnsi="Times New Roman" w:cs="Times New Roman"/>
          <w:sz w:val="24"/>
          <w:szCs w:val="24"/>
        </w:rPr>
        <w:t>Further and in any case,</w:t>
      </w:r>
      <w:r w:rsidR="0042142A">
        <w:rPr>
          <w:rFonts w:ascii="Times New Roman" w:hAnsi="Times New Roman" w:cs="Times New Roman"/>
          <w:sz w:val="24"/>
          <w:szCs w:val="24"/>
        </w:rPr>
        <w:t xml:space="preserve"> S.I. 359 of 1980 is </w:t>
      </w:r>
      <w:r w:rsidR="0042142A" w:rsidRPr="0042142A">
        <w:rPr>
          <w:rFonts w:ascii="Times New Roman" w:hAnsi="Times New Roman" w:cs="Times New Roman"/>
          <w:i/>
          <w:sz w:val="24"/>
          <w:szCs w:val="24"/>
        </w:rPr>
        <w:t>ultra vires</w:t>
      </w:r>
      <w:r w:rsidR="0042142A">
        <w:rPr>
          <w:rFonts w:ascii="Times New Roman" w:hAnsi="Times New Roman" w:cs="Times New Roman"/>
          <w:sz w:val="24"/>
          <w:szCs w:val="24"/>
        </w:rPr>
        <w:t xml:space="preserve"> </w:t>
      </w:r>
      <w:r w:rsidR="00775958">
        <w:rPr>
          <w:rFonts w:ascii="Times New Roman" w:hAnsi="Times New Roman" w:cs="Times New Roman"/>
          <w:sz w:val="24"/>
          <w:szCs w:val="24"/>
        </w:rPr>
        <w:t>the enabling act as s</w:t>
      </w:r>
      <w:r w:rsidR="0042142A">
        <w:rPr>
          <w:rFonts w:ascii="Times New Roman" w:hAnsi="Times New Roman" w:cs="Times New Roman"/>
          <w:sz w:val="24"/>
          <w:szCs w:val="24"/>
        </w:rPr>
        <w:t xml:space="preserve">74 of the Labour Act </w:t>
      </w:r>
      <w:r w:rsidR="00561F32">
        <w:rPr>
          <w:rFonts w:ascii="Times New Roman" w:hAnsi="Times New Roman" w:cs="Times New Roman"/>
          <w:sz w:val="24"/>
          <w:szCs w:val="24"/>
        </w:rPr>
        <w:t>[</w:t>
      </w:r>
      <w:r w:rsidR="0042142A" w:rsidRPr="00561F32">
        <w:rPr>
          <w:rFonts w:ascii="Times New Roman" w:hAnsi="Times New Roman" w:cs="Times New Roman"/>
          <w:i/>
          <w:sz w:val="24"/>
          <w:szCs w:val="24"/>
        </w:rPr>
        <w:t>Chapter 28:01</w:t>
      </w:r>
      <w:r w:rsidR="00561F32">
        <w:rPr>
          <w:rFonts w:ascii="Times New Roman" w:hAnsi="Times New Roman" w:cs="Times New Roman"/>
          <w:sz w:val="24"/>
          <w:szCs w:val="24"/>
        </w:rPr>
        <w:t>]</w:t>
      </w:r>
      <w:r w:rsidR="00775958" w:rsidRPr="00775958">
        <w:rPr>
          <w:rFonts w:ascii="Times New Roman" w:hAnsi="Times New Roman" w:cs="Times New Roman"/>
          <w:sz w:val="24"/>
          <w:szCs w:val="24"/>
        </w:rPr>
        <w:t xml:space="preserve"> </w:t>
      </w:r>
      <w:r w:rsidR="00775958">
        <w:rPr>
          <w:rFonts w:ascii="Times New Roman" w:hAnsi="Times New Roman" w:cs="Times New Roman"/>
          <w:sz w:val="24"/>
          <w:szCs w:val="24"/>
        </w:rPr>
        <w:t>does not permit the creation of compulsory pension funds as part of collective bargaining agreement (CBAs). In addition, the statutory instrument, if it binds and prohibits the defendant from resigning, violates defendant’s right to freedom of association contrary to s58 of the Constitution of Zimbabwe.</w:t>
      </w:r>
      <w:r w:rsidR="0042142A">
        <w:rPr>
          <w:rFonts w:ascii="Times New Roman" w:hAnsi="Times New Roman" w:cs="Times New Roman"/>
          <w:sz w:val="24"/>
          <w:szCs w:val="24"/>
        </w:rPr>
        <w:t xml:space="preserve"> F</w:t>
      </w:r>
      <w:r w:rsidR="00775958">
        <w:rPr>
          <w:rFonts w:ascii="Times New Roman" w:hAnsi="Times New Roman" w:cs="Times New Roman"/>
          <w:sz w:val="24"/>
          <w:szCs w:val="24"/>
        </w:rPr>
        <w:t>inally, defendant submits that</w:t>
      </w:r>
      <w:r w:rsidR="0042142A">
        <w:rPr>
          <w:rFonts w:ascii="Times New Roman" w:hAnsi="Times New Roman" w:cs="Times New Roman"/>
          <w:sz w:val="24"/>
          <w:szCs w:val="24"/>
        </w:rPr>
        <w:t xml:space="preserve"> if it be found that there is liability on its part, then plaintiff is not the proper juristic person to enforce that liability, but the Trustees of the Catering Industry Pension Fund.</w:t>
      </w:r>
    </w:p>
    <w:p w:rsidR="00485456" w:rsidRDefault="004B6D9F" w:rsidP="004B6D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part, the plaintiff submits that defendant is legally bound by the provisions of S.I. 359 of 1980, which provisions are not </w:t>
      </w:r>
      <w:r w:rsidRPr="004B6D9F">
        <w:rPr>
          <w:rFonts w:ascii="Times New Roman" w:hAnsi="Times New Roman" w:cs="Times New Roman"/>
          <w:i/>
          <w:sz w:val="24"/>
          <w:szCs w:val="24"/>
        </w:rPr>
        <w:t>ultra vires</w:t>
      </w:r>
      <w:r>
        <w:rPr>
          <w:rFonts w:ascii="Times New Roman" w:hAnsi="Times New Roman" w:cs="Times New Roman"/>
          <w:sz w:val="24"/>
          <w:szCs w:val="24"/>
        </w:rPr>
        <w:t xml:space="preserve"> s74 of the Labour Act, and which creates the obligation for plaintiff to continue collecting pension fund contributions from employers in the catering industry; in which case it is the proper plaintiff in the matter. Further, plaintiff submits that the obligation created in the </w:t>
      </w:r>
      <w:r w:rsidR="00775958">
        <w:rPr>
          <w:rFonts w:ascii="Times New Roman" w:hAnsi="Times New Roman" w:cs="Times New Roman"/>
          <w:sz w:val="24"/>
          <w:szCs w:val="24"/>
        </w:rPr>
        <w:t>CBA</w:t>
      </w:r>
      <w:r>
        <w:rPr>
          <w:rFonts w:ascii="Times New Roman" w:hAnsi="Times New Roman" w:cs="Times New Roman"/>
          <w:sz w:val="24"/>
          <w:szCs w:val="24"/>
        </w:rPr>
        <w:t xml:space="preserve"> for the defendant to pay pension contributions is constitutional as the agreement does not create an </w:t>
      </w:r>
      <w:r w:rsidR="00B27A40">
        <w:rPr>
          <w:rFonts w:ascii="Times New Roman" w:hAnsi="Times New Roman" w:cs="Times New Roman"/>
          <w:sz w:val="24"/>
          <w:szCs w:val="24"/>
        </w:rPr>
        <w:t>employer’s</w:t>
      </w:r>
      <w:r>
        <w:rPr>
          <w:rFonts w:ascii="Times New Roman" w:hAnsi="Times New Roman" w:cs="Times New Roman"/>
          <w:sz w:val="24"/>
          <w:szCs w:val="24"/>
        </w:rPr>
        <w:t xml:space="preserve"> organisation to which defendant is forced to subscribe.</w:t>
      </w:r>
    </w:p>
    <w:p w:rsidR="00531D93" w:rsidRDefault="00531D93" w:rsidP="001F7BE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issues</w:t>
      </w:r>
    </w:p>
    <w:p w:rsidR="00531D93" w:rsidRDefault="00531D9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are generally agreed on the </w:t>
      </w:r>
      <w:r w:rsidR="00EE3628">
        <w:rPr>
          <w:rFonts w:ascii="Times New Roman" w:hAnsi="Times New Roman" w:cs="Times New Roman"/>
          <w:sz w:val="24"/>
          <w:szCs w:val="24"/>
        </w:rPr>
        <w:t xml:space="preserve">principles of </w:t>
      </w:r>
      <w:r>
        <w:rPr>
          <w:rFonts w:ascii="Times New Roman" w:hAnsi="Times New Roman" w:cs="Times New Roman"/>
          <w:sz w:val="24"/>
          <w:szCs w:val="24"/>
        </w:rPr>
        <w:t xml:space="preserve">law </w:t>
      </w:r>
      <w:r w:rsidR="00775958">
        <w:rPr>
          <w:rFonts w:ascii="Times New Roman" w:hAnsi="Times New Roman" w:cs="Times New Roman"/>
          <w:sz w:val="24"/>
          <w:szCs w:val="24"/>
        </w:rPr>
        <w:t>governing CBAs and the constitutional right to freedom of assembly and association.</w:t>
      </w:r>
      <w:r>
        <w:rPr>
          <w:rFonts w:ascii="Times New Roman" w:hAnsi="Times New Roman" w:cs="Times New Roman"/>
          <w:sz w:val="24"/>
          <w:szCs w:val="24"/>
        </w:rPr>
        <w:t xml:space="preserve"> They however differ in their interpretation of th</w:t>
      </w:r>
      <w:r w:rsidR="00EE3628">
        <w:rPr>
          <w:rFonts w:ascii="Times New Roman" w:hAnsi="Times New Roman" w:cs="Times New Roman"/>
          <w:sz w:val="24"/>
          <w:szCs w:val="24"/>
        </w:rPr>
        <w:t>e</w:t>
      </w:r>
      <w:r>
        <w:rPr>
          <w:rFonts w:ascii="Times New Roman" w:hAnsi="Times New Roman" w:cs="Times New Roman"/>
          <w:sz w:val="24"/>
          <w:szCs w:val="24"/>
        </w:rPr>
        <w:t xml:space="preserve"> law and its applicability to the case. In that regard, the parties are agreed that the issues which this court must deal with in order to dispose of this matter are as follows:</w:t>
      </w:r>
    </w:p>
    <w:p w:rsidR="00EE3628" w:rsidRDefault="00EE3628" w:rsidP="00531D93">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Did the defendant lawfully resign from being a member of the Plaintiff’s Pension Fund?</w:t>
      </w:r>
    </w:p>
    <w:p w:rsidR="00EE3628" w:rsidRDefault="00EE3628" w:rsidP="00531D93">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Industrial Agreement: Catering Industry, S.I. 359 of 1980 </w:t>
      </w:r>
      <w:r w:rsidRPr="00B01303">
        <w:rPr>
          <w:rFonts w:ascii="Times New Roman" w:hAnsi="Times New Roman" w:cs="Times New Roman"/>
          <w:i/>
          <w:sz w:val="24"/>
          <w:szCs w:val="24"/>
        </w:rPr>
        <w:t>ultra vires</w:t>
      </w:r>
      <w:r>
        <w:rPr>
          <w:rFonts w:ascii="Times New Roman" w:hAnsi="Times New Roman" w:cs="Times New Roman"/>
          <w:sz w:val="24"/>
          <w:szCs w:val="24"/>
        </w:rPr>
        <w:t xml:space="preserve"> s74 of the Labour Act Chapter 28:01?</w:t>
      </w:r>
    </w:p>
    <w:p w:rsidR="00EE3628" w:rsidRDefault="00EE3628" w:rsidP="00531D93">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the agreement violate defendant’s right to freedom of assembly and association enshrined in s5</w:t>
      </w:r>
      <w:r w:rsidR="00775958">
        <w:rPr>
          <w:rFonts w:ascii="Times New Roman" w:hAnsi="Times New Roman" w:cs="Times New Roman"/>
          <w:sz w:val="24"/>
          <w:szCs w:val="24"/>
        </w:rPr>
        <w:t>8</w:t>
      </w:r>
      <w:r>
        <w:rPr>
          <w:rFonts w:ascii="Times New Roman" w:hAnsi="Times New Roman" w:cs="Times New Roman"/>
          <w:sz w:val="24"/>
          <w:szCs w:val="24"/>
        </w:rPr>
        <w:t xml:space="preserve"> of the Constitution Amendment (No 2) Act, 2013?</w:t>
      </w:r>
    </w:p>
    <w:p w:rsidR="00531D93" w:rsidRPr="00F84269" w:rsidRDefault="00EE3628" w:rsidP="00531D93">
      <w:pPr>
        <w:pStyle w:val="ListParagraph"/>
        <w:numPr>
          <w:ilvl w:val="0"/>
          <w:numId w:val="23"/>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Is defendant indebted to the plaintiff in the amount claimed or any other amount in respect of pension contributions?</w:t>
      </w:r>
    </w:p>
    <w:p w:rsidR="002479C8" w:rsidRPr="002479C8" w:rsidRDefault="002479C8" w:rsidP="001F7BE4">
      <w:pPr>
        <w:spacing w:after="0" w:line="360" w:lineRule="auto"/>
        <w:ind w:firstLine="720"/>
        <w:jc w:val="both"/>
        <w:rPr>
          <w:rFonts w:ascii="Times New Roman" w:hAnsi="Times New Roman" w:cs="Times New Roman"/>
          <w:b/>
          <w:sz w:val="24"/>
          <w:szCs w:val="24"/>
        </w:rPr>
      </w:pPr>
      <w:r w:rsidRPr="002479C8">
        <w:rPr>
          <w:rFonts w:ascii="Times New Roman" w:hAnsi="Times New Roman" w:cs="Times New Roman"/>
          <w:b/>
          <w:sz w:val="24"/>
          <w:szCs w:val="24"/>
        </w:rPr>
        <w:t>The law</w:t>
      </w:r>
      <w:r w:rsidR="00531D93">
        <w:rPr>
          <w:rFonts w:ascii="Times New Roman" w:hAnsi="Times New Roman" w:cs="Times New Roman"/>
          <w:b/>
          <w:sz w:val="24"/>
          <w:szCs w:val="24"/>
        </w:rPr>
        <w:t xml:space="preserve"> and its application to the facts</w:t>
      </w:r>
    </w:p>
    <w:p w:rsidR="00F84269" w:rsidRPr="00F84269" w:rsidRDefault="00F84269" w:rsidP="00561F32">
      <w:pPr>
        <w:pStyle w:val="ListParagraph"/>
        <w:spacing w:after="0" w:line="360" w:lineRule="auto"/>
        <w:ind w:left="0" w:firstLine="720"/>
        <w:jc w:val="both"/>
        <w:rPr>
          <w:rFonts w:ascii="Times New Roman" w:hAnsi="Times New Roman" w:cs="Times New Roman"/>
          <w:i/>
          <w:sz w:val="24"/>
          <w:szCs w:val="24"/>
        </w:rPr>
      </w:pPr>
      <w:r w:rsidRPr="00F84269">
        <w:rPr>
          <w:rFonts w:ascii="Times New Roman" w:hAnsi="Times New Roman" w:cs="Times New Roman"/>
          <w:i/>
          <w:sz w:val="24"/>
          <w:szCs w:val="24"/>
        </w:rPr>
        <w:t>Did the defendant lawfully resign from being a member of the Plaintiff’s Pension Fund?</w:t>
      </w:r>
    </w:p>
    <w:p w:rsidR="00F84269" w:rsidRDefault="00F84269" w:rsidP="00BB68A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The defendant properly made the concession, during the hearing, that, by force of law, members of the Plaintiff’s Pension Fund are in fact its employees, not itself or any other employer. Therefore defendant could not have resigned as a member of a body to which it was never a member.</w:t>
      </w:r>
      <w:r>
        <w:rPr>
          <w:rFonts w:ascii="Times New Roman" w:hAnsi="Times New Roman" w:cs="Times New Roman"/>
          <w:sz w:val="24"/>
          <w:szCs w:val="24"/>
        </w:rPr>
        <w:t xml:space="preserve"> This concession disposes of this issue.</w:t>
      </w:r>
    </w:p>
    <w:p w:rsidR="00F84269" w:rsidRDefault="00F84269" w:rsidP="00BB68A4">
      <w:pPr>
        <w:pStyle w:val="NoSpacing"/>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W</w:t>
      </w:r>
      <w:r w:rsidRPr="00F84269">
        <w:rPr>
          <w:rFonts w:ascii="Times New Roman" w:hAnsi="Times New Roman" w:cs="Times New Roman"/>
          <w:i/>
          <w:sz w:val="24"/>
          <w:szCs w:val="24"/>
        </w:rPr>
        <w:t>hether the plaintiff ha</w:t>
      </w:r>
      <w:r>
        <w:rPr>
          <w:rFonts w:ascii="Times New Roman" w:hAnsi="Times New Roman" w:cs="Times New Roman"/>
          <w:i/>
          <w:sz w:val="24"/>
          <w:szCs w:val="24"/>
        </w:rPr>
        <w:t>s</w:t>
      </w:r>
      <w:r w:rsidRPr="00F84269">
        <w:rPr>
          <w:rFonts w:ascii="Times New Roman" w:hAnsi="Times New Roman" w:cs="Times New Roman"/>
          <w:i/>
          <w:sz w:val="24"/>
          <w:szCs w:val="24"/>
        </w:rPr>
        <w:t xml:space="preserve"> </w:t>
      </w:r>
      <w:r w:rsidRPr="00B01303">
        <w:rPr>
          <w:rFonts w:ascii="Times New Roman" w:hAnsi="Times New Roman" w:cs="Times New Roman"/>
          <w:i/>
          <w:sz w:val="24"/>
          <w:szCs w:val="24"/>
          <w:u w:val="single"/>
        </w:rPr>
        <w:t>locus standi</w:t>
      </w:r>
      <w:r w:rsidRPr="00F84269">
        <w:rPr>
          <w:rFonts w:ascii="Times New Roman" w:hAnsi="Times New Roman" w:cs="Times New Roman"/>
          <w:i/>
          <w:sz w:val="24"/>
          <w:szCs w:val="24"/>
        </w:rPr>
        <w:t xml:space="preserve"> to institute these proceedings against the defendant.</w:t>
      </w:r>
    </w:p>
    <w:p w:rsidR="004174F2" w:rsidRDefault="00B01303" w:rsidP="00BB68A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argues that </w:t>
      </w:r>
      <w:r w:rsidR="004174F2">
        <w:rPr>
          <w:rFonts w:ascii="Times New Roman" w:hAnsi="Times New Roman" w:cs="Times New Roman"/>
          <w:sz w:val="24"/>
          <w:szCs w:val="24"/>
        </w:rPr>
        <w:t xml:space="preserve">the Catering Industry Pension Fund being a body corporate capable of suing and being sued in </w:t>
      </w:r>
      <w:r w:rsidR="00BB68A4">
        <w:rPr>
          <w:rFonts w:ascii="Times New Roman" w:hAnsi="Times New Roman" w:cs="Times New Roman"/>
          <w:sz w:val="24"/>
          <w:szCs w:val="24"/>
        </w:rPr>
        <w:t>i</w:t>
      </w:r>
      <w:r w:rsidR="004174F2">
        <w:rPr>
          <w:rFonts w:ascii="Times New Roman" w:hAnsi="Times New Roman" w:cs="Times New Roman"/>
          <w:sz w:val="24"/>
          <w:szCs w:val="24"/>
        </w:rPr>
        <w:t>t</w:t>
      </w:r>
      <w:r w:rsidR="00BB68A4">
        <w:rPr>
          <w:rFonts w:ascii="Times New Roman" w:hAnsi="Times New Roman" w:cs="Times New Roman"/>
          <w:sz w:val="24"/>
          <w:szCs w:val="24"/>
        </w:rPr>
        <w:t xml:space="preserve">s </w:t>
      </w:r>
      <w:r w:rsidR="004174F2">
        <w:rPr>
          <w:rFonts w:ascii="Times New Roman" w:hAnsi="Times New Roman" w:cs="Times New Roman"/>
          <w:sz w:val="24"/>
          <w:szCs w:val="24"/>
        </w:rPr>
        <w:t xml:space="preserve">own name, the </w:t>
      </w:r>
      <w:r w:rsidR="004174F2" w:rsidRPr="004174F2">
        <w:rPr>
          <w:rFonts w:ascii="Times New Roman" w:hAnsi="Times New Roman" w:cs="Times New Roman"/>
          <w:i/>
          <w:sz w:val="24"/>
          <w:szCs w:val="24"/>
        </w:rPr>
        <w:t>locus standi</w:t>
      </w:r>
      <w:r w:rsidR="004174F2">
        <w:rPr>
          <w:rFonts w:ascii="Times New Roman" w:hAnsi="Times New Roman" w:cs="Times New Roman"/>
          <w:sz w:val="24"/>
          <w:szCs w:val="24"/>
        </w:rPr>
        <w:t xml:space="preserve"> to claim any unpaid pension contributions vests with the trustees and not the plaintiff. Alternatively, since the defendant is not a member of the pension fund, when it ceased to pay the pension contributions, then the </w:t>
      </w:r>
      <w:r w:rsidR="004174F2" w:rsidRPr="001718E1">
        <w:rPr>
          <w:rFonts w:ascii="Times New Roman" w:hAnsi="Times New Roman" w:cs="Times New Roman"/>
          <w:i/>
          <w:sz w:val="24"/>
          <w:szCs w:val="24"/>
        </w:rPr>
        <w:t>locus</w:t>
      </w:r>
      <w:r w:rsidR="004174F2">
        <w:rPr>
          <w:rFonts w:ascii="Times New Roman" w:hAnsi="Times New Roman" w:cs="Times New Roman"/>
          <w:sz w:val="24"/>
          <w:szCs w:val="24"/>
        </w:rPr>
        <w:t xml:space="preserve"> vests with the employees as members of the pension fund, not the plaintiff.</w:t>
      </w:r>
    </w:p>
    <w:p w:rsidR="0091642F" w:rsidRDefault="001718E1" w:rsidP="00BB68A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part, the plaintiff conceded that in view of the fact that s 8(6) and 16(d) of S.I. 359 of 1980 reiterates the standing of the trustees of the pension fund, then such trustees have the </w:t>
      </w:r>
      <w:r w:rsidRPr="00775958">
        <w:rPr>
          <w:rFonts w:ascii="Times New Roman" w:hAnsi="Times New Roman" w:cs="Times New Roman"/>
          <w:i/>
          <w:sz w:val="24"/>
          <w:szCs w:val="24"/>
        </w:rPr>
        <w:t>locus</w:t>
      </w:r>
      <w:r>
        <w:rPr>
          <w:rFonts w:ascii="Times New Roman" w:hAnsi="Times New Roman" w:cs="Times New Roman"/>
          <w:sz w:val="24"/>
          <w:szCs w:val="24"/>
        </w:rPr>
        <w:t xml:space="preserve"> to institute proceedings. However, to the extent that the CBA imposes a right and duty upon the plaintiff’s secretary to recover and enforce the collection of pension funds, then the plaintiff remains vested with </w:t>
      </w:r>
      <w:r w:rsidRPr="001718E1">
        <w:rPr>
          <w:rFonts w:ascii="Times New Roman" w:hAnsi="Times New Roman" w:cs="Times New Roman"/>
          <w:i/>
          <w:sz w:val="24"/>
          <w:szCs w:val="24"/>
        </w:rPr>
        <w:t>locus</w:t>
      </w:r>
      <w:r>
        <w:rPr>
          <w:rFonts w:ascii="Times New Roman" w:hAnsi="Times New Roman" w:cs="Times New Roman"/>
          <w:sz w:val="24"/>
          <w:szCs w:val="24"/>
        </w:rPr>
        <w:t xml:space="preserve"> in terms of s 8 (3) even if the pension fund is a body corporate. </w:t>
      </w:r>
    </w:p>
    <w:p w:rsidR="0091642F" w:rsidRDefault="001718E1" w:rsidP="00D8325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Section 8(3) </w:t>
      </w:r>
      <w:r w:rsidR="0091642F">
        <w:rPr>
          <w:rFonts w:ascii="Times New Roman" w:hAnsi="Times New Roman" w:cs="Times New Roman"/>
          <w:sz w:val="24"/>
          <w:szCs w:val="24"/>
        </w:rPr>
        <w:t>provides that:</w:t>
      </w:r>
    </w:p>
    <w:p w:rsidR="0091642F" w:rsidRPr="00FD3320" w:rsidRDefault="0091642F" w:rsidP="0091642F">
      <w:pPr>
        <w:pStyle w:val="NoSpacing"/>
        <w:ind w:firstLine="720"/>
        <w:jc w:val="both"/>
        <w:rPr>
          <w:rFonts w:ascii="Times New Roman" w:hAnsi="Times New Roman" w:cs="Times New Roman"/>
        </w:rPr>
      </w:pPr>
    </w:p>
    <w:p w:rsidR="0091642F" w:rsidRDefault="00D36CD3" w:rsidP="0091642F">
      <w:pPr>
        <w:pStyle w:val="NoSpacing"/>
        <w:ind w:left="720"/>
        <w:jc w:val="both"/>
        <w:rPr>
          <w:rFonts w:ascii="Times New Roman" w:hAnsi="Times New Roman" w:cs="Times New Roman"/>
        </w:rPr>
      </w:pPr>
      <w:r>
        <w:rPr>
          <w:rFonts w:ascii="Times New Roman" w:hAnsi="Times New Roman" w:cs="Times New Roman"/>
        </w:rPr>
        <w:t>“</w:t>
      </w:r>
      <w:r w:rsidR="00E70C93">
        <w:rPr>
          <w:rFonts w:ascii="Times New Roman" w:hAnsi="Times New Roman" w:cs="Times New Roman"/>
        </w:rPr>
        <w:t>(3) On or before the 7</w:t>
      </w:r>
      <w:r w:rsidR="00E70C93" w:rsidRPr="00E70C93">
        <w:rPr>
          <w:rFonts w:ascii="Times New Roman" w:hAnsi="Times New Roman" w:cs="Times New Roman"/>
          <w:vertAlign w:val="superscript"/>
        </w:rPr>
        <w:t>th</w:t>
      </w:r>
      <w:r w:rsidR="00E70C93">
        <w:rPr>
          <w:rFonts w:ascii="Times New Roman" w:hAnsi="Times New Roman" w:cs="Times New Roman"/>
        </w:rPr>
        <w:t xml:space="preserve"> day of each month in respect of the previous month’s contributions and </w:t>
      </w:r>
      <w:r w:rsidR="00E55FFF">
        <w:rPr>
          <w:rFonts w:ascii="Times New Roman" w:hAnsi="Times New Roman" w:cs="Times New Roman"/>
        </w:rPr>
        <w:t>deductions</w:t>
      </w:r>
      <w:r w:rsidR="00E70C93">
        <w:rPr>
          <w:rFonts w:ascii="Times New Roman" w:hAnsi="Times New Roman" w:cs="Times New Roman"/>
        </w:rPr>
        <w:t xml:space="preserve">, every employer </w:t>
      </w:r>
      <w:r w:rsidR="00E70C93" w:rsidRPr="00E55FFF">
        <w:rPr>
          <w:rFonts w:ascii="Times New Roman" w:hAnsi="Times New Roman" w:cs="Times New Roman"/>
          <w:u w:val="single"/>
        </w:rPr>
        <w:t xml:space="preserve">shall forward to the secretary </w:t>
      </w:r>
      <w:r w:rsidR="00E55FFF">
        <w:rPr>
          <w:rFonts w:ascii="Times New Roman" w:hAnsi="Times New Roman" w:cs="Times New Roman"/>
        </w:rPr>
        <w:t xml:space="preserve">(my emphasis) </w:t>
      </w:r>
      <w:r w:rsidR="00E70C93">
        <w:rPr>
          <w:rFonts w:ascii="Times New Roman" w:hAnsi="Times New Roman" w:cs="Times New Roman"/>
        </w:rPr>
        <w:t>all monies payable in accordance with the provisions of sub clauses (1) and (2) of this clause, together with a statement in the form prescribed by council</w:t>
      </w:r>
      <w:r w:rsidR="0091642F" w:rsidRPr="00FD3320">
        <w:rPr>
          <w:rFonts w:ascii="Times New Roman" w:hAnsi="Times New Roman" w:cs="Times New Roman"/>
        </w:rPr>
        <w:t>.”</w:t>
      </w:r>
    </w:p>
    <w:p w:rsidR="00D8325C" w:rsidRPr="00FD3320" w:rsidRDefault="00D8325C" w:rsidP="0091642F">
      <w:pPr>
        <w:pStyle w:val="NoSpacing"/>
        <w:ind w:left="720"/>
        <w:jc w:val="both"/>
        <w:rPr>
          <w:rFonts w:ascii="Times New Roman" w:hAnsi="Times New Roman" w:cs="Times New Roman"/>
        </w:rPr>
      </w:pPr>
    </w:p>
    <w:p w:rsidR="00E55FFF" w:rsidRDefault="00BB68A4" w:rsidP="00E55FF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E70C93">
        <w:rPr>
          <w:rFonts w:ascii="Times New Roman" w:hAnsi="Times New Roman" w:cs="Times New Roman"/>
          <w:sz w:val="24"/>
          <w:szCs w:val="24"/>
        </w:rPr>
        <w:t>e impor</w:t>
      </w:r>
      <w:r w:rsidR="00E55FFF">
        <w:rPr>
          <w:rFonts w:ascii="Times New Roman" w:hAnsi="Times New Roman" w:cs="Times New Roman"/>
          <w:sz w:val="24"/>
          <w:szCs w:val="24"/>
        </w:rPr>
        <w:t xml:space="preserve">t of this provision is that </w:t>
      </w:r>
      <w:r w:rsidR="00E70C93">
        <w:rPr>
          <w:rFonts w:ascii="Times New Roman" w:hAnsi="Times New Roman" w:cs="Times New Roman"/>
          <w:sz w:val="24"/>
          <w:szCs w:val="24"/>
        </w:rPr>
        <w:t>every employer has an obligation to remit pension contributions to the plaintiff’s secretary</w:t>
      </w:r>
      <w:r w:rsidR="00273E1F">
        <w:rPr>
          <w:rFonts w:ascii="Times New Roman" w:hAnsi="Times New Roman" w:cs="Times New Roman"/>
          <w:sz w:val="24"/>
          <w:szCs w:val="24"/>
        </w:rPr>
        <w:t xml:space="preserve">, and the secretary has a legal duty and right to receive and collect these contributions. Further, acquittals of the contributions are made to the </w:t>
      </w:r>
      <w:r w:rsidR="00273E1F">
        <w:rPr>
          <w:rFonts w:ascii="Times New Roman" w:hAnsi="Times New Roman" w:cs="Times New Roman"/>
          <w:sz w:val="24"/>
          <w:szCs w:val="24"/>
        </w:rPr>
        <w:lastRenderedPageBreak/>
        <w:t xml:space="preserve">plaintiff on a form prescribed it. No provision is made in the law for payment to be directly made to the pension fund by any employer as the law does not create such a duty nor prescribe any mechanism therefor. </w:t>
      </w:r>
      <w:r w:rsidR="00E55FFF">
        <w:rPr>
          <w:rFonts w:ascii="Times New Roman" w:hAnsi="Times New Roman" w:cs="Times New Roman"/>
          <w:sz w:val="24"/>
          <w:szCs w:val="24"/>
        </w:rPr>
        <w:t xml:space="preserve">It seems to me that the ordinary interpretation of the law is that it is the secretary, and not the pension fund, acting </w:t>
      </w:r>
      <w:r w:rsidR="00E55FFF" w:rsidRPr="00273E1F">
        <w:rPr>
          <w:rFonts w:ascii="Times New Roman" w:hAnsi="Times New Roman" w:cs="Times New Roman"/>
          <w:i/>
          <w:sz w:val="24"/>
          <w:szCs w:val="24"/>
        </w:rPr>
        <w:t>nominee officio</w:t>
      </w:r>
      <w:r w:rsidR="00E55FFF">
        <w:rPr>
          <w:rFonts w:ascii="Times New Roman" w:hAnsi="Times New Roman" w:cs="Times New Roman"/>
          <w:sz w:val="24"/>
          <w:szCs w:val="24"/>
        </w:rPr>
        <w:t xml:space="preserve"> for the plaintiff who has the power to release any payer from liability.</w:t>
      </w:r>
    </w:p>
    <w:p w:rsidR="00E55FFF" w:rsidRDefault="00273E1F" w:rsidP="00E55FF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disputed that until its purported resignation, which was </w:t>
      </w:r>
      <w:r w:rsidR="00E55FFF">
        <w:rPr>
          <w:rFonts w:ascii="Times New Roman" w:hAnsi="Times New Roman" w:cs="Times New Roman"/>
          <w:sz w:val="24"/>
          <w:szCs w:val="24"/>
        </w:rPr>
        <w:t xml:space="preserve">incidentally </w:t>
      </w:r>
      <w:r>
        <w:rPr>
          <w:rFonts w:ascii="Times New Roman" w:hAnsi="Times New Roman" w:cs="Times New Roman"/>
          <w:sz w:val="24"/>
          <w:szCs w:val="24"/>
        </w:rPr>
        <w:t>made to the plaintiff and not to the pension fund, the defendant had understood the law in the same manner, making its payment to the secretary and obtaining full release from liability therefrom without any direct or indirect involvement of the trustees of the pension fund.</w:t>
      </w:r>
      <w:r w:rsidR="00E55FFF" w:rsidRPr="00E55FFF">
        <w:rPr>
          <w:rFonts w:ascii="Times New Roman" w:hAnsi="Times New Roman" w:cs="Times New Roman"/>
          <w:sz w:val="24"/>
          <w:szCs w:val="24"/>
        </w:rPr>
        <w:t xml:space="preserve"> </w:t>
      </w:r>
    </w:p>
    <w:p w:rsidR="00273E1F" w:rsidRDefault="00273E1F" w:rsidP="00273E1F">
      <w:pPr>
        <w:pStyle w:val="NoSpacing"/>
        <w:spacing w:line="360" w:lineRule="auto"/>
        <w:ind w:firstLine="720"/>
        <w:jc w:val="both"/>
        <w:rPr>
          <w:rFonts w:ascii="Times New Roman" w:hAnsi="Times New Roman" w:cs="Times New Roman"/>
          <w:sz w:val="24"/>
          <w:szCs w:val="24"/>
        </w:rPr>
      </w:pPr>
      <w:r w:rsidRPr="00273E1F">
        <w:rPr>
          <w:rFonts w:ascii="Times New Roman" w:hAnsi="Times New Roman" w:cs="Times New Roman"/>
          <w:i/>
          <w:sz w:val="24"/>
          <w:szCs w:val="24"/>
        </w:rPr>
        <w:t>Ergo</w:t>
      </w:r>
      <w:r>
        <w:rPr>
          <w:rFonts w:ascii="Times New Roman" w:hAnsi="Times New Roman" w:cs="Times New Roman"/>
          <w:sz w:val="24"/>
          <w:szCs w:val="24"/>
        </w:rPr>
        <w:t xml:space="preserve">, </w:t>
      </w:r>
      <w:r w:rsidR="00EE3990">
        <w:rPr>
          <w:rFonts w:ascii="Times New Roman" w:hAnsi="Times New Roman" w:cs="Times New Roman"/>
          <w:sz w:val="24"/>
          <w:szCs w:val="24"/>
        </w:rPr>
        <w:t xml:space="preserve">the defendant understood that if it failed to make payment to the plaintiff, the plaintiff had a right and duty to enforce recovery of unpaid pension contributions. I do not therefore believe that it was by accident that the CBA did not provide for direct payment of pension contributions to the pension fund. By the same token, while the pension fund is a body corporate, the absence of a payment mechanism for pension contributions to </w:t>
      </w:r>
      <w:r w:rsidR="00E55FFF">
        <w:rPr>
          <w:rFonts w:ascii="Times New Roman" w:hAnsi="Times New Roman" w:cs="Times New Roman"/>
          <w:sz w:val="24"/>
          <w:szCs w:val="24"/>
        </w:rPr>
        <w:t xml:space="preserve">it </w:t>
      </w:r>
      <w:r w:rsidR="00EE3990">
        <w:rPr>
          <w:rFonts w:ascii="Times New Roman" w:hAnsi="Times New Roman" w:cs="Times New Roman"/>
          <w:sz w:val="24"/>
          <w:szCs w:val="24"/>
        </w:rPr>
        <w:t xml:space="preserve">by employers renders it incapable of enforcing such payment. I therefore see no contradiction between </w:t>
      </w:r>
      <w:r w:rsidR="00E90765">
        <w:rPr>
          <w:rFonts w:ascii="Times New Roman" w:hAnsi="Times New Roman" w:cs="Times New Roman"/>
          <w:sz w:val="24"/>
          <w:szCs w:val="24"/>
        </w:rPr>
        <w:t>s8 (</w:t>
      </w:r>
      <w:r w:rsidR="00EE3990">
        <w:rPr>
          <w:rFonts w:ascii="Times New Roman" w:hAnsi="Times New Roman" w:cs="Times New Roman"/>
          <w:sz w:val="24"/>
          <w:szCs w:val="24"/>
        </w:rPr>
        <w:t>3) and s</w:t>
      </w:r>
      <w:r w:rsidR="00885A48">
        <w:rPr>
          <w:rFonts w:ascii="Times New Roman" w:hAnsi="Times New Roman" w:cs="Times New Roman"/>
          <w:sz w:val="24"/>
          <w:szCs w:val="24"/>
        </w:rPr>
        <w:t xml:space="preserve"> </w:t>
      </w:r>
      <w:r w:rsidR="00EE3990">
        <w:rPr>
          <w:rFonts w:ascii="Times New Roman" w:hAnsi="Times New Roman" w:cs="Times New Roman"/>
          <w:sz w:val="24"/>
          <w:szCs w:val="24"/>
        </w:rPr>
        <w:t>8</w:t>
      </w:r>
      <w:r w:rsidR="00885A48">
        <w:rPr>
          <w:rFonts w:ascii="Times New Roman" w:hAnsi="Times New Roman" w:cs="Times New Roman"/>
          <w:sz w:val="24"/>
          <w:szCs w:val="24"/>
        </w:rPr>
        <w:t xml:space="preserve"> </w:t>
      </w:r>
      <w:r w:rsidR="00EE3990">
        <w:rPr>
          <w:rFonts w:ascii="Times New Roman" w:hAnsi="Times New Roman" w:cs="Times New Roman"/>
          <w:sz w:val="24"/>
          <w:szCs w:val="24"/>
        </w:rPr>
        <w:t>(6) or s</w:t>
      </w:r>
      <w:r w:rsidR="00885A48">
        <w:rPr>
          <w:rFonts w:ascii="Times New Roman" w:hAnsi="Times New Roman" w:cs="Times New Roman"/>
          <w:sz w:val="24"/>
          <w:szCs w:val="24"/>
        </w:rPr>
        <w:t xml:space="preserve"> </w:t>
      </w:r>
      <w:r w:rsidR="00EE3990">
        <w:rPr>
          <w:rFonts w:ascii="Times New Roman" w:hAnsi="Times New Roman" w:cs="Times New Roman"/>
          <w:sz w:val="24"/>
          <w:szCs w:val="24"/>
        </w:rPr>
        <w:t>16</w:t>
      </w:r>
      <w:r w:rsidR="00885A48">
        <w:rPr>
          <w:rFonts w:ascii="Times New Roman" w:hAnsi="Times New Roman" w:cs="Times New Roman"/>
          <w:sz w:val="24"/>
          <w:szCs w:val="24"/>
        </w:rPr>
        <w:t xml:space="preserve"> </w:t>
      </w:r>
      <w:r w:rsidR="00EE3990">
        <w:rPr>
          <w:rFonts w:ascii="Times New Roman" w:hAnsi="Times New Roman" w:cs="Times New Roman"/>
          <w:sz w:val="24"/>
          <w:szCs w:val="24"/>
        </w:rPr>
        <w:t>(d). It seems to me that the</w:t>
      </w:r>
      <w:r w:rsidR="00775958">
        <w:rPr>
          <w:rFonts w:ascii="Times New Roman" w:hAnsi="Times New Roman" w:cs="Times New Roman"/>
          <w:sz w:val="24"/>
          <w:szCs w:val="24"/>
        </w:rPr>
        <w:t xml:space="preserve"> two</w:t>
      </w:r>
      <w:r w:rsidR="00EE3990">
        <w:rPr>
          <w:rFonts w:ascii="Times New Roman" w:hAnsi="Times New Roman" w:cs="Times New Roman"/>
          <w:sz w:val="24"/>
          <w:szCs w:val="24"/>
        </w:rPr>
        <w:t xml:space="preserve"> latter provisions only make it possible for the pension fund to institute proceedings for matters other than the enforcement of the payment of pension contributions by employers. In the circumstances of the case, the common law position on </w:t>
      </w:r>
      <w:r w:rsidR="00EE3990" w:rsidRPr="00E55FFF">
        <w:rPr>
          <w:rFonts w:ascii="Times New Roman" w:hAnsi="Times New Roman" w:cs="Times New Roman"/>
          <w:i/>
          <w:sz w:val="24"/>
          <w:szCs w:val="24"/>
        </w:rPr>
        <w:t>locus standi</w:t>
      </w:r>
      <w:r w:rsidR="00EE3990">
        <w:rPr>
          <w:rFonts w:ascii="Times New Roman" w:hAnsi="Times New Roman" w:cs="Times New Roman"/>
          <w:sz w:val="24"/>
          <w:szCs w:val="24"/>
        </w:rPr>
        <w:t xml:space="preserve"> enunciated by the Supreme Court</w:t>
      </w:r>
      <w:r w:rsidR="00E55FFF">
        <w:rPr>
          <w:rStyle w:val="FootnoteReference"/>
          <w:rFonts w:ascii="Times New Roman" w:hAnsi="Times New Roman"/>
          <w:sz w:val="24"/>
          <w:szCs w:val="24"/>
        </w:rPr>
        <w:footnoteReference w:id="1"/>
      </w:r>
      <w:r w:rsidR="00EE3990">
        <w:rPr>
          <w:rFonts w:ascii="Times New Roman" w:hAnsi="Times New Roman" w:cs="Times New Roman"/>
          <w:sz w:val="24"/>
          <w:szCs w:val="24"/>
        </w:rPr>
        <w:t xml:space="preserve"> </w:t>
      </w:r>
      <w:r w:rsidR="00E55FFF">
        <w:rPr>
          <w:rFonts w:ascii="Times New Roman" w:hAnsi="Times New Roman" w:cs="Times New Roman"/>
          <w:sz w:val="24"/>
          <w:szCs w:val="24"/>
        </w:rPr>
        <w:t>is not applicable. In any case, the plaintiff’s interest</w:t>
      </w:r>
      <w:r w:rsidR="00775958">
        <w:rPr>
          <w:rFonts w:ascii="Times New Roman" w:hAnsi="Times New Roman" w:cs="Times New Roman"/>
          <w:sz w:val="24"/>
          <w:szCs w:val="24"/>
        </w:rPr>
        <w:t xml:space="preserve"> in the claim</w:t>
      </w:r>
      <w:r w:rsidR="00E55FFF">
        <w:rPr>
          <w:rFonts w:ascii="Times New Roman" w:hAnsi="Times New Roman" w:cs="Times New Roman"/>
          <w:sz w:val="24"/>
          <w:szCs w:val="24"/>
        </w:rPr>
        <w:t xml:space="preserve"> is a matter of law.</w:t>
      </w:r>
    </w:p>
    <w:p w:rsidR="00796DC4" w:rsidRDefault="00796DC4" w:rsidP="00273E1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therefore that the plaintiff’s </w:t>
      </w:r>
      <w:r w:rsidRPr="00E55FFF">
        <w:rPr>
          <w:rFonts w:ascii="Times New Roman" w:hAnsi="Times New Roman" w:cs="Times New Roman"/>
          <w:i/>
          <w:sz w:val="24"/>
          <w:szCs w:val="24"/>
        </w:rPr>
        <w:t>locus standi</w:t>
      </w:r>
      <w:r>
        <w:rPr>
          <w:rFonts w:ascii="Times New Roman" w:hAnsi="Times New Roman" w:cs="Times New Roman"/>
          <w:sz w:val="24"/>
          <w:szCs w:val="24"/>
        </w:rPr>
        <w:t xml:space="preserve"> to institute proceedings for the recovery of unpaid pension contributions is granted to it by virtue of the law which places a legal duty on it to receive such contributions.</w:t>
      </w:r>
    </w:p>
    <w:p w:rsidR="009B73B6" w:rsidRPr="009B73B6" w:rsidRDefault="009B73B6" w:rsidP="009B73B6">
      <w:pPr>
        <w:spacing w:after="0" w:line="360" w:lineRule="auto"/>
        <w:ind w:left="720"/>
        <w:jc w:val="both"/>
        <w:rPr>
          <w:rFonts w:ascii="Times New Roman" w:hAnsi="Times New Roman" w:cs="Times New Roman"/>
          <w:i/>
          <w:sz w:val="24"/>
          <w:szCs w:val="24"/>
        </w:rPr>
      </w:pPr>
      <w:r w:rsidRPr="009B73B6">
        <w:rPr>
          <w:rFonts w:ascii="Times New Roman" w:hAnsi="Times New Roman" w:cs="Times New Roman"/>
          <w:i/>
          <w:sz w:val="24"/>
          <w:szCs w:val="24"/>
        </w:rPr>
        <w:t>Whether plaintiff ha</w:t>
      </w:r>
      <w:r>
        <w:rPr>
          <w:rFonts w:ascii="Times New Roman" w:hAnsi="Times New Roman" w:cs="Times New Roman"/>
          <w:i/>
          <w:sz w:val="24"/>
          <w:szCs w:val="24"/>
        </w:rPr>
        <w:t>s</w:t>
      </w:r>
      <w:r w:rsidRPr="009B73B6">
        <w:rPr>
          <w:rFonts w:ascii="Times New Roman" w:hAnsi="Times New Roman" w:cs="Times New Roman"/>
          <w:i/>
          <w:sz w:val="24"/>
          <w:szCs w:val="24"/>
        </w:rPr>
        <w:t xml:space="preserve"> any cause of action against defendant.</w:t>
      </w:r>
    </w:p>
    <w:p w:rsidR="009B73B6" w:rsidRDefault="009B73B6"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Tied to the issue of </w:t>
      </w:r>
      <w:r w:rsidRPr="00885A48">
        <w:rPr>
          <w:rFonts w:ascii="Times New Roman" w:hAnsi="Times New Roman" w:cs="Times New Roman"/>
          <w:i/>
          <w:sz w:val="24"/>
          <w:szCs w:val="24"/>
          <w:lang w:val="en-ZW"/>
        </w:rPr>
        <w:t>locus standi</w:t>
      </w:r>
      <w:r>
        <w:rPr>
          <w:rFonts w:ascii="Times New Roman" w:hAnsi="Times New Roman" w:cs="Times New Roman"/>
          <w:sz w:val="24"/>
          <w:szCs w:val="24"/>
          <w:lang w:val="en-ZW"/>
        </w:rPr>
        <w:t xml:space="preserve"> was defendant’s averment that plaintiff did not have any cause of action against defendant.</w:t>
      </w:r>
    </w:p>
    <w:p w:rsidR="00AD5089" w:rsidRDefault="009B73B6"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defendant argues that the relationship between the defendant and the pension fund is based in contract, it being predicated on the terms and conditions of employment of the employees who are members of the pension fund. Defendant expands its argument to st</w:t>
      </w:r>
      <w:r w:rsidR="00775958">
        <w:rPr>
          <w:rFonts w:ascii="Times New Roman" w:hAnsi="Times New Roman" w:cs="Times New Roman"/>
          <w:sz w:val="24"/>
          <w:szCs w:val="24"/>
          <w:lang w:val="en-ZW"/>
        </w:rPr>
        <w:t>ate</w:t>
      </w:r>
      <w:r>
        <w:rPr>
          <w:rFonts w:ascii="Times New Roman" w:hAnsi="Times New Roman" w:cs="Times New Roman"/>
          <w:sz w:val="24"/>
          <w:szCs w:val="24"/>
          <w:lang w:val="en-ZW"/>
        </w:rPr>
        <w:t xml:space="preserve"> that CBAs are contracts between employers and trade unions and therefore if there is non-compliance therewith, it is not for the parties to the agreement to complain in law but for </w:t>
      </w:r>
      <w:r>
        <w:rPr>
          <w:rFonts w:ascii="Times New Roman" w:hAnsi="Times New Roman" w:cs="Times New Roman"/>
          <w:sz w:val="24"/>
          <w:szCs w:val="24"/>
          <w:lang w:val="en-ZW"/>
        </w:rPr>
        <w:lastRenderedPageBreak/>
        <w:t>the parties to the employment relationship itself</w:t>
      </w:r>
      <w:r w:rsidR="004237C9">
        <w:rPr>
          <w:rFonts w:ascii="Times New Roman" w:hAnsi="Times New Roman" w:cs="Times New Roman"/>
          <w:sz w:val="24"/>
          <w:szCs w:val="24"/>
          <w:lang w:val="en-ZW"/>
        </w:rPr>
        <w:t xml:space="preserve"> to do so</w:t>
      </w:r>
      <w:r>
        <w:rPr>
          <w:rFonts w:ascii="Times New Roman" w:hAnsi="Times New Roman" w:cs="Times New Roman"/>
          <w:sz w:val="24"/>
          <w:szCs w:val="24"/>
          <w:lang w:val="en-ZW"/>
        </w:rPr>
        <w:t>. Therefore while a CBA</w:t>
      </w:r>
      <w:r w:rsidR="00A42138">
        <w:rPr>
          <w:rFonts w:ascii="Times New Roman" w:hAnsi="Times New Roman" w:cs="Times New Roman"/>
          <w:sz w:val="24"/>
          <w:szCs w:val="24"/>
          <w:lang w:val="en-ZW"/>
        </w:rPr>
        <w:t xml:space="preserve"> </w:t>
      </w:r>
      <w:r>
        <w:rPr>
          <w:rFonts w:ascii="Times New Roman" w:hAnsi="Times New Roman" w:cs="Times New Roman"/>
          <w:sz w:val="24"/>
          <w:szCs w:val="24"/>
          <w:lang w:val="en-ZW"/>
        </w:rPr>
        <w:t>ought to be interpreted as creating a statutory and binding obligation</w:t>
      </w:r>
      <w:r w:rsidR="00AD5089">
        <w:rPr>
          <w:rFonts w:ascii="Times New Roman" w:hAnsi="Times New Roman" w:cs="Times New Roman"/>
          <w:sz w:val="24"/>
          <w:szCs w:val="24"/>
          <w:lang w:val="en-ZW"/>
        </w:rPr>
        <w:t xml:space="preserve"> on an employer to provide a pension benefit as a condition of employment, it cannot be competently interpreted to create a statutory obligation to remit such pension amounts to a pension fund.  </w:t>
      </w:r>
    </w:p>
    <w:p w:rsidR="00A42138" w:rsidRDefault="00AD5089"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this argument is ingenious, I find i</w:t>
      </w:r>
      <w:r w:rsidR="009B73B6">
        <w:rPr>
          <w:rFonts w:ascii="Times New Roman" w:hAnsi="Times New Roman" w:cs="Times New Roman"/>
          <w:sz w:val="24"/>
          <w:szCs w:val="24"/>
          <w:lang w:val="en-ZW"/>
        </w:rPr>
        <w:t xml:space="preserve">t </w:t>
      </w:r>
      <w:r>
        <w:rPr>
          <w:rFonts w:ascii="Times New Roman" w:hAnsi="Times New Roman" w:cs="Times New Roman"/>
          <w:sz w:val="24"/>
          <w:szCs w:val="24"/>
          <w:lang w:val="en-ZW"/>
        </w:rPr>
        <w:t xml:space="preserve">so convoluted as to be meaningless. In </w:t>
      </w:r>
      <w:r w:rsidR="00A42138">
        <w:rPr>
          <w:rFonts w:ascii="Times New Roman" w:hAnsi="Times New Roman" w:cs="Times New Roman"/>
          <w:sz w:val="24"/>
          <w:szCs w:val="24"/>
          <w:lang w:val="en-ZW"/>
        </w:rPr>
        <w:t xml:space="preserve">fact, it seems to me that defendant wants to have its cake and eat it too, by saying in one breath a CBA is a statute, and in the next breath, limiting its application to contractual obligations. </w:t>
      </w:r>
    </w:p>
    <w:p w:rsidR="00A42138" w:rsidRDefault="00A42138"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00AD5089">
        <w:rPr>
          <w:rFonts w:ascii="Times New Roman" w:hAnsi="Times New Roman" w:cs="Times New Roman"/>
          <w:sz w:val="24"/>
          <w:szCs w:val="24"/>
          <w:lang w:val="en-ZW"/>
        </w:rPr>
        <w:t>my view, a statutory provision creates statutory duties and obligations. Once an agreement has been promulgated as statute, it seems to me that it can no longer be classified as a contract</w:t>
      </w:r>
      <w:r w:rsidR="004237C9">
        <w:rPr>
          <w:rFonts w:ascii="Times New Roman" w:hAnsi="Times New Roman" w:cs="Times New Roman"/>
          <w:sz w:val="24"/>
          <w:szCs w:val="24"/>
          <w:lang w:val="en-ZW"/>
        </w:rPr>
        <w:t>, even if its original basis was in contract</w:t>
      </w:r>
      <w:r w:rsidR="00AD5089">
        <w:rPr>
          <w:rFonts w:ascii="Times New Roman" w:hAnsi="Times New Roman" w:cs="Times New Roman"/>
          <w:sz w:val="24"/>
          <w:szCs w:val="24"/>
          <w:lang w:val="en-ZW"/>
        </w:rPr>
        <w:t xml:space="preserve">. </w:t>
      </w:r>
      <w:r w:rsidR="004237C9">
        <w:rPr>
          <w:rFonts w:ascii="Times New Roman" w:hAnsi="Times New Roman" w:cs="Times New Roman"/>
          <w:sz w:val="24"/>
          <w:szCs w:val="24"/>
          <w:lang w:val="en-ZW"/>
        </w:rPr>
        <w:t>Conversely, a</w:t>
      </w:r>
      <w:r w:rsidR="00AD5089">
        <w:rPr>
          <w:rFonts w:ascii="Times New Roman" w:hAnsi="Times New Roman" w:cs="Times New Roman"/>
          <w:sz w:val="24"/>
          <w:szCs w:val="24"/>
          <w:lang w:val="en-ZW"/>
        </w:rPr>
        <w:t xml:space="preserve"> contract subsists and operates as between the parties thereto, while a statute has wider application. As in this</w:t>
      </w:r>
      <w:r w:rsidR="004237C9">
        <w:rPr>
          <w:rFonts w:ascii="Times New Roman" w:hAnsi="Times New Roman" w:cs="Times New Roman"/>
          <w:sz w:val="24"/>
          <w:szCs w:val="24"/>
          <w:lang w:val="en-ZW"/>
        </w:rPr>
        <w:t xml:space="preserve"> case</w:t>
      </w:r>
      <w:r w:rsidR="00AD5089">
        <w:rPr>
          <w:rFonts w:ascii="Times New Roman" w:hAnsi="Times New Roman" w:cs="Times New Roman"/>
          <w:sz w:val="24"/>
          <w:szCs w:val="24"/>
          <w:lang w:val="en-ZW"/>
        </w:rPr>
        <w:t xml:space="preserve">, the CBA for the catering industry binds all employers and employees in the industry whether or not they were parties to its negotiation. And once a statute creates duties and obligations for persons other than the parties who negotiated it, then it has wider application and binds whichever persons have been granted certain obligations and duties. </w:t>
      </w:r>
    </w:p>
    <w:p w:rsidR="00BB68A4" w:rsidRDefault="004237C9"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therefore do not agree with the defendant’s position as, f</w:t>
      </w:r>
      <w:r w:rsidR="00A42138">
        <w:rPr>
          <w:rFonts w:ascii="Times New Roman" w:hAnsi="Times New Roman" w:cs="Times New Roman"/>
          <w:sz w:val="24"/>
          <w:szCs w:val="24"/>
          <w:lang w:val="en-ZW"/>
        </w:rPr>
        <w:t>irstly, membership to the catering industry pension fund is not a voluntary exercise. Employe</w:t>
      </w:r>
      <w:r>
        <w:rPr>
          <w:rFonts w:ascii="Times New Roman" w:hAnsi="Times New Roman" w:cs="Times New Roman"/>
          <w:sz w:val="24"/>
          <w:szCs w:val="24"/>
          <w:lang w:val="en-ZW"/>
        </w:rPr>
        <w:t>es</w:t>
      </w:r>
      <w:r w:rsidR="00A42138">
        <w:rPr>
          <w:rFonts w:ascii="Times New Roman" w:hAnsi="Times New Roman" w:cs="Times New Roman"/>
          <w:sz w:val="24"/>
          <w:szCs w:val="24"/>
          <w:lang w:val="en-ZW"/>
        </w:rPr>
        <w:t xml:space="preserve"> are obliged to be members upon employment in terms of </w:t>
      </w:r>
      <w:r w:rsidR="0036266B">
        <w:rPr>
          <w:rFonts w:ascii="Times New Roman" w:hAnsi="Times New Roman" w:cs="Times New Roman"/>
          <w:sz w:val="24"/>
          <w:szCs w:val="24"/>
          <w:lang w:val="en-ZW"/>
        </w:rPr>
        <w:t>s7 (</w:t>
      </w:r>
      <w:r w:rsidR="00A42138">
        <w:rPr>
          <w:rFonts w:ascii="Times New Roman" w:hAnsi="Times New Roman" w:cs="Times New Roman"/>
          <w:sz w:val="24"/>
          <w:szCs w:val="24"/>
          <w:lang w:val="en-ZW"/>
        </w:rPr>
        <w:t xml:space="preserve">3). Further, unless exempted on good cause shown employers have an obligation to collect and remit pension contributions on </w:t>
      </w:r>
      <w:r w:rsidR="0036266B">
        <w:rPr>
          <w:rFonts w:ascii="Times New Roman" w:hAnsi="Times New Roman" w:cs="Times New Roman"/>
          <w:sz w:val="24"/>
          <w:szCs w:val="24"/>
          <w:lang w:val="en-ZW"/>
        </w:rPr>
        <w:t>behalf</w:t>
      </w:r>
      <w:r w:rsidR="00A42138">
        <w:rPr>
          <w:rFonts w:ascii="Times New Roman" w:hAnsi="Times New Roman" w:cs="Times New Roman"/>
          <w:sz w:val="24"/>
          <w:szCs w:val="24"/>
          <w:lang w:val="en-ZW"/>
        </w:rPr>
        <w:t xml:space="preserve"> </w:t>
      </w:r>
      <w:r w:rsidR="0036266B">
        <w:rPr>
          <w:rFonts w:ascii="Times New Roman" w:hAnsi="Times New Roman" w:cs="Times New Roman"/>
          <w:sz w:val="24"/>
          <w:szCs w:val="24"/>
          <w:lang w:val="en-ZW"/>
        </w:rPr>
        <w:t>their</w:t>
      </w:r>
      <w:r w:rsidR="00A42138">
        <w:rPr>
          <w:rFonts w:ascii="Times New Roman" w:hAnsi="Times New Roman" w:cs="Times New Roman"/>
          <w:sz w:val="24"/>
          <w:szCs w:val="24"/>
          <w:lang w:val="en-ZW"/>
        </w:rPr>
        <w:t xml:space="preserve"> employees in accordance with s 8. </w:t>
      </w:r>
      <w:r w:rsidR="0036266B">
        <w:rPr>
          <w:rFonts w:ascii="Times New Roman" w:hAnsi="Times New Roman" w:cs="Times New Roman"/>
          <w:sz w:val="24"/>
          <w:szCs w:val="24"/>
          <w:lang w:val="en-ZW"/>
        </w:rPr>
        <w:t>Therefore the provision of pension is a statutorily mandatory condition of employment which enforcement is through the plaintiff’s secretary. Thirdly</w:t>
      </w:r>
      <w:r w:rsidR="00A42138">
        <w:rPr>
          <w:rFonts w:ascii="Times New Roman" w:hAnsi="Times New Roman" w:cs="Times New Roman"/>
          <w:sz w:val="24"/>
          <w:szCs w:val="24"/>
          <w:lang w:val="en-ZW"/>
        </w:rPr>
        <w:t>, the defendant seems to be labouring under the misconception that the plaintiff is an agent of the pension fund</w:t>
      </w:r>
      <w:r w:rsidR="0036266B">
        <w:rPr>
          <w:rFonts w:ascii="Times New Roman" w:hAnsi="Times New Roman" w:cs="Times New Roman"/>
          <w:sz w:val="24"/>
          <w:szCs w:val="24"/>
          <w:lang w:val="en-ZW"/>
        </w:rPr>
        <w:t xml:space="preserve">, yet the CBA is clear: the plaintiff has its own </w:t>
      </w:r>
      <w:r w:rsidR="0036266B" w:rsidRPr="004237C9">
        <w:rPr>
          <w:rFonts w:ascii="Times New Roman" w:hAnsi="Times New Roman" w:cs="Times New Roman"/>
          <w:i/>
          <w:sz w:val="24"/>
          <w:szCs w:val="24"/>
          <w:lang w:val="en-ZW"/>
        </w:rPr>
        <w:t>locus</w:t>
      </w:r>
      <w:r w:rsidR="0036266B">
        <w:rPr>
          <w:rFonts w:ascii="Times New Roman" w:hAnsi="Times New Roman" w:cs="Times New Roman"/>
          <w:sz w:val="24"/>
          <w:szCs w:val="24"/>
          <w:lang w:val="en-ZW"/>
        </w:rPr>
        <w:t xml:space="preserve"> as created by the CBA.</w:t>
      </w:r>
      <w:r w:rsidR="00A42138">
        <w:rPr>
          <w:rFonts w:ascii="Times New Roman" w:hAnsi="Times New Roman" w:cs="Times New Roman"/>
          <w:sz w:val="24"/>
          <w:szCs w:val="24"/>
          <w:lang w:val="en-ZW"/>
        </w:rPr>
        <w:t xml:space="preserve"> </w:t>
      </w:r>
      <w:r w:rsidR="0036266B">
        <w:rPr>
          <w:rFonts w:ascii="Times New Roman" w:hAnsi="Times New Roman" w:cs="Times New Roman"/>
          <w:sz w:val="24"/>
          <w:szCs w:val="24"/>
          <w:lang w:val="en-ZW"/>
        </w:rPr>
        <w:t>It is fallacious for the defendant to argue</w:t>
      </w:r>
      <w:r>
        <w:rPr>
          <w:rFonts w:ascii="Times New Roman" w:hAnsi="Times New Roman" w:cs="Times New Roman"/>
          <w:sz w:val="24"/>
          <w:szCs w:val="24"/>
          <w:lang w:val="en-ZW"/>
        </w:rPr>
        <w:t xml:space="preserve"> that a CBA is not law, else</w:t>
      </w:r>
      <w:r w:rsidR="0036266B">
        <w:rPr>
          <w:rFonts w:ascii="Times New Roman" w:hAnsi="Times New Roman" w:cs="Times New Roman"/>
          <w:sz w:val="24"/>
          <w:szCs w:val="24"/>
          <w:lang w:val="en-ZW"/>
        </w:rPr>
        <w:t xml:space="preserve"> it </w:t>
      </w:r>
      <w:r>
        <w:rPr>
          <w:rFonts w:ascii="Times New Roman" w:hAnsi="Times New Roman" w:cs="Times New Roman"/>
          <w:sz w:val="24"/>
          <w:szCs w:val="24"/>
          <w:lang w:val="en-ZW"/>
        </w:rPr>
        <w:t>should not be a statutory instrument.</w:t>
      </w:r>
      <w:r w:rsidR="0036266B" w:rsidRPr="0036266B">
        <w:rPr>
          <w:rFonts w:ascii="Times New Roman" w:hAnsi="Times New Roman" w:cs="Times New Roman"/>
          <w:sz w:val="24"/>
          <w:szCs w:val="24"/>
          <w:lang w:val="en-ZW"/>
        </w:rPr>
        <w:t xml:space="preserve"> </w:t>
      </w:r>
      <w:r w:rsidR="0036266B">
        <w:rPr>
          <w:rFonts w:ascii="Times New Roman" w:hAnsi="Times New Roman" w:cs="Times New Roman"/>
          <w:sz w:val="24"/>
          <w:szCs w:val="24"/>
          <w:lang w:val="en-ZW"/>
        </w:rPr>
        <w:t xml:space="preserve">Thus, the plaintiff’s cause of action is predicated upon breach of </w:t>
      </w:r>
      <w:r>
        <w:rPr>
          <w:rFonts w:ascii="Times New Roman" w:hAnsi="Times New Roman" w:cs="Times New Roman"/>
          <w:sz w:val="24"/>
          <w:szCs w:val="24"/>
          <w:lang w:val="en-ZW"/>
        </w:rPr>
        <w:t xml:space="preserve">a </w:t>
      </w:r>
      <w:r w:rsidR="0036266B">
        <w:rPr>
          <w:rFonts w:ascii="Times New Roman" w:hAnsi="Times New Roman" w:cs="Times New Roman"/>
          <w:sz w:val="24"/>
          <w:szCs w:val="24"/>
          <w:lang w:val="en-ZW"/>
        </w:rPr>
        <w:t>statute or law which is extant.</w:t>
      </w:r>
    </w:p>
    <w:p w:rsidR="00E300B3" w:rsidRPr="00E300B3" w:rsidRDefault="00E300B3" w:rsidP="00E300B3">
      <w:pPr>
        <w:spacing w:after="0" w:line="360" w:lineRule="auto"/>
        <w:jc w:val="both"/>
        <w:rPr>
          <w:rFonts w:ascii="Times New Roman" w:hAnsi="Times New Roman" w:cs="Times New Roman"/>
          <w:i/>
          <w:sz w:val="24"/>
          <w:szCs w:val="24"/>
        </w:rPr>
      </w:pPr>
      <w:r w:rsidRPr="00E300B3">
        <w:rPr>
          <w:rFonts w:ascii="Times New Roman" w:hAnsi="Times New Roman" w:cs="Times New Roman"/>
          <w:i/>
          <w:sz w:val="24"/>
          <w:szCs w:val="24"/>
        </w:rPr>
        <w:t xml:space="preserve">Is the Industrial Agreement: Catering Industry, S.I. 359 of 1980 </w:t>
      </w:r>
      <w:r w:rsidRPr="004237C9">
        <w:rPr>
          <w:rFonts w:ascii="Times New Roman" w:hAnsi="Times New Roman" w:cs="Times New Roman"/>
          <w:sz w:val="24"/>
          <w:szCs w:val="24"/>
        </w:rPr>
        <w:t>ultra vires</w:t>
      </w:r>
      <w:r w:rsidRPr="00E300B3">
        <w:rPr>
          <w:rFonts w:ascii="Times New Roman" w:hAnsi="Times New Roman" w:cs="Times New Roman"/>
          <w:i/>
          <w:sz w:val="24"/>
          <w:szCs w:val="24"/>
        </w:rPr>
        <w:t xml:space="preserve"> s74 of the Labour Act </w:t>
      </w:r>
      <w:r w:rsidR="00885A48">
        <w:rPr>
          <w:rFonts w:ascii="Times New Roman" w:hAnsi="Times New Roman" w:cs="Times New Roman"/>
          <w:sz w:val="24"/>
          <w:szCs w:val="24"/>
        </w:rPr>
        <w:t>[</w:t>
      </w:r>
      <w:r w:rsidRPr="00E300B3">
        <w:rPr>
          <w:rFonts w:ascii="Times New Roman" w:hAnsi="Times New Roman" w:cs="Times New Roman"/>
          <w:i/>
          <w:sz w:val="24"/>
          <w:szCs w:val="24"/>
        </w:rPr>
        <w:t>Chapter 28:01</w:t>
      </w:r>
      <w:r w:rsidR="00885A48">
        <w:rPr>
          <w:rFonts w:ascii="Times New Roman" w:hAnsi="Times New Roman" w:cs="Times New Roman"/>
          <w:sz w:val="24"/>
          <w:szCs w:val="24"/>
        </w:rPr>
        <w:t>]</w:t>
      </w:r>
      <w:r w:rsidRPr="00E300B3">
        <w:rPr>
          <w:rFonts w:ascii="Times New Roman" w:hAnsi="Times New Roman" w:cs="Times New Roman"/>
          <w:i/>
          <w:sz w:val="24"/>
          <w:szCs w:val="24"/>
        </w:rPr>
        <w:t>?</w:t>
      </w:r>
    </w:p>
    <w:p w:rsidR="00E300B3" w:rsidRDefault="00E300B3" w:rsidP="00E30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7C1F">
        <w:rPr>
          <w:rFonts w:ascii="Times New Roman" w:hAnsi="Times New Roman" w:cs="Times New Roman"/>
          <w:sz w:val="24"/>
          <w:szCs w:val="24"/>
        </w:rPr>
        <w:t>Defendant argued that to the extent that the CBA for the catering industry s</w:t>
      </w:r>
      <w:r w:rsidR="004237C9">
        <w:rPr>
          <w:rFonts w:ascii="Times New Roman" w:hAnsi="Times New Roman" w:cs="Times New Roman"/>
          <w:sz w:val="24"/>
          <w:szCs w:val="24"/>
        </w:rPr>
        <w:t>eeks</w:t>
      </w:r>
      <w:r w:rsidR="00477C1F">
        <w:rPr>
          <w:rFonts w:ascii="Times New Roman" w:hAnsi="Times New Roman" w:cs="Times New Roman"/>
          <w:sz w:val="24"/>
          <w:szCs w:val="24"/>
        </w:rPr>
        <w:t xml:space="preserve"> to bind it to make contributions to a third party, the pensio</w:t>
      </w:r>
      <w:r w:rsidR="004237C9">
        <w:rPr>
          <w:rFonts w:ascii="Times New Roman" w:hAnsi="Times New Roman" w:cs="Times New Roman"/>
          <w:sz w:val="24"/>
          <w:szCs w:val="24"/>
        </w:rPr>
        <w:t>n fund, then it i</w:t>
      </w:r>
      <w:r w:rsidR="00477C1F">
        <w:rPr>
          <w:rFonts w:ascii="Times New Roman" w:hAnsi="Times New Roman" w:cs="Times New Roman"/>
          <w:sz w:val="24"/>
          <w:szCs w:val="24"/>
        </w:rPr>
        <w:t xml:space="preserve">s </w:t>
      </w:r>
      <w:r w:rsidR="00477C1F" w:rsidRPr="004237C9">
        <w:rPr>
          <w:rFonts w:ascii="Times New Roman" w:hAnsi="Times New Roman" w:cs="Times New Roman"/>
          <w:i/>
          <w:sz w:val="24"/>
          <w:szCs w:val="24"/>
        </w:rPr>
        <w:t>ultra vires</w:t>
      </w:r>
      <w:r w:rsidR="00477C1F">
        <w:rPr>
          <w:rFonts w:ascii="Times New Roman" w:hAnsi="Times New Roman" w:cs="Times New Roman"/>
          <w:sz w:val="24"/>
          <w:szCs w:val="24"/>
        </w:rPr>
        <w:t xml:space="preserve"> s74(3) of the Labour Act.</w:t>
      </w:r>
    </w:p>
    <w:p w:rsidR="00E90765" w:rsidRDefault="00477C1F" w:rsidP="00E30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seems to me that here too, the defendant totally misconstrued the tenor of the plaintiff’s case. Plaintiff’s claim is simple: it is that defendant was obliged to adhere to the terms of the CBA for the industry by remitting to plaintiff pension contributions for defendant’s employees. Defendant failed to do so, despite this being a mandatory requirement agreed in </w:t>
      </w:r>
      <w:r w:rsidR="004237C9">
        <w:rPr>
          <w:rFonts w:ascii="Times New Roman" w:hAnsi="Times New Roman" w:cs="Times New Roman"/>
          <w:sz w:val="24"/>
          <w:szCs w:val="24"/>
        </w:rPr>
        <w:t xml:space="preserve">a statutory instrument made </w:t>
      </w:r>
      <w:r>
        <w:rPr>
          <w:rFonts w:ascii="Times New Roman" w:hAnsi="Times New Roman" w:cs="Times New Roman"/>
          <w:sz w:val="24"/>
          <w:szCs w:val="24"/>
        </w:rPr>
        <w:t xml:space="preserve">terms of </w:t>
      </w:r>
      <w:r w:rsidR="0002358D">
        <w:rPr>
          <w:rFonts w:ascii="Times New Roman" w:hAnsi="Times New Roman" w:cs="Times New Roman"/>
          <w:sz w:val="24"/>
          <w:szCs w:val="24"/>
        </w:rPr>
        <w:t>s74 (</w:t>
      </w:r>
      <w:r>
        <w:rPr>
          <w:rFonts w:ascii="Times New Roman" w:hAnsi="Times New Roman" w:cs="Times New Roman"/>
          <w:sz w:val="24"/>
          <w:szCs w:val="24"/>
        </w:rPr>
        <w:t xml:space="preserve">3) of the Labour Act and must be compelled to do so. </w:t>
      </w:r>
    </w:p>
    <w:p w:rsidR="00E90765" w:rsidRDefault="00477C1F" w:rsidP="00E907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NECs act for employees who are the weaker partner in employment relationships in order to level the playing field. </w:t>
      </w:r>
      <w:r w:rsidR="0002358D">
        <w:rPr>
          <w:rFonts w:ascii="Times New Roman" w:hAnsi="Times New Roman" w:cs="Times New Roman"/>
          <w:sz w:val="24"/>
          <w:szCs w:val="24"/>
        </w:rPr>
        <w:t xml:space="preserve">In that respect the CBA authorises NECs to collect pensions on behalf of employees. </w:t>
      </w:r>
      <w:r>
        <w:rPr>
          <w:rFonts w:ascii="Times New Roman" w:hAnsi="Times New Roman" w:cs="Times New Roman"/>
          <w:sz w:val="24"/>
          <w:szCs w:val="24"/>
        </w:rPr>
        <w:t xml:space="preserve">Defendant </w:t>
      </w:r>
      <w:r w:rsidR="0002358D">
        <w:rPr>
          <w:rFonts w:ascii="Times New Roman" w:hAnsi="Times New Roman" w:cs="Times New Roman"/>
          <w:sz w:val="24"/>
          <w:szCs w:val="24"/>
        </w:rPr>
        <w:t xml:space="preserve">having failed to honour its statutory obligation to remit pensions on behalf of its employees, the NEC is merely collecting that pension on behalf of employees. I do not want to believe that defendant seriously intends that each individual employee should institute his own claims </w:t>
      </w:r>
      <w:r w:rsidR="004237C9">
        <w:rPr>
          <w:rFonts w:ascii="Times New Roman" w:hAnsi="Times New Roman" w:cs="Times New Roman"/>
          <w:sz w:val="24"/>
          <w:szCs w:val="24"/>
        </w:rPr>
        <w:t>to force defendant to</w:t>
      </w:r>
      <w:r w:rsidR="0002358D">
        <w:rPr>
          <w:rFonts w:ascii="Times New Roman" w:hAnsi="Times New Roman" w:cs="Times New Roman"/>
          <w:sz w:val="24"/>
          <w:szCs w:val="24"/>
        </w:rPr>
        <w:t xml:space="preserve"> pay</w:t>
      </w:r>
      <w:r w:rsidR="004237C9">
        <w:rPr>
          <w:rFonts w:ascii="Times New Roman" w:hAnsi="Times New Roman" w:cs="Times New Roman"/>
          <w:sz w:val="24"/>
          <w:szCs w:val="24"/>
        </w:rPr>
        <w:t xml:space="preserve"> the employee’s</w:t>
      </w:r>
      <w:r w:rsidR="0002358D">
        <w:rPr>
          <w:rFonts w:ascii="Times New Roman" w:hAnsi="Times New Roman" w:cs="Times New Roman"/>
          <w:sz w:val="24"/>
          <w:szCs w:val="24"/>
        </w:rPr>
        <w:t xml:space="preserve"> pension contributions</w:t>
      </w:r>
      <w:r w:rsidR="004237C9">
        <w:rPr>
          <w:rFonts w:ascii="Times New Roman" w:hAnsi="Times New Roman" w:cs="Times New Roman"/>
          <w:sz w:val="24"/>
          <w:szCs w:val="24"/>
        </w:rPr>
        <w:t xml:space="preserve"> to plaintiff</w:t>
      </w:r>
      <w:r w:rsidR="0002358D">
        <w:rPr>
          <w:rFonts w:ascii="Times New Roman" w:hAnsi="Times New Roman" w:cs="Times New Roman"/>
          <w:sz w:val="24"/>
          <w:szCs w:val="24"/>
        </w:rPr>
        <w:t xml:space="preserve"> for the reason that the plethora of cases would negatively impact on the administration of justice</w:t>
      </w:r>
      <w:r w:rsidR="004237C9">
        <w:rPr>
          <w:rFonts w:ascii="Times New Roman" w:hAnsi="Times New Roman" w:cs="Times New Roman"/>
          <w:sz w:val="24"/>
          <w:szCs w:val="24"/>
        </w:rPr>
        <w:t>. Further, such an interpretation of the law would</w:t>
      </w:r>
      <w:r w:rsidR="0002358D">
        <w:rPr>
          <w:rFonts w:ascii="Times New Roman" w:hAnsi="Times New Roman" w:cs="Times New Roman"/>
          <w:sz w:val="24"/>
          <w:szCs w:val="24"/>
        </w:rPr>
        <w:t xml:space="preserve"> create </w:t>
      </w:r>
      <w:r w:rsidR="004237C9">
        <w:rPr>
          <w:rFonts w:ascii="Times New Roman" w:hAnsi="Times New Roman" w:cs="Times New Roman"/>
          <w:sz w:val="24"/>
          <w:szCs w:val="24"/>
        </w:rPr>
        <w:t>a disproportionate</w:t>
      </w:r>
      <w:r w:rsidR="0002358D">
        <w:rPr>
          <w:rFonts w:ascii="Times New Roman" w:hAnsi="Times New Roman" w:cs="Times New Roman"/>
          <w:sz w:val="24"/>
          <w:szCs w:val="24"/>
        </w:rPr>
        <w:t xml:space="preserve"> </w:t>
      </w:r>
      <w:r w:rsidR="004237C9">
        <w:rPr>
          <w:rFonts w:ascii="Times New Roman" w:hAnsi="Times New Roman" w:cs="Times New Roman"/>
          <w:sz w:val="24"/>
          <w:szCs w:val="24"/>
        </w:rPr>
        <w:t>burden</w:t>
      </w:r>
      <w:r w:rsidR="0002358D">
        <w:rPr>
          <w:rFonts w:ascii="Times New Roman" w:hAnsi="Times New Roman" w:cs="Times New Roman"/>
          <w:sz w:val="24"/>
          <w:szCs w:val="24"/>
        </w:rPr>
        <w:t xml:space="preserve"> on the employees contrary to the spirit and objective of CBAs. </w:t>
      </w:r>
    </w:p>
    <w:p w:rsidR="00E300B3" w:rsidRDefault="0002358D" w:rsidP="00E90765">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Moreover, </w:t>
      </w:r>
      <w:r w:rsidR="00992015">
        <w:rPr>
          <w:rFonts w:ascii="Times New Roman" w:hAnsi="Times New Roman" w:cs="Times New Roman"/>
          <w:sz w:val="24"/>
          <w:szCs w:val="24"/>
        </w:rPr>
        <w:t xml:space="preserve">defendant seems to be confusing the plaintiff with the pension fund. The institution of NECs like the plaintiff was specifically to deal with the issues of the uneven negotiating field between employees and employers in the provision of reasonable conditions of employment. In that vein </w:t>
      </w:r>
      <w:r w:rsidR="00E90765">
        <w:rPr>
          <w:rFonts w:ascii="Times New Roman" w:hAnsi="Times New Roman" w:cs="Times New Roman"/>
          <w:sz w:val="24"/>
          <w:szCs w:val="24"/>
        </w:rPr>
        <w:t>s74 (</w:t>
      </w:r>
      <w:r w:rsidR="00992015">
        <w:rPr>
          <w:rFonts w:ascii="Times New Roman" w:hAnsi="Times New Roman" w:cs="Times New Roman"/>
          <w:sz w:val="24"/>
          <w:szCs w:val="24"/>
        </w:rPr>
        <w:t xml:space="preserve">6) of the Labour Act specifically empowers CBAs to include “other more favourable </w:t>
      </w:r>
      <w:r>
        <w:rPr>
          <w:rFonts w:ascii="Times New Roman" w:hAnsi="Times New Roman" w:cs="Times New Roman"/>
          <w:sz w:val="24"/>
          <w:szCs w:val="24"/>
        </w:rPr>
        <w:t>con</w:t>
      </w:r>
      <w:r w:rsidR="00992015">
        <w:rPr>
          <w:rFonts w:ascii="Times New Roman" w:hAnsi="Times New Roman" w:cs="Times New Roman"/>
          <w:sz w:val="24"/>
          <w:szCs w:val="24"/>
        </w:rPr>
        <w:t xml:space="preserve">ditions of employment”. In my view, that NECs have the power to enforce conditions of employment on behalf of employees is one such more favourable condition of service. I therefore find that </w:t>
      </w:r>
      <w:r w:rsidR="00992015" w:rsidRPr="00992015">
        <w:rPr>
          <w:rFonts w:ascii="Times New Roman" w:hAnsi="Times New Roman" w:cs="Times New Roman"/>
          <w:sz w:val="24"/>
          <w:szCs w:val="24"/>
        </w:rPr>
        <w:t>Industrial Agreement: Catering Industry, S.I. 359 of 1980</w:t>
      </w:r>
      <w:r w:rsidR="00992015">
        <w:rPr>
          <w:rFonts w:ascii="Times New Roman" w:hAnsi="Times New Roman" w:cs="Times New Roman"/>
          <w:sz w:val="24"/>
          <w:szCs w:val="24"/>
        </w:rPr>
        <w:t xml:space="preserve"> is not </w:t>
      </w:r>
      <w:r w:rsidR="00992015" w:rsidRPr="00992015">
        <w:rPr>
          <w:rFonts w:ascii="Times New Roman" w:hAnsi="Times New Roman" w:cs="Times New Roman"/>
          <w:i/>
          <w:sz w:val="24"/>
          <w:szCs w:val="24"/>
        </w:rPr>
        <w:t>ultra vires</w:t>
      </w:r>
      <w:r w:rsidR="00992015" w:rsidRPr="00992015">
        <w:rPr>
          <w:rFonts w:ascii="Times New Roman" w:hAnsi="Times New Roman" w:cs="Times New Roman"/>
          <w:sz w:val="24"/>
          <w:szCs w:val="24"/>
        </w:rPr>
        <w:t xml:space="preserve"> s74 of the Labour Act </w:t>
      </w:r>
      <w:r w:rsidR="00885A48">
        <w:rPr>
          <w:rFonts w:ascii="Times New Roman" w:hAnsi="Times New Roman" w:cs="Times New Roman"/>
          <w:sz w:val="24"/>
          <w:szCs w:val="24"/>
        </w:rPr>
        <w:t>[</w:t>
      </w:r>
      <w:r w:rsidR="00992015" w:rsidRPr="00885A48">
        <w:rPr>
          <w:rFonts w:ascii="Times New Roman" w:hAnsi="Times New Roman" w:cs="Times New Roman"/>
          <w:i/>
          <w:sz w:val="24"/>
          <w:szCs w:val="24"/>
        </w:rPr>
        <w:t>Chapter 28:01</w:t>
      </w:r>
      <w:r w:rsidR="00885A48">
        <w:rPr>
          <w:rFonts w:ascii="Times New Roman" w:hAnsi="Times New Roman" w:cs="Times New Roman"/>
          <w:sz w:val="24"/>
          <w:szCs w:val="24"/>
        </w:rPr>
        <w:t>]</w:t>
      </w:r>
      <w:r w:rsidR="00992015">
        <w:rPr>
          <w:rFonts w:ascii="Times New Roman" w:hAnsi="Times New Roman" w:cs="Times New Roman"/>
          <w:sz w:val="24"/>
          <w:szCs w:val="24"/>
        </w:rPr>
        <w:t>.</w:t>
      </w:r>
      <w:r w:rsidR="00992015">
        <w:rPr>
          <w:rFonts w:ascii="Times New Roman" w:hAnsi="Times New Roman" w:cs="Times New Roman"/>
          <w:i/>
          <w:sz w:val="24"/>
          <w:szCs w:val="24"/>
        </w:rPr>
        <w:t xml:space="preserve"> </w:t>
      </w:r>
    </w:p>
    <w:p w:rsidR="00E300B3" w:rsidRPr="00E300B3" w:rsidRDefault="00E300B3" w:rsidP="00E300B3">
      <w:pPr>
        <w:spacing w:after="0" w:line="360" w:lineRule="auto"/>
        <w:jc w:val="both"/>
        <w:rPr>
          <w:rFonts w:ascii="Times New Roman" w:hAnsi="Times New Roman" w:cs="Times New Roman"/>
          <w:i/>
          <w:sz w:val="24"/>
          <w:szCs w:val="24"/>
        </w:rPr>
      </w:pPr>
      <w:r w:rsidRPr="00E300B3">
        <w:rPr>
          <w:rFonts w:ascii="Times New Roman" w:hAnsi="Times New Roman" w:cs="Times New Roman"/>
          <w:i/>
          <w:sz w:val="24"/>
          <w:szCs w:val="24"/>
        </w:rPr>
        <w:t>Does the agreement violate defendant’s right to freedom of assembly and association enshrined in s5</w:t>
      </w:r>
      <w:r w:rsidR="00E15B2D">
        <w:rPr>
          <w:rFonts w:ascii="Times New Roman" w:hAnsi="Times New Roman" w:cs="Times New Roman"/>
          <w:i/>
          <w:sz w:val="24"/>
          <w:szCs w:val="24"/>
        </w:rPr>
        <w:t>8</w:t>
      </w:r>
      <w:r w:rsidRPr="00E300B3">
        <w:rPr>
          <w:rFonts w:ascii="Times New Roman" w:hAnsi="Times New Roman" w:cs="Times New Roman"/>
          <w:i/>
          <w:sz w:val="24"/>
          <w:szCs w:val="24"/>
        </w:rPr>
        <w:t xml:space="preserve"> of the Constitution Amendment (No 2) Act, 2013?</w:t>
      </w:r>
    </w:p>
    <w:p w:rsidR="00E15B2D" w:rsidRDefault="00E15B2D"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Finally, defendant argues that the decision of the Catering Industry’s Board to refuse to accept its resignation and /or grant it exemption violates its constitutional right to freedom of assembly and association.</w:t>
      </w:r>
    </w:p>
    <w:p w:rsidR="00E300B3" w:rsidRDefault="00E15B2D"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will make short shrift </w:t>
      </w:r>
      <w:r w:rsidR="004237C9">
        <w:rPr>
          <w:rFonts w:ascii="Times New Roman" w:hAnsi="Times New Roman" w:cs="Times New Roman"/>
          <w:sz w:val="24"/>
          <w:szCs w:val="24"/>
          <w:lang w:val="en-ZW"/>
        </w:rPr>
        <w:t>o</w:t>
      </w:r>
      <w:r>
        <w:rPr>
          <w:rFonts w:ascii="Times New Roman" w:hAnsi="Times New Roman" w:cs="Times New Roman"/>
          <w:sz w:val="24"/>
          <w:szCs w:val="24"/>
          <w:lang w:val="en-ZW"/>
        </w:rPr>
        <w:t>f this submission: firstly, b</w:t>
      </w:r>
      <w:r w:rsidR="004237C9">
        <w:rPr>
          <w:rFonts w:ascii="Times New Roman" w:hAnsi="Times New Roman" w:cs="Times New Roman"/>
          <w:sz w:val="24"/>
          <w:szCs w:val="24"/>
          <w:lang w:val="en-ZW"/>
        </w:rPr>
        <w:t xml:space="preserve">y its own concession, defendant, </w:t>
      </w:r>
      <w:r>
        <w:rPr>
          <w:rFonts w:ascii="Times New Roman" w:hAnsi="Times New Roman" w:cs="Times New Roman"/>
          <w:sz w:val="24"/>
          <w:szCs w:val="24"/>
          <w:lang w:val="en-ZW"/>
        </w:rPr>
        <w:t>not being a member of the Catering Industry Pension Fund, there is no question of it being compelled to belong to an</w:t>
      </w:r>
      <w:r w:rsidR="004237C9">
        <w:rPr>
          <w:rFonts w:ascii="Times New Roman" w:hAnsi="Times New Roman" w:cs="Times New Roman"/>
          <w:sz w:val="24"/>
          <w:szCs w:val="24"/>
          <w:lang w:val="en-ZW"/>
        </w:rPr>
        <w:t>y</w:t>
      </w:r>
      <w:r>
        <w:rPr>
          <w:rFonts w:ascii="Times New Roman" w:hAnsi="Times New Roman" w:cs="Times New Roman"/>
          <w:sz w:val="24"/>
          <w:szCs w:val="24"/>
          <w:lang w:val="en-ZW"/>
        </w:rPr>
        <w:t xml:space="preserve"> association contrary to its rights in terms of s58 of the constitution. All that is required of the defendant is that it makes payment for pension </w:t>
      </w:r>
      <w:r>
        <w:rPr>
          <w:rFonts w:ascii="Times New Roman" w:hAnsi="Times New Roman" w:cs="Times New Roman"/>
          <w:sz w:val="24"/>
          <w:szCs w:val="24"/>
          <w:lang w:val="en-ZW"/>
        </w:rPr>
        <w:lastRenderedPageBreak/>
        <w:t xml:space="preserve">contributions which it is obliged to make on behalf of its employees to the plaintiff. Nor is there any question </w:t>
      </w:r>
      <w:r w:rsidR="004237C9">
        <w:rPr>
          <w:rFonts w:ascii="Times New Roman" w:hAnsi="Times New Roman" w:cs="Times New Roman"/>
          <w:sz w:val="24"/>
          <w:szCs w:val="24"/>
          <w:lang w:val="en-ZW"/>
        </w:rPr>
        <w:t xml:space="preserve">of </w:t>
      </w:r>
      <w:r>
        <w:rPr>
          <w:rFonts w:ascii="Times New Roman" w:hAnsi="Times New Roman" w:cs="Times New Roman"/>
          <w:sz w:val="24"/>
          <w:szCs w:val="24"/>
          <w:lang w:val="en-ZW"/>
        </w:rPr>
        <w:t>the defendant being compelled to belong to the plaintiff, which is an independent body institute to mediate negotiations between employers and employees.</w:t>
      </w:r>
    </w:p>
    <w:p w:rsidR="00C31ACA" w:rsidRDefault="00C31ACA"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Further and in any event, even were it correct that defendant is being forced to associate with anyone against its will, it ought to have shown that the right to freedom of association is absolute. If it is not, then the defendant ought to have shown that the limitation placed on the right was not prescribed by law, or was prescribed by a law which does not pursue a legitimate aim, was not reasonably necessary in a democratic society and was disproportional in its effect.</w:t>
      </w:r>
    </w:p>
    <w:p w:rsidR="00295DCE" w:rsidRDefault="00295DCE"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take note that the right to freedom of association is in fact not absolute as s86 of the Constitution states that it can be limited by a </w:t>
      </w:r>
      <w:r w:rsidR="00612DF9">
        <w:rPr>
          <w:rFonts w:ascii="Times New Roman" w:hAnsi="Times New Roman" w:cs="Times New Roman"/>
          <w:sz w:val="24"/>
          <w:szCs w:val="24"/>
          <w:lang w:val="en-ZW"/>
        </w:rPr>
        <w:t>law</w:t>
      </w:r>
      <w:r>
        <w:rPr>
          <w:rFonts w:ascii="Times New Roman" w:hAnsi="Times New Roman" w:cs="Times New Roman"/>
          <w:sz w:val="24"/>
          <w:szCs w:val="24"/>
          <w:lang w:val="en-ZW"/>
        </w:rPr>
        <w:t xml:space="preserve"> of general application as long as the limitation is fair, reasonable and necessary in a democratic society based on openness, justice, human dignity, equality and freedom. Sections 74 and 82 of the Labour Act are laws of general application which allows for the negotiation, registration and binding nature of c</w:t>
      </w:r>
      <w:r w:rsidR="004237C9">
        <w:rPr>
          <w:rFonts w:ascii="Times New Roman" w:hAnsi="Times New Roman" w:cs="Times New Roman"/>
          <w:sz w:val="24"/>
          <w:szCs w:val="24"/>
          <w:lang w:val="en-ZW"/>
        </w:rPr>
        <w:t>ollective bargaining agreements. Further, they are</w:t>
      </w:r>
      <w:r>
        <w:rPr>
          <w:rFonts w:ascii="Times New Roman" w:hAnsi="Times New Roman" w:cs="Times New Roman"/>
          <w:sz w:val="24"/>
          <w:szCs w:val="24"/>
          <w:lang w:val="en-ZW"/>
        </w:rPr>
        <w:t xml:space="preserve"> laws which remain extant and have not been challenged.</w:t>
      </w:r>
      <w:r w:rsidR="00E362B8">
        <w:rPr>
          <w:rFonts w:ascii="Times New Roman" w:hAnsi="Times New Roman" w:cs="Times New Roman"/>
          <w:sz w:val="24"/>
          <w:szCs w:val="24"/>
          <w:lang w:val="en-ZW"/>
        </w:rPr>
        <w:t xml:space="preserve"> I equally take note that defendant has not sought any </w:t>
      </w:r>
      <w:r w:rsidR="00E362B8" w:rsidRPr="00E362B8">
        <w:rPr>
          <w:rFonts w:ascii="Times New Roman" w:hAnsi="Times New Roman" w:cs="Times New Roman"/>
          <w:i/>
          <w:sz w:val="24"/>
          <w:szCs w:val="24"/>
          <w:lang w:val="en-ZW"/>
        </w:rPr>
        <w:t>declaraturs vis-a-viz</w:t>
      </w:r>
      <w:r w:rsidR="00E362B8">
        <w:rPr>
          <w:rFonts w:ascii="Times New Roman" w:hAnsi="Times New Roman" w:cs="Times New Roman"/>
          <w:sz w:val="24"/>
          <w:szCs w:val="24"/>
          <w:lang w:val="en-ZW"/>
        </w:rPr>
        <w:t xml:space="preserve"> the laws it seeks to impugn.</w:t>
      </w:r>
    </w:p>
    <w:p w:rsidR="00612DF9" w:rsidRPr="00612DF9" w:rsidRDefault="00612DF9" w:rsidP="00612DF9">
      <w:pPr>
        <w:spacing w:after="0" w:line="360" w:lineRule="auto"/>
        <w:jc w:val="both"/>
        <w:rPr>
          <w:rFonts w:ascii="Times New Roman" w:hAnsi="Times New Roman" w:cs="Times New Roman"/>
          <w:i/>
          <w:sz w:val="24"/>
          <w:szCs w:val="24"/>
        </w:rPr>
      </w:pPr>
      <w:r w:rsidRPr="00612DF9">
        <w:rPr>
          <w:rFonts w:ascii="Times New Roman" w:hAnsi="Times New Roman" w:cs="Times New Roman"/>
          <w:i/>
          <w:sz w:val="24"/>
          <w:szCs w:val="24"/>
        </w:rPr>
        <w:t>Is defendant indebted to the plaintiff in the amount claimed or any other amount in respect of pension contributions?</w:t>
      </w:r>
    </w:p>
    <w:p w:rsidR="00612DF9" w:rsidRPr="00E300B3" w:rsidRDefault="00612DF9" w:rsidP="009B73B6">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Defendant made no submissions at all in its main and supplementary heads of argument or at the hearing to dispute the quantum of the plaintiff’s claim. In the premises, I take it as admitted.</w:t>
      </w:r>
    </w:p>
    <w:p w:rsidR="00BB68A4" w:rsidRPr="00FD3320" w:rsidRDefault="00BB68A4" w:rsidP="00BB68A4">
      <w:pPr>
        <w:pStyle w:val="NoSpacing"/>
        <w:ind w:left="720"/>
        <w:jc w:val="both"/>
        <w:rPr>
          <w:rFonts w:ascii="Times New Roman" w:hAnsi="Times New Roman" w:cs="Times New Roman"/>
        </w:rPr>
      </w:pPr>
    </w:p>
    <w:p w:rsidR="005A09D0" w:rsidRPr="00295DCE" w:rsidRDefault="00295DCE" w:rsidP="00AD30D7">
      <w:pPr>
        <w:spacing w:after="0" w:line="360" w:lineRule="auto"/>
        <w:ind w:firstLine="720"/>
        <w:jc w:val="both"/>
        <w:rPr>
          <w:rFonts w:ascii="Times New Roman" w:hAnsi="Times New Roman" w:cs="Times New Roman"/>
          <w:b/>
          <w:sz w:val="24"/>
          <w:szCs w:val="24"/>
        </w:rPr>
      </w:pPr>
      <w:r w:rsidRPr="00295DCE">
        <w:rPr>
          <w:rFonts w:ascii="Times New Roman" w:hAnsi="Times New Roman" w:cs="Times New Roman"/>
          <w:b/>
          <w:sz w:val="24"/>
          <w:szCs w:val="24"/>
        </w:rPr>
        <w:t>Conclusion</w:t>
      </w:r>
    </w:p>
    <w:p w:rsidR="00295DCE" w:rsidRDefault="00295DCE"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 find that defendant did not lawfully “resign” from its obligation to pay pension contributions for its employees. Further, it is apparent that the plaintiff has both the </w:t>
      </w:r>
      <w:r w:rsidRPr="00612DF9">
        <w:rPr>
          <w:rFonts w:ascii="Times New Roman" w:hAnsi="Times New Roman" w:cs="Times New Roman"/>
          <w:i/>
          <w:sz w:val="24"/>
          <w:szCs w:val="24"/>
        </w:rPr>
        <w:t>locus standi</w:t>
      </w:r>
      <w:r>
        <w:rPr>
          <w:rFonts w:ascii="Times New Roman" w:hAnsi="Times New Roman" w:cs="Times New Roman"/>
          <w:sz w:val="24"/>
          <w:szCs w:val="24"/>
        </w:rPr>
        <w:t xml:space="preserve"> and necessary </w:t>
      </w:r>
      <w:r w:rsidRPr="00612DF9">
        <w:rPr>
          <w:rFonts w:ascii="Times New Roman" w:hAnsi="Times New Roman" w:cs="Times New Roman"/>
          <w:i/>
          <w:sz w:val="24"/>
          <w:szCs w:val="24"/>
        </w:rPr>
        <w:t>causa</w:t>
      </w:r>
      <w:r>
        <w:rPr>
          <w:rFonts w:ascii="Times New Roman" w:hAnsi="Times New Roman" w:cs="Times New Roman"/>
          <w:sz w:val="24"/>
          <w:szCs w:val="24"/>
        </w:rPr>
        <w:t xml:space="preserve"> to bring this claim.</w:t>
      </w:r>
      <w:r w:rsidR="00612DF9">
        <w:rPr>
          <w:rFonts w:ascii="Times New Roman" w:hAnsi="Times New Roman" w:cs="Times New Roman"/>
          <w:sz w:val="24"/>
          <w:szCs w:val="24"/>
        </w:rPr>
        <w:t xml:space="preserve"> In addition, I find that S.I 359 of 1980 is not </w:t>
      </w:r>
      <w:r w:rsidR="00612DF9" w:rsidRPr="00E362B8">
        <w:rPr>
          <w:rFonts w:ascii="Times New Roman" w:hAnsi="Times New Roman" w:cs="Times New Roman"/>
          <w:i/>
          <w:sz w:val="24"/>
          <w:szCs w:val="24"/>
        </w:rPr>
        <w:t>ultra vires</w:t>
      </w:r>
      <w:r w:rsidR="00612DF9">
        <w:rPr>
          <w:rFonts w:ascii="Times New Roman" w:hAnsi="Times New Roman" w:cs="Times New Roman"/>
          <w:sz w:val="24"/>
          <w:szCs w:val="24"/>
        </w:rPr>
        <w:t xml:space="preserve"> the Labour Act</w:t>
      </w:r>
      <w:r w:rsidR="00E362B8">
        <w:rPr>
          <w:rFonts w:ascii="Times New Roman" w:hAnsi="Times New Roman" w:cs="Times New Roman"/>
          <w:sz w:val="24"/>
          <w:szCs w:val="24"/>
        </w:rPr>
        <w:t xml:space="preserve">. Moreover, </w:t>
      </w:r>
      <w:r w:rsidR="00612DF9">
        <w:rPr>
          <w:rFonts w:ascii="Times New Roman" w:hAnsi="Times New Roman" w:cs="Times New Roman"/>
          <w:sz w:val="24"/>
          <w:szCs w:val="24"/>
        </w:rPr>
        <w:t xml:space="preserve">defendant’s right to freedom of assembly and association has not been violated the statutory instrument. Finally, no submissions having been made by the defendant in dispute of </w:t>
      </w:r>
      <w:r w:rsidR="00612DF9" w:rsidRPr="00612DF9">
        <w:rPr>
          <w:rFonts w:ascii="Times New Roman" w:hAnsi="Times New Roman" w:cs="Times New Roman"/>
          <w:i/>
          <w:sz w:val="24"/>
          <w:szCs w:val="24"/>
        </w:rPr>
        <w:t>quantum</w:t>
      </w:r>
      <w:r w:rsidR="00612DF9">
        <w:rPr>
          <w:rFonts w:ascii="Times New Roman" w:hAnsi="Times New Roman" w:cs="Times New Roman"/>
          <w:sz w:val="24"/>
          <w:szCs w:val="24"/>
        </w:rPr>
        <w:t>, I find that the defendant is liable to the plaintiff for pension contributions in the amount claimed in the summons.</w:t>
      </w:r>
    </w:p>
    <w:p w:rsidR="00885A48" w:rsidRDefault="00885A48" w:rsidP="002F2747">
      <w:pPr>
        <w:spacing w:after="0" w:line="360" w:lineRule="auto"/>
        <w:ind w:firstLine="720"/>
        <w:jc w:val="both"/>
        <w:rPr>
          <w:rFonts w:ascii="Times New Roman" w:hAnsi="Times New Roman" w:cs="Times New Roman"/>
          <w:b/>
          <w:sz w:val="24"/>
          <w:szCs w:val="24"/>
        </w:rPr>
      </w:pPr>
    </w:p>
    <w:p w:rsidR="00885A48" w:rsidRDefault="00885A48" w:rsidP="002F2747">
      <w:pPr>
        <w:spacing w:after="0" w:line="360" w:lineRule="auto"/>
        <w:ind w:firstLine="720"/>
        <w:jc w:val="both"/>
        <w:rPr>
          <w:rFonts w:ascii="Times New Roman" w:hAnsi="Times New Roman" w:cs="Times New Roman"/>
          <w:b/>
          <w:sz w:val="24"/>
          <w:szCs w:val="24"/>
        </w:rPr>
      </w:pPr>
    </w:p>
    <w:p w:rsidR="00401CC7" w:rsidRPr="00677BE3" w:rsidRDefault="002F2747" w:rsidP="002F274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Disposition</w:t>
      </w:r>
    </w:p>
    <w:p w:rsidR="00401CC7" w:rsidRPr="002F2747" w:rsidRDefault="002F2747" w:rsidP="002F2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it is ordered that the </w:t>
      </w:r>
      <w:r w:rsidR="00B86325">
        <w:rPr>
          <w:rFonts w:ascii="Times New Roman" w:hAnsi="Times New Roman" w:cs="Times New Roman"/>
          <w:sz w:val="24"/>
          <w:szCs w:val="24"/>
        </w:rPr>
        <w:t xml:space="preserve">plaintiff’s claim is allowed. The </w:t>
      </w:r>
      <w:r w:rsidR="00612DF9">
        <w:rPr>
          <w:rFonts w:ascii="Times New Roman" w:hAnsi="Times New Roman" w:cs="Times New Roman"/>
          <w:sz w:val="24"/>
          <w:szCs w:val="24"/>
        </w:rPr>
        <w:t>defendant</w:t>
      </w:r>
      <w:r w:rsidR="00B86325">
        <w:rPr>
          <w:rFonts w:ascii="Times New Roman" w:hAnsi="Times New Roman" w:cs="Times New Roman"/>
          <w:sz w:val="24"/>
          <w:szCs w:val="24"/>
        </w:rPr>
        <w:t xml:space="preserve"> shall pay to the plaintiff the amount of $346 972.32 together with interest thereon at the prescribed rate from the date of summons to date of payment in full and </w:t>
      </w:r>
      <w:r w:rsidRPr="002F2747">
        <w:rPr>
          <w:rFonts w:ascii="Times New Roman" w:hAnsi="Times New Roman" w:cs="Times New Roman"/>
          <w:sz w:val="24"/>
          <w:szCs w:val="24"/>
        </w:rPr>
        <w:t xml:space="preserve">costs </w:t>
      </w:r>
      <w:r w:rsidR="00427834">
        <w:rPr>
          <w:rFonts w:ascii="Times New Roman" w:hAnsi="Times New Roman" w:cs="Times New Roman"/>
          <w:sz w:val="24"/>
          <w:szCs w:val="24"/>
        </w:rPr>
        <w:t>of suit</w:t>
      </w:r>
      <w:r w:rsidR="00B86325">
        <w:rPr>
          <w:rFonts w:ascii="Times New Roman" w:hAnsi="Times New Roman" w:cs="Times New Roman"/>
          <w:sz w:val="24"/>
          <w:szCs w:val="24"/>
        </w:rPr>
        <w:t>.</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885A48" w:rsidRDefault="00885A48" w:rsidP="00192891">
      <w:pPr>
        <w:spacing w:after="0" w:line="360" w:lineRule="auto"/>
        <w:jc w:val="both"/>
        <w:rPr>
          <w:rFonts w:ascii="Times New Roman" w:hAnsi="Times New Roman" w:cs="Times New Roman"/>
          <w:sz w:val="24"/>
          <w:szCs w:val="24"/>
        </w:rPr>
      </w:pPr>
    </w:p>
    <w:p w:rsidR="00885A48" w:rsidRDefault="00885A48" w:rsidP="00192891">
      <w:pPr>
        <w:spacing w:after="0" w:line="360" w:lineRule="auto"/>
        <w:jc w:val="both"/>
        <w:rPr>
          <w:rFonts w:ascii="Times New Roman" w:hAnsi="Times New Roman" w:cs="Times New Roman"/>
          <w:sz w:val="24"/>
          <w:szCs w:val="24"/>
        </w:rPr>
      </w:pPr>
    </w:p>
    <w:p w:rsidR="00D611EB" w:rsidRPr="00D611EB" w:rsidRDefault="00F14131"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Machingambi Legal Practitioners</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F14131"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Lunga Attorneys</w:t>
      </w:r>
      <w:r w:rsidR="001916DB" w:rsidRPr="00541674">
        <w:rPr>
          <w:rFonts w:ascii="Times New Roman" w:hAnsi="Times New Roman" w:cs="Times New Roman"/>
          <w:sz w:val="24"/>
          <w:szCs w:val="24"/>
        </w:rPr>
        <w:t xml:space="preserve">, </w:t>
      </w:r>
      <w:r>
        <w:rPr>
          <w:rFonts w:ascii="Times New Roman" w:hAnsi="Times New Roman" w:cs="Times New Roman"/>
          <w:sz w:val="24"/>
          <w:szCs w:val="24"/>
        </w:rPr>
        <w:t>defendant</w:t>
      </w:r>
      <w:r w:rsidR="00DC6DF9">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BEF" w:rsidRDefault="000C6BEF" w:rsidP="00A5344D">
      <w:pPr>
        <w:spacing w:after="0" w:line="240" w:lineRule="auto"/>
      </w:pPr>
      <w:r>
        <w:separator/>
      </w:r>
    </w:p>
  </w:endnote>
  <w:endnote w:type="continuationSeparator" w:id="0">
    <w:p w:rsidR="000C6BEF" w:rsidRDefault="000C6BEF"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BEF" w:rsidRDefault="000C6BEF" w:rsidP="00A5344D">
      <w:pPr>
        <w:spacing w:after="0" w:line="240" w:lineRule="auto"/>
      </w:pPr>
      <w:r>
        <w:separator/>
      </w:r>
    </w:p>
  </w:footnote>
  <w:footnote w:type="continuationSeparator" w:id="0">
    <w:p w:rsidR="000C6BEF" w:rsidRDefault="000C6BEF" w:rsidP="00A5344D">
      <w:pPr>
        <w:spacing w:after="0" w:line="240" w:lineRule="auto"/>
      </w:pPr>
      <w:r>
        <w:continuationSeparator/>
      </w:r>
    </w:p>
  </w:footnote>
  <w:footnote w:id="1">
    <w:p w:rsidR="00E55FFF" w:rsidRPr="00E55FFF" w:rsidRDefault="00E55FFF">
      <w:pPr>
        <w:pStyle w:val="FootnoteText"/>
      </w:pPr>
      <w:r>
        <w:rPr>
          <w:rStyle w:val="FootnoteReference"/>
        </w:rPr>
        <w:footnoteRef/>
      </w:r>
      <w:r>
        <w:t xml:space="preserve"> </w:t>
      </w:r>
      <w:r w:rsidRPr="00E55FFF">
        <w:rPr>
          <w:i/>
        </w:rPr>
        <w:t>Zimbabwe Stock Exchange v Zimbabwe Revenue Authority</w:t>
      </w:r>
      <w:r>
        <w:t xml:space="preserve"> (315/06)[2008] ZWSC 35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91446A">
          <w:rPr>
            <w:noProof/>
          </w:rPr>
          <w:t>1</w:t>
        </w:r>
        <w:r>
          <w:rPr>
            <w:noProof/>
          </w:rPr>
          <w:fldChar w:fldCharType="end"/>
        </w:r>
      </w:p>
      <w:p w:rsidR="001A7735" w:rsidRDefault="001A7735">
        <w:pPr>
          <w:pStyle w:val="Header"/>
          <w:jc w:val="right"/>
          <w:rPr>
            <w:noProof/>
          </w:rPr>
        </w:pPr>
        <w:r>
          <w:rPr>
            <w:noProof/>
          </w:rPr>
          <w:t>HH</w:t>
        </w:r>
        <w:r w:rsidR="002A3798">
          <w:rPr>
            <w:noProof/>
          </w:rPr>
          <w:t>463-18</w:t>
        </w:r>
      </w:p>
      <w:p w:rsidR="00AD30D7" w:rsidRDefault="00AD30D7">
        <w:pPr>
          <w:pStyle w:val="Header"/>
          <w:jc w:val="right"/>
          <w:rPr>
            <w:noProof/>
          </w:rPr>
        </w:pPr>
        <w:r>
          <w:rPr>
            <w:noProof/>
          </w:rPr>
          <w:t>HC</w:t>
        </w:r>
        <w:r w:rsidR="00DC6DF9">
          <w:rPr>
            <w:noProof/>
          </w:rPr>
          <w:t xml:space="preserve"> </w:t>
        </w:r>
        <w:r w:rsidR="00111524">
          <w:rPr>
            <w:noProof/>
          </w:rPr>
          <w:t>1471</w:t>
        </w:r>
        <w:r w:rsidR="00DC6DF9">
          <w:rPr>
            <w:noProof/>
          </w:rPr>
          <w:t>/1</w:t>
        </w:r>
        <w:r w:rsidR="00111524">
          <w:rPr>
            <w:noProof/>
          </w:rPr>
          <w:t>7</w:t>
        </w:r>
      </w:p>
      <w:p w:rsidR="00AD30D7" w:rsidRDefault="000C6BEF">
        <w:pPr>
          <w:pStyle w:val="Header"/>
          <w:jc w:val="right"/>
        </w:pPr>
      </w:p>
    </w:sdtContent>
  </w:sdt>
  <w:p w:rsidR="00AD30D7" w:rsidRDefault="00AD30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3216767"/>
    <w:multiLevelType w:val="hybridMultilevel"/>
    <w:tmpl w:val="696A98F8"/>
    <w:lvl w:ilvl="0" w:tplc="15C216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D035C89"/>
    <w:multiLevelType w:val="hybridMultilevel"/>
    <w:tmpl w:val="E920243A"/>
    <w:lvl w:ilvl="0" w:tplc="2304C7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4"/>
  </w:num>
  <w:num w:numId="3">
    <w:abstractNumId w:val="1"/>
  </w:num>
  <w:num w:numId="4">
    <w:abstractNumId w:val="18"/>
  </w:num>
  <w:num w:numId="5">
    <w:abstractNumId w:val="20"/>
  </w:num>
  <w:num w:numId="6">
    <w:abstractNumId w:val="22"/>
  </w:num>
  <w:num w:numId="7">
    <w:abstractNumId w:val="7"/>
  </w:num>
  <w:num w:numId="8">
    <w:abstractNumId w:val="10"/>
  </w:num>
  <w:num w:numId="9">
    <w:abstractNumId w:val="17"/>
  </w:num>
  <w:num w:numId="10">
    <w:abstractNumId w:val="5"/>
  </w:num>
  <w:num w:numId="11">
    <w:abstractNumId w:val="14"/>
  </w:num>
  <w:num w:numId="12">
    <w:abstractNumId w:val="6"/>
  </w:num>
  <w:num w:numId="13">
    <w:abstractNumId w:val="9"/>
  </w:num>
  <w:num w:numId="14">
    <w:abstractNumId w:val="15"/>
  </w:num>
  <w:num w:numId="15">
    <w:abstractNumId w:val="21"/>
  </w:num>
  <w:num w:numId="16">
    <w:abstractNumId w:val="8"/>
  </w:num>
  <w:num w:numId="17">
    <w:abstractNumId w:val="2"/>
  </w:num>
  <w:num w:numId="18">
    <w:abstractNumId w:val="0"/>
  </w:num>
  <w:num w:numId="19">
    <w:abstractNumId w:val="13"/>
  </w:num>
  <w:num w:numId="20">
    <w:abstractNumId w:val="3"/>
  </w:num>
  <w:num w:numId="21">
    <w:abstractNumId w:val="19"/>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2358D"/>
    <w:rsid w:val="00036056"/>
    <w:rsid w:val="00044546"/>
    <w:rsid w:val="000451CB"/>
    <w:rsid w:val="00051357"/>
    <w:rsid w:val="00065992"/>
    <w:rsid w:val="00072CCD"/>
    <w:rsid w:val="000807CC"/>
    <w:rsid w:val="00080C6C"/>
    <w:rsid w:val="0008127A"/>
    <w:rsid w:val="0008185F"/>
    <w:rsid w:val="00083CFF"/>
    <w:rsid w:val="00090BBF"/>
    <w:rsid w:val="000A2A6F"/>
    <w:rsid w:val="000B46C2"/>
    <w:rsid w:val="000B5C25"/>
    <w:rsid w:val="000C1585"/>
    <w:rsid w:val="000C2565"/>
    <w:rsid w:val="000C6214"/>
    <w:rsid w:val="000C65B2"/>
    <w:rsid w:val="000C6BEF"/>
    <w:rsid w:val="000E4F4E"/>
    <w:rsid w:val="000E6B3F"/>
    <w:rsid w:val="000F6C31"/>
    <w:rsid w:val="001001DB"/>
    <w:rsid w:val="001015A9"/>
    <w:rsid w:val="00111524"/>
    <w:rsid w:val="00122EC5"/>
    <w:rsid w:val="00123797"/>
    <w:rsid w:val="00123FD7"/>
    <w:rsid w:val="0013174A"/>
    <w:rsid w:val="0013647D"/>
    <w:rsid w:val="0013694D"/>
    <w:rsid w:val="0015757D"/>
    <w:rsid w:val="00165726"/>
    <w:rsid w:val="001718E1"/>
    <w:rsid w:val="0018232E"/>
    <w:rsid w:val="00183D71"/>
    <w:rsid w:val="00190755"/>
    <w:rsid w:val="00191489"/>
    <w:rsid w:val="001916DB"/>
    <w:rsid w:val="00192463"/>
    <w:rsid w:val="00192891"/>
    <w:rsid w:val="001946A9"/>
    <w:rsid w:val="00195092"/>
    <w:rsid w:val="001A2B23"/>
    <w:rsid w:val="001A500A"/>
    <w:rsid w:val="001A6DBB"/>
    <w:rsid w:val="001A7735"/>
    <w:rsid w:val="001C16ED"/>
    <w:rsid w:val="001C5AA9"/>
    <w:rsid w:val="001C6CC1"/>
    <w:rsid w:val="001E0BDC"/>
    <w:rsid w:val="001E390F"/>
    <w:rsid w:val="001E416C"/>
    <w:rsid w:val="001E5194"/>
    <w:rsid w:val="001F097B"/>
    <w:rsid w:val="001F0CCD"/>
    <w:rsid w:val="001F678C"/>
    <w:rsid w:val="001F7BE4"/>
    <w:rsid w:val="00202A27"/>
    <w:rsid w:val="002106D4"/>
    <w:rsid w:val="00216B3D"/>
    <w:rsid w:val="00226660"/>
    <w:rsid w:val="002319D6"/>
    <w:rsid w:val="002405FA"/>
    <w:rsid w:val="00242E6F"/>
    <w:rsid w:val="002479C8"/>
    <w:rsid w:val="0025507C"/>
    <w:rsid w:val="002564A8"/>
    <w:rsid w:val="00264214"/>
    <w:rsid w:val="00273E1F"/>
    <w:rsid w:val="00273F92"/>
    <w:rsid w:val="00277B54"/>
    <w:rsid w:val="002825EA"/>
    <w:rsid w:val="00293728"/>
    <w:rsid w:val="00295DCE"/>
    <w:rsid w:val="002A1EE0"/>
    <w:rsid w:val="002A3798"/>
    <w:rsid w:val="002A54A3"/>
    <w:rsid w:val="002A6D8A"/>
    <w:rsid w:val="002C0252"/>
    <w:rsid w:val="002C20C3"/>
    <w:rsid w:val="002D62E1"/>
    <w:rsid w:val="002E5B08"/>
    <w:rsid w:val="002F2747"/>
    <w:rsid w:val="002F3795"/>
    <w:rsid w:val="002F3DB8"/>
    <w:rsid w:val="002F75E5"/>
    <w:rsid w:val="003111CF"/>
    <w:rsid w:val="0031257B"/>
    <w:rsid w:val="00320282"/>
    <w:rsid w:val="003445A8"/>
    <w:rsid w:val="0034675B"/>
    <w:rsid w:val="00355C36"/>
    <w:rsid w:val="0036266B"/>
    <w:rsid w:val="00383380"/>
    <w:rsid w:val="00383CC5"/>
    <w:rsid w:val="00384346"/>
    <w:rsid w:val="0038672D"/>
    <w:rsid w:val="00390A0B"/>
    <w:rsid w:val="00390E7B"/>
    <w:rsid w:val="003954CD"/>
    <w:rsid w:val="003B20BF"/>
    <w:rsid w:val="003C2681"/>
    <w:rsid w:val="003C5EE9"/>
    <w:rsid w:val="003D3E83"/>
    <w:rsid w:val="003D670B"/>
    <w:rsid w:val="003F2824"/>
    <w:rsid w:val="003F3A45"/>
    <w:rsid w:val="0040093B"/>
    <w:rsid w:val="00401CC7"/>
    <w:rsid w:val="00405BEA"/>
    <w:rsid w:val="00406E04"/>
    <w:rsid w:val="00407866"/>
    <w:rsid w:val="004174F2"/>
    <w:rsid w:val="004203A1"/>
    <w:rsid w:val="0042142A"/>
    <w:rsid w:val="004237C9"/>
    <w:rsid w:val="00427834"/>
    <w:rsid w:val="004445DA"/>
    <w:rsid w:val="004475E6"/>
    <w:rsid w:val="004500CB"/>
    <w:rsid w:val="00451135"/>
    <w:rsid w:val="00460F6B"/>
    <w:rsid w:val="004639FA"/>
    <w:rsid w:val="004711A7"/>
    <w:rsid w:val="0047227F"/>
    <w:rsid w:val="004735E9"/>
    <w:rsid w:val="00477C1F"/>
    <w:rsid w:val="00482DE2"/>
    <w:rsid w:val="00485456"/>
    <w:rsid w:val="00485DC3"/>
    <w:rsid w:val="004A06CC"/>
    <w:rsid w:val="004B553C"/>
    <w:rsid w:val="004B6D9F"/>
    <w:rsid w:val="004C78B7"/>
    <w:rsid w:val="004C7B4C"/>
    <w:rsid w:val="004D4139"/>
    <w:rsid w:val="004E4BA6"/>
    <w:rsid w:val="005023C5"/>
    <w:rsid w:val="00503A3D"/>
    <w:rsid w:val="005066B5"/>
    <w:rsid w:val="005213E9"/>
    <w:rsid w:val="00521501"/>
    <w:rsid w:val="0053181F"/>
    <w:rsid w:val="00531D93"/>
    <w:rsid w:val="00532124"/>
    <w:rsid w:val="00541674"/>
    <w:rsid w:val="00542B0B"/>
    <w:rsid w:val="005432BC"/>
    <w:rsid w:val="00553215"/>
    <w:rsid w:val="00553418"/>
    <w:rsid w:val="00557E46"/>
    <w:rsid w:val="00561F32"/>
    <w:rsid w:val="00565D7D"/>
    <w:rsid w:val="005677CA"/>
    <w:rsid w:val="0057413E"/>
    <w:rsid w:val="00592B58"/>
    <w:rsid w:val="005945E3"/>
    <w:rsid w:val="00595F6A"/>
    <w:rsid w:val="005A09D0"/>
    <w:rsid w:val="005A6410"/>
    <w:rsid w:val="005D2DFA"/>
    <w:rsid w:val="005D41DC"/>
    <w:rsid w:val="005E1FC3"/>
    <w:rsid w:val="005F5AF9"/>
    <w:rsid w:val="005F5D5C"/>
    <w:rsid w:val="005F63AD"/>
    <w:rsid w:val="00610D6E"/>
    <w:rsid w:val="00612DF9"/>
    <w:rsid w:val="0061627B"/>
    <w:rsid w:val="0062597B"/>
    <w:rsid w:val="006302DD"/>
    <w:rsid w:val="00632F01"/>
    <w:rsid w:val="006343F5"/>
    <w:rsid w:val="00634AFF"/>
    <w:rsid w:val="0064067B"/>
    <w:rsid w:val="00651153"/>
    <w:rsid w:val="00661EAB"/>
    <w:rsid w:val="006651EB"/>
    <w:rsid w:val="00676928"/>
    <w:rsid w:val="00677BE3"/>
    <w:rsid w:val="006802A1"/>
    <w:rsid w:val="00684149"/>
    <w:rsid w:val="006851FF"/>
    <w:rsid w:val="006955EC"/>
    <w:rsid w:val="006A02F3"/>
    <w:rsid w:val="006A05B9"/>
    <w:rsid w:val="006A06E2"/>
    <w:rsid w:val="006A2160"/>
    <w:rsid w:val="006A2509"/>
    <w:rsid w:val="006A65B3"/>
    <w:rsid w:val="006B3F67"/>
    <w:rsid w:val="006B7F5C"/>
    <w:rsid w:val="006D3AE3"/>
    <w:rsid w:val="006D7AEF"/>
    <w:rsid w:val="006E2888"/>
    <w:rsid w:val="00700560"/>
    <w:rsid w:val="00705117"/>
    <w:rsid w:val="00716D4C"/>
    <w:rsid w:val="007217E5"/>
    <w:rsid w:val="0072318E"/>
    <w:rsid w:val="0072321F"/>
    <w:rsid w:val="0072559B"/>
    <w:rsid w:val="007275F2"/>
    <w:rsid w:val="007455BE"/>
    <w:rsid w:val="0075294D"/>
    <w:rsid w:val="0076341D"/>
    <w:rsid w:val="00766DB1"/>
    <w:rsid w:val="00767F28"/>
    <w:rsid w:val="00773DCE"/>
    <w:rsid w:val="00774C0E"/>
    <w:rsid w:val="00775958"/>
    <w:rsid w:val="00775EC9"/>
    <w:rsid w:val="00783C63"/>
    <w:rsid w:val="00790FA2"/>
    <w:rsid w:val="00792632"/>
    <w:rsid w:val="00796DC4"/>
    <w:rsid w:val="007A13DA"/>
    <w:rsid w:val="007A2882"/>
    <w:rsid w:val="007B4B9D"/>
    <w:rsid w:val="007B6BCE"/>
    <w:rsid w:val="007B7D1C"/>
    <w:rsid w:val="007C2219"/>
    <w:rsid w:val="007D73EE"/>
    <w:rsid w:val="007D7A7A"/>
    <w:rsid w:val="007D7E4B"/>
    <w:rsid w:val="007F6A2E"/>
    <w:rsid w:val="00800D9E"/>
    <w:rsid w:val="00802C94"/>
    <w:rsid w:val="00804275"/>
    <w:rsid w:val="00827610"/>
    <w:rsid w:val="00831025"/>
    <w:rsid w:val="00842D4E"/>
    <w:rsid w:val="00843C2C"/>
    <w:rsid w:val="00853C92"/>
    <w:rsid w:val="00862C84"/>
    <w:rsid w:val="0086329F"/>
    <w:rsid w:val="00864173"/>
    <w:rsid w:val="00864E52"/>
    <w:rsid w:val="0086651B"/>
    <w:rsid w:val="0088072B"/>
    <w:rsid w:val="00883780"/>
    <w:rsid w:val="00883AB8"/>
    <w:rsid w:val="00885A48"/>
    <w:rsid w:val="008A7603"/>
    <w:rsid w:val="008B04F7"/>
    <w:rsid w:val="008B0512"/>
    <w:rsid w:val="008B78B5"/>
    <w:rsid w:val="008B7E3C"/>
    <w:rsid w:val="008D33BF"/>
    <w:rsid w:val="008D5B14"/>
    <w:rsid w:val="009049A6"/>
    <w:rsid w:val="0091446A"/>
    <w:rsid w:val="009160A2"/>
    <w:rsid w:val="0091642F"/>
    <w:rsid w:val="00921972"/>
    <w:rsid w:val="00924F5C"/>
    <w:rsid w:val="00936404"/>
    <w:rsid w:val="00940045"/>
    <w:rsid w:val="00944AE6"/>
    <w:rsid w:val="00955A29"/>
    <w:rsid w:val="00961D83"/>
    <w:rsid w:val="00964A1D"/>
    <w:rsid w:val="00971BE8"/>
    <w:rsid w:val="00973AF7"/>
    <w:rsid w:val="00973B7D"/>
    <w:rsid w:val="00992015"/>
    <w:rsid w:val="00996296"/>
    <w:rsid w:val="009A1665"/>
    <w:rsid w:val="009B6C41"/>
    <w:rsid w:val="009B73B6"/>
    <w:rsid w:val="009E3F68"/>
    <w:rsid w:val="009F2941"/>
    <w:rsid w:val="009F3BFC"/>
    <w:rsid w:val="00A04393"/>
    <w:rsid w:val="00A224BE"/>
    <w:rsid w:val="00A2642B"/>
    <w:rsid w:val="00A30BEE"/>
    <w:rsid w:val="00A32902"/>
    <w:rsid w:val="00A33497"/>
    <w:rsid w:val="00A42138"/>
    <w:rsid w:val="00A465F8"/>
    <w:rsid w:val="00A5344D"/>
    <w:rsid w:val="00A57104"/>
    <w:rsid w:val="00A63DCC"/>
    <w:rsid w:val="00A66595"/>
    <w:rsid w:val="00A67A11"/>
    <w:rsid w:val="00A70274"/>
    <w:rsid w:val="00A70483"/>
    <w:rsid w:val="00A71BC1"/>
    <w:rsid w:val="00A74CDA"/>
    <w:rsid w:val="00A820E4"/>
    <w:rsid w:val="00A91397"/>
    <w:rsid w:val="00AA75D1"/>
    <w:rsid w:val="00AB6264"/>
    <w:rsid w:val="00AC368F"/>
    <w:rsid w:val="00AC5598"/>
    <w:rsid w:val="00AD30D7"/>
    <w:rsid w:val="00AD5089"/>
    <w:rsid w:val="00AD5299"/>
    <w:rsid w:val="00AF1CC9"/>
    <w:rsid w:val="00B00361"/>
    <w:rsid w:val="00B01303"/>
    <w:rsid w:val="00B019E8"/>
    <w:rsid w:val="00B0672F"/>
    <w:rsid w:val="00B13657"/>
    <w:rsid w:val="00B16F25"/>
    <w:rsid w:val="00B2441C"/>
    <w:rsid w:val="00B27A40"/>
    <w:rsid w:val="00B3468F"/>
    <w:rsid w:val="00B37B87"/>
    <w:rsid w:val="00B37BD6"/>
    <w:rsid w:val="00B45D72"/>
    <w:rsid w:val="00B46497"/>
    <w:rsid w:val="00B56C2D"/>
    <w:rsid w:val="00B61378"/>
    <w:rsid w:val="00B6195C"/>
    <w:rsid w:val="00B61EB9"/>
    <w:rsid w:val="00B707CF"/>
    <w:rsid w:val="00B809D3"/>
    <w:rsid w:val="00B86325"/>
    <w:rsid w:val="00B92437"/>
    <w:rsid w:val="00B92C66"/>
    <w:rsid w:val="00B92EA7"/>
    <w:rsid w:val="00BA3ACD"/>
    <w:rsid w:val="00BB1D1B"/>
    <w:rsid w:val="00BB24DC"/>
    <w:rsid w:val="00BB68A4"/>
    <w:rsid w:val="00BC55C3"/>
    <w:rsid w:val="00BC5EBB"/>
    <w:rsid w:val="00BE25F4"/>
    <w:rsid w:val="00BE44F6"/>
    <w:rsid w:val="00BF3061"/>
    <w:rsid w:val="00BF5090"/>
    <w:rsid w:val="00BF6A37"/>
    <w:rsid w:val="00C104A1"/>
    <w:rsid w:val="00C210AF"/>
    <w:rsid w:val="00C31ACA"/>
    <w:rsid w:val="00C36767"/>
    <w:rsid w:val="00C42989"/>
    <w:rsid w:val="00C443C1"/>
    <w:rsid w:val="00C46D0B"/>
    <w:rsid w:val="00C63838"/>
    <w:rsid w:val="00C65A52"/>
    <w:rsid w:val="00C773D1"/>
    <w:rsid w:val="00C84DF1"/>
    <w:rsid w:val="00CB0E74"/>
    <w:rsid w:val="00CD1665"/>
    <w:rsid w:val="00CF106B"/>
    <w:rsid w:val="00CF6279"/>
    <w:rsid w:val="00CF6A97"/>
    <w:rsid w:val="00D12027"/>
    <w:rsid w:val="00D12F8B"/>
    <w:rsid w:val="00D1344C"/>
    <w:rsid w:val="00D13637"/>
    <w:rsid w:val="00D21396"/>
    <w:rsid w:val="00D3143A"/>
    <w:rsid w:val="00D36CD3"/>
    <w:rsid w:val="00D37968"/>
    <w:rsid w:val="00D40A47"/>
    <w:rsid w:val="00D43339"/>
    <w:rsid w:val="00D44567"/>
    <w:rsid w:val="00D51414"/>
    <w:rsid w:val="00D55DD3"/>
    <w:rsid w:val="00D611EB"/>
    <w:rsid w:val="00D67C21"/>
    <w:rsid w:val="00D7006C"/>
    <w:rsid w:val="00D71A82"/>
    <w:rsid w:val="00D8258C"/>
    <w:rsid w:val="00D828DE"/>
    <w:rsid w:val="00D8325C"/>
    <w:rsid w:val="00D87187"/>
    <w:rsid w:val="00D96EF2"/>
    <w:rsid w:val="00DB58B5"/>
    <w:rsid w:val="00DB5BB1"/>
    <w:rsid w:val="00DC6DF9"/>
    <w:rsid w:val="00DC77DA"/>
    <w:rsid w:val="00DD5E4B"/>
    <w:rsid w:val="00DE793E"/>
    <w:rsid w:val="00DF7AE0"/>
    <w:rsid w:val="00E15273"/>
    <w:rsid w:val="00E15B2D"/>
    <w:rsid w:val="00E300B3"/>
    <w:rsid w:val="00E35E50"/>
    <w:rsid w:val="00E362B8"/>
    <w:rsid w:val="00E37DE1"/>
    <w:rsid w:val="00E5163E"/>
    <w:rsid w:val="00E55FFF"/>
    <w:rsid w:val="00E66010"/>
    <w:rsid w:val="00E70C93"/>
    <w:rsid w:val="00E81695"/>
    <w:rsid w:val="00E8202C"/>
    <w:rsid w:val="00E84641"/>
    <w:rsid w:val="00E85705"/>
    <w:rsid w:val="00E90765"/>
    <w:rsid w:val="00E93909"/>
    <w:rsid w:val="00EA3185"/>
    <w:rsid w:val="00EB605A"/>
    <w:rsid w:val="00EC5A0A"/>
    <w:rsid w:val="00EE3628"/>
    <w:rsid w:val="00EE3990"/>
    <w:rsid w:val="00EE7849"/>
    <w:rsid w:val="00EF06D0"/>
    <w:rsid w:val="00EF376E"/>
    <w:rsid w:val="00EF3939"/>
    <w:rsid w:val="00EF3A9B"/>
    <w:rsid w:val="00F00E80"/>
    <w:rsid w:val="00F04E18"/>
    <w:rsid w:val="00F14131"/>
    <w:rsid w:val="00F15771"/>
    <w:rsid w:val="00F41839"/>
    <w:rsid w:val="00F44250"/>
    <w:rsid w:val="00F7027B"/>
    <w:rsid w:val="00F81DFC"/>
    <w:rsid w:val="00F84269"/>
    <w:rsid w:val="00FA5BAB"/>
    <w:rsid w:val="00FA6187"/>
    <w:rsid w:val="00FB2458"/>
    <w:rsid w:val="00FB2A97"/>
    <w:rsid w:val="00FB665D"/>
    <w:rsid w:val="00FD3320"/>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E1876-E0C7-48A5-A025-4F7F76E3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 w:type="paragraph" w:styleId="NoSpacing">
    <w:name w:val="No Spacing"/>
    <w:uiPriority w:val="1"/>
    <w:qFormat/>
    <w:rsid w:val="00BB68A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218B-EB4F-40B3-BC47-03DB196E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2018-08-06T16:01:00Z</cp:lastPrinted>
  <dcterms:created xsi:type="dcterms:W3CDTF">2018-08-09T08:35:00Z</dcterms:created>
  <dcterms:modified xsi:type="dcterms:W3CDTF">2018-08-09T08:35:00Z</dcterms:modified>
</cp:coreProperties>
</file>