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8C2" w:rsidRDefault="00CE58C2" w:rsidP="00550CAB">
      <w:pPr>
        <w:pStyle w:val="NoSpacing"/>
        <w:rPr>
          <w:rFonts w:ascii="Times New Roman" w:hAnsi="Times New Roman" w:cs="Times New Roman"/>
          <w:sz w:val="24"/>
          <w:szCs w:val="24"/>
        </w:rPr>
      </w:pPr>
      <w:bookmarkStart w:id="0" w:name="_GoBack"/>
      <w:bookmarkEnd w:id="0"/>
    </w:p>
    <w:p w:rsidR="00CE58C2" w:rsidRDefault="00CE58C2" w:rsidP="00550CAB">
      <w:pPr>
        <w:pStyle w:val="NoSpacing"/>
        <w:rPr>
          <w:rFonts w:ascii="Times New Roman" w:hAnsi="Times New Roman" w:cs="Times New Roman"/>
          <w:sz w:val="24"/>
          <w:szCs w:val="24"/>
        </w:rPr>
      </w:pPr>
    </w:p>
    <w:p w:rsidR="008C3325" w:rsidRDefault="008C3325" w:rsidP="008C3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EMPLOYMENT COUNCIL FOR THE CATERING INDUSTRY</w:t>
      </w:r>
    </w:p>
    <w:p w:rsidR="008C3325" w:rsidRPr="00AD5299" w:rsidRDefault="008C3325" w:rsidP="008C3325">
      <w:pPr>
        <w:spacing w:after="0" w:line="240" w:lineRule="auto"/>
        <w:jc w:val="both"/>
        <w:rPr>
          <w:rFonts w:ascii="Times New Roman" w:hAnsi="Times New Roman" w:cs="Times New Roman"/>
          <w:sz w:val="24"/>
          <w:szCs w:val="24"/>
        </w:rPr>
      </w:pPr>
      <w:r w:rsidRPr="00AD5299">
        <w:rPr>
          <w:rFonts w:ascii="Times New Roman" w:hAnsi="Times New Roman" w:cs="Times New Roman"/>
          <w:sz w:val="24"/>
          <w:szCs w:val="24"/>
        </w:rPr>
        <w:t>versus</w:t>
      </w:r>
    </w:p>
    <w:p w:rsidR="00673887" w:rsidRDefault="008C3325" w:rsidP="008C3325">
      <w:pPr>
        <w:pStyle w:val="NoSpacing"/>
        <w:rPr>
          <w:rFonts w:ascii="Times New Roman" w:hAnsi="Times New Roman" w:cs="Times New Roman"/>
          <w:sz w:val="24"/>
          <w:szCs w:val="24"/>
        </w:rPr>
      </w:pPr>
      <w:r>
        <w:rPr>
          <w:rFonts w:ascii="Times New Roman" w:hAnsi="Times New Roman" w:cs="Times New Roman"/>
          <w:sz w:val="24"/>
          <w:szCs w:val="24"/>
        </w:rPr>
        <w:t>HARARE CLUB</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FE218C">
        <w:rPr>
          <w:rFonts w:ascii="Times New Roman" w:hAnsi="Times New Roman" w:cs="Times New Roman"/>
          <w:sz w:val="24"/>
          <w:szCs w:val="24"/>
        </w:rPr>
        <w:t>1</w:t>
      </w:r>
      <w:r w:rsidR="008C3325">
        <w:rPr>
          <w:rFonts w:ascii="Times New Roman" w:hAnsi="Times New Roman" w:cs="Times New Roman"/>
          <w:sz w:val="24"/>
          <w:szCs w:val="24"/>
        </w:rPr>
        <w:t>5</w:t>
      </w:r>
      <w:r w:rsidR="00DC2A46">
        <w:rPr>
          <w:rFonts w:ascii="Times New Roman" w:hAnsi="Times New Roman" w:cs="Times New Roman"/>
          <w:sz w:val="24"/>
          <w:szCs w:val="24"/>
        </w:rPr>
        <w:t xml:space="preserve"> May</w:t>
      </w:r>
      <w:r w:rsidR="00623987">
        <w:rPr>
          <w:rFonts w:ascii="Times New Roman" w:hAnsi="Times New Roman" w:cs="Times New Roman"/>
          <w:sz w:val="24"/>
          <w:szCs w:val="24"/>
        </w:rPr>
        <w:t xml:space="preserve"> 2018</w:t>
      </w:r>
      <w:r w:rsidR="00550CAB">
        <w:rPr>
          <w:rFonts w:ascii="Times New Roman" w:hAnsi="Times New Roman" w:cs="Times New Roman"/>
          <w:sz w:val="24"/>
          <w:szCs w:val="24"/>
        </w:rPr>
        <w:t xml:space="preserve"> </w:t>
      </w:r>
      <w:r w:rsidR="00FE218C">
        <w:rPr>
          <w:rFonts w:ascii="Times New Roman" w:hAnsi="Times New Roman" w:cs="Times New Roman"/>
          <w:sz w:val="24"/>
          <w:szCs w:val="24"/>
        </w:rPr>
        <w:t xml:space="preserve">&amp; </w:t>
      </w:r>
      <w:r w:rsidR="008C3325">
        <w:rPr>
          <w:rFonts w:ascii="Times New Roman" w:hAnsi="Times New Roman" w:cs="Times New Roman"/>
          <w:sz w:val="24"/>
          <w:szCs w:val="24"/>
        </w:rPr>
        <w:t>8 August</w:t>
      </w:r>
      <w:r w:rsidR="00673887">
        <w:rPr>
          <w:rFonts w:ascii="Times New Roman" w:hAnsi="Times New Roman" w:cs="Times New Roman"/>
          <w:sz w:val="24"/>
          <w:szCs w:val="24"/>
        </w:rPr>
        <w:t xml:space="preserve"> 201</w:t>
      </w:r>
      <w:r w:rsidR="00550CAB">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090BBF" w:rsidRDefault="00AD30D7" w:rsidP="001F7BE4">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C210AF">
        <w:rPr>
          <w:rFonts w:ascii="Times New Roman" w:hAnsi="Times New Roman" w:cs="Times New Roman"/>
          <w:b/>
          <w:sz w:val="24"/>
          <w:szCs w:val="24"/>
        </w:rPr>
        <w:t xml:space="preserve"> </w:t>
      </w:r>
      <w:r w:rsidR="007A0ADB">
        <w:rPr>
          <w:rFonts w:ascii="Times New Roman" w:hAnsi="Times New Roman" w:cs="Times New Roman"/>
          <w:b/>
          <w:sz w:val="24"/>
          <w:szCs w:val="24"/>
        </w:rPr>
        <w:t>S</w:t>
      </w:r>
      <w:r w:rsidR="008C3325">
        <w:rPr>
          <w:rFonts w:ascii="Times New Roman" w:hAnsi="Times New Roman" w:cs="Times New Roman"/>
          <w:b/>
          <w:sz w:val="24"/>
          <w:szCs w:val="24"/>
        </w:rPr>
        <w:t>tated Case</w:t>
      </w:r>
      <w:r w:rsidR="00D87187">
        <w:rPr>
          <w:rFonts w:ascii="Times New Roman" w:hAnsi="Times New Roman" w:cs="Times New Roman"/>
          <w:b/>
          <w:sz w:val="24"/>
          <w:szCs w:val="24"/>
        </w:rPr>
        <w:tab/>
      </w:r>
    </w:p>
    <w:p w:rsidR="00A5344D" w:rsidRDefault="00A5344D"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8C3325"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Mr G Machingambi</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5A2C1C">
        <w:rPr>
          <w:rFonts w:ascii="Times New Roman" w:hAnsi="Times New Roman" w:cs="Times New Roman"/>
          <w:sz w:val="24"/>
          <w:szCs w:val="24"/>
        </w:rPr>
        <w:t>plaintiff</w:t>
      </w:r>
    </w:p>
    <w:p w:rsidR="005023C5" w:rsidRDefault="008C3325"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Mr E Kawonde</w:t>
      </w:r>
      <w:r w:rsidR="008D51A3">
        <w:rPr>
          <w:rFonts w:ascii="Times New Roman" w:hAnsi="Times New Roman" w:cs="Times New Roman"/>
          <w:i/>
          <w:sz w:val="24"/>
          <w:szCs w:val="24"/>
        </w:rPr>
        <w:t>,</w:t>
      </w:r>
      <w:r w:rsidR="00AD30D7">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CE58C2">
        <w:rPr>
          <w:rFonts w:ascii="Times New Roman" w:hAnsi="Times New Roman" w:cs="Times New Roman"/>
          <w:sz w:val="24"/>
          <w:szCs w:val="24"/>
        </w:rPr>
        <w:t xml:space="preserve">the </w:t>
      </w:r>
      <w:r w:rsidR="007A0ADB">
        <w:rPr>
          <w:rFonts w:ascii="Times New Roman" w:hAnsi="Times New Roman" w:cs="Times New Roman"/>
          <w:sz w:val="24"/>
          <w:szCs w:val="24"/>
        </w:rPr>
        <w:t>defendant</w:t>
      </w: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3F7809" w:rsidRDefault="00AB6264"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8C6468">
        <w:rPr>
          <w:rFonts w:ascii="Times New Roman" w:hAnsi="Times New Roman" w:cs="Times New Roman"/>
          <w:sz w:val="24"/>
          <w:szCs w:val="24"/>
        </w:rPr>
        <w:t>e plaintiff</w:t>
      </w:r>
      <w:r w:rsidR="008C48D1">
        <w:rPr>
          <w:rFonts w:ascii="Times New Roman" w:hAnsi="Times New Roman" w:cs="Times New Roman"/>
          <w:sz w:val="24"/>
          <w:szCs w:val="24"/>
        </w:rPr>
        <w:t xml:space="preserve"> issued</w:t>
      </w:r>
      <w:r w:rsidR="00D1434C">
        <w:rPr>
          <w:rFonts w:ascii="Times New Roman" w:hAnsi="Times New Roman" w:cs="Times New Roman"/>
          <w:sz w:val="24"/>
          <w:szCs w:val="24"/>
        </w:rPr>
        <w:t xml:space="preserve"> summons </w:t>
      </w:r>
      <w:r w:rsidR="008C48D1">
        <w:rPr>
          <w:rFonts w:ascii="Times New Roman" w:hAnsi="Times New Roman" w:cs="Times New Roman"/>
          <w:sz w:val="24"/>
          <w:szCs w:val="24"/>
        </w:rPr>
        <w:t>against the defendant</w:t>
      </w:r>
      <w:r w:rsidR="004512E7">
        <w:rPr>
          <w:rFonts w:ascii="Times New Roman" w:hAnsi="Times New Roman" w:cs="Times New Roman"/>
          <w:sz w:val="24"/>
          <w:szCs w:val="24"/>
        </w:rPr>
        <w:t xml:space="preserve">, </w:t>
      </w:r>
      <w:r w:rsidR="008C48D1">
        <w:rPr>
          <w:rFonts w:ascii="Times New Roman" w:hAnsi="Times New Roman" w:cs="Times New Roman"/>
          <w:sz w:val="24"/>
          <w:szCs w:val="24"/>
        </w:rPr>
        <w:t>claiming payment of $</w:t>
      </w:r>
      <w:r w:rsidR="003F7809">
        <w:rPr>
          <w:rFonts w:ascii="Times New Roman" w:hAnsi="Times New Roman" w:cs="Times New Roman"/>
          <w:sz w:val="24"/>
          <w:szCs w:val="24"/>
        </w:rPr>
        <w:t>106 665.24 comprised of outstanding council levies, pension fund dues and trade union contributions due on a collective bargaining agreement for the catering industry.</w:t>
      </w:r>
      <w:r w:rsidR="00CB1D00">
        <w:rPr>
          <w:rFonts w:ascii="Times New Roman" w:hAnsi="Times New Roman" w:cs="Times New Roman"/>
          <w:sz w:val="24"/>
          <w:szCs w:val="24"/>
        </w:rPr>
        <w:t xml:space="preserve"> </w:t>
      </w:r>
      <w:r w:rsidR="00DC2A46">
        <w:rPr>
          <w:rFonts w:ascii="Times New Roman" w:hAnsi="Times New Roman" w:cs="Times New Roman"/>
          <w:sz w:val="24"/>
          <w:szCs w:val="24"/>
        </w:rPr>
        <w:t>The defendant raised a special plea that</w:t>
      </w:r>
      <w:r w:rsidR="003F7809">
        <w:rPr>
          <w:rFonts w:ascii="Times New Roman" w:hAnsi="Times New Roman" w:cs="Times New Roman"/>
          <w:sz w:val="24"/>
          <w:szCs w:val="24"/>
        </w:rPr>
        <w:t xml:space="preserve"> a</w:t>
      </w:r>
      <w:r w:rsidR="00C232F9">
        <w:rPr>
          <w:rFonts w:ascii="Times New Roman" w:hAnsi="Times New Roman" w:cs="Times New Roman"/>
          <w:sz w:val="24"/>
          <w:szCs w:val="24"/>
        </w:rPr>
        <w:t>ll</w:t>
      </w:r>
      <w:r w:rsidR="003F7809">
        <w:rPr>
          <w:rFonts w:ascii="Times New Roman" w:hAnsi="Times New Roman" w:cs="Times New Roman"/>
          <w:sz w:val="24"/>
          <w:szCs w:val="24"/>
        </w:rPr>
        <w:t xml:space="preserve"> claims prior to 1 September 2012 had prescribed. For the unprescribed amount</w:t>
      </w:r>
      <w:r w:rsidR="00DC2A46">
        <w:rPr>
          <w:rFonts w:ascii="Times New Roman" w:hAnsi="Times New Roman" w:cs="Times New Roman"/>
          <w:sz w:val="24"/>
          <w:szCs w:val="24"/>
        </w:rPr>
        <w:t>,</w:t>
      </w:r>
      <w:r w:rsidR="003F7809">
        <w:rPr>
          <w:rFonts w:ascii="Times New Roman" w:hAnsi="Times New Roman" w:cs="Times New Roman"/>
          <w:sz w:val="24"/>
          <w:szCs w:val="24"/>
        </w:rPr>
        <w:t xml:space="preserve"> the defendant had no obligation to meet the same as it was unconstitutional to force it to belong to any employer’s organisation contrary to its right of freedom of association, and further and in any case, the statutes relied on by plaintiff to ground its claim were inapplicable as they had lost validity through abrogation.</w:t>
      </w:r>
    </w:p>
    <w:p w:rsidR="00730E79" w:rsidRDefault="003F7809" w:rsidP="00730E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30E79">
        <w:rPr>
          <w:rFonts w:ascii="Times New Roman" w:hAnsi="Times New Roman" w:cs="Times New Roman"/>
          <w:sz w:val="24"/>
          <w:szCs w:val="24"/>
        </w:rPr>
        <w:t xml:space="preserve">plaintiff conceded that part of the claim had prescribed. Further, the </w:t>
      </w:r>
      <w:r>
        <w:rPr>
          <w:rFonts w:ascii="Times New Roman" w:hAnsi="Times New Roman" w:cs="Times New Roman"/>
          <w:sz w:val="24"/>
          <w:szCs w:val="24"/>
        </w:rPr>
        <w:t>facts being largely common cause, the parties referred the following issues for hearing as a state</w:t>
      </w:r>
      <w:r w:rsidR="00730E79">
        <w:rPr>
          <w:rFonts w:ascii="Times New Roman" w:hAnsi="Times New Roman" w:cs="Times New Roman"/>
          <w:sz w:val="24"/>
          <w:szCs w:val="24"/>
        </w:rPr>
        <w:t>d case:</w:t>
      </w:r>
    </w:p>
    <w:p w:rsidR="00730E79" w:rsidRDefault="00730E79" w:rsidP="00730E79">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order sought by plaintiff is unlawful in so far as it violates defendant’s fundamental constitutional right to freedom of association as enshrined in s58 of the Constitution of Zimbabwe Amendment No. 20.</w:t>
      </w:r>
    </w:p>
    <w:p w:rsidR="00730E79" w:rsidRDefault="00730E79" w:rsidP="00730E79">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statutes upon which plaintiff grounded its claim were inapplicable as they had lost validity through abrogation.</w:t>
      </w:r>
    </w:p>
    <w:p w:rsidR="00730E79" w:rsidRDefault="00730E79" w:rsidP="00730E79">
      <w:pPr>
        <w:pStyle w:val="ListParagraph"/>
        <w:numPr>
          <w:ilvl w:val="0"/>
          <w:numId w:val="22"/>
        </w:numPr>
        <w:spacing w:after="0" w:line="360" w:lineRule="auto"/>
        <w:jc w:val="both"/>
        <w:rPr>
          <w:rFonts w:ascii="Times New Roman" w:hAnsi="Times New Roman" w:cs="Times New Roman"/>
          <w:sz w:val="24"/>
          <w:szCs w:val="24"/>
        </w:rPr>
      </w:pPr>
      <w:r w:rsidRPr="00730E79">
        <w:rPr>
          <w:rFonts w:ascii="Times New Roman" w:hAnsi="Times New Roman" w:cs="Times New Roman"/>
          <w:sz w:val="24"/>
          <w:szCs w:val="24"/>
        </w:rPr>
        <w:t xml:space="preserve"> </w:t>
      </w:r>
      <w:r>
        <w:rPr>
          <w:rFonts w:ascii="Times New Roman" w:hAnsi="Times New Roman" w:cs="Times New Roman"/>
          <w:sz w:val="24"/>
          <w:szCs w:val="24"/>
        </w:rPr>
        <w:t>Whether membership of the pension fund administered by the plaintiff is optional or mandatory and the effect thereof on defendant.</w:t>
      </w:r>
    </w:p>
    <w:p w:rsidR="00730E79" w:rsidRDefault="00730E79" w:rsidP="00730E79">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the defendant is indebted to the plaintiff and is obliged to make payment to the plaintiff in the unprescribed amount of $37 369.82</w:t>
      </w:r>
    </w:p>
    <w:p w:rsidR="0063762C" w:rsidRDefault="0063762C" w:rsidP="00730E79">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plaintiff’s claim is competent in as far as it does not allege that the defendant’s employees are members of the pension fund administered by the plaintiff.</w:t>
      </w:r>
    </w:p>
    <w:p w:rsidR="008C48D1" w:rsidRPr="008C48D1" w:rsidRDefault="008C48D1" w:rsidP="007C67FF">
      <w:pPr>
        <w:spacing w:after="0" w:line="360" w:lineRule="auto"/>
        <w:jc w:val="both"/>
        <w:rPr>
          <w:rFonts w:ascii="Times New Roman" w:hAnsi="Times New Roman" w:cs="Times New Roman"/>
          <w:b/>
          <w:sz w:val="24"/>
          <w:szCs w:val="24"/>
        </w:rPr>
      </w:pPr>
      <w:r w:rsidRPr="008C48D1">
        <w:rPr>
          <w:rFonts w:ascii="Times New Roman" w:hAnsi="Times New Roman" w:cs="Times New Roman"/>
          <w:b/>
          <w:sz w:val="24"/>
          <w:szCs w:val="24"/>
        </w:rPr>
        <w:t>The facts</w:t>
      </w:r>
    </w:p>
    <w:p w:rsidR="00C42EA9" w:rsidRDefault="0063762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w:t>
      </w:r>
      <w:r w:rsidR="00C42EA9">
        <w:rPr>
          <w:rFonts w:ascii="Times New Roman" w:hAnsi="Times New Roman" w:cs="Times New Roman"/>
          <w:sz w:val="24"/>
          <w:szCs w:val="24"/>
        </w:rPr>
        <w:t xml:space="preserve">s 19(1) and (2) of </w:t>
      </w:r>
      <w:r>
        <w:rPr>
          <w:rFonts w:ascii="Times New Roman" w:hAnsi="Times New Roman" w:cs="Times New Roman"/>
          <w:sz w:val="24"/>
          <w:szCs w:val="24"/>
        </w:rPr>
        <w:t>the Collective Bargaining Agreement Catering Industry (General Conditions) S.I. 167/1991</w:t>
      </w:r>
      <w:r w:rsidR="00C42EA9">
        <w:rPr>
          <w:rFonts w:ascii="Times New Roman" w:hAnsi="Times New Roman" w:cs="Times New Roman"/>
          <w:sz w:val="24"/>
          <w:szCs w:val="24"/>
        </w:rPr>
        <w:t xml:space="preserve"> stipulates that an employer in the class of trade in which defendant falls is a member of the National Employment Council </w:t>
      </w:r>
      <w:r w:rsidR="00C232F9">
        <w:rPr>
          <w:rFonts w:ascii="Times New Roman" w:hAnsi="Times New Roman" w:cs="Times New Roman"/>
          <w:sz w:val="24"/>
          <w:szCs w:val="24"/>
        </w:rPr>
        <w:t xml:space="preserve">(NEC) </w:t>
      </w:r>
      <w:r w:rsidR="00C42EA9">
        <w:rPr>
          <w:rFonts w:ascii="Times New Roman" w:hAnsi="Times New Roman" w:cs="Times New Roman"/>
          <w:sz w:val="24"/>
          <w:szCs w:val="24"/>
        </w:rPr>
        <w:t xml:space="preserve">for the Catering Industry and shall deduct one and a half per cent from the basic wage of each of its employees and add an equal amount from its own resources. Once it has done so, s 19(3) requires </w:t>
      </w:r>
      <w:r w:rsidR="00BB62B5">
        <w:rPr>
          <w:rFonts w:ascii="Times New Roman" w:hAnsi="Times New Roman" w:cs="Times New Roman"/>
          <w:sz w:val="24"/>
          <w:szCs w:val="24"/>
        </w:rPr>
        <w:t xml:space="preserve">a person in the class of which </w:t>
      </w:r>
      <w:r w:rsidR="00C42EA9">
        <w:rPr>
          <w:rFonts w:ascii="Times New Roman" w:hAnsi="Times New Roman" w:cs="Times New Roman"/>
          <w:sz w:val="24"/>
          <w:szCs w:val="24"/>
        </w:rPr>
        <w:t>defendant</w:t>
      </w:r>
      <w:r w:rsidR="00BB62B5">
        <w:rPr>
          <w:rFonts w:ascii="Times New Roman" w:hAnsi="Times New Roman" w:cs="Times New Roman"/>
          <w:sz w:val="24"/>
          <w:szCs w:val="24"/>
        </w:rPr>
        <w:t xml:space="preserve"> falls</w:t>
      </w:r>
      <w:r w:rsidR="00C42EA9">
        <w:rPr>
          <w:rFonts w:ascii="Times New Roman" w:hAnsi="Times New Roman" w:cs="Times New Roman"/>
          <w:sz w:val="24"/>
          <w:szCs w:val="24"/>
        </w:rPr>
        <w:t xml:space="preserve"> to remit the total amount to the plaintiff as a council levy. Further, s 19(4) grants plaint</w:t>
      </w:r>
      <w:r w:rsidR="00BB62B5">
        <w:rPr>
          <w:rFonts w:ascii="Times New Roman" w:hAnsi="Times New Roman" w:cs="Times New Roman"/>
          <w:sz w:val="24"/>
          <w:szCs w:val="24"/>
        </w:rPr>
        <w:t>iff</w:t>
      </w:r>
      <w:r w:rsidR="00C42EA9">
        <w:rPr>
          <w:rFonts w:ascii="Times New Roman" w:hAnsi="Times New Roman" w:cs="Times New Roman"/>
          <w:sz w:val="24"/>
          <w:szCs w:val="24"/>
        </w:rPr>
        <w:t xml:space="preserve"> the right to proceed against persons in defendant’s category in the event that they fail to act as prescribed in s 19(1), (2) and (3). Defendant did fail, n</w:t>
      </w:r>
      <w:r w:rsidR="00BB62B5">
        <w:rPr>
          <w:rFonts w:ascii="Times New Roman" w:hAnsi="Times New Roman" w:cs="Times New Roman"/>
          <w:sz w:val="24"/>
          <w:szCs w:val="24"/>
        </w:rPr>
        <w:t>e</w:t>
      </w:r>
      <w:r w:rsidR="00C42EA9">
        <w:rPr>
          <w:rFonts w:ascii="Times New Roman" w:hAnsi="Times New Roman" w:cs="Times New Roman"/>
          <w:sz w:val="24"/>
          <w:szCs w:val="24"/>
        </w:rPr>
        <w:t>g</w:t>
      </w:r>
      <w:r w:rsidR="00BB62B5">
        <w:rPr>
          <w:rFonts w:ascii="Times New Roman" w:hAnsi="Times New Roman" w:cs="Times New Roman"/>
          <w:sz w:val="24"/>
          <w:szCs w:val="24"/>
        </w:rPr>
        <w:t>l</w:t>
      </w:r>
      <w:r w:rsidR="00C42EA9">
        <w:rPr>
          <w:rFonts w:ascii="Times New Roman" w:hAnsi="Times New Roman" w:cs="Times New Roman"/>
          <w:sz w:val="24"/>
          <w:szCs w:val="24"/>
        </w:rPr>
        <w:t>ect or refuse to make payments representing the council levy</w:t>
      </w:r>
      <w:r w:rsidR="00BB62B5">
        <w:rPr>
          <w:rFonts w:ascii="Times New Roman" w:hAnsi="Times New Roman" w:cs="Times New Roman"/>
          <w:sz w:val="24"/>
          <w:szCs w:val="24"/>
        </w:rPr>
        <w:t xml:space="preserve"> between 22 January 2009 and 25 June 2015</w:t>
      </w:r>
      <w:r w:rsidR="00C42EA9">
        <w:rPr>
          <w:rFonts w:ascii="Times New Roman" w:hAnsi="Times New Roman" w:cs="Times New Roman"/>
          <w:sz w:val="24"/>
          <w:szCs w:val="24"/>
        </w:rPr>
        <w:t>.</w:t>
      </w:r>
    </w:p>
    <w:p w:rsidR="00BB62B5" w:rsidRDefault="00C42EA9" w:rsidP="00BB62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common cause t</w:t>
      </w:r>
      <w:r w:rsidR="00BB62B5">
        <w:rPr>
          <w:rFonts w:ascii="Times New Roman" w:hAnsi="Times New Roman" w:cs="Times New Roman"/>
          <w:sz w:val="24"/>
          <w:szCs w:val="24"/>
        </w:rPr>
        <w:t xml:space="preserve">hat s 8(1) and (2) of the Industrial Agreement: Catering Industry S.I. 359/1980 provides that an employer falling in the class of the defendant shall deduct 5% from the basic wage of each of its employees who are members </w:t>
      </w:r>
      <w:r w:rsidR="00C232F9">
        <w:rPr>
          <w:rFonts w:ascii="Times New Roman" w:hAnsi="Times New Roman" w:cs="Times New Roman"/>
          <w:sz w:val="24"/>
          <w:szCs w:val="24"/>
        </w:rPr>
        <w:t>of the pension fund and add</w:t>
      </w:r>
      <w:r w:rsidR="00BB62B5">
        <w:rPr>
          <w:rFonts w:ascii="Times New Roman" w:hAnsi="Times New Roman" w:cs="Times New Roman"/>
          <w:sz w:val="24"/>
          <w:szCs w:val="24"/>
        </w:rPr>
        <w:t xml:space="preserve"> an equal amount thereto as pension contributions. Once it has done so, s 8(3) obliges a person in the class of which defendant falls to remit the total amount to the plaintiff as pension contributions. It is not disputed that defendant failed, refused or neglected to do so between 22 January 2009 and 25 June 2015.</w:t>
      </w:r>
    </w:p>
    <w:p w:rsidR="00A563A7" w:rsidRDefault="00BB62B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common cause that s 7(1) of the Industrial Agreement: Catering Industry (Employers Organization and Trade Union Subscriptions) Rhodesia Government Notice 549/1976 as amended by S.I. 865/1981 stipulates that a person </w:t>
      </w:r>
      <w:r w:rsidR="00A563A7">
        <w:rPr>
          <w:rFonts w:ascii="Times New Roman" w:hAnsi="Times New Roman" w:cs="Times New Roman"/>
          <w:sz w:val="24"/>
          <w:szCs w:val="24"/>
        </w:rPr>
        <w:t xml:space="preserve">in the class of the </w:t>
      </w:r>
      <w:r w:rsidR="00C232F9">
        <w:rPr>
          <w:rFonts w:ascii="Times New Roman" w:hAnsi="Times New Roman" w:cs="Times New Roman"/>
          <w:sz w:val="24"/>
          <w:szCs w:val="24"/>
        </w:rPr>
        <w:t>d</w:t>
      </w:r>
      <w:r w:rsidR="00A563A7">
        <w:rPr>
          <w:rFonts w:ascii="Times New Roman" w:hAnsi="Times New Roman" w:cs="Times New Roman"/>
          <w:sz w:val="24"/>
          <w:szCs w:val="24"/>
        </w:rPr>
        <w:t>efendant</w:t>
      </w:r>
      <w:r w:rsidR="00C232F9">
        <w:rPr>
          <w:rFonts w:ascii="Times New Roman" w:hAnsi="Times New Roman" w:cs="Times New Roman"/>
          <w:sz w:val="24"/>
          <w:szCs w:val="24"/>
        </w:rPr>
        <w:t xml:space="preserve"> is obliged to make deductions </w:t>
      </w:r>
      <w:r w:rsidR="00A563A7">
        <w:rPr>
          <w:rFonts w:ascii="Times New Roman" w:hAnsi="Times New Roman" w:cs="Times New Roman"/>
          <w:sz w:val="24"/>
          <w:szCs w:val="24"/>
        </w:rPr>
        <w:t>f</w:t>
      </w:r>
      <w:r w:rsidR="00C232F9">
        <w:rPr>
          <w:rFonts w:ascii="Times New Roman" w:hAnsi="Times New Roman" w:cs="Times New Roman"/>
          <w:sz w:val="24"/>
          <w:szCs w:val="24"/>
        </w:rPr>
        <w:t>rom the</w:t>
      </w:r>
      <w:r w:rsidR="00A563A7">
        <w:rPr>
          <w:rFonts w:ascii="Times New Roman" w:hAnsi="Times New Roman" w:cs="Times New Roman"/>
          <w:sz w:val="24"/>
          <w:szCs w:val="24"/>
        </w:rPr>
        <w:t xml:space="preserve"> wages of its employees on the scales indicated being in respect of subscriptions to the trade union to which its employees belong</w:t>
      </w:r>
      <w:r w:rsidR="00C232F9">
        <w:rPr>
          <w:rFonts w:ascii="Times New Roman" w:hAnsi="Times New Roman" w:cs="Times New Roman"/>
          <w:sz w:val="24"/>
          <w:szCs w:val="24"/>
        </w:rPr>
        <w:t xml:space="preserve"> and remit the same to plaintiff</w:t>
      </w:r>
      <w:r w:rsidR="00A563A7">
        <w:rPr>
          <w:rFonts w:ascii="Times New Roman" w:hAnsi="Times New Roman" w:cs="Times New Roman"/>
          <w:sz w:val="24"/>
          <w:szCs w:val="24"/>
        </w:rPr>
        <w:t>. Defendant did not comply with the statutory instrument for the period 22 January 2009 to 25 June 2015.</w:t>
      </w:r>
    </w:p>
    <w:p w:rsidR="00A563A7" w:rsidRDefault="00A563A7"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dispute between the parties as to the rates f</w:t>
      </w:r>
      <w:r w:rsidR="00C232F9">
        <w:rPr>
          <w:rFonts w:ascii="Times New Roman" w:hAnsi="Times New Roman" w:cs="Times New Roman"/>
          <w:sz w:val="24"/>
          <w:szCs w:val="24"/>
        </w:rPr>
        <w:t>or</w:t>
      </w:r>
      <w:r>
        <w:rPr>
          <w:rFonts w:ascii="Times New Roman" w:hAnsi="Times New Roman" w:cs="Times New Roman"/>
          <w:sz w:val="24"/>
          <w:szCs w:val="24"/>
        </w:rPr>
        <w:t xml:space="preserve"> the lev</w:t>
      </w:r>
      <w:r w:rsidR="00C232F9">
        <w:rPr>
          <w:rFonts w:ascii="Times New Roman" w:hAnsi="Times New Roman" w:cs="Times New Roman"/>
          <w:sz w:val="24"/>
          <w:szCs w:val="24"/>
        </w:rPr>
        <w:t>ies</w:t>
      </w:r>
      <w:r>
        <w:rPr>
          <w:rFonts w:ascii="Times New Roman" w:hAnsi="Times New Roman" w:cs="Times New Roman"/>
          <w:sz w:val="24"/>
          <w:szCs w:val="24"/>
        </w:rPr>
        <w:t>, trade union</w:t>
      </w:r>
      <w:r w:rsidR="00C232F9">
        <w:rPr>
          <w:rFonts w:ascii="Times New Roman" w:hAnsi="Times New Roman" w:cs="Times New Roman"/>
          <w:sz w:val="24"/>
          <w:szCs w:val="24"/>
        </w:rPr>
        <w:t xml:space="preserve"> dues</w:t>
      </w:r>
      <w:r>
        <w:rPr>
          <w:rFonts w:ascii="Times New Roman" w:hAnsi="Times New Roman" w:cs="Times New Roman"/>
          <w:sz w:val="24"/>
          <w:szCs w:val="24"/>
        </w:rPr>
        <w:t xml:space="preserve"> and pension contributions. As a result the parties agree that should the defendant be found </w:t>
      </w:r>
      <w:r>
        <w:rPr>
          <w:rFonts w:ascii="Times New Roman" w:hAnsi="Times New Roman" w:cs="Times New Roman"/>
          <w:sz w:val="24"/>
          <w:szCs w:val="24"/>
        </w:rPr>
        <w:lastRenderedPageBreak/>
        <w:t>legally liable to make payment to the plaintiff, the amount due as at 11 September 2015 is $37 369.82.</w:t>
      </w:r>
    </w:p>
    <w:p w:rsidR="003F643B" w:rsidRPr="003F643B" w:rsidRDefault="003F643B" w:rsidP="007C67FF">
      <w:pPr>
        <w:spacing w:after="0" w:line="360" w:lineRule="auto"/>
        <w:jc w:val="both"/>
        <w:rPr>
          <w:rFonts w:ascii="Times New Roman" w:hAnsi="Times New Roman" w:cs="Times New Roman"/>
          <w:b/>
          <w:sz w:val="24"/>
          <w:szCs w:val="24"/>
        </w:rPr>
      </w:pPr>
      <w:r w:rsidRPr="003F643B">
        <w:rPr>
          <w:rFonts w:ascii="Times New Roman" w:hAnsi="Times New Roman" w:cs="Times New Roman"/>
          <w:b/>
          <w:sz w:val="24"/>
          <w:szCs w:val="24"/>
        </w:rPr>
        <w:t>Parties’ submissions</w:t>
      </w:r>
    </w:p>
    <w:p w:rsidR="009A2029" w:rsidRDefault="0061372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D00DF">
        <w:rPr>
          <w:rFonts w:ascii="Times New Roman" w:hAnsi="Times New Roman" w:cs="Times New Roman"/>
          <w:sz w:val="24"/>
          <w:szCs w:val="24"/>
        </w:rPr>
        <w:t xml:space="preserve">plaintiff submits that its claim is based purely on the </w:t>
      </w:r>
      <w:r w:rsidR="009A2029">
        <w:rPr>
          <w:rFonts w:ascii="Times New Roman" w:hAnsi="Times New Roman" w:cs="Times New Roman"/>
          <w:sz w:val="24"/>
          <w:szCs w:val="24"/>
        </w:rPr>
        <w:t xml:space="preserve">law as enshrined in the applicable collective bargaining and industrial agreements encapsuled in subsidiary legislation. Further, such legislation remains valid as no applications have been brought prior to </w:t>
      </w:r>
      <w:r w:rsidR="00C232F9">
        <w:rPr>
          <w:rFonts w:ascii="Times New Roman" w:hAnsi="Times New Roman" w:cs="Times New Roman"/>
          <w:sz w:val="24"/>
          <w:szCs w:val="24"/>
        </w:rPr>
        <w:t>this date</w:t>
      </w:r>
      <w:r w:rsidR="009A2029">
        <w:rPr>
          <w:rFonts w:ascii="Times New Roman" w:hAnsi="Times New Roman" w:cs="Times New Roman"/>
          <w:sz w:val="24"/>
          <w:szCs w:val="24"/>
        </w:rPr>
        <w:t xml:space="preserve"> to impugn </w:t>
      </w:r>
      <w:r w:rsidR="00C232F9">
        <w:rPr>
          <w:rFonts w:ascii="Times New Roman" w:hAnsi="Times New Roman" w:cs="Times New Roman"/>
          <w:sz w:val="24"/>
          <w:szCs w:val="24"/>
        </w:rPr>
        <w:t>it</w:t>
      </w:r>
      <w:r w:rsidR="009A2029">
        <w:rPr>
          <w:rFonts w:ascii="Times New Roman" w:hAnsi="Times New Roman" w:cs="Times New Roman"/>
          <w:sz w:val="24"/>
          <w:szCs w:val="24"/>
        </w:rPr>
        <w:t xml:space="preserve"> as being unconstitutional</w:t>
      </w:r>
      <w:r w:rsidR="00C232F9">
        <w:rPr>
          <w:rFonts w:ascii="Times New Roman" w:hAnsi="Times New Roman" w:cs="Times New Roman"/>
          <w:sz w:val="24"/>
          <w:szCs w:val="24"/>
        </w:rPr>
        <w:t>. N</w:t>
      </w:r>
      <w:r w:rsidR="009A2029">
        <w:rPr>
          <w:rFonts w:ascii="Times New Roman" w:hAnsi="Times New Roman" w:cs="Times New Roman"/>
          <w:sz w:val="24"/>
          <w:szCs w:val="24"/>
        </w:rPr>
        <w:t>or</w:t>
      </w:r>
      <w:r w:rsidR="00C232F9">
        <w:rPr>
          <w:rFonts w:ascii="Times New Roman" w:hAnsi="Times New Roman" w:cs="Times New Roman"/>
          <w:sz w:val="24"/>
          <w:szCs w:val="24"/>
        </w:rPr>
        <w:t xml:space="preserve"> have </w:t>
      </w:r>
      <w:r w:rsidR="009A2029">
        <w:rPr>
          <w:rFonts w:ascii="Times New Roman" w:hAnsi="Times New Roman" w:cs="Times New Roman"/>
          <w:sz w:val="24"/>
          <w:szCs w:val="24"/>
        </w:rPr>
        <w:t xml:space="preserve">declarators </w:t>
      </w:r>
      <w:r w:rsidR="00C232F9">
        <w:rPr>
          <w:rFonts w:ascii="Times New Roman" w:hAnsi="Times New Roman" w:cs="Times New Roman"/>
          <w:sz w:val="24"/>
          <w:szCs w:val="24"/>
        </w:rPr>
        <w:t xml:space="preserve">to that effect been </w:t>
      </w:r>
      <w:r w:rsidR="009A2029">
        <w:rPr>
          <w:rFonts w:ascii="Times New Roman" w:hAnsi="Times New Roman" w:cs="Times New Roman"/>
          <w:sz w:val="24"/>
          <w:szCs w:val="24"/>
        </w:rPr>
        <w:t>sought in the present matter.</w:t>
      </w:r>
      <w:r w:rsidR="00EB603C">
        <w:rPr>
          <w:rFonts w:ascii="Times New Roman" w:hAnsi="Times New Roman" w:cs="Times New Roman"/>
          <w:sz w:val="24"/>
          <w:szCs w:val="24"/>
        </w:rPr>
        <w:t xml:space="preserve"> </w:t>
      </w:r>
      <w:r w:rsidR="00C232F9">
        <w:rPr>
          <w:rFonts w:ascii="Times New Roman" w:hAnsi="Times New Roman" w:cs="Times New Roman"/>
          <w:sz w:val="24"/>
          <w:szCs w:val="24"/>
        </w:rPr>
        <w:t xml:space="preserve">Thus, </w:t>
      </w:r>
      <w:r w:rsidR="00EB603C">
        <w:rPr>
          <w:rFonts w:ascii="Times New Roman" w:hAnsi="Times New Roman" w:cs="Times New Roman"/>
          <w:sz w:val="24"/>
          <w:szCs w:val="24"/>
        </w:rPr>
        <w:t xml:space="preserve">in the absence of a successful challenge to the law which stipulates that the defendant belongs to the catering industry, the defendant cannot ignore the law. Therefore, as long as the law remains on the books, the defendant is obliged to comply therewith. Further, </w:t>
      </w:r>
      <w:r w:rsidR="00870A78">
        <w:rPr>
          <w:rFonts w:ascii="Times New Roman" w:hAnsi="Times New Roman" w:cs="Times New Roman"/>
          <w:sz w:val="24"/>
          <w:szCs w:val="24"/>
        </w:rPr>
        <w:t>plaintiff submits that</w:t>
      </w:r>
      <w:r w:rsidR="009A2029">
        <w:rPr>
          <w:rFonts w:ascii="Times New Roman" w:hAnsi="Times New Roman" w:cs="Times New Roman"/>
          <w:sz w:val="24"/>
          <w:szCs w:val="24"/>
        </w:rPr>
        <w:t xml:space="preserve"> such statutory instruments </w:t>
      </w:r>
      <w:r w:rsidR="00C232F9">
        <w:rPr>
          <w:rFonts w:ascii="Times New Roman" w:hAnsi="Times New Roman" w:cs="Times New Roman"/>
          <w:sz w:val="24"/>
          <w:szCs w:val="24"/>
        </w:rPr>
        <w:t>have</w:t>
      </w:r>
      <w:r w:rsidR="009A2029">
        <w:rPr>
          <w:rFonts w:ascii="Times New Roman" w:hAnsi="Times New Roman" w:cs="Times New Roman"/>
          <w:sz w:val="24"/>
          <w:szCs w:val="24"/>
        </w:rPr>
        <w:t xml:space="preserve"> </w:t>
      </w:r>
      <w:r w:rsidR="00870A78">
        <w:rPr>
          <w:rFonts w:ascii="Times New Roman" w:hAnsi="Times New Roman" w:cs="Times New Roman"/>
          <w:sz w:val="24"/>
          <w:szCs w:val="24"/>
        </w:rPr>
        <w:t xml:space="preserve">not been </w:t>
      </w:r>
      <w:r w:rsidR="009A2029">
        <w:rPr>
          <w:rFonts w:ascii="Times New Roman" w:hAnsi="Times New Roman" w:cs="Times New Roman"/>
          <w:sz w:val="24"/>
          <w:szCs w:val="24"/>
        </w:rPr>
        <w:t xml:space="preserve">abrogated </w:t>
      </w:r>
      <w:r w:rsidR="00C232F9">
        <w:rPr>
          <w:rFonts w:ascii="Times New Roman" w:hAnsi="Times New Roman" w:cs="Times New Roman"/>
          <w:sz w:val="24"/>
          <w:szCs w:val="24"/>
        </w:rPr>
        <w:t>but</w:t>
      </w:r>
      <w:r w:rsidR="009A2029">
        <w:rPr>
          <w:rFonts w:ascii="Times New Roman" w:hAnsi="Times New Roman" w:cs="Times New Roman"/>
          <w:sz w:val="24"/>
          <w:szCs w:val="24"/>
        </w:rPr>
        <w:t xml:space="preserve"> they</w:t>
      </w:r>
      <w:r w:rsidR="001B7EEB">
        <w:rPr>
          <w:rFonts w:ascii="Times New Roman" w:hAnsi="Times New Roman" w:cs="Times New Roman"/>
          <w:sz w:val="24"/>
          <w:szCs w:val="24"/>
        </w:rPr>
        <w:t xml:space="preserve"> </w:t>
      </w:r>
      <w:r w:rsidR="009A2029">
        <w:rPr>
          <w:rFonts w:ascii="Times New Roman" w:hAnsi="Times New Roman" w:cs="Times New Roman"/>
          <w:sz w:val="24"/>
          <w:szCs w:val="24"/>
        </w:rPr>
        <w:t>have</w:t>
      </w:r>
      <w:r w:rsidR="001B7EEB" w:rsidRPr="001B7EEB">
        <w:rPr>
          <w:rFonts w:ascii="Times New Roman" w:hAnsi="Times New Roman" w:cs="Times New Roman"/>
          <w:sz w:val="24"/>
          <w:szCs w:val="24"/>
        </w:rPr>
        <w:t xml:space="preserve"> </w:t>
      </w:r>
      <w:r w:rsidR="001B7EEB">
        <w:rPr>
          <w:rFonts w:ascii="Times New Roman" w:hAnsi="Times New Roman" w:cs="Times New Roman"/>
          <w:sz w:val="24"/>
          <w:szCs w:val="24"/>
        </w:rPr>
        <w:t>actually</w:t>
      </w:r>
      <w:r w:rsidR="009A2029">
        <w:rPr>
          <w:rFonts w:ascii="Times New Roman" w:hAnsi="Times New Roman" w:cs="Times New Roman"/>
          <w:sz w:val="24"/>
          <w:szCs w:val="24"/>
        </w:rPr>
        <w:t xml:space="preserve"> been amended so as to continue being applied. </w:t>
      </w:r>
      <w:r w:rsidR="00870A78">
        <w:rPr>
          <w:rFonts w:ascii="Times New Roman" w:hAnsi="Times New Roman" w:cs="Times New Roman"/>
          <w:sz w:val="24"/>
          <w:szCs w:val="24"/>
        </w:rPr>
        <w:t>In addition</w:t>
      </w:r>
      <w:r w:rsidR="009A2029">
        <w:rPr>
          <w:rFonts w:ascii="Times New Roman" w:hAnsi="Times New Roman" w:cs="Times New Roman"/>
          <w:sz w:val="24"/>
          <w:szCs w:val="24"/>
        </w:rPr>
        <w:t>, plaintiff submits that it is not necessary to allege that defendant’s employees are members of the pension fund as this is a matter of law in terms of s 7(3) of S.I. 359/1980.</w:t>
      </w:r>
    </w:p>
    <w:p w:rsidR="00870A78" w:rsidRDefault="00870A78"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its part, the defendant submits that it does not accept that it is bound by the collective bargaining agreements as it did not elect to be so bound. Besides such agreements are unfair and unconstitutional in so far as they restrict defendant’s freedom of association.</w:t>
      </w:r>
      <w:r w:rsidR="009A2029">
        <w:rPr>
          <w:rFonts w:ascii="Times New Roman" w:hAnsi="Times New Roman" w:cs="Times New Roman"/>
          <w:sz w:val="24"/>
          <w:szCs w:val="24"/>
        </w:rPr>
        <w:t xml:space="preserve"> </w:t>
      </w:r>
      <w:r>
        <w:rPr>
          <w:rFonts w:ascii="Times New Roman" w:hAnsi="Times New Roman" w:cs="Times New Roman"/>
          <w:sz w:val="24"/>
          <w:szCs w:val="24"/>
        </w:rPr>
        <w:t>Further, and in any case, the agreements were entered in the Zimbabwe dollar era and have thus been abrogated and are no longer applicable as new agreements based on the United States dollar ought to have been entered into. Besides the plaintiff’s claim does not allege that defendant’s employees are members of the pension fund for the industry. In any event membership of such pension fund is not mandatory.</w:t>
      </w:r>
    </w:p>
    <w:p w:rsidR="00CB0D71" w:rsidRDefault="00CB0D71" w:rsidP="007C67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w:t>
      </w:r>
      <w:r w:rsidR="00684211">
        <w:rPr>
          <w:rFonts w:ascii="Times New Roman" w:hAnsi="Times New Roman" w:cs="Times New Roman"/>
          <w:b/>
          <w:sz w:val="24"/>
          <w:szCs w:val="24"/>
        </w:rPr>
        <w:t xml:space="preserve"> Issues</w:t>
      </w:r>
    </w:p>
    <w:p w:rsidR="00D354B3" w:rsidRDefault="00D354B3"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between the parties what the relevant provisions of the collective bargaining and industrial agreement prescribe in terms of the rights and obligations of parties bound by them. </w:t>
      </w:r>
    </w:p>
    <w:p w:rsidR="00F15F02" w:rsidRDefault="00684211"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propose to resolve this matter by addressing the following</w:t>
      </w:r>
      <w:r w:rsidR="00D354B3">
        <w:rPr>
          <w:rFonts w:ascii="Times New Roman" w:hAnsi="Times New Roman" w:cs="Times New Roman"/>
          <w:sz w:val="24"/>
          <w:szCs w:val="24"/>
        </w:rPr>
        <w:t xml:space="preserve"> question</w:t>
      </w:r>
      <w:r>
        <w:rPr>
          <w:rFonts w:ascii="Times New Roman" w:hAnsi="Times New Roman" w:cs="Times New Roman"/>
          <w:sz w:val="24"/>
          <w:szCs w:val="24"/>
        </w:rPr>
        <w:t>s</w:t>
      </w:r>
      <w:r w:rsidR="00D354B3">
        <w:rPr>
          <w:rFonts w:ascii="Times New Roman" w:hAnsi="Times New Roman" w:cs="Times New Roman"/>
          <w:sz w:val="24"/>
          <w:szCs w:val="24"/>
        </w:rPr>
        <w:t xml:space="preserve">: </w:t>
      </w:r>
      <w:r w:rsidR="00F15F02">
        <w:rPr>
          <w:rFonts w:ascii="Times New Roman" w:hAnsi="Times New Roman" w:cs="Times New Roman"/>
          <w:sz w:val="24"/>
          <w:szCs w:val="24"/>
        </w:rPr>
        <w:t>has the</w:t>
      </w:r>
      <w:r w:rsidR="00D354B3">
        <w:rPr>
          <w:rFonts w:ascii="Times New Roman" w:hAnsi="Times New Roman" w:cs="Times New Roman"/>
          <w:sz w:val="24"/>
          <w:szCs w:val="24"/>
        </w:rPr>
        <w:t xml:space="preserve"> law </w:t>
      </w:r>
      <w:r w:rsidR="00D354B3" w:rsidRPr="00F15F02">
        <w:rPr>
          <w:rFonts w:ascii="Times New Roman" w:hAnsi="Times New Roman" w:cs="Times New Roman"/>
          <w:i/>
          <w:sz w:val="24"/>
          <w:szCs w:val="24"/>
        </w:rPr>
        <w:t>in casu</w:t>
      </w:r>
      <w:r w:rsidR="00D354B3">
        <w:rPr>
          <w:rFonts w:ascii="Times New Roman" w:hAnsi="Times New Roman" w:cs="Times New Roman"/>
          <w:sz w:val="24"/>
          <w:szCs w:val="24"/>
        </w:rPr>
        <w:t xml:space="preserve"> </w:t>
      </w:r>
      <w:r w:rsidR="00F15F02">
        <w:rPr>
          <w:rFonts w:ascii="Times New Roman" w:hAnsi="Times New Roman" w:cs="Times New Roman"/>
          <w:sz w:val="24"/>
          <w:szCs w:val="24"/>
        </w:rPr>
        <w:t>been abrogated, and therefore lost its validity?</w:t>
      </w:r>
      <w:r w:rsidR="001B7EEB" w:rsidRPr="001B7EEB">
        <w:rPr>
          <w:rFonts w:ascii="Times New Roman" w:hAnsi="Times New Roman" w:cs="Times New Roman"/>
          <w:sz w:val="24"/>
          <w:szCs w:val="24"/>
        </w:rPr>
        <w:t xml:space="preserve"> </w:t>
      </w:r>
      <w:r w:rsidR="001B7EEB">
        <w:rPr>
          <w:rFonts w:ascii="Times New Roman" w:hAnsi="Times New Roman" w:cs="Times New Roman"/>
          <w:sz w:val="24"/>
          <w:szCs w:val="24"/>
        </w:rPr>
        <w:t>And, if the law has not lost it validity, is it mandatory? Obviously, if the law is mandatory, the parties’ issue 4 falls away as defendant is then obliged to pay to plaintiff the unprescribed amount of $37 369.82 unless plaintiff’s claim is incompetent for failure to aver that defendant’s employees are members of the pension fund.</w:t>
      </w:r>
      <w:r w:rsidR="00F15F02">
        <w:rPr>
          <w:rFonts w:ascii="Times New Roman" w:hAnsi="Times New Roman" w:cs="Times New Roman"/>
          <w:sz w:val="24"/>
          <w:szCs w:val="24"/>
        </w:rPr>
        <w:t xml:space="preserve"> If </w:t>
      </w:r>
      <w:r w:rsidR="001B7EEB">
        <w:rPr>
          <w:rFonts w:ascii="Times New Roman" w:hAnsi="Times New Roman" w:cs="Times New Roman"/>
          <w:sz w:val="24"/>
          <w:szCs w:val="24"/>
        </w:rPr>
        <w:t>the law the law has not been abrogated and remains valid</w:t>
      </w:r>
      <w:r w:rsidR="00F15F02">
        <w:rPr>
          <w:rFonts w:ascii="Times New Roman" w:hAnsi="Times New Roman" w:cs="Times New Roman"/>
          <w:sz w:val="24"/>
          <w:szCs w:val="24"/>
        </w:rPr>
        <w:t xml:space="preserve">, does it </w:t>
      </w:r>
      <w:r w:rsidR="00D354B3">
        <w:rPr>
          <w:rFonts w:ascii="Times New Roman" w:hAnsi="Times New Roman" w:cs="Times New Roman"/>
          <w:sz w:val="24"/>
          <w:szCs w:val="24"/>
        </w:rPr>
        <w:t xml:space="preserve">violate the </w:t>
      </w:r>
      <w:r w:rsidR="00D354B3">
        <w:rPr>
          <w:rFonts w:ascii="Times New Roman" w:hAnsi="Times New Roman" w:cs="Times New Roman"/>
          <w:sz w:val="24"/>
          <w:szCs w:val="24"/>
        </w:rPr>
        <w:lastRenderedPageBreak/>
        <w:t>defendant’s constitutional rights</w:t>
      </w:r>
      <w:r w:rsidR="00F15F02">
        <w:rPr>
          <w:rFonts w:ascii="Times New Roman" w:hAnsi="Times New Roman" w:cs="Times New Roman"/>
          <w:sz w:val="24"/>
          <w:szCs w:val="24"/>
        </w:rPr>
        <w:t>? I</w:t>
      </w:r>
      <w:r w:rsidR="00D354B3">
        <w:rPr>
          <w:rFonts w:ascii="Times New Roman" w:hAnsi="Times New Roman" w:cs="Times New Roman"/>
          <w:sz w:val="24"/>
          <w:szCs w:val="24"/>
        </w:rPr>
        <w:t>f it does</w:t>
      </w:r>
      <w:r w:rsidR="00F15F02">
        <w:rPr>
          <w:rFonts w:ascii="Times New Roman" w:hAnsi="Times New Roman" w:cs="Times New Roman"/>
          <w:sz w:val="24"/>
          <w:szCs w:val="24"/>
        </w:rPr>
        <w:t>,</w:t>
      </w:r>
      <w:r w:rsidR="00D354B3">
        <w:rPr>
          <w:rFonts w:ascii="Times New Roman" w:hAnsi="Times New Roman" w:cs="Times New Roman"/>
          <w:sz w:val="24"/>
          <w:szCs w:val="24"/>
        </w:rPr>
        <w:t xml:space="preserve"> what is the effect, on the rights and obligations of </w:t>
      </w:r>
      <w:r w:rsidR="00F15F02">
        <w:rPr>
          <w:rFonts w:ascii="Times New Roman" w:hAnsi="Times New Roman" w:cs="Times New Roman"/>
          <w:sz w:val="24"/>
          <w:szCs w:val="24"/>
        </w:rPr>
        <w:t>the defendant</w:t>
      </w:r>
      <w:r w:rsidR="00D354B3">
        <w:rPr>
          <w:rFonts w:ascii="Times New Roman" w:hAnsi="Times New Roman" w:cs="Times New Roman"/>
          <w:sz w:val="24"/>
          <w:szCs w:val="24"/>
        </w:rPr>
        <w:t xml:space="preserve">, of </w:t>
      </w:r>
      <w:r w:rsidR="00F15F02">
        <w:rPr>
          <w:rFonts w:ascii="Times New Roman" w:hAnsi="Times New Roman" w:cs="Times New Roman"/>
          <w:sz w:val="24"/>
          <w:szCs w:val="24"/>
        </w:rPr>
        <w:t>the</w:t>
      </w:r>
      <w:r w:rsidR="00D354B3">
        <w:rPr>
          <w:rFonts w:ascii="Times New Roman" w:hAnsi="Times New Roman" w:cs="Times New Roman"/>
          <w:sz w:val="24"/>
          <w:szCs w:val="24"/>
        </w:rPr>
        <w:t xml:space="preserve"> law which remains extant and has not been set aside? </w:t>
      </w:r>
    </w:p>
    <w:p w:rsidR="00684211" w:rsidRDefault="00684211" w:rsidP="007C67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law</w:t>
      </w:r>
      <w:r w:rsidR="00B922DB">
        <w:rPr>
          <w:rFonts w:ascii="Times New Roman" w:hAnsi="Times New Roman" w:cs="Times New Roman"/>
          <w:b/>
          <w:sz w:val="24"/>
          <w:szCs w:val="24"/>
        </w:rPr>
        <w:t xml:space="preserve"> and its application to the facts</w:t>
      </w:r>
      <w:r w:rsidRPr="00F6679B">
        <w:rPr>
          <w:rFonts w:ascii="Times New Roman" w:hAnsi="Times New Roman" w:cs="Times New Roman"/>
          <w:b/>
          <w:sz w:val="24"/>
          <w:szCs w:val="24"/>
        </w:rPr>
        <w:t xml:space="preserve"> </w:t>
      </w:r>
    </w:p>
    <w:p w:rsidR="00684211" w:rsidRDefault="00B922DB" w:rsidP="007C67FF">
      <w:pPr>
        <w:spacing w:after="0" w:line="360" w:lineRule="auto"/>
        <w:jc w:val="both"/>
        <w:rPr>
          <w:rFonts w:ascii="Times New Roman" w:hAnsi="Times New Roman" w:cs="Times New Roman"/>
          <w:i/>
          <w:sz w:val="24"/>
          <w:szCs w:val="24"/>
        </w:rPr>
      </w:pPr>
      <w:r w:rsidRPr="00B922DB">
        <w:rPr>
          <w:rFonts w:ascii="Times New Roman" w:hAnsi="Times New Roman" w:cs="Times New Roman"/>
          <w:i/>
          <w:sz w:val="24"/>
          <w:szCs w:val="24"/>
        </w:rPr>
        <w:t>Ha</w:t>
      </w:r>
      <w:r w:rsidR="00BD3990">
        <w:rPr>
          <w:rFonts w:ascii="Times New Roman" w:hAnsi="Times New Roman" w:cs="Times New Roman"/>
          <w:i/>
          <w:sz w:val="24"/>
          <w:szCs w:val="24"/>
        </w:rPr>
        <w:t>s</w:t>
      </w:r>
      <w:r w:rsidRPr="00B922DB">
        <w:rPr>
          <w:rFonts w:ascii="Times New Roman" w:hAnsi="Times New Roman" w:cs="Times New Roman"/>
          <w:i/>
          <w:sz w:val="24"/>
          <w:szCs w:val="24"/>
        </w:rPr>
        <w:t xml:space="preserve"> the law</w:t>
      </w:r>
      <w:r w:rsidR="00BD3990">
        <w:rPr>
          <w:rFonts w:ascii="Times New Roman" w:hAnsi="Times New Roman" w:cs="Times New Roman"/>
          <w:i/>
          <w:sz w:val="24"/>
          <w:szCs w:val="24"/>
        </w:rPr>
        <w:t xml:space="preserve"> </w:t>
      </w:r>
      <w:r w:rsidR="00607906">
        <w:rPr>
          <w:rFonts w:ascii="Times New Roman" w:hAnsi="Times New Roman" w:cs="Times New Roman"/>
          <w:i/>
          <w:sz w:val="24"/>
          <w:szCs w:val="24"/>
        </w:rPr>
        <w:t>en</w:t>
      </w:r>
      <w:r w:rsidR="00BD3990">
        <w:rPr>
          <w:rFonts w:ascii="Times New Roman" w:hAnsi="Times New Roman" w:cs="Times New Roman"/>
          <w:i/>
          <w:sz w:val="24"/>
          <w:szCs w:val="24"/>
        </w:rPr>
        <w:t>capsuled in S.I. 167/1991, S.I. 359/1980 and S.I. 549/1976 as amended by S.I. 865/1981</w:t>
      </w:r>
      <w:r w:rsidRPr="00B922DB">
        <w:rPr>
          <w:rFonts w:ascii="Times New Roman" w:hAnsi="Times New Roman" w:cs="Times New Roman"/>
          <w:i/>
          <w:sz w:val="24"/>
          <w:szCs w:val="24"/>
        </w:rPr>
        <w:t xml:space="preserve"> been abrogated and is therefore invalid?</w:t>
      </w:r>
    </w:p>
    <w:p w:rsidR="00043248" w:rsidRDefault="008747F1" w:rsidP="007C67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a law lasts indefinitely until it is repealed or changed.</w:t>
      </w:r>
      <w:r w:rsidR="00607906">
        <w:rPr>
          <w:rFonts w:ascii="Times New Roman" w:hAnsi="Times New Roman" w:cs="Times New Roman"/>
          <w:sz w:val="24"/>
          <w:szCs w:val="24"/>
        </w:rPr>
        <w:t xml:space="preserve"> The parties agree, </w:t>
      </w:r>
      <w:r w:rsidR="008A3F23">
        <w:rPr>
          <w:rFonts w:ascii="Times New Roman" w:hAnsi="Times New Roman" w:cs="Times New Roman"/>
          <w:sz w:val="24"/>
          <w:szCs w:val="24"/>
        </w:rPr>
        <w:t xml:space="preserve">in clauses 1, 5, </w:t>
      </w:r>
      <w:r w:rsidR="00025F72">
        <w:rPr>
          <w:rFonts w:ascii="Times New Roman" w:hAnsi="Times New Roman" w:cs="Times New Roman"/>
          <w:sz w:val="24"/>
          <w:szCs w:val="24"/>
        </w:rPr>
        <w:t xml:space="preserve">8 </w:t>
      </w:r>
      <w:r w:rsidR="00607906">
        <w:rPr>
          <w:rFonts w:ascii="Times New Roman" w:hAnsi="Times New Roman" w:cs="Times New Roman"/>
          <w:sz w:val="24"/>
          <w:szCs w:val="24"/>
        </w:rPr>
        <w:t>and</w:t>
      </w:r>
      <w:r w:rsidR="00025F72">
        <w:rPr>
          <w:rFonts w:ascii="Times New Roman" w:hAnsi="Times New Roman" w:cs="Times New Roman"/>
          <w:sz w:val="24"/>
          <w:szCs w:val="24"/>
        </w:rPr>
        <w:t xml:space="preserve"> 10(d) of the statement of agreed facts</w:t>
      </w:r>
      <w:r w:rsidR="00607906">
        <w:rPr>
          <w:rFonts w:ascii="Times New Roman" w:hAnsi="Times New Roman" w:cs="Times New Roman"/>
          <w:sz w:val="24"/>
          <w:szCs w:val="24"/>
        </w:rPr>
        <w:t>,</w:t>
      </w:r>
      <w:r w:rsidR="00025F72">
        <w:rPr>
          <w:rFonts w:ascii="Times New Roman" w:hAnsi="Times New Roman" w:cs="Times New Roman"/>
          <w:sz w:val="24"/>
          <w:szCs w:val="24"/>
        </w:rPr>
        <w:t xml:space="preserve"> that deductions and contributions for levies, pensions and trade union dues were pegged in percentage terms: one and a half percent rising to 3% in 2008 for council levies, 5% for pension and 5% reduced to 4% in 2014 for trade union dues. The contributions were therefore never fixed in any specific currency. The </w:t>
      </w:r>
      <w:r w:rsidR="00576CE2">
        <w:rPr>
          <w:rFonts w:ascii="Times New Roman" w:hAnsi="Times New Roman" w:cs="Times New Roman"/>
          <w:sz w:val="24"/>
          <w:szCs w:val="24"/>
        </w:rPr>
        <w:t>argument</w:t>
      </w:r>
      <w:r w:rsidR="00025F72">
        <w:rPr>
          <w:rFonts w:ascii="Times New Roman" w:hAnsi="Times New Roman" w:cs="Times New Roman"/>
          <w:sz w:val="24"/>
          <w:szCs w:val="24"/>
        </w:rPr>
        <w:t xml:space="preserve"> by defendant that the change from the Zimbabwe dollar to the US </w:t>
      </w:r>
      <w:r w:rsidR="00607906">
        <w:rPr>
          <w:rFonts w:ascii="Times New Roman" w:hAnsi="Times New Roman" w:cs="Times New Roman"/>
          <w:sz w:val="24"/>
          <w:szCs w:val="24"/>
        </w:rPr>
        <w:t xml:space="preserve">dollar </w:t>
      </w:r>
      <w:r w:rsidR="00025F72">
        <w:rPr>
          <w:rFonts w:ascii="Times New Roman" w:hAnsi="Times New Roman" w:cs="Times New Roman"/>
          <w:sz w:val="24"/>
          <w:szCs w:val="24"/>
        </w:rPr>
        <w:t>at the advent of the multi-currency regime resulted in the abrogation of the collective bargaining agreements is thus fallacious and unsustainable. It was th</w:t>
      </w:r>
      <w:r w:rsidR="00607906">
        <w:rPr>
          <w:rFonts w:ascii="Times New Roman" w:hAnsi="Times New Roman" w:cs="Times New Roman"/>
          <w:sz w:val="24"/>
          <w:szCs w:val="24"/>
        </w:rPr>
        <w:t>us</w:t>
      </w:r>
      <w:r w:rsidR="00025F72">
        <w:rPr>
          <w:rFonts w:ascii="Times New Roman" w:hAnsi="Times New Roman" w:cs="Times New Roman"/>
          <w:sz w:val="24"/>
          <w:szCs w:val="24"/>
        </w:rPr>
        <w:t xml:space="preserve"> never necessary to enter into new agreements as percentage rates are easily calculable and convertible whatever currency is in use. I find therefore that the obligation to </w:t>
      </w:r>
      <w:r w:rsidR="00043248">
        <w:rPr>
          <w:rFonts w:ascii="Times New Roman" w:hAnsi="Times New Roman" w:cs="Times New Roman"/>
          <w:sz w:val="24"/>
          <w:szCs w:val="24"/>
        </w:rPr>
        <w:t>make contributions in terms of the percentage rates as agreed from time to time endure to this day</w:t>
      </w:r>
      <w:r w:rsidR="00576CE2">
        <w:rPr>
          <w:rFonts w:ascii="Times New Roman" w:hAnsi="Times New Roman" w:cs="Times New Roman"/>
          <w:sz w:val="24"/>
          <w:szCs w:val="24"/>
        </w:rPr>
        <w:t xml:space="preserve"> as the law remains valid</w:t>
      </w:r>
      <w:r w:rsidR="00043248">
        <w:rPr>
          <w:rFonts w:ascii="Times New Roman" w:hAnsi="Times New Roman" w:cs="Times New Roman"/>
          <w:sz w:val="24"/>
          <w:szCs w:val="24"/>
        </w:rPr>
        <w:t>.</w:t>
      </w:r>
      <w:r w:rsidR="006A65BD">
        <w:rPr>
          <w:rFonts w:ascii="Times New Roman" w:hAnsi="Times New Roman" w:cs="Times New Roman"/>
          <w:sz w:val="24"/>
          <w:szCs w:val="24"/>
        </w:rPr>
        <w:t xml:space="preserve"> Nor do I find it of any moment that the reduction of the </w:t>
      </w:r>
      <w:r w:rsidR="005C20C4">
        <w:rPr>
          <w:rFonts w:ascii="Times New Roman" w:hAnsi="Times New Roman" w:cs="Times New Roman"/>
          <w:sz w:val="24"/>
          <w:szCs w:val="24"/>
        </w:rPr>
        <w:t>percentage of union dues from 5% to 4% was unlawful as it is actually to the defendant’s benefit.</w:t>
      </w:r>
    </w:p>
    <w:p w:rsidR="00576CE2" w:rsidRDefault="00576CE2" w:rsidP="00576CE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If the law with regard to the pension fund (S.I.</w:t>
      </w:r>
      <w:r w:rsidR="00760A78">
        <w:rPr>
          <w:rFonts w:ascii="Times New Roman" w:hAnsi="Times New Roman" w:cs="Times New Roman"/>
          <w:i/>
          <w:sz w:val="24"/>
          <w:szCs w:val="24"/>
        </w:rPr>
        <w:t xml:space="preserve"> </w:t>
      </w:r>
      <w:r w:rsidR="00ED7886">
        <w:rPr>
          <w:rFonts w:ascii="Times New Roman" w:hAnsi="Times New Roman" w:cs="Times New Roman"/>
          <w:i/>
          <w:sz w:val="24"/>
          <w:szCs w:val="24"/>
        </w:rPr>
        <w:t>3</w:t>
      </w:r>
      <w:r w:rsidR="00760A78">
        <w:rPr>
          <w:rFonts w:ascii="Times New Roman" w:hAnsi="Times New Roman" w:cs="Times New Roman"/>
          <w:i/>
          <w:sz w:val="24"/>
          <w:szCs w:val="24"/>
        </w:rPr>
        <w:t>5</w:t>
      </w:r>
      <w:r w:rsidR="00ED7886">
        <w:rPr>
          <w:rFonts w:ascii="Times New Roman" w:hAnsi="Times New Roman" w:cs="Times New Roman"/>
          <w:i/>
          <w:sz w:val="24"/>
          <w:szCs w:val="24"/>
        </w:rPr>
        <w:t>9 of 1980</w:t>
      </w:r>
      <w:r>
        <w:rPr>
          <w:rFonts w:ascii="Times New Roman" w:hAnsi="Times New Roman" w:cs="Times New Roman"/>
          <w:i/>
          <w:sz w:val="24"/>
          <w:szCs w:val="24"/>
        </w:rPr>
        <w:t>) remains valid, is it mandatory?</w:t>
      </w:r>
    </w:p>
    <w:p w:rsidR="00576CE2" w:rsidRDefault="00576CE2" w:rsidP="007C67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Defendant submits that that it is not obliged to make the deductions for pension contributions as membership to the pension fund is optional and not mandatory. </w:t>
      </w:r>
    </w:p>
    <w:p w:rsidR="00516BDD" w:rsidRDefault="001B7EEB" w:rsidP="001B7E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dispute that s</w:t>
      </w:r>
      <w:r w:rsidR="00ED7886">
        <w:rPr>
          <w:rFonts w:ascii="Times New Roman" w:hAnsi="Times New Roman" w:cs="Times New Roman"/>
          <w:sz w:val="24"/>
          <w:szCs w:val="24"/>
        </w:rPr>
        <w:t>8</w:t>
      </w:r>
      <w:r w:rsidR="00607906">
        <w:rPr>
          <w:rFonts w:ascii="Times New Roman" w:hAnsi="Times New Roman" w:cs="Times New Roman"/>
          <w:sz w:val="24"/>
          <w:szCs w:val="24"/>
        </w:rPr>
        <w:t xml:space="preserve"> (</w:t>
      </w:r>
      <w:r w:rsidR="00576CE2">
        <w:rPr>
          <w:rFonts w:ascii="Times New Roman" w:hAnsi="Times New Roman" w:cs="Times New Roman"/>
          <w:sz w:val="24"/>
          <w:szCs w:val="24"/>
        </w:rPr>
        <w:t>1)</w:t>
      </w:r>
      <w:r w:rsidR="00ED7886">
        <w:rPr>
          <w:rFonts w:ascii="Times New Roman" w:hAnsi="Times New Roman" w:cs="Times New Roman"/>
          <w:sz w:val="24"/>
          <w:szCs w:val="24"/>
        </w:rPr>
        <w:t xml:space="preserve"> and</w:t>
      </w:r>
      <w:r w:rsidR="00576CE2">
        <w:rPr>
          <w:rFonts w:ascii="Times New Roman" w:hAnsi="Times New Roman" w:cs="Times New Roman"/>
          <w:sz w:val="24"/>
          <w:szCs w:val="24"/>
        </w:rPr>
        <w:t xml:space="preserve"> (2)</w:t>
      </w:r>
      <w:r w:rsidR="00ED7886">
        <w:rPr>
          <w:rFonts w:ascii="Times New Roman" w:hAnsi="Times New Roman" w:cs="Times New Roman"/>
          <w:sz w:val="24"/>
          <w:szCs w:val="24"/>
        </w:rPr>
        <w:t xml:space="preserve"> of</w:t>
      </w:r>
      <w:r w:rsidR="00576CE2">
        <w:rPr>
          <w:rFonts w:ascii="Times New Roman" w:hAnsi="Times New Roman" w:cs="Times New Roman"/>
          <w:sz w:val="24"/>
          <w:szCs w:val="24"/>
        </w:rPr>
        <w:t xml:space="preserve"> S.I. </w:t>
      </w:r>
      <w:r w:rsidR="00ED7886" w:rsidRPr="00ED7886">
        <w:rPr>
          <w:rFonts w:ascii="Times New Roman" w:hAnsi="Times New Roman" w:cs="Times New Roman"/>
          <w:sz w:val="24"/>
          <w:szCs w:val="24"/>
        </w:rPr>
        <w:t>359 of 1980</w:t>
      </w:r>
      <w:r w:rsidR="00ED7886">
        <w:rPr>
          <w:rFonts w:ascii="Times New Roman" w:hAnsi="Times New Roman" w:cs="Times New Roman"/>
          <w:sz w:val="24"/>
          <w:szCs w:val="24"/>
        </w:rPr>
        <w:t xml:space="preserve"> </w:t>
      </w:r>
      <w:r w:rsidR="00607906">
        <w:rPr>
          <w:rFonts w:ascii="Times New Roman" w:hAnsi="Times New Roman" w:cs="Times New Roman"/>
          <w:sz w:val="24"/>
          <w:szCs w:val="24"/>
        </w:rPr>
        <w:t>is</w:t>
      </w:r>
      <w:r w:rsidR="00576CE2">
        <w:rPr>
          <w:rFonts w:ascii="Times New Roman" w:hAnsi="Times New Roman" w:cs="Times New Roman"/>
          <w:sz w:val="24"/>
          <w:szCs w:val="24"/>
        </w:rPr>
        <w:t xml:space="preserve"> peremptory.</w:t>
      </w:r>
      <w:r w:rsidR="00607906">
        <w:rPr>
          <w:rFonts w:ascii="Times New Roman" w:hAnsi="Times New Roman" w:cs="Times New Roman"/>
          <w:sz w:val="24"/>
          <w:szCs w:val="24"/>
        </w:rPr>
        <w:t xml:space="preserve"> This is agreed by both parties as evidenced by paragraphs </w:t>
      </w:r>
      <w:r w:rsidR="00ED7886">
        <w:rPr>
          <w:rFonts w:ascii="Times New Roman" w:hAnsi="Times New Roman" w:cs="Times New Roman"/>
          <w:sz w:val="24"/>
          <w:szCs w:val="24"/>
        </w:rPr>
        <w:t>5</w:t>
      </w:r>
      <w:r w:rsidR="00607906">
        <w:rPr>
          <w:rFonts w:ascii="Times New Roman" w:hAnsi="Times New Roman" w:cs="Times New Roman"/>
          <w:sz w:val="24"/>
          <w:szCs w:val="24"/>
        </w:rPr>
        <w:t xml:space="preserve"> </w:t>
      </w:r>
      <w:r w:rsidR="00516BDD">
        <w:rPr>
          <w:rFonts w:ascii="Times New Roman" w:hAnsi="Times New Roman" w:cs="Times New Roman"/>
          <w:sz w:val="24"/>
          <w:szCs w:val="24"/>
        </w:rPr>
        <w:t xml:space="preserve">and </w:t>
      </w:r>
      <w:r w:rsidR="00ED7886">
        <w:rPr>
          <w:rFonts w:ascii="Times New Roman" w:hAnsi="Times New Roman" w:cs="Times New Roman"/>
          <w:sz w:val="24"/>
          <w:szCs w:val="24"/>
        </w:rPr>
        <w:t>6</w:t>
      </w:r>
      <w:r w:rsidR="00607906">
        <w:rPr>
          <w:rFonts w:ascii="Times New Roman" w:hAnsi="Times New Roman" w:cs="Times New Roman"/>
          <w:sz w:val="24"/>
          <w:szCs w:val="24"/>
        </w:rPr>
        <w:t xml:space="preserve"> of the common cause facts agreed by the parties.</w:t>
      </w:r>
      <w:r w:rsidR="00516BDD">
        <w:rPr>
          <w:rFonts w:ascii="Times New Roman" w:hAnsi="Times New Roman" w:cs="Times New Roman"/>
          <w:sz w:val="24"/>
          <w:szCs w:val="24"/>
        </w:rPr>
        <w:t xml:space="preserve"> I therefore do not find it necessary to quote the provisions in </w:t>
      </w:r>
      <w:r w:rsidR="00516BDD" w:rsidRPr="00516BDD">
        <w:rPr>
          <w:rFonts w:ascii="Times New Roman" w:hAnsi="Times New Roman" w:cs="Times New Roman"/>
          <w:i/>
          <w:sz w:val="24"/>
          <w:szCs w:val="24"/>
        </w:rPr>
        <w:t>extensio.</w:t>
      </w:r>
      <w:r w:rsidR="00576CE2">
        <w:rPr>
          <w:rFonts w:ascii="Times New Roman" w:hAnsi="Times New Roman" w:cs="Times New Roman"/>
          <w:sz w:val="24"/>
          <w:szCs w:val="24"/>
        </w:rPr>
        <w:t xml:space="preserve"> </w:t>
      </w:r>
      <w:r w:rsidR="00223F73">
        <w:rPr>
          <w:rFonts w:ascii="Times New Roman" w:hAnsi="Times New Roman" w:cs="Times New Roman"/>
          <w:sz w:val="24"/>
          <w:szCs w:val="24"/>
        </w:rPr>
        <w:t>Section</w:t>
      </w:r>
      <w:r w:rsidR="00420197">
        <w:rPr>
          <w:rFonts w:ascii="Times New Roman" w:hAnsi="Times New Roman" w:cs="Times New Roman"/>
          <w:sz w:val="24"/>
          <w:szCs w:val="24"/>
        </w:rPr>
        <w:t xml:space="preserve"> </w:t>
      </w:r>
      <w:r w:rsidR="00ED7886">
        <w:rPr>
          <w:rFonts w:ascii="Times New Roman" w:hAnsi="Times New Roman" w:cs="Times New Roman"/>
          <w:sz w:val="24"/>
          <w:szCs w:val="24"/>
        </w:rPr>
        <w:t>8</w:t>
      </w:r>
      <w:r w:rsidR="00607906">
        <w:rPr>
          <w:rFonts w:ascii="Times New Roman" w:hAnsi="Times New Roman" w:cs="Times New Roman"/>
          <w:sz w:val="24"/>
          <w:szCs w:val="24"/>
        </w:rPr>
        <w:t xml:space="preserve"> </w:t>
      </w:r>
      <w:r w:rsidR="00576CE2">
        <w:rPr>
          <w:rFonts w:ascii="Times New Roman" w:hAnsi="Times New Roman" w:cs="Times New Roman"/>
          <w:sz w:val="24"/>
          <w:szCs w:val="24"/>
        </w:rPr>
        <w:t>require</w:t>
      </w:r>
      <w:r w:rsidR="00607906">
        <w:rPr>
          <w:rFonts w:ascii="Times New Roman" w:hAnsi="Times New Roman" w:cs="Times New Roman"/>
          <w:sz w:val="24"/>
          <w:szCs w:val="24"/>
        </w:rPr>
        <w:t>s</w:t>
      </w:r>
      <w:r w:rsidR="00576CE2">
        <w:rPr>
          <w:rFonts w:ascii="Times New Roman" w:hAnsi="Times New Roman" w:cs="Times New Roman"/>
          <w:sz w:val="24"/>
          <w:szCs w:val="24"/>
        </w:rPr>
        <w:t xml:space="preserve"> an employer belonging to the </w:t>
      </w:r>
      <w:r>
        <w:rPr>
          <w:rFonts w:ascii="Times New Roman" w:hAnsi="Times New Roman" w:cs="Times New Roman"/>
          <w:sz w:val="24"/>
          <w:szCs w:val="24"/>
        </w:rPr>
        <w:t>c</w:t>
      </w:r>
      <w:r w:rsidR="00576CE2">
        <w:rPr>
          <w:rFonts w:ascii="Times New Roman" w:hAnsi="Times New Roman" w:cs="Times New Roman"/>
          <w:sz w:val="24"/>
          <w:szCs w:val="24"/>
        </w:rPr>
        <w:t xml:space="preserve">atering </w:t>
      </w:r>
      <w:r>
        <w:rPr>
          <w:rFonts w:ascii="Times New Roman" w:hAnsi="Times New Roman" w:cs="Times New Roman"/>
          <w:sz w:val="24"/>
          <w:szCs w:val="24"/>
        </w:rPr>
        <w:t>i</w:t>
      </w:r>
      <w:r w:rsidR="00576CE2">
        <w:rPr>
          <w:rFonts w:ascii="Times New Roman" w:hAnsi="Times New Roman" w:cs="Times New Roman"/>
          <w:sz w:val="24"/>
          <w:szCs w:val="24"/>
        </w:rPr>
        <w:t>ndustry to make a percentage deduction for pension contributions from each employ</w:t>
      </w:r>
      <w:r w:rsidR="00607906">
        <w:rPr>
          <w:rFonts w:ascii="Times New Roman" w:hAnsi="Times New Roman" w:cs="Times New Roman"/>
          <w:sz w:val="24"/>
          <w:szCs w:val="24"/>
        </w:rPr>
        <w:t>e</w:t>
      </w:r>
      <w:r w:rsidR="00576CE2">
        <w:rPr>
          <w:rFonts w:ascii="Times New Roman" w:hAnsi="Times New Roman" w:cs="Times New Roman"/>
          <w:sz w:val="24"/>
          <w:szCs w:val="24"/>
        </w:rPr>
        <w:t>e, add an equal percentage from its own resources and remit the same to the plaintiff.</w:t>
      </w:r>
      <w:r w:rsidR="00516BDD">
        <w:rPr>
          <w:rFonts w:ascii="Times New Roman" w:hAnsi="Times New Roman" w:cs="Times New Roman"/>
          <w:sz w:val="24"/>
          <w:szCs w:val="24"/>
        </w:rPr>
        <w:t xml:space="preserve"> No provision is made for any discretion or choice by the employer whether or not to comply.</w:t>
      </w:r>
      <w:r w:rsidR="00576CE2">
        <w:rPr>
          <w:rFonts w:ascii="Times New Roman" w:hAnsi="Times New Roman" w:cs="Times New Roman"/>
          <w:sz w:val="24"/>
          <w:szCs w:val="24"/>
        </w:rPr>
        <w:t xml:space="preserve"> </w:t>
      </w:r>
    </w:p>
    <w:p w:rsidR="006A65BD" w:rsidRDefault="00516BDD" w:rsidP="00516B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6CE2">
        <w:rPr>
          <w:rFonts w:ascii="Times New Roman" w:hAnsi="Times New Roman" w:cs="Times New Roman"/>
          <w:sz w:val="24"/>
          <w:szCs w:val="24"/>
        </w:rPr>
        <w:t>The defence raised by the plaintiff is therefore totally irrelevant: the law does not require</w:t>
      </w:r>
      <w:r w:rsidR="00607906">
        <w:rPr>
          <w:rFonts w:ascii="Times New Roman" w:hAnsi="Times New Roman" w:cs="Times New Roman"/>
          <w:sz w:val="24"/>
          <w:szCs w:val="24"/>
        </w:rPr>
        <w:t xml:space="preserve"> or force</w:t>
      </w:r>
      <w:r w:rsidR="00576CE2">
        <w:rPr>
          <w:rFonts w:ascii="Times New Roman" w:hAnsi="Times New Roman" w:cs="Times New Roman"/>
          <w:sz w:val="24"/>
          <w:szCs w:val="24"/>
        </w:rPr>
        <w:t xml:space="preserve"> the employer to be a member of the Pension Fund, but only to make necessary deductions and remit the same.</w:t>
      </w:r>
      <w:r w:rsidR="006A65BD">
        <w:rPr>
          <w:rFonts w:ascii="Times New Roman" w:hAnsi="Times New Roman" w:cs="Times New Roman"/>
          <w:sz w:val="24"/>
          <w:szCs w:val="24"/>
        </w:rPr>
        <w:t xml:space="preserve"> </w:t>
      </w:r>
    </w:p>
    <w:p w:rsidR="006A65BD" w:rsidRDefault="001B7EEB" w:rsidP="006A65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 it is defendant’s employees who are mandatorily members of the pension fund by operation of the law. Thus,</w:t>
      </w:r>
      <w:r w:rsidR="006A65BD">
        <w:rPr>
          <w:rFonts w:ascii="Times New Roman" w:hAnsi="Times New Roman" w:cs="Times New Roman"/>
          <w:sz w:val="24"/>
          <w:szCs w:val="24"/>
        </w:rPr>
        <w:t xml:space="preserve"> the law, </w:t>
      </w:r>
      <w:r w:rsidR="00607906">
        <w:rPr>
          <w:rFonts w:ascii="Times New Roman" w:hAnsi="Times New Roman" w:cs="Times New Roman"/>
          <w:sz w:val="24"/>
          <w:szCs w:val="24"/>
        </w:rPr>
        <w:t xml:space="preserve">as stated </w:t>
      </w:r>
      <w:r w:rsidR="006A65BD">
        <w:rPr>
          <w:rFonts w:ascii="Times New Roman" w:hAnsi="Times New Roman" w:cs="Times New Roman"/>
          <w:sz w:val="24"/>
          <w:szCs w:val="24"/>
        </w:rPr>
        <w:t>in s</w:t>
      </w:r>
      <w:r w:rsidR="00420197">
        <w:rPr>
          <w:rFonts w:ascii="Times New Roman" w:hAnsi="Times New Roman" w:cs="Times New Roman"/>
          <w:sz w:val="24"/>
          <w:szCs w:val="24"/>
        </w:rPr>
        <w:t xml:space="preserve"> </w:t>
      </w:r>
      <w:r w:rsidR="00ED7886">
        <w:rPr>
          <w:rFonts w:ascii="Times New Roman" w:hAnsi="Times New Roman" w:cs="Times New Roman"/>
          <w:sz w:val="24"/>
          <w:szCs w:val="24"/>
        </w:rPr>
        <w:t>8</w:t>
      </w:r>
      <w:r w:rsidR="006A65BD">
        <w:rPr>
          <w:rFonts w:ascii="Times New Roman" w:hAnsi="Times New Roman" w:cs="Times New Roman"/>
          <w:sz w:val="24"/>
          <w:szCs w:val="24"/>
        </w:rPr>
        <w:t>(</w:t>
      </w:r>
      <w:r w:rsidR="00ED7886">
        <w:rPr>
          <w:rFonts w:ascii="Times New Roman" w:hAnsi="Times New Roman" w:cs="Times New Roman"/>
          <w:sz w:val="24"/>
          <w:szCs w:val="24"/>
        </w:rPr>
        <w:t>3</w:t>
      </w:r>
      <w:r w:rsidR="006A65BD">
        <w:rPr>
          <w:rFonts w:ascii="Times New Roman" w:hAnsi="Times New Roman" w:cs="Times New Roman"/>
          <w:sz w:val="24"/>
          <w:szCs w:val="24"/>
        </w:rPr>
        <w:t xml:space="preserve">) </w:t>
      </w:r>
      <w:r w:rsidR="00ED7886">
        <w:rPr>
          <w:rFonts w:ascii="Times New Roman" w:hAnsi="Times New Roman" w:cs="Times New Roman"/>
          <w:sz w:val="24"/>
          <w:szCs w:val="24"/>
        </w:rPr>
        <w:t>obliges</w:t>
      </w:r>
      <w:r w:rsidR="006A65BD">
        <w:rPr>
          <w:rFonts w:ascii="Times New Roman" w:hAnsi="Times New Roman" w:cs="Times New Roman"/>
          <w:sz w:val="24"/>
          <w:szCs w:val="24"/>
        </w:rPr>
        <w:t xml:space="preserve"> the plaintiff to remit </w:t>
      </w:r>
      <w:r w:rsidR="006A65BD">
        <w:rPr>
          <w:rFonts w:ascii="Times New Roman" w:hAnsi="Times New Roman" w:cs="Times New Roman"/>
          <w:sz w:val="24"/>
          <w:szCs w:val="24"/>
        </w:rPr>
        <w:lastRenderedPageBreak/>
        <w:t xml:space="preserve">the </w:t>
      </w:r>
      <w:r w:rsidR="00ED7886">
        <w:rPr>
          <w:rFonts w:ascii="Times New Roman" w:hAnsi="Times New Roman" w:cs="Times New Roman"/>
          <w:sz w:val="24"/>
          <w:szCs w:val="24"/>
        </w:rPr>
        <w:t xml:space="preserve">pension contributions </w:t>
      </w:r>
      <w:r w:rsidR="007425F4">
        <w:rPr>
          <w:rFonts w:ascii="Times New Roman" w:hAnsi="Times New Roman" w:cs="Times New Roman"/>
          <w:sz w:val="24"/>
          <w:szCs w:val="24"/>
        </w:rPr>
        <w:t xml:space="preserve">for its employees </w:t>
      </w:r>
      <w:r w:rsidR="00ED7886">
        <w:rPr>
          <w:rFonts w:ascii="Times New Roman" w:hAnsi="Times New Roman" w:cs="Times New Roman"/>
          <w:sz w:val="24"/>
          <w:szCs w:val="24"/>
        </w:rPr>
        <w:t xml:space="preserve">to the </w:t>
      </w:r>
      <w:r w:rsidR="006A65BD">
        <w:rPr>
          <w:rFonts w:ascii="Times New Roman" w:hAnsi="Times New Roman" w:cs="Times New Roman"/>
          <w:sz w:val="24"/>
          <w:szCs w:val="24"/>
        </w:rPr>
        <w:t>plaintiff</w:t>
      </w:r>
      <w:r w:rsidR="00ED7886">
        <w:rPr>
          <w:rFonts w:ascii="Times New Roman" w:hAnsi="Times New Roman" w:cs="Times New Roman"/>
          <w:sz w:val="24"/>
          <w:szCs w:val="24"/>
        </w:rPr>
        <w:t xml:space="preserve">. </w:t>
      </w:r>
      <w:r w:rsidR="007425F4">
        <w:rPr>
          <w:rFonts w:ascii="Times New Roman" w:hAnsi="Times New Roman" w:cs="Times New Roman"/>
          <w:sz w:val="24"/>
          <w:szCs w:val="24"/>
        </w:rPr>
        <w:t xml:space="preserve">The duty to do so is mandatory as the provision is couched in peremptory terms. </w:t>
      </w:r>
      <w:r w:rsidR="006A65BD">
        <w:rPr>
          <w:rFonts w:ascii="Times New Roman" w:hAnsi="Times New Roman" w:cs="Times New Roman"/>
          <w:sz w:val="24"/>
          <w:szCs w:val="24"/>
        </w:rPr>
        <w:t>The defendant does not dispute that it refused and o</w:t>
      </w:r>
      <w:r w:rsidR="00607906">
        <w:rPr>
          <w:rFonts w:ascii="Times New Roman" w:hAnsi="Times New Roman" w:cs="Times New Roman"/>
          <w:sz w:val="24"/>
          <w:szCs w:val="24"/>
        </w:rPr>
        <w:t>r</w:t>
      </w:r>
      <w:r w:rsidR="006A65BD">
        <w:rPr>
          <w:rFonts w:ascii="Times New Roman" w:hAnsi="Times New Roman" w:cs="Times New Roman"/>
          <w:sz w:val="24"/>
          <w:szCs w:val="24"/>
        </w:rPr>
        <w:t xml:space="preserve"> failed to comply with these mandatory provisions. Ergo, I must find that it must be ordered to so comply.</w:t>
      </w:r>
    </w:p>
    <w:p w:rsidR="00636D16" w:rsidRDefault="00636D16" w:rsidP="00636D16">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Is the plaintiff’s claim for pension contributions incompetent for failure to aver that defendant’s employees are members of the Catering Industry Pension Fund?</w:t>
      </w:r>
    </w:p>
    <w:p w:rsidR="00636D16" w:rsidRDefault="00636D16" w:rsidP="00636D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Plaintiff’s claim for payment of pension contributions is predicated on S.I. 359 of 1980, which, in s 7(3) provides as follows:</w:t>
      </w:r>
    </w:p>
    <w:p w:rsidR="00636D16" w:rsidRDefault="00636D16" w:rsidP="00636D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36D16" w:rsidRPr="00636D16" w:rsidRDefault="00636D16" w:rsidP="00223F73">
      <w:pPr>
        <w:spacing w:after="0" w:line="240" w:lineRule="auto"/>
        <w:jc w:val="both"/>
        <w:rPr>
          <w:rFonts w:ascii="Times New Roman" w:hAnsi="Times New Roman" w:cs="Times New Roman"/>
        </w:rPr>
      </w:pPr>
      <w:r>
        <w:rPr>
          <w:rFonts w:ascii="Times New Roman" w:hAnsi="Times New Roman" w:cs="Times New Roman"/>
          <w:sz w:val="24"/>
          <w:szCs w:val="24"/>
        </w:rPr>
        <w:tab/>
      </w:r>
      <w:r w:rsidRPr="00636D16">
        <w:rPr>
          <w:rFonts w:ascii="Times New Roman" w:hAnsi="Times New Roman" w:cs="Times New Roman"/>
        </w:rPr>
        <w:t>“7 (1)……..</w:t>
      </w:r>
    </w:p>
    <w:p w:rsidR="00636D16" w:rsidRPr="00636D16" w:rsidRDefault="00636D16" w:rsidP="00223F73">
      <w:pPr>
        <w:spacing w:after="0" w:line="240" w:lineRule="auto"/>
        <w:jc w:val="both"/>
        <w:rPr>
          <w:rFonts w:ascii="Times New Roman" w:hAnsi="Times New Roman" w:cs="Times New Roman"/>
        </w:rPr>
      </w:pPr>
      <w:r w:rsidRPr="00636D16">
        <w:rPr>
          <w:rFonts w:ascii="Times New Roman" w:hAnsi="Times New Roman" w:cs="Times New Roman"/>
        </w:rPr>
        <w:tab/>
        <w:t xml:space="preserve">     (2)……..</w:t>
      </w:r>
    </w:p>
    <w:p w:rsidR="00636D16" w:rsidRPr="00636D16" w:rsidRDefault="00636D16" w:rsidP="00223F73">
      <w:pPr>
        <w:spacing w:after="0" w:line="240" w:lineRule="auto"/>
        <w:jc w:val="both"/>
        <w:rPr>
          <w:rFonts w:ascii="Times New Roman" w:hAnsi="Times New Roman" w:cs="Times New Roman"/>
        </w:rPr>
      </w:pPr>
      <w:r w:rsidRPr="00636D16">
        <w:rPr>
          <w:rFonts w:ascii="Times New Roman" w:hAnsi="Times New Roman" w:cs="Times New Roman"/>
        </w:rPr>
        <w:tab/>
        <w:t xml:space="preserve">    (3) An eligible employee </w:t>
      </w:r>
      <w:r w:rsidRPr="00636D16">
        <w:rPr>
          <w:rFonts w:ascii="Times New Roman" w:hAnsi="Times New Roman" w:cs="Times New Roman"/>
          <w:u w:val="single"/>
        </w:rPr>
        <w:t>shall</w:t>
      </w:r>
      <w:r w:rsidRPr="00636D16">
        <w:rPr>
          <w:rFonts w:ascii="Times New Roman" w:hAnsi="Times New Roman" w:cs="Times New Roman"/>
        </w:rPr>
        <w:t xml:space="preserve"> (my emphasis), become a member of the Fund on the </w:t>
      </w:r>
    </w:p>
    <w:p w:rsidR="00636D16" w:rsidRPr="00636D16" w:rsidRDefault="00636D16" w:rsidP="00223F73">
      <w:pPr>
        <w:spacing w:after="0" w:line="240" w:lineRule="auto"/>
        <w:ind w:left="1440"/>
        <w:jc w:val="both"/>
        <w:rPr>
          <w:rFonts w:ascii="Times New Roman" w:hAnsi="Times New Roman" w:cs="Times New Roman"/>
        </w:rPr>
      </w:pPr>
      <w:r w:rsidRPr="00636D16">
        <w:rPr>
          <w:rFonts w:ascii="Times New Roman" w:hAnsi="Times New Roman" w:cs="Times New Roman"/>
        </w:rPr>
        <w:t>first day</w:t>
      </w:r>
      <w:r>
        <w:rPr>
          <w:rFonts w:ascii="Times New Roman" w:hAnsi="Times New Roman" w:cs="Times New Roman"/>
        </w:rPr>
        <w:t xml:space="preserve"> of the month succeeding that in which h</w:t>
      </w:r>
      <w:r w:rsidR="007425F4">
        <w:rPr>
          <w:rFonts w:ascii="Times New Roman" w:hAnsi="Times New Roman" w:cs="Times New Roman"/>
        </w:rPr>
        <w:t>e</w:t>
      </w:r>
      <w:r>
        <w:rPr>
          <w:rFonts w:ascii="Times New Roman" w:hAnsi="Times New Roman" w:cs="Times New Roman"/>
        </w:rPr>
        <w:t xml:space="preserve"> completed six months service with an employer in the industry other than an employer who has been exempted from participating in the fund.”</w:t>
      </w:r>
    </w:p>
    <w:p w:rsidR="00636D16" w:rsidRPr="006C1AB3" w:rsidRDefault="00636D16" w:rsidP="00636D16">
      <w:pPr>
        <w:spacing w:after="0" w:line="360" w:lineRule="auto"/>
        <w:jc w:val="both"/>
        <w:rPr>
          <w:rFonts w:ascii="Times New Roman" w:hAnsi="Times New Roman" w:cs="Times New Roman"/>
          <w:b/>
          <w:sz w:val="24"/>
          <w:szCs w:val="24"/>
        </w:rPr>
      </w:pPr>
      <w:r w:rsidRPr="00636D16">
        <w:rPr>
          <w:rFonts w:ascii="Times New Roman" w:hAnsi="Times New Roman" w:cs="Times New Roman"/>
        </w:rPr>
        <w:tab/>
      </w:r>
      <w:r>
        <w:rPr>
          <w:rFonts w:ascii="Times New Roman" w:hAnsi="Times New Roman" w:cs="Times New Roman"/>
          <w:sz w:val="24"/>
          <w:szCs w:val="24"/>
        </w:rPr>
        <w:tab/>
      </w:r>
    </w:p>
    <w:p w:rsidR="00123745" w:rsidRDefault="00636D16" w:rsidP="006A65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that the effect of this provision is to make it mandatory for every employee in the industry who has been in employment for six months to be a member of the pension fund. The only employees who may not be members are those employed by an employer which has been granted an exemption from participating in the Fund. </w:t>
      </w:r>
      <w:r w:rsidR="00123745">
        <w:rPr>
          <w:rFonts w:ascii="Times New Roman" w:hAnsi="Times New Roman" w:cs="Times New Roman"/>
          <w:sz w:val="24"/>
          <w:szCs w:val="24"/>
        </w:rPr>
        <w:t>Therefore it is not necessary for employees to apply to belong to the pension fund: they are automatically members by operation of law merely by virtue of their employment in the industry</w:t>
      </w:r>
      <w:r w:rsidR="007425F4">
        <w:rPr>
          <w:rFonts w:ascii="Times New Roman" w:hAnsi="Times New Roman" w:cs="Times New Roman"/>
          <w:sz w:val="24"/>
          <w:szCs w:val="24"/>
        </w:rPr>
        <w:t xml:space="preserve"> as long as their employer is not exempt</w:t>
      </w:r>
      <w:r w:rsidR="00123745">
        <w:rPr>
          <w:rFonts w:ascii="Times New Roman" w:hAnsi="Times New Roman" w:cs="Times New Roman"/>
          <w:sz w:val="24"/>
          <w:szCs w:val="24"/>
        </w:rPr>
        <w:t xml:space="preserve">. </w:t>
      </w:r>
    </w:p>
    <w:p w:rsidR="00123745" w:rsidRDefault="00123745" w:rsidP="006A65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7425F4">
        <w:rPr>
          <w:rFonts w:ascii="Times New Roman" w:hAnsi="Times New Roman" w:cs="Times New Roman"/>
          <w:sz w:val="24"/>
          <w:szCs w:val="24"/>
        </w:rPr>
        <w:t>refore, the</w:t>
      </w:r>
      <w:r>
        <w:rPr>
          <w:rFonts w:ascii="Times New Roman" w:hAnsi="Times New Roman" w:cs="Times New Roman"/>
          <w:sz w:val="24"/>
          <w:szCs w:val="24"/>
        </w:rPr>
        <w:t xml:space="preserve"> only way that defendant’s employees could not have been members of the pension fund is if the defendant had sought and obtained exemption. On the papers, defendant has not alleged that it was exempt from operation of the law, or that it even made any application to be so exempt.</w:t>
      </w:r>
    </w:p>
    <w:p w:rsidR="00123745" w:rsidRDefault="00123745" w:rsidP="001237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I do not think that it is necessary </w:t>
      </w:r>
      <w:r w:rsidR="007425F4">
        <w:rPr>
          <w:rFonts w:ascii="Times New Roman" w:hAnsi="Times New Roman" w:cs="Times New Roman"/>
          <w:sz w:val="24"/>
          <w:szCs w:val="24"/>
        </w:rPr>
        <w:t xml:space="preserve">for the plaintiff </w:t>
      </w:r>
      <w:r>
        <w:rPr>
          <w:rFonts w:ascii="Times New Roman" w:hAnsi="Times New Roman" w:cs="Times New Roman"/>
          <w:sz w:val="24"/>
          <w:szCs w:val="24"/>
        </w:rPr>
        <w:t>to allege that the employees are members of the pension fund, because the law is the law</w:t>
      </w:r>
      <w:r w:rsidR="007425F4">
        <w:rPr>
          <w:rFonts w:ascii="Times New Roman" w:hAnsi="Times New Roman" w:cs="Times New Roman"/>
          <w:sz w:val="24"/>
          <w:szCs w:val="24"/>
        </w:rPr>
        <w:t>, w</w:t>
      </w:r>
      <w:r>
        <w:rPr>
          <w:rFonts w:ascii="Times New Roman" w:hAnsi="Times New Roman" w:cs="Times New Roman"/>
          <w:sz w:val="24"/>
          <w:szCs w:val="24"/>
        </w:rPr>
        <w:t xml:space="preserve">hether or not one alleges </w:t>
      </w:r>
      <w:r w:rsidR="007425F4">
        <w:rPr>
          <w:rFonts w:ascii="Times New Roman" w:hAnsi="Times New Roman" w:cs="Times New Roman"/>
          <w:sz w:val="24"/>
          <w:szCs w:val="24"/>
        </w:rPr>
        <w:t>it.</w:t>
      </w:r>
      <w:r>
        <w:rPr>
          <w:rFonts w:ascii="Times New Roman" w:hAnsi="Times New Roman" w:cs="Times New Roman"/>
          <w:sz w:val="24"/>
          <w:szCs w:val="24"/>
        </w:rPr>
        <w:t xml:space="preserve"> I </w:t>
      </w:r>
      <w:r w:rsidR="007425F4">
        <w:rPr>
          <w:rFonts w:ascii="Times New Roman" w:hAnsi="Times New Roman" w:cs="Times New Roman"/>
          <w:sz w:val="24"/>
          <w:szCs w:val="24"/>
        </w:rPr>
        <w:t xml:space="preserve">therefore </w:t>
      </w:r>
      <w:r>
        <w:rPr>
          <w:rFonts w:ascii="Times New Roman" w:hAnsi="Times New Roman" w:cs="Times New Roman"/>
          <w:sz w:val="24"/>
          <w:szCs w:val="24"/>
        </w:rPr>
        <w:t>find that the defendant’s employees are members of the pension fund by dictate of the law.</w:t>
      </w:r>
    </w:p>
    <w:p w:rsidR="00B922DB" w:rsidRDefault="00B922DB" w:rsidP="007C67F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Does the law</w:t>
      </w:r>
      <w:r w:rsidR="00BD3990">
        <w:rPr>
          <w:rFonts w:ascii="Times New Roman" w:hAnsi="Times New Roman" w:cs="Times New Roman"/>
          <w:i/>
          <w:sz w:val="24"/>
          <w:szCs w:val="24"/>
        </w:rPr>
        <w:t>, as prescribed in s19(1), (2) and (3) of S.I. 167/1991</w:t>
      </w:r>
      <w:r>
        <w:rPr>
          <w:rFonts w:ascii="Times New Roman" w:hAnsi="Times New Roman" w:cs="Times New Roman"/>
          <w:i/>
          <w:sz w:val="24"/>
          <w:szCs w:val="24"/>
        </w:rPr>
        <w:t xml:space="preserve"> violate defendant’s right to freedom of association in contravention of s58 of the Constitution?</w:t>
      </w:r>
    </w:p>
    <w:p w:rsidR="00043248" w:rsidRDefault="00043248" w:rsidP="007C67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S58 of the Constitution provides that </w:t>
      </w:r>
    </w:p>
    <w:p w:rsidR="00043248" w:rsidRDefault="00043248" w:rsidP="007C67FF">
      <w:pPr>
        <w:spacing w:after="0" w:line="360" w:lineRule="auto"/>
        <w:jc w:val="both"/>
        <w:rPr>
          <w:rFonts w:ascii="Times New Roman" w:hAnsi="Times New Roman" w:cs="Times New Roman"/>
          <w:sz w:val="24"/>
          <w:szCs w:val="24"/>
        </w:rPr>
      </w:pPr>
    </w:p>
    <w:p w:rsidR="00223F73" w:rsidRDefault="00043248" w:rsidP="00223F73">
      <w:pPr>
        <w:spacing w:after="0" w:line="240" w:lineRule="auto"/>
        <w:ind w:left="720"/>
        <w:jc w:val="both"/>
        <w:rPr>
          <w:rFonts w:ascii="Times New Roman" w:hAnsi="Times New Roman" w:cs="Times New Roman"/>
        </w:rPr>
      </w:pPr>
      <w:r w:rsidRPr="00043248">
        <w:rPr>
          <w:rFonts w:ascii="Times New Roman" w:hAnsi="Times New Roman" w:cs="Times New Roman"/>
        </w:rPr>
        <w:lastRenderedPageBreak/>
        <w:t>“1)</w:t>
      </w:r>
      <w:r w:rsidR="00223F73">
        <w:rPr>
          <w:rFonts w:ascii="Times New Roman" w:hAnsi="Times New Roman" w:cs="Times New Roman"/>
        </w:rPr>
        <w:t xml:space="preserve">  </w:t>
      </w:r>
      <w:r w:rsidRPr="00043248">
        <w:rPr>
          <w:rFonts w:ascii="Times New Roman" w:hAnsi="Times New Roman" w:cs="Times New Roman"/>
        </w:rPr>
        <w:t xml:space="preserve">Every person has the right to freedom of assembly and association, and the right not </w:t>
      </w:r>
    </w:p>
    <w:p w:rsidR="00043248" w:rsidRPr="00043248" w:rsidRDefault="00223F73" w:rsidP="00223F73">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043248" w:rsidRPr="00043248">
        <w:rPr>
          <w:rFonts w:ascii="Times New Roman" w:hAnsi="Times New Roman" w:cs="Times New Roman"/>
        </w:rPr>
        <w:t>to assemble or associate with others.</w:t>
      </w:r>
    </w:p>
    <w:p w:rsidR="00223F73" w:rsidRDefault="00043248" w:rsidP="00223F73">
      <w:pPr>
        <w:spacing w:after="0" w:line="240" w:lineRule="auto"/>
        <w:ind w:left="720"/>
        <w:jc w:val="both"/>
        <w:rPr>
          <w:rFonts w:ascii="Times New Roman" w:hAnsi="Times New Roman" w:cs="Times New Roman"/>
        </w:rPr>
      </w:pPr>
      <w:r>
        <w:rPr>
          <w:rFonts w:ascii="Times New Roman" w:hAnsi="Times New Roman" w:cs="Times New Roman"/>
        </w:rPr>
        <w:t>2)</w:t>
      </w:r>
      <w:r w:rsidR="00223F73">
        <w:rPr>
          <w:rFonts w:ascii="Times New Roman" w:hAnsi="Times New Roman" w:cs="Times New Roman"/>
        </w:rPr>
        <w:t xml:space="preserve">   </w:t>
      </w:r>
      <w:r>
        <w:rPr>
          <w:rFonts w:ascii="Times New Roman" w:hAnsi="Times New Roman" w:cs="Times New Roman"/>
        </w:rPr>
        <w:t xml:space="preserve">No person may be compelled to belong to an association or to attend a meeting or </w:t>
      </w:r>
    </w:p>
    <w:p w:rsidR="00043248" w:rsidRDefault="00223F73" w:rsidP="00223F73">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043248">
        <w:rPr>
          <w:rFonts w:ascii="Times New Roman" w:hAnsi="Times New Roman" w:cs="Times New Roman"/>
        </w:rPr>
        <w:t>gathering.”</w:t>
      </w:r>
    </w:p>
    <w:p w:rsidR="00043248" w:rsidRDefault="00043248" w:rsidP="00043248">
      <w:pPr>
        <w:spacing w:after="0" w:line="360" w:lineRule="auto"/>
        <w:jc w:val="both"/>
        <w:rPr>
          <w:rFonts w:ascii="Times New Roman" w:hAnsi="Times New Roman" w:cs="Times New Roman"/>
        </w:rPr>
      </w:pPr>
      <w:r>
        <w:rPr>
          <w:rFonts w:ascii="Times New Roman" w:hAnsi="Times New Roman" w:cs="Times New Roman"/>
        </w:rPr>
        <w:tab/>
      </w:r>
    </w:p>
    <w:p w:rsidR="00B70E30" w:rsidRDefault="00043248" w:rsidP="00043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does not dispute this truism, and quite rightly so. However, the defendant, in my view has gotten hold of the wrong end of the stick. This is not a matter where the defendant is being compelled to belong to an employers’ organisation. In fact, the various collective bargaining agreements governing the issue of payment of national employment council levies, trade union dues and pensions do not remotely suggest that the employers’ in a particular industry are constituted into an </w:t>
      </w:r>
      <w:r w:rsidR="009D606E">
        <w:rPr>
          <w:rFonts w:ascii="Times New Roman" w:hAnsi="Times New Roman" w:cs="Times New Roman"/>
          <w:sz w:val="24"/>
          <w:szCs w:val="24"/>
        </w:rPr>
        <w:t>employer’s</w:t>
      </w:r>
      <w:r>
        <w:rPr>
          <w:rFonts w:ascii="Times New Roman" w:hAnsi="Times New Roman" w:cs="Times New Roman"/>
          <w:sz w:val="24"/>
          <w:szCs w:val="24"/>
        </w:rPr>
        <w:t xml:space="preserve"> organisation.</w:t>
      </w:r>
      <w:r w:rsidR="00B70E30">
        <w:rPr>
          <w:rFonts w:ascii="Times New Roman" w:hAnsi="Times New Roman" w:cs="Times New Roman"/>
          <w:sz w:val="24"/>
          <w:szCs w:val="24"/>
        </w:rPr>
        <w:t xml:space="preserve"> Rather the obligation of the employer is merely to make payments for the benefit of its employees. It still remains free to choose to belong or not belong to an employer’s organisation.</w:t>
      </w:r>
      <w:r w:rsidR="001C1D56">
        <w:rPr>
          <w:rFonts w:ascii="Times New Roman" w:hAnsi="Times New Roman" w:cs="Times New Roman"/>
          <w:sz w:val="24"/>
          <w:szCs w:val="24"/>
        </w:rPr>
        <w:t xml:space="preserve"> By requiring plaintiff to deduct NEC levies and remit the same to the plaintiff, the law does not compel the plaintiff to belong to the NEC. NECs are not employer organisations, but are in fact mediums or arbiters for negotiation between employers and employees. </w:t>
      </w:r>
    </w:p>
    <w:p w:rsidR="00043248" w:rsidRDefault="00043248" w:rsidP="00B70E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w:t>
      </w:r>
      <w:r w:rsidR="00B70E30">
        <w:rPr>
          <w:rFonts w:ascii="Times New Roman" w:hAnsi="Times New Roman" w:cs="Times New Roman"/>
          <w:sz w:val="24"/>
          <w:szCs w:val="24"/>
        </w:rPr>
        <w:t>is is because th</w:t>
      </w:r>
      <w:r>
        <w:rPr>
          <w:rFonts w:ascii="Times New Roman" w:hAnsi="Times New Roman" w:cs="Times New Roman"/>
          <w:sz w:val="24"/>
          <w:szCs w:val="24"/>
        </w:rPr>
        <w:t xml:space="preserve">e objective </w:t>
      </w:r>
      <w:r w:rsidR="00B70E30">
        <w:rPr>
          <w:rFonts w:ascii="Times New Roman" w:hAnsi="Times New Roman" w:cs="Times New Roman"/>
          <w:sz w:val="24"/>
          <w:szCs w:val="24"/>
        </w:rPr>
        <w:t xml:space="preserve">of collective bargaining agreements </w:t>
      </w:r>
      <w:r>
        <w:rPr>
          <w:rFonts w:ascii="Times New Roman" w:hAnsi="Times New Roman" w:cs="Times New Roman"/>
          <w:sz w:val="24"/>
          <w:szCs w:val="24"/>
        </w:rPr>
        <w:t xml:space="preserve">is to level the negotiating field between </w:t>
      </w:r>
      <w:r w:rsidR="007425F4">
        <w:rPr>
          <w:rFonts w:ascii="Times New Roman" w:hAnsi="Times New Roman" w:cs="Times New Roman"/>
          <w:sz w:val="24"/>
          <w:szCs w:val="24"/>
        </w:rPr>
        <w:t xml:space="preserve">the </w:t>
      </w:r>
      <w:r>
        <w:rPr>
          <w:rFonts w:ascii="Times New Roman" w:hAnsi="Times New Roman" w:cs="Times New Roman"/>
          <w:sz w:val="24"/>
          <w:szCs w:val="24"/>
        </w:rPr>
        <w:t xml:space="preserve">employer and </w:t>
      </w:r>
      <w:r w:rsidR="007425F4">
        <w:rPr>
          <w:rFonts w:ascii="Times New Roman" w:hAnsi="Times New Roman" w:cs="Times New Roman"/>
          <w:sz w:val="24"/>
          <w:szCs w:val="24"/>
        </w:rPr>
        <w:t xml:space="preserve">the </w:t>
      </w:r>
      <w:r>
        <w:rPr>
          <w:rFonts w:ascii="Times New Roman" w:hAnsi="Times New Roman" w:cs="Times New Roman"/>
          <w:sz w:val="24"/>
          <w:szCs w:val="24"/>
        </w:rPr>
        <w:t>employee</w:t>
      </w:r>
      <w:r w:rsidR="007425F4">
        <w:rPr>
          <w:rFonts w:ascii="Times New Roman" w:hAnsi="Times New Roman" w:cs="Times New Roman"/>
          <w:sz w:val="24"/>
          <w:szCs w:val="24"/>
        </w:rPr>
        <w:t>, who is the weaker party in the employer/employee relationship,</w:t>
      </w:r>
      <w:r>
        <w:rPr>
          <w:rFonts w:ascii="Times New Roman" w:hAnsi="Times New Roman" w:cs="Times New Roman"/>
          <w:sz w:val="24"/>
          <w:szCs w:val="24"/>
        </w:rPr>
        <w:t xml:space="preserve"> by classifying their </w:t>
      </w:r>
      <w:r w:rsidR="009D606E">
        <w:rPr>
          <w:rFonts w:ascii="Times New Roman" w:hAnsi="Times New Roman" w:cs="Times New Roman"/>
          <w:sz w:val="24"/>
          <w:szCs w:val="24"/>
        </w:rPr>
        <w:t>sectorial</w:t>
      </w:r>
      <w:r>
        <w:rPr>
          <w:rFonts w:ascii="Times New Roman" w:hAnsi="Times New Roman" w:cs="Times New Roman"/>
          <w:sz w:val="24"/>
          <w:szCs w:val="24"/>
        </w:rPr>
        <w:t xml:space="preserve"> industries for the ease of negotiating the rights and benefits of employees. If anything, the NECs rather create employees’ organisations to the extent that </w:t>
      </w:r>
      <w:r w:rsidR="009D606E">
        <w:rPr>
          <w:rFonts w:ascii="Times New Roman" w:hAnsi="Times New Roman" w:cs="Times New Roman"/>
          <w:sz w:val="24"/>
          <w:szCs w:val="24"/>
        </w:rPr>
        <w:t>they result in trade unions for particular industries.</w:t>
      </w:r>
      <w:r w:rsidR="00B70E30">
        <w:rPr>
          <w:rFonts w:ascii="Times New Roman" w:hAnsi="Times New Roman" w:cs="Times New Roman"/>
          <w:sz w:val="24"/>
          <w:szCs w:val="24"/>
        </w:rPr>
        <w:t xml:space="preserve"> </w:t>
      </w:r>
    </w:p>
    <w:p w:rsidR="00516BDD" w:rsidRDefault="009D606E" w:rsidP="00043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any event, as rightly pointed out by the plaintiff, the right to freedom of association is not absolute, it being excluded from that status by s86 of the Constitution which permits limitations of rights as prescribed by a law of general application as long as the limitation is fair, reasonable, necessary and justified in a democratic society. </w:t>
      </w:r>
    </w:p>
    <w:p w:rsidR="006C1AB3" w:rsidRDefault="006C1AB3" w:rsidP="006C1A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particularly, subsection 3 of s86 specifically excludes the right to freedom of association from those rights which may not be derogated </w:t>
      </w:r>
      <w:r w:rsidR="001471D1">
        <w:rPr>
          <w:rFonts w:ascii="Times New Roman" w:hAnsi="Times New Roman" w:cs="Times New Roman"/>
          <w:sz w:val="24"/>
          <w:szCs w:val="24"/>
        </w:rPr>
        <w:t xml:space="preserve">from </w:t>
      </w:r>
      <w:r>
        <w:rPr>
          <w:rFonts w:ascii="Times New Roman" w:hAnsi="Times New Roman" w:cs="Times New Roman"/>
          <w:sz w:val="24"/>
          <w:szCs w:val="24"/>
        </w:rPr>
        <w:t xml:space="preserve">by force of law. In this respect s82 of the Labour Act </w:t>
      </w:r>
      <w:r w:rsidR="00BD1997">
        <w:rPr>
          <w:rFonts w:ascii="Times New Roman" w:hAnsi="Times New Roman" w:cs="Times New Roman"/>
          <w:sz w:val="24"/>
          <w:szCs w:val="24"/>
        </w:rPr>
        <w:t>[</w:t>
      </w:r>
      <w:r w:rsidRPr="00BD1997">
        <w:rPr>
          <w:rFonts w:ascii="Times New Roman" w:hAnsi="Times New Roman" w:cs="Times New Roman"/>
          <w:i/>
          <w:sz w:val="24"/>
          <w:szCs w:val="24"/>
        </w:rPr>
        <w:t>Chapter 28:01</w:t>
      </w:r>
      <w:r w:rsidR="00BD1997">
        <w:rPr>
          <w:rFonts w:ascii="Times New Roman" w:hAnsi="Times New Roman" w:cs="Times New Roman"/>
          <w:sz w:val="24"/>
          <w:szCs w:val="24"/>
        </w:rPr>
        <w:t>]</w:t>
      </w:r>
      <w:r w:rsidR="001471D1">
        <w:rPr>
          <w:rFonts w:ascii="Times New Roman" w:hAnsi="Times New Roman" w:cs="Times New Roman"/>
          <w:sz w:val="24"/>
          <w:szCs w:val="24"/>
        </w:rPr>
        <w:t xml:space="preserve"> is a law of general application. As such, it limits the right to freedom of association by allowing </w:t>
      </w:r>
      <w:r>
        <w:rPr>
          <w:rFonts w:ascii="Times New Roman" w:hAnsi="Times New Roman" w:cs="Times New Roman"/>
          <w:sz w:val="24"/>
          <w:szCs w:val="24"/>
        </w:rPr>
        <w:t>for parties to a collective bargaining agreement and their members, all employers, contractors and their respective employees in the undertaking or industry to which the agreement relates</w:t>
      </w:r>
      <w:r w:rsidR="001471D1">
        <w:rPr>
          <w:rFonts w:ascii="Times New Roman" w:hAnsi="Times New Roman" w:cs="Times New Roman"/>
          <w:sz w:val="24"/>
          <w:szCs w:val="24"/>
        </w:rPr>
        <w:t>,</w:t>
      </w:r>
      <w:r>
        <w:rPr>
          <w:rFonts w:ascii="Times New Roman" w:hAnsi="Times New Roman" w:cs="Times New Roman"/>
          <w:sz w:val="24"/>
          <w:szCs w:val="24"/>
        </w:rPr>
        <w:t xml:space="preserve"> to be bound thereby</w:t>
      </w:r>
      <w:r w:rsidR="001471D1">
        <w:rPr>
          <w:rFonts w:ascii="Times New Roman" w:hAnsi="Times New Roman" w:cs="Times New Roman"/>
          <w:sz w:val="24"/>
          <w:szCs w:val="24"/>
        </w:rPr>
        <w:t>, in derogation of their right to freedom of association.</w:t>
      </w:r>
    </w:p>
    <w:p w:rsidR="007425F4" w:rsidRDefault="007425F4" w:rsidP="007425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Therefore, to the extent that defendant makes no submissions as to the unfairness, unreasonableness or unjustifiability of the law in a democratic society, I do not find it necessary to traverse the test applied both in international law and our domestic jurisprudence with regard to a law, which, despite being valid, may nevertheless offend constitutional provisions in the bill of rights to the extent that it limits those rights.</w:t>
      </w:r>
      <w:r>
        <w:rPr>
          <w:rStyle w:val="FootnoteReference"/>
          <w:rFonts w:ascii="Times New Roman" w:hAnsi="Times New Roman"/>
          <w:sz w:val="24"/>
          <w:szCs w:val="24"/>
        </w:rPr>
        <w:footnoteReference w:id="1"/>
      </w:r>
    </w:p>
    <w:p w:rsidR="00F95E9A" w:rsidRDefault="00F95E9A" w:rsidP="006C1A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w:t>
      </w:r>
      <w:r w:rsidR="001471D1">
        <w:rPr>
          <w:rFonts w:ascii="Times New Roman" w:hAnsi="Times New Roman" w:cs="Times New Roman"/>
          <w:sz w:val="24"/>
          <w:szCs w:val="24"/>
        </w:rPr>
        <w:t xml:space="preserve">us </w:t>
      </w:r>
      <w:r>
        <w:rPr>
          <w:rFonts w:ascii="Times New Roman" w:hAnsi="Times New Roman" w:cs="Times New Roman"/>
          <w:sz w:val="24"/>
          <w:szCs w:val="24"/>
        </w:rPr>
        <w:t xml:space="preserve">subscribe to the sentiments of </w:t>
      </w:r>
      <w:r w:rsidRPr="00BD1997">
        <w:rPr>
          <w:rFonts w:ascii="Times New Roman" w:hAnsi="Times New Roman" w:cs="Times New Roman"/>
          <w:smallCaps/>
          <w:sz w:val="24"/>
          <w:szCs w:val="24"/>
        </w:rPr>
        <w:t>Makoni J</w:t>
      </w:r>
      <w:r>
        <w:rPr>
          <w:rFonts w:ascii="Times New Roman" w:hAnsi="Times New Roman" w:cs="Times New Roman"/>
          <w:sz w:val="24"/>
          <w:szCs w:val="24"/>
        </w:rPr>
        <w:t xml:space="preserve"> (as then was) when she stated that</w:t>
      </w:r>
    </w:p>
    <w:p w:rsidR="00F95E9A" w:rsidRDefault="00F95E9A" w:rsidP="00BD1997">
      <w:pPr>
        <w:spacing w:after="0" w:line="240" w:lineRule="auto"/>
        <w:ind w:left="720"/>
        <w:jc w:val="both"/>
        <w:rPr>
          <w:rFonts w:ascii="Times New Roman" w:hAnsi="Times New Roman" w:cs="Times New Roman"/>
        </w:rPr>
      </w:pPr>
      <w:r w:rsidRPr="00F95E9A">
        <w:rPr>
          <w:rFonts w:ascii="Times New Roman" w:hAnsi="Times New Roman" w:cs="Times New Roman"/>
        </w:rPr>
        <w:t>“I fin</w:t>
      </w:r>
      <w:r w:rsidR="001C1D56">
        <w:rPr>
          <w:rFonts w:ascii="Times New Roman" w:hAnsi="Times New Roman" w:cs="Times New Roman"/>
        </w:rPr>
        <w:t>d merit in the submissions…….</w:t>
      </w:r>
      <w:r w:rsidRPr="00F95E9A">
        <w:rPr>
          <w:rFonts w:ascii="Times New Roman" w:hAnsi="Times New Roman" w:cs="Times New Roman"/>
        </w:rPr>
        <w:t>that the whole fabric of the process of collective bargaining and enforceability is meant to protect the interests of those parties that are affected by it. The law maker determined that the registration of CBAs shall have the effect of binding players in the industries to which they apply. Not to do so would defeat the objectives of collective bargaining some of which are</w:t>
      </w:r>
      <w:r>
        <w:rPr>
          <w:rFonts w:ascii="Times New Roman" w:hAnsi="Times New Roman" w:cs="Times New Roman"/>
        </w:rPr>
        <w:t xml:space="preserve"> </w:t>
      </w:r>
      <w:r w:rsidRPr="00F95E9A">
        <w:rPr>
          <w:rFonts w:ascii="Times New Roman" w:hAnsi="Times New Roman" w:cs="Times New Roman"/>
        </w:rPr>
        <w:t>to restore the unequal bargaining position between employers and employees and to peg minimum conditions of employment to ensure adequate protection of the weaker party to an employment contract i.e. the employee. Statutory intervention is justified to deter some unscrupulous employers from abusing and trampling upon the rights of employees with impunity.”</w:t>
      </w:r>
      <w:r w:rsidR="00F30640">
        <w:rPr>
          <w:rStyle w:val="FootnoteReference"/>
          <w:rFonts w:ascii="Times New Roman" w:hAnsi="Times New Roman"/>
        </w:rPr>
        <w:footnoteReference w:id="2"/>
      </w:r>
    </w:p>
    <w:p w:rsidR="006C1AB3" w:rsidRPr="00043248" w:rsidRDefault="006C1AB3" w:rsidP="00F95E9A">
      <w:pPr>
        <w:spacing w:after="0" w:line="360" w:lineRule="auto"/>
        <w:ind w:left="720"/>
        <w:jc w:val="both"/>
        <w:rPr>
          <w:rFonts w:ascii="Times New Roman" w:hAnsi="Times New Roman" w:cs="Times New Roman"/>
          <w:sz w:val="24"/>
          <w:szCs w:val="24"/>
        </w:rPr>
      </w:pPr>
    </w:p>
    <w:p w:rsidR="00B70E30" w:rsidRDefault="00B70E30" w:rsidP="00B70E30">
      <w:pPr>
        <w:spacing w:after="0" w:line="360" w:lineRule="auto"/>
        <w:ind w:firstLine="720"/>
        <w:jc w:val="both"/>
        <w:rPr>
          <w:rFonts w:ascii="Times New Roman" w:hAnsi="Times New Roman" w:cs="Times New Roman"/>
        </w:rPr>
      </w:pPr>
      <w:r>
        <w:rPr>
          <w:rFonts w:ascii="Times New Roman" w:hAnsi="Times New Roman" w:cs="Times New Roman"/>
        </w:rPr>
        <w:t xml:space="preserve">Therefore in the absence of a successful challenge to s82 of the Labour Act, the defendant remains bound by the law and must comply with collective bargaining agreements made thereunder. By no stretch of imagination can the current plea be construed to be a challenge as to the constitutionality of s82 of the Labour Act. </w:t>
      </w:r>
      <w:r w:rsidR="006C1AB3">
        <w:rPr>
          <w:rFonts w:ascii="Times New Roman" w:hAnsi="Times New Roman" w:cs="Times New Roman"/>
        </w:rPr>
        <w:t>Consequently, I find that no violation of defendant’s constitutional rights has occurred</w:t>
      </w:r>
      <w:r w:rsidR="001C1D56">
        <w:rPr>
          <w:rFonts w:ascii="Times New Roman" w:hAnsi="Times New Roman" w:cs="Times New Roman"/>
        </w:rPr>
        <w:t xml:space="preserve"> as s19 of the Collective Bargaining Agreement S</w:t>
      </w:r>
      <w:r w:rsidR="006C1AB3">
        <w:rPr>
          <w:rFonts w:ascii="Times New Roman" w:hAnsi="Times New Roman" w:cs="Times New Roman"/>
        </w:rPr>
        <w:t>.</w:t>
      </w:r>
      <w:r w:rsidR="001C1D56">
        <w:rPr>
          <w:rFonts w:ascii="Times New Roman" w:hAnsi="Times New Roman" w:cs="Times New Roman"/>
        </w:rPr>
        <w:t>I. 167 of 1991 does not create an employer’s organisation.</w:t>
      </w:r>
    </w:p>
    <w:p w:rsidR="00B922DB" w:rsidRDefault="00B922DB" w:rsidP="00B70E30">
      <w:pPr>
        <w:spacing w:after="0" w:line="360" w:lineRule="auto"/>
        <w:ind w:firstLine="720"/>
        <w:jc w:val="both"/>
        <w:rPr>
          <w:rFonts w:ascii="Times New Roman" w:hAnsi="Times New Roman" w:cs="Times New Roman"/>
          <w:i/>
          <w:sz w:val="24"/>
          <w:szCs w:val="24"/>
        </w:rPr>
      </w:pPr>
      <w:r w:rsidRPr="00B70E30">
        <w:rPr>
          <w:rFonts w:ascii="Times New Roman" w:hAnsi="Times New Roman" w:cs="Times New Roman"/>
          <w:i/>
        </w:rPr>
        <w:t xml:space="preserve">What </w:t>
      </w:r>
      <w:r w:rsidRPr="00043248">
        <w:rPr>
          <w:rFonts w:ascii="Times New Roman" w:hAnsi="Times New Roman" w:cs="Times New Roman"/>
        </w:rPr>
        <w:t>is</w:t>
      </w:r>
      <w:r>
        <w:rPr>
          <w:rFonts w:ascii="Times New Roman" w:hAnsi="Times New Roman" w:cs="Times New Roman"/>
          <w:i/>
          <w:sz w:val="24"/>
          <w:szCs w:val="24"/>
        </w:rPr>
        <w:t xml:space="preserve"> the effect, on the rights and obligations of the defendant, of a law which remains extant, but which violates its constitutional rights?</w:t>
      </w:r>
    </w:p>
    <w:p w:rsidR="00B70E30" w:rsidRPr="00B70E30" w:rsidRDefault="00B70E30" w:rsidP="00576C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found that there is no constitutional violation of the defendant’s freedom of association, it is not necessary to traverse this question.</w:t>
      </w:r>
      <w:r>
        <w:rPr>
          <w:rFonts w:ascii="Times New Roman" w:hAnsi="Times New Roman" w:cs="Times New Roman"/>
          <w:i/>
          <w:sz w:val="24"/>
          <w:szCs w:val="24"/>
        </w:rPr>
        <w:tab/>
      </w:r>
    </w:p>
    <w:p w:rsidR="0009761F" w:rsidRPr="006247B8" w:rsidRDefault="0009761F" w:rsidP="007C67FF">
      <w:pPr>
        <w:spacing w:after="0" w:line="360" w:lineRule="auto"/>
        <w:jc w:val="both"/>
        <w:rPr>
          <w:rFonts w:ascii="Times New Roman" w:hAnsi="Times New Roman" w:cs="Times New Roman"/>
          <w:b/>
          <w:sz w:val="24"/>
          <w:szCs w:val="24"/>
        </w:rPr>
      </w:pPr>
      <w:r w:rsidRPr="006247B8">
        <w:rPr>
          <w:rFonts w:ascii="Times New Roman" w:hAnsi="Times New Roman" w:cs="Times New Roman"/>
          <w:b/>
          <w:sz w:val="24"/>
          <w:szCs w:val="24"/>
        </w:rPr>
        <w:t>Conclusion</w:t>
      </w:r>
    </w:p>
    <w:p w:rsidR="00892555" w:rsidRDefault="001D481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23745">
        <w:rPr>
          <w:rFonts w:ascii="Times New Roman" w:hAnsi="Times New Roman" w:cs="Times New Roman"/>
          <w:sz w:val="24"/>
          <w:szCs w:val="24"/>
        </w:rPr>
        <w:t xml:space="preserve">n conclusion, it is my view </w:t>
      </w:r>
      <w:r w:rsidR="00892555">
        <w:rPr>
          <w:rFonts w:ascii="Times New Roman" w:hAnsi="Times New Roman" w:cs="Times New Roman"/>
          <w:sz w:val="24"/>
          <w:szCs w:val="24"/>
        </w:rPr>
        <w:t xml:space="preserve">that the statutory instruments relied upon by the plaintiff for defendant to effect payment of NEC levy, pension contributions and trade union dues have not been abrogated and remain valid. In particular membership of the pension fund for the catering industry is mandatory for defendant’s employees requiring that defendant makes the contributions thereto as required by the law. The plaintiff’s claim is therefore competent as it alleges that defendant failed to comply with mandatory provisions. Furthermore the defendant’s constitutional right to freedom of assembly and association has not been violated </w:t>
      </w:r>
      <w:r w:rsidR="001471D1">
        <w:rPr>
          <w:rFonts w:ascii="Times New Roman" w:hAnsi="Times New Roman" w:cs="Times New Roman"/>
          <w:sz w:val="24"/>
          <w:szCs w:val="24"/>
        </w:rPr>
        <w:t>as the law does not compel it to belo</w:t>
      </w:r>
      <w:r w:rsidR="00892555">
        <w:rPr>
          <w:rFonts w:ascii="Times New Roman" w:hAnsi="Times New Roman" w:cs="Times New Roman"/>
          <w:sz w:val="24"/>
          <w:szCs w:val="24"/>
        </w:rPr>
        <w:t>ng to an employer’s organisation</w:t>
      </w:r>
      <w:r w:rsidR="001471D1">
        <w:rPr>
          <w:rFonts w:ascii="Times New Roman" w:hAnsi="Times New Roman" w:cs="Times New Roman"/>
          <w:sz w:val="24"/>
          <w:szCs w:val="24"/>
        </w:rPr>
        <w:t>.</w:t>
      </w:r>
      <w:r w:rsidR="00892555">
        <w:rPr>
          <w:rFonts w:ascii="Times New Roman" w:hAnsi="Times New Roman" w:cs="Times New Roman"/>
          <w:sz w:val="24"/>
          <w:szCs w:val="24"/>
        </w:rPr>
        <w:t xml:space="preserve"> </w:t>
      </w:r>
      <w:r w:rsidR="001471D1">
        <w:rPr>
          <w:rFonts w:ascii="Times New Roman" w:hAnsi="Times New Roman" w:cs="Times New Roman"/>
          <w:sz w:val="24"/>
          <w:szCs w:val="24"/>
        </w:rPr>
        <w:t>Therefore, t</w:t>
      </w:r>
      <w:r w:rsidR="00892555">
        <w:rPr>
          <w:rFonts w:ascii="Times New Roman" w:hAnsi="Times New Roman" w:cs="Times New Roman"/>
          <w:sz w:val="24"/>
          <w:szCs w:val="24"/>
        </w:rPr>
        <w:t xml:space="preserve">he </w:t>
      </w:r>
      <w:r w:rsidR="00892555">
        <w:rPr>
          <w:rFonts w:ascii="Times New Roman" w:hAnsi="Times New Roman" w:cs="Times New Roman"/>
          <w:sz w:val="24"/>
          <w:szCs w:val="24"/>
        </w:rPr>
        <w:lastRenderedPageBreak/>
        <w:t xml:space="preserve">quantum of the claim </w:t>
      </w:r>
      <w:r w:rsidR="001471D1">
        <w:rPr>
          <w:rFonts w:ascii="Times New Roman" w:hAnsi="Times New Roman" w:cs="Times New Roman"/>
          <w:sz w:val="24"/>
          <w:szCs w:val="24"/>
        </w:rPr>
        <w:t xml:space="preserve">having </w:t>
      </w:r>
      <w:r w:rsidR="00892555">
        <w:rPr>
          <w:rFonts w:ascii="Times New Roman" w:hAnsi="Times New Roman" w:cs="Times New Roman"/>
          <w:sz w:val="24"/>
          <w:szCs w:val="24"/>
        </w:rPr>
        <w:t>be</w:t>
      </w:r>
      <w:r w:rsidR="001471D1">
        <w:rPr>
          <w:rFonts w:ascii="Times New Roman" w:hAnsi="Times New Roman" w:cs="Times New Roman"/>
          <w:sz w:val="24"/>
          <w:szCs w:val="24"/>
        </w:rPr>
        <w:t>en</w:t>
      </w:r>
      <w:r w:rsidR="00892555">
        <w:rPr>
          <w:rFonts w:ascii="Times New Roman" w:hAnsi="Times New Roman" w:cs="Times New Roman"/>
          <w:sz w:val="24"/>
          <w:szCs w:val="24"/>
        </w:rPr>
        <w:t xml:space="preserve"> agreed</w:t>
      </w:r>
      <w:r w:rsidR="001471D1">
        <w:rPr>
          <w:rFonts w:ascii="Times New Roman" w:hAnsi="Times New Roman" w:cs="Times New Roman"/>
          <w:sz w:val="24"/>
          <w:szCs w:val="24"/>
        </w:rPr>
        <w:t xml:space="preserve"> by the parties,</w:t>
      </w:r>
      <w:r w:rsidR="00892555">
        <w:rPr>
          <w:rFonts w:ascii="Times New Roman" w:hAnsi="Times New Roman" w:cs="Times New Roman"/>
          <w:sz w:val="24"/>
          <w:szCs w:val="24"/>
        </w:rPr>
        <w:t xml:space="preserve"> the defendant must be compelled to </w:t>
      </w:r>
      <w:r w:rsidR="00117FC6">
        <w:rPr>
          <w:rFonts w:ascii="Times New Roman" w:hAnsi="Times New Roman" w:cs="Times New Roman"/>
          <w:sz w:val="24"/>
          <w:szCs w:val="24"/>
        </w:rPr>
        <w:t xml:space="preserve">pay </w:t>
      </w:r>
      <w:r w:rsidR="00892555">
        <w:rPr>
          <w:rFonts w:ascii="Times New Roman" w:hAnsi="Times New Roman" w:cs="Times New Roman"/>
          <w:sz w:val="24"/>
          <w:szCs w:val="24"/>
        </w:rPr>
        <w:t>the same to the plaintiff.</w:t>
      </w:r>
    </w:p>
    <w:p w:rsidR="00BD1997" w:rsidRDefault="00BD1997" w:rsidP="00BD1997">
      <w:pPr>
        <w:spacing w:after="0" w:line="240" w:lineRule="auto"/>
        <w:jc w:val="both"/>
        <w:rPr>
          <w:rFonts w:ascii="Times New Roman" w:hAnsi="Times New Roman" w:cs="Times New Roman"/>
          <w:b/>
          <w:sz w:val="24"/>
          <w:szCs w:val="24"/>
        </w:rPr>
      </w:pPr>
    </w:p>
    <w:p w:rsidR="00E8667E" w:rsidRPr="00E8667E" w:rsidRDefault="00E8667E" w:rsidP="007C67FF">
      <w:pPr>
        <w:spacing w:after="0" w:line="360" w:lineRule="auto"/>
        <w:jc w:val="both"/>
        <w:rPr>
          <w:rFonts w:ascii="Times New Roman" w:hAnsi="Times New Roman" w:cs="Times New Roman"/>
          <w:b/>
          <w:sz w:val="24"/>
          <w:szCs w:val="24"/>
        </w:rPr>
      </w:pPr>
      <w:r w:rsidRPr="00E8667E">
        <w:rPr>
          <w:rFonts w:ascii="Times New Roman" w:hAnsi="Times New Roman" w:cs="Times New Roman"/>
          <w:b/>
          <w:sz w:val="24"/>
          <w:szCs w:val="24"/>
        </w:rPr>
        <w:t>Disposition</w:t>
      </w:r>
    </w:p>
    <w:p w:rsidR="00117FC6" w:rsidRDefault="00E8667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w:t>
      </w:r>
      <w:r w:rsidR="00117FC6">
        <w:rPr>
          <w:rFonts w:ascii="Times New Roman" w:hAnsi="Times New Roman" w:cs="Times New Roman"/>
          <w:sz w:val="24"/>
          <w:szCs w:val="24"/>
        </w:rPr>
        <w:t>it be and is hereby</w:t>
      </w:r>
      <w:r>
        <w:rPr>
          <w:rFonts w:ascii="Times New Roman" w:hAnsi="Times New Roman" w:cs="Times New Roman"/>
          <w:sz w:val="24"/>
          <w:szCs w:val="24"/>
        </w:rPr>
        <w:t xml:space="preserve"> ordered that the </w:t>
      </w:r>
      <w:r w:rsidR="00117FC6">
        <w:rPr>
          <w:rFonts w:ascii="Times New Roman" w:hAnsi="Times New Roman" w:cs="Times New Roman"/>
          <w:sz w:val="24"/>
          <w:szCs w:val="24"/>
        </w:rPr>
        <w:t>defendant shall pay to the plaintiff:</w:t>
      </w:r>
    </w:p>
    <w:p w:rsidR="00117FC6" w:rsidRDefault="00117FC6" w:rsidP="00117FC6">
      <w:pPr>
        <w:pStyle w:val="ListParagraph"/>
        <w:numPr>
          <w:ilvl w:val="0"/>
          <w:numId w:val="25"/>
        </w:numPr>
        <w:spacing w:after="0" w:line="360" w:lineRule="auto"/>
        <w:jc w:val="both"/>
        <w:rPr>
          <w:rFonts w:ascii="Times New Roman" w:hAnsi="Times New Roman" w:cs="Times New Roman"/>
          <w:sz w:val="24"/>
          <w:szCs w:val="24"/>
        </w:rPr>
      </w:pPr>
      <w:r w:rsidRPr="00117FC6">
        <w:rPr>
          <w:rFonts w:ascii="Times New Roman" w:hAnsi="Times New Roman" w:cs="Times New Roman"/>
          <w:sz w:val="24"/>
          <w:szCs w:val="24"/>
        </w:rPr>
        <w:t>the sum of $37 369.82 with interest thereon at the prescribed rate from date of service of summons to date of full and final payment.</w:t>
      </w:r>
    </w:p>
    <w:p w:rsidR="00E8667E" w:rsidRPr="00117FC6" w:rsidRDefault="0009761F" w:rsidP="00117FC6">
      <w:pPr>
        <w:pStyle w:val="ListParagraph"/>
        <w:numPr>
          <w:ilvl w:val="0"/>
          <w:numId w:val="25"/>
        </w:numPr>
        <w:spacing w:after="0" w:line="360" w:lineRule="auto"/>
        <w:jc w:val="both"/>
        <w:rPr>
          <w:rFonts w:ascii="Times New Roman" w:hAnsi="Times New Roman" w:cs="Times New Roman"/>
          <w:sz w:val="24"/>
          <w:szCs w:val="24"/>
        </w:rPr>
      </w:pPr>
      <w:r w:rsidRPr="00117FC6">
        <w:rPr>
          <w:rFonts w:ascii="Times New Roman" w:hAnsi="Times New Roman" w:cs="Times New Roman"/>
          <w:sz w:val="24"/>
          <w:szCs w:val="24"/>
        </w:rPr>
        <w:t>costs</w:t>
      </w:r>
      <w:r w:rsidR="005C213D" w:rsidRPr="00117FC6">
        <w:rPr>
          <w:rFonts w:ascii="Times New Roman" w:hAnsi="Times New Roman" w:cs="Times New Roman"/>
          <w:sz w:val="24"/>
          <w:szCs w:val="24"/>
        </w:rPr>
        <w:t xml:space="preserve"> o</w:t>
      </w:r>
      <w:r w:rsidR="00117FC6">
        <w:rPr>
          <w:rFonts w:ascii="Times New Roman" w:hAnsi="Times New Roman" w:cs="Times New Roman"/>
          <w:sz w:val="24"/>
          <w:szCs w:val="24"/>
        </w:rPr>
        <w:t>f suit</w:t>
      </w:r>
      <w:r w:rsidR="005C213D" w:rsidRPr="00117FC6">
        <w:rPr>
          <w:rFonts w:ascii="Times New Roman" w:hAnsi="Times New Roman" w:cs="Times New Roman"/>
          <w:sz w:val="24"/>
          <w:szCs w:val="24"/>
        </w:rPr>
        <w:t>.</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342680" w:rsidRDefault="00342680" w:rsidP="00192891">
      <w:pPr>
        <w:spacing w:after="0" w:line="240" w:lineRule="auto"/>
        <w:jc w:val="both"/>
        <w:rPr>
          <w:rFonts w:ascii="Times New Roman" w:hAnsi="Times New Roman" w:cs="Times New Roman"/>
          <w:i/>
          <w:sz w:val="24"/>
          <w:szCs w:val="24"/>
        </w:rPr>
      </w:pPr>
    </w:p>
    <w:p w:rsidR="00342680" w:rsidRDefault="00342680" w:rsidP="00192891">
      <w:pPr>
        <w:spacing w:after="0" w:line="240" w:lineRule="auto"/>
        <w:jc w:val="both"/>
        <w:rPr>
          <w:rFonts w:ascii="Times New Roman" w:hAnsi="Times New Roman" w:cs="Times New Roman"/>
          <w:i/>
          <w:sz w:val="24"/>
          <w:szCs w:val="24"/>
        </w:rPr>
      </w:pPr>
    </w:p>
    <w:p w:rsidR="00D611EB" w:rsidRPr="00D611EB" w:rsidRDefault="00117FC6"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Machingambi Legal Practitioners</w:t>
      </w:r>
      <w:r>
        <w:rPr>
          <w:rFonts w:ascii="Times New Roman" w:hAnsi="Times New Roman" w:cs="Times New Roman"/>
          <w:sz w:val="24"/>
          <w:szCs w:val="24"/>
        </w:rPr>
        <w:t>, pl</w:t>
      </w:r>
      <w:r w:rsidR="006D6E91">
        <w:rPr>
          <w:rFonts w:ascii="Times New Roman" w:hAnsi="Times New Roman" w:cs="Times New Roman"/>
          <w:sz w:val="24"/>
          <w:szCs w:val="24"/>
        </w:rPr>
        <w:t>aintiff</w:t>
      </w:r>
      <w:r w:rsidR="00D611EB" w:rsidRPr="00D611EB">
        <w:rPr>
          <w:rFonts w:ascii="Times New Roman" w:hAnsi="Times New Roman" w:cs="Times New Roman"/>
          <w:sz w:val="24"/>
          <w:szCs w:val="24"/>
        </w:rPr>
        <w:t>’s legal practitioners</w:t>
      </w:r>
    </w:p>
    <w:p w:rsidR="001916DB" w:rsidRPr="001916DB" w:rsidRDefault="00117FC6"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Kawonde Legal Services</w:t>
      </w:r>
      <w:r w:rsidR="00855D51">
        <w:rPr>
          <w:rFonts w:ascii="Times New Roman" w:hAnsi="Times New Roman" w:cs="Times New Roman"/>
          <w:i/>
          <w:sz w:val="24"/>
          <w:szCs w:val="24"/>
        </w:rPr>
        <w:t>,</w:t>
      </w:r>
      <w:r w:rsidR="00CE58C2">
        <w:rPr>
          <w:rFonts w:ascii="Times New Roman" w:hAnsi="Times New Roman" w:cs="Times New Roman"/>
          <w:sz w:val="24"/>
          <w:szCs w:val="24"/>
        </w:rPr>
        <w:t xml:space="preserve"> </w:t>
      </w:r>
      <w:r w:rsidR="00E8667E">
        <w:rPr>
          <w:rFonts w:ascii="Times New Roman" w:hAnsi="Times New Roman" w:cs="Times New Roman"/>
          <w:sz w:val="24"/>
          <w:szCs w:val="24"/>
        </w:rPr>
        <w:t>d</w:t>
      </w:r>
      <w:r w:rsidR="0074620D">
        <w:rPr>
          <w:rFonts w:ascii="Times New Roman" w:hAnsi="Times New Roman" w:cs="Times New Roman"/>
          <w:sz w:val="24"/>
          <w:szCs w:val="24"/>
        </w:rPr>
        <w:t>efendant</w:t>
      </w:r>
      <w:r w:rsidR="00855D51">
        <w:rPr>
          <w:rFonts w:ascii="Times New Roman" w:hAnsi="Times New Roman" w:cs="Times New Roman"/>
          <w:sz w:val="24"/>
          <w:szCs w:val="24"/>
        </w:rPr>
        <w:t>’</w:t>
      </w:r>
      <w:r w:rsidR="00F53C8A">
        <w:rPr>
          <w:rFonts w:ascii="Times New Roman" w:hAnsi="Times New Roman" w:cs="Times New Roman"/>
          <w:sz w:val="24"/>
          <w:szCs w:val="24"/>
        </w:rPr>
        <w: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5A4" w:rsidRDefault="001C65A4" w:rsidP="00A5344D">
      <w:pPr>
        <w:spacing w:after="0" w:line="240" w:lineRule="auto"/>
      </w:pPr>
      <w:r>
        <w:separator/>
      </w:r>
    </w:p>
  </w:endnote>
  <w:endnote w:type="continuationSeparator" w:id="0">
    <w:p w:rsidR="001C65A4" w:rsidRDefault="001C65A4"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5A4" w:rsidRDefault="001C65A4" w:rsidP="00A5344D">
      <w:pPr>
        <w:spacing w:after="0" w:line="240" w:lineRule="auto"/>
      </w:pPr>
      <w:r>
        <w:separator/>
      </w:r>
    </w:p>
  </w:footnote>
  <w:footnote w:type="continuationSeparator" w:id="0">
    <w:p w:rsidR="001C65A4" w:rsidRDefault="001C65A4" w:rsidP="00A5344D">
      <w:pPr>
        <w:spacing w:after="0" w:line="240" w:lineRule="auto"/>
      </w:pPr>
      <w:r>
        <w:continuationSeparator/>
      </w:r>
    </w:p>
  </w:footnote>
  <w:footnote w:id="1">
    <w:p w:rsidR="007425F4" w:rsidRPr="006C1AB3" w:rsidRDefault="007425F4" w:rsidP="007425F4">
      <w:pPr>
        <w:pStyle w:val="FootnoteText"/>
      </w:pPr>
      <w:r>
        <w:rPr>
          <w:rStyle w:val="FootnoteReference"/>
        </w:rPr>
        <w:footnoteRef/>
      </w:r>
      <w:r>
        <w:t xml:space="preserve"> See </w:t>
      </w:r>
      <w:r w:rsidRPr="0028631C">
        <w:rPr>
          <w:i/>
        </w:rPr>
        <w:t>Sergeant Khauyeza v The Trial Officer &amp; Anor</w:t>
      </w:r>
      <w:r>
        <w:t xml:space="preserve"> HH 311-18 at p.8-9</w:t>
      </w:r>
    </w:p>
  </w:footnote>
  <w:footnote w:id="2">
    <w:p w:rsidR="00F30640" w:rsidRPr="00F30640" w:rsidRDefault="00F30640">
      <w:pPr>
        <w:pStyle w:val="FootnoteText"/>
        <w:rPr>
          <w:lang w:val="en-ZW"/>
        </w:rPr>
      </w:pPr>
      <w:r>
        <w:rPr>
          <w:rStyle w:val="FootnoteReference"/>
        </w:rPr>
        <w:footnoteRef/>
      </w:r>
      <w:r>
        <w:t xml:space="preserve"> </w:t>
      </w:r>
      <w:r w:rsidRPr="00F30640">
        <w:rPr>
          <w:i/>
          <w:lang w:val="en-ZW"/>
        </w:rPr>
        <w:t>Netone Cellular P/L v Minister of Public Service Labour and Social Welfare And Anor</w:t>
      </w:r>
      <w:r>
        <w:rPr>
          <w:lang w:val="en-ZW"/>
        </w:rPr>
        <w:t xml:space="preserve"> HH 211/15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FD55AE">
          <w:rPr>
            <w:noProof/>
          </w:rPr>
          <w:t>1</w:t>
        </w:r>
        <w:r>
          <w:rPr>
            <w:noProof/>
          </w:rPr>
          <w:fldChar w:fldCharType="end"/>
        </w:r>
      </w:p>
      <w:p w:rsidR="001A7735" w:rsidRDefault="001A7735">
        <w:pPr>
          <w:pStyle w:val="Header"/>
          <w:jc w:val="right"/>
          <w:rPr>
            <w:noProof/>
          </w:rPr>
        </w:pPr>
        <w:r>
          <w:rPr>
            <w:noProof/>
          </w:rPr>
          <w:t>HH</w:t>
        </w:r>
        <w:r w:rsidR="00D44ED3">
          <w:rPr>
            <w:noProof/>
          </w:rPr>
          <w:t xml:space="preserve"> </w:t>
        </w:r>
        <w:r w:rsidR="000E184A">
          <w:rPr>
            <w:noProof/>
          </w:rPr>
          <w:t>460-18</w:t>
        </w:r>
      </w:p>
      <w:p w:rsidR="002B7E9A" w:rsidRDefault="00AD30D7">
        <w:pPr>
          <w:pStyle w:val="Header"/>
          <w:jc w:val="right"/>
          <w:rPr>
            <w:noProof/>
          </w:rPr>
        </w:pPr>
        <w:r>
          <w:rPr>
            <w:noProof/>
          </w:rPr>
          <w:t>HC</w:t>
        </w:r>
        <w:r w:rsidR="005F5D5C">
          <w:rPr>
            <w:noProof/>
          </w:rPr>
          <w:t xml:space="preserve"> </w:t>
        </w:r>
        <w:r w:rsidR="00DC2A46">
          <w:rPr>
            <w:noProof/>
          </w:rPr>
          <w:t>8</w:t>
        </w:r>
        <w:r w:rsidR="000E3E08">
          <w:rPr>
            <w:noProof/>
          </w:rPr>
          <w:t>281</w:t>
        </w:r>
        <w:r w:rsidR="00673887">
          <w:rPr>
            <w:noProof/>
          </w:rPr>
          <w:t>/1</w:t>
        </w:r>
        <w:r w:rsidR="000E3E08">
          <w:rPr>
            <w:noProof/>
          </w:rPr>
          <w:t>5</w:t>
        </w:r>
      </w:p>
      <w:p w:rsidR="00AD30D7" w:rsidRDefault="001C65A4" w:rsidP="00174FCA">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1F5D5C3D"/>
    <w:multiLevelType w:val="hybridMultilevel"/>
    <w:tmpl w:val="F8DCD21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7B639B2"/>
    <w:multiLevelType w:val="hybridMultilevel"/>
    <w:tmpl w:val="765AD398"/>
    <w:lvl w:ilvl="0" w:tplc="08E450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F7316CC"/>
    <w:multiLevelType w:val="hybridMultilevel"/>
    <w:tmpl w:val="B8D44E4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3B265EC4"/>
    <w:multiLevelType w:val="hybridMultilevel"/>
    <w:tmpl w:val="1F78AC9A"/>
    <w:lvl w:ilvl="0" w:tplc="D06C6B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7"/>
  </w:num>
  <w:num w:numId="2">
    <w:abstractNumId w:val="3"/>
  </w:num>
  <w:num w:numId="3">
    <w:abstractNumId w:val="1"/>
  </w:num>
  <w:num w:numId="4">
    <w:abstractNumId w:val="21"/>
  </w:num>
  <w:num w:numId="5">
    <w:abstractNumId w:val="22"/>
  </w:num>
  <w:num w:numId="6">
    <w:abstractNumId w:val="24"/>
  </w:num>
  <w:num w:numId="7">
    <w:abstractNumId w:val="10"/>
  </w:num>
  <w:num w:numId="8">
    <w:abstractNumId w:val="16"/>
  </w:num>
  <w:num w:numId="9">
    <w:abstractNumId w:val="20"/>
  </w:num>
  <w:num w:numId="10">
    <w:abstractNumId w:val="5"/>
  </w:num>
  <w:num w:numId="11">
    <w:abstractNumId w:val="18"/>
  </w:num>
  <w:num w:numId="12">
    <w:abstractNumId w:val="8"/>
  </w:num>
  <w:num w:numId="13">
    <w:abstractNumId w:val="15"/>
  </w:num>
  <w:num w:numId="14">
    <w:abstractNumId w:val="19"/>
  </w:num>
  <w:num w:numId="15">
    <w:abstractNumId w:val="23"/>
  </w:num>
  <w:num w:numId="16">
    <w:abstractNumId w:val="13"/>
  </w:num>
  <w:num w:numId="17">
    <w:abstractNumId w:val="2"/>
  </w:num>
  <w:num w:numId="18">
    <w:abstractNumId w:val="0"/>
  </w:num>
  <w:num w:numId="19">
    <w:abstractNumId w:val="12"/>
  </w:num>
  <w:num w:numId="20">
    <w:abstractNumId w:val="11"/>
  </w:num>
  <w:num w:numId="21">
    <w:abstractNumId w:val="14"/>
  </w:num>
  <w:num w:numId="22">
    <w:abstractNumId w:val="6"/>
  </w:num>
  <w:num w:numId="23">
    <w:abstractNumId w:val="4"/>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06FE9"/>
    <w:rsid w:val="0001033C"/>
    <w:rsid w:val="00012D36"/>
    <w:rsid w:val="000147B5"/>
    <w:rsid w:val="00020429"/>
    <w:rsid w:val="00025F72"/>
    <w:rsid w:val="00036056"/>
    <w:rsid w:val="00043248"/>
    <w:rsid w:val="00047385"/>
    <w:rsid w:val="00051357"/>
    <w:rsid w:val="000657F4"/>
    <w:rsid w:val="00065992"/>
    <w:rsid w:val="00072CCD"/>
    <w:rsid w:val="00074CFF"/>
    <w:rsid w:val="000807CC"/>
    <w:rsid w:val="00080C6C"/>
    <w:rsid w:val="0008185F"/>
    <w:rsid w:val="00083CFF"/>
    <w:rsid w:val="00090BBF"/>
    <w:rsid w:val="00096727"/>
    <w:rsid w:val="0009761F"/>
    <w:rsid w:val="000B46C2"/>
    <w:rsid w:val="000C02B4"/>
    <w:rsid w:val="000C1585"/>
    <w:rsid w:val="000C65B2"/>
    <w:rsid w:val="000E184A"/>
    <w:rsid w:val="000E23D9"/>
    <w:rsid w:val="000E3E08"/>
    <w:rsid w:val="000E4F4E"/>
    <w:rsid w:val="000F6C31"/>
    <w:rsid w:val="001015A9"/>
    <w:rsid w:val="00117FC6"/>
    <w:rsid w:val="00122EC5"/>
    <w:rsid w:val="00123745"/>
    <w:rsid w:val="00123797"/>
    <w:rsid w:val="00123FD7"/>
    <w:rsid w:val="00124D8F"/>
    <w:rsid w:val="0013647D"/>
    <w:rsid w:val="00144F54"/>
    <w:rsid w:val="0014648F"/>
    <w:rsid w:val="001471D1"/>
    <w:rsid w:val="00153236"/>
    <w:rsid w:val="0016137A"/>
    <w:rsid w:val="00165726"/>
    <w:rsid w:val="00165A09"/>
    <w:rsid w:val="00174FCA"/>
    <w:rsid w:val="00183D71"/>
    <w:rsid w:val="00190755"/>
    <w:rsid w:val="00191489"/>
    <w:rsid w:val="001916DB"/>
    <w:rsid w:val="00192891"/>
    <w:rsid w:val="001A562F"/>
    <w:rsid w:val="001A7735"/>
    <w:rsid w:val="001B7EEB"/>
    <w:rsid w:val="001C1D56"/>
    <w:rsid w:val="001C5AA9"/>
    <w:rsid w:val="001C65A4"/>
    <w:rsid w:val="001D298A"/>
    <w:rsid w:val="001D481A"/>
    <w:rsid w:val="001E0BDC"/>
    <w:rsid w:val="001E416C"/>
    <w:rsid w:val="001F0A47"/>
    <w:rsid w:val="001F0CCD"/>
    <w:rsid w:val="001F2230"/>
    <w:rsid w:val="001F7BE4"/>
    <w:rsid w:val="002020BF"/>
    <w:rsid w:val="00202A27"/>
    <w:rsid w:val="00216B3D"/>
    <w:rsid w:val="00223F73"/>
    <w:rsid w:val="00226660"/>
    <w:rsid w:val="00226AF2"/>
    <w:rsid w:val="002319D6"/>
    <w:rsid w:val="002405FA"/>
    <w:rsid w:val="00242E6F"/>
    <w:rsid w:val="0025507C"/>
    <w:rsid w:val="0025531A"/>
    <w:rsid w:val="002564A8"/>
    <w:rsid w:val="0026135C"/>
    <w:rsid w:val="0026207C"/>
    <w:rsid w:val="00264214"/>
    <w:rsid w:val="00273F92"/>
    <w:rsid w:val="002831A9"/>
    <w:rsid w:val="0028631C"/>
    <w:rsid w:val="00293728"/>
    <w:rsid w:val="002A1BDC"/>
    <w:rsid w:val="002A6D8A"/>
    <w:rsid w:val="002B7E9A"/>
    <w:rsid w:val="002D62E1"/>
    <w:rsid w:val="002E29B2"/>
    <w:rsid w:val="002E5B08"/>
    <w:rsid w:val="002E7C2E"/>
    <w:rsid w:val="002F3DB8"/>
    <w:rsid w:val="003071B4"/>
    <w:rsid w:val="00320282"/>
    <w:rsid w:val="0032298B"/>
    <w:rsid w:val="00325905"/>
    <w:rsid w:val="00342680"/>
    <w:rsid w:val="0034675B"/>
    <w:rsid w:val="00355C36"/>
    <w:rsid w:val="00390475"/>
    <w:rsid w:val="00390E7B"/>
    <w:rsid w:val="00397B6F"/>
    <w:rsid w:val="003B20BF"/>
    <w:rsid w:val="003C2681"/>
    <w:rsid w:val="003C5EE9"/>
    <w:rsid w:val="003D00DF"/>
    <w:rsid w:val="003D0FEC"/>
    <w:rsid w:val="003D2792"/>
    <w:rsid w:val="003D3E83"/>
    <w:rsid w:val="003D670B"/>
    <w:rsid w:val="003E3361"/>
    <w:rsid w:val="003F2824"/>
    <w:rsid w:val="003F3A45"/>
    <w:rsid w:val="003F643B"/>
    <w:rsid w:val="003F7809"/>
    <w:rsid w:val="0040093B"/>
    <w:rsid w:val="0041452D"/>
    <w:rsid w:val="00420197"/>
    <w:rsid w:val="004203A1"/>
    <w:rsid w:val="00437D7D"/>
    <w:rsid w:val="004445DA"/>
    <w:rsid w:val="004475E6"/>
    <w:rsid w:val="004500CB"/>
    <w:rsid w:val="00451135"/>
    <w:rsid w:val="004512E7"/>
    <w:rsid w:val="00453BC6"/>
    <w:rsid w:val="00460D28"/>
    <w:rsid w:val="00460F6B"/>
    <w:rsid w:val="004639FA"/>
    <w:rsid w:val="00471446"/>
    <w:rsid w:val="00472D5B"/>
    <w:rsid w:val="004735E9"/>
    <w:rsid w:val="00482DE2"/>
    <w:rsid w:val="00483ECA"/>
    <w:rsid w:val="00485DC3"/>
    <w:rsid w:val="00491066"/>
    <w:rsid w:val="00495FDC"/>
    <w:rsid w:val="004A06CC"/>
    <w:rsid w:val="004C78B7"/>
    <w:rsid w:val="004C7B4C"/>
    <w:rsid w:val="004D4139"/>
    <w:rsid w:val="004D6946"/>
    <w:rsid w:val="004E4BA6"/>
    <w:rsid w:val="004E6CC3"/>
    <w:rsid w:val="005023C5"/>
    <w:rsid w:val="00503A3D"/>
    <w:rsid w:val="005066B5"/>
    <w:rsid w:val="0051094F"/>
    <w:rsid w:val="00516BDD"/>
    <w:rsid w:val="005213E9"/>
    <w:rsid w:val="00521501"/>
    <w:rsid w:val="0053181F"/>
    <w:rsid w:val="00532124"/>
    <w:rsid w:val="00542B0B"/>
    <w:rsid w:val="005432BC"/>
    <w:rsid w:val="00550CAB"/>
    <w:rsid w:val="00553215"/>
    <w:rsid w:val="00553418"/>
    <w:rsid w:val="00556EB9"/>
    <w:rsid w:val="00557E46"/>
    <w:rsid w:val="00566A1F"/>
    <w:rsid w:val="0057413E"/>
    <w:rsid w:val="00576CE2"/>
    <w:rsid w:val="00587660"/>
    <w:rsid w:val="00592B58"/>
    <w:rsid w:val="00595F6A"/>
    <w:rsid w:val="005A2C1C"/>
    <w:rsid w:val="005A63D6"/>
    <w:rsid w:val="005A6410"/>
    <w:rsid w:val="005C20C4"/>
    <w:rsid w:val="005C213D"/>
    <w:rsid w:val="005C3F5C"/>
    <w:rsid w:val="005D2DFA"/>
    <w:rsid w:val="005D41DC"/>
    <w:rsid w:val="005D6AE9"/>
    <w:rsid w:val="005E1FC3"/>
    <w:rsid w:val="005F5D5C"/>
    <w:rsid w:val="005F63AD"/>
    <w:rsid w:val="00607906"/>
    <w:rsid w:val="00610D6E"/>
    <w:rsid w:val="00613729"/>
    <w:rsid w:val="00617093"/>
    <w:rsid w:val="00623987"/>
    <w:rsid w:val="006247B8"/>
    <w:rsid w:val="0062597B"/>
    <w:rsid w:val="00626888"/>
    <w:rsid w:val="006302DD"/>
    <w:rsid w:val="006343F5"/>
    <w:rsid w:val="00636280"/>
    <w:rsid w:val="00636D16"/>
    <w:rsid w:val="0063762C"/>
    <w:rsid w:val="0064067B"/>
    <w:rsid w:val="00640901"/>
    <w:rsid w:val="00651153"/>
    <w:rsid w:val="00654C9B"/>
    <w:rsid w:val="006651EB"/>
    <w:rsid w:val="00673887"/>
    <w:rsid w:val="00676928"/>
    <w:rsid w:val="006802A1"/>
    <w:rsid w:val="0068380A"/>
    <w:rsid w:val="00684211"/>
    <w:rsid w:val="00697D53"/>
    <w:rsid w:val="006A02F3"/>
    <w:rsid w:val="006A05B9"/>
    <w:rsid w:val="006A2509"/>
    <w:rsid w:val="006A2875"/>
    <w:rsid w:val="006A28B3"/>
    <w:rsid w:val="006A65B3"/>
    <w:rsid w:val="006A65BD"/>
    <w:rsid w:val="006B3F67"/>
    <w:rsid w:val="006B7F5C"/>
    <w:rsid w:val="006C1AB3"/>
    <w:rsid w:val="006D6E91"/>
    <w:rsid w:val="006D7AEF"/>
    <w:rsid w:val="006F7DF0"/>
    <w:rsid w:val="00700560"/>
    <w:rsid w:val="00705117"/>
    <w:rsid w:val="007079A8"/>
    <w:rsid w:val="00716AF5"/>
    <w:rsid w:val="007204EB"/>
    <w:rsid w:val="00720544"/>
    <w:rsid w:val="0072318E"/>
    <w:rsid w:val="0072321F"/>
    <w:rsid w:val="007275F2"/>
    <w:rsid w:val="00730E79"/>
    <w:rsid w:val="0073687C"/>
    <w:rsid w:val="007425F4"/>
    <w:rsid w:val="007455BE"/>
    <w:rsid w:val="0074620D"/>
    <w:rsid w:val="00753C5C"/>
    <w:rsid w:val="00754C4C"/>
    <w:rsid w:val="00760A78"/>
    <w:rsid w:val="0076341D"/>
    <w:rsid w:val="00766DB1"/>
    <w:rsid w:val="007703F9"/>
    <w:rsid w:val="00774C0E"/>
    <w:rsid w:val="00775EC9"/>
    <w:rsid w:val="00781FAB"/>
    <w:rsid w:val="00783C63"/>
    <w:rsid w:val="007A0ADB"/>
    <w:rsid w:val="007A13DA"/>
    <w:rsid w:val="007A2882"/>
    <w:rsid w:val="007A3773"/>
    <w:rsid w:val="007B4B62"/>
    <w:rsid w:val="007B4B9D"/>
    <w:rsid w:val="007B6BCE"/>
    <w:rsid w:val="007B7D1C"/>
    <w:rsid w:val="007C2219"/>
    <w:rsid w:val="007C67FF"/>
    <w:rsid w:val="007D7A7A"/>
    <w:rsid w:val="007D7E4B"/>
    <w:rsid w:val="0080069A"/>
    <w:rsid w:val="00800D9E"/>
    <w:rsid w:val="00804275"/>
    <w:rsid w:val="00811906"/>
    <w:rsid w:val="00821DBB"/>
    <w:rsid w:val="00831025"/>
    <w:rsid w:val="00843C2C"/>
    <w:rsid w:val="00851C4B"/>
    <w:rsid w:val="00855D51"/>
    <w:rsid w:val="00862C84"/>
    <w:rsid w:val="0086329F"/>
    <w:rsid w:val="00864E52"/>
    <w:rsid w:val="0086651B"/>
    <w:rsid w:val="00870A78"/>
    <w:rsid w:val="008747F1"/>
    <w:rsid w:val="00890585"/>
    <w:rsid w:val="00892555"/>
    <w:rsid w:val="008A3F23"/>
    <w:rsid w:val="008A7603"/>
    <w:rsid w:val="008A7CF2"/>
    <w:rsid w:val="008B04F7"/>
    <w:rsid w:val="008B0512"/>
    <w:rsid w:val="008B7F1F"/>
    <w:rsid w:val="008C3325"/>
    <w:rsid w:val="008C48D1"/>
    <w:rsid w:val="008C6468"/>
    <w:rsid w:val="008D51A3"/>
    <w:rsid w:val="008D5B14"/>
    <w:rsid w:val="009049A6"/>
    <w:rsid w:val="009160A2"/>
    <w:rsid w:val="00921972"/>
    <w:rsid w:val="00924F5C"/>
    <w:rsid w:val="00930208"/>
    <w:rsid w:val="00935391"/>
    <w:rsid w:val="00936404"/>
    <w:rsid w:val="00940045"/>
    <w:rsid w:val="00943046"/>
    <w:rsid w:val="00944AE6"/>
    <w:rsid w:val="009454CB"/>
    <w:rsid w:val="00954F68"/>
    <w:rsid w:val="009616C9"/>
    <w:rsid w:val="00964A1D"/>
    <w:rsid w:val="0098161D"/>
    <w:rsid w:val="00992A46"/>
    <w:rsid w:val="00996296"/>
    <w:rsid w:val="009A1665"/>
    <w:rsid w:val="009A2029"/>
    <w:rsid w:val="009B4612"/>
    <w:rsid w:val="009B6A22"/>
    <w:rsid w:val="009B6C41"/>
    <w:rsid w:val="009D606E"/>
    <w:rsid w:val="009E3F68"/>
    <w:rsid w:val="009F6E30"/>
    <w:rsid w:val="00A21E6F"/>
    <w:rsid w:val="00A224BE"/>
    <w:rsid w:val="00A2642B"/>
    <w:rsid w:val="00A32902"/>
    <w:rsid w:val="00A33497"/>
    <w:rsid w:val="00A42911"/>
    <w:rsid w:val="00A43EE6"/>
    <w:rsid w:val="00A44BB3"/>
    <w:rsid w:val="00A465F8"/>
    <w:rsid w:val="00A46FB7"/>
    <w:rsid w:val="00A5344D"/>
    <w:rsid w:val="00A563A7"/>
    <w:rsid w:val="00A620DB"/>
    <w:rsid w:val="00A63DCC"/>
    <w:rsid w:val="00A66595"/>
    <w:rsid w:val="00A70274"/>
    <w:rsid w:val="00A71BC1"/>
    <w:rsid w:val="00A72477"/>
    <w:rsid w:val="00A74CDA"/>
    <w:rsid w:val="00A820E4"/>
    <w:rsid w:val="00A91397"/>
    <w:rsid w:val="00AA75D1"/>
    <w:rsid w:val="00AB6264"/>
    <w:rsid w:val="00AB6AD1"/>
    <w:rsid w:val="00AC0E9E"/>
    <w:rsid w:val="00AC368F"/>
    <w:rsid w:val="00AC5598"/>
    <w:rsid w:val="00AD30D7"/>
    <w:rsid w:val="00AE1630"/>
    <w:rsid w:val="00B00361"/>
    <w:rsid w:val="00B13657"/>
    <w:rsid w:val="00B2441C"/>
    <w:rsid w:val="00B25DE2"/>
    <w:rsid w:val="00B3468F"/>
    <w:rsid w:val="00B37BD6"/>
    <w:rsid w:val="00B6195C"/>
    <w:rsid w:val="00B61EB9"/>
    <w:rsid w:val="00B64122"/>
    <w:rsid w:val="00B70E30"/>
    <w:rsid w:val="00B922DB"/>
    <w:rsid w:val="00B92437"/>
    <w:rsid w:val="00BB1D1B"/>
    <w:rsid w:val="00BB24DC"/>
    <w:rsid w:val="00BB62B5"/>
    <w:rsid w:val="00BC3355"/>
    <w:rsid w:val="00BC5EBB"/>
    <w:rsid w:val="00BD1997"/>
    <w:rsid w:val="00BD3990"/>
    <w:rsid w:val="00BE25F4"/>
    <w:rsid w:val="00BF3061"/>
    <w:rsid w:val="00BF6A37"/>
    <w:rsid w:val="00BF6D6C"/>
    <w:rsid w:val="00C052F5"/>
    <w:rsid w:val="00C104A1"/>
    <w:rsid w:val="00C210AF"/>
    <w:rsid w:val="00C232F9"/>
    <w:rsid w:val="00C347AB"/>
    <w:rsid w:val="00C36767"/>
    <w:rsid w:val="00C42EA9"/>
    <w:rsid w:val="00C5559B"/>
    <w:rsid w:val="00C63838"/>
    <w:rsid w:val="00C65A52"/>
    <w:rsid w:val="00C66194"/>
    <w:rsid w:val="00C773D1"/>
    <w:rsid w:val="00C84DF1"/>
    <w:rsid w:val="00CB0D71"/>
    <w:rsid w:val="00CB1D00"/>
    <w:rsid w:val="00CC0F35"/>
    <w:rsid w:val="00CD1665"/>
    <w:rsid w:val="00CD48C0"/>
    <w:rsid w:val="00CE58C2"/>
    <w:rsid w:val="00CF106B"/>
    <w:rsid w:val="00CF6279"/>
    <w:rsid w:val="00D12F8B"/>
    <w:rsid w:val="00D1434C"/>
    <w:rsid w:val="00D3143A"/>
    <w:rsid w:val="00D3509E"/>
    <w:rsid w:val="00D354B3"/>
    <w:rsid w:val="00D37968"/>
    <w:rsid w:val="00D40A47"/>
    <w:rsid w:val="00D43339"/>
    <w:rsid w:val="00D44ED3"/>
    <w:rsid w:val="00D51414"/>
    <w:rsid w:val="00D54499"/>
    <w:rsid w:val="00D55DD3"/>
    <w:rsid w:val="00D611EB"/>
    <w:rsid w:val="00D71A82"/>
    <w:rsid w:val="00D7717B"/>
    <w:rsid w:val="00D828DE"/>
    <w:rsid w:val="00D87187"/>
    <w:rsid w:val="00D96EF2"/>
    <w:rsid w:val="00D97910"/>
    <w:rsid w:val="00DB1CBD"/>
    <w:rsid w:val="00DB5BB1"/>
    <w:rsid w:val="00DC2A46"/>
    <w:rsid w:val="00DC6B9A"/>
    <w:rsid w:val="00DC77DA"/>
    <w:rsid w:val="00DD77FF"/>
    <w:rsid w:val="00DE0C5F"/>
    <w:rsid w:val="00DE793E"/>
    <w:rsid w:val="00DF7AE0"/>
    <w:rsid w:val="00E04C72"/>
    <w:rsid w:val="00E15273"/>
    <w:rsid w:val="00E16D07"/>
    <w:rsid w:val="00E35E50"/>
    <w:rsid w:val="00E41939"/>
    <w:rsid w:val="00E5163E"/>
    <w:rsid w:val="00E5797F"/>
    <w:rsid w:val="00E66010"/>
    <w:rsid w:val="00E759BB"/>
    <w:rsid w:val="00E81695"/>
    <w:rsid w:val="00E84641"/>
    <w:rsid w:val="00E85705"/>
    <w:rsid w:val="00E8667E"/>
    <w:rsid w:val="00E90BDA"/>
    <w:rsid w:val="00E90CDA"/>
    <w:rsid w:val="00EB603C"/>
    <w:rsid w:val="00EB605A"/>
    <w:rsid w:val="00ED34E4"/>
    <w:rsid w:val="00ED7886"/>
    <w:rsid w:val="00EE147D"/>
    <w:rsid w:val="00EE1B58"/>
    <w:rsid w:val="00EE22C4"/>
    <w:rsid w:val="00EE412F"/>
    <w:rsid w:val="00EE779E"/>
    <w:rsid w:val="00EF3939"/>
    <w:rsid w:val="00EF3A9B"/>
    <w:rsid w:val="00F00E80"/>
    <w:rsid w:val="00F15F02"/>
    <w:rsid w:val="00F30640"/>
    <w:rsid w:val="00F31E66"/>
    <w:rsid w:val="00F41839"/>
    <w:rsid w:val="00F44250"/>
    <w:rsid w:val="00F52AD4"/>
    <w:rsid w:val="00F53C8A"/>
    <w:rsid w:val="00F634F8"/>
    <w:rsid w:val="00F6679B"/>
    <w:rsid w:val="00F7027B"/>
    <w:rsid w:val="00F74C5F"/>
    <w:rsid w:val="00F95E9A"/>
    <w:rsid w:val="00FA0532"/>
    <w:rsid w:val="00FA5BAB"/>
    <w:rsid w:val="00FA6187"/>
    <w:rsid w:val="00FC5220"/>
    <w:rsid w:val="00FD55AE"/>
    <w:rsid w:val="00FD7503"/>
    <w:rsid w:val="00FD7DD9"/>
    <w:rsid w:val="00FE218C"/>
    <w:rsid w:val="00FE34F2"/>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3ADB7-C0D2-40A0-BEDB-7611939C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A19C-F69D-489B-8C18-53D81682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2018-08-03T12:35:00Z</cp:lastPrinted>
  <dcterms:created xsi:type="dcterms:W3CDTF">2018-08-06T07:15:00Z</dcterms:created>
  <dcterms:modified xsi:type="dcterms:W3CDTF">2018-08-06T07:15:00Z</dcterms:modified>
</cp:coreProperties>
</file>