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DA" w:rsidRDefault="007771DA" w:rsidP="007771DA">
      <w:pPr>
        <w:spacing w:after="0" w:line="240" w:lineRule="auto"/>
        <w:rPr>
          <w:rFonts w:ascii="Times New Roman" w:hAnsi="Times New Roman" w:cs="Times New Roman"/>
          <w:sz w:val="24"/>
          <w:szCs w:val="24"/>
        </w:rPr>
      </w:pPr>
      <w:bookmarkStart w:id="0" w:name="_GoBack"/>
      <w:bookmarkEnd w:id="0"/>
    </w:p>
    <w:p w:rsidR="007771DA" w:rsidRDefault="007771DA" w:rsidP="007771DA">
      <w:pPr>
        <w:spacing w:after="0" w:line="240" w:lineRule="auto"/>
        <w:rPr>
          <w:rFonts w:ascii="Times New Roman" w:hAnsi="Times New Roman" w:cs="Times New Roman"/>
          <w:sz w:val="24"/>
          <w:szCs w:val="24"/>
        </w:rPr>
      </w:pPr>
    </w:p>
    <w:p w:rsidR="002541BA" w:rsidRPr="007771DA" w:rsidRDefault="00C14AF5"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NATIONAL EMPLOYMENT COUNCIL FOR THE AGRICULTURAL INDUSTRY</w:t>
      </w:r>
    </w:p>
    <w:p w:rsidR="00531FF0" w:rsidRPr="007771DA" w:rsidRDefault="00531FF0" w:rsidP="007771DA">
      <w:pPr>
        <w:spacing w:after="0" w:line="240" w:lineRule="auto"/>
        <w:rPr>
          <w:rFonts w:ascii="Times New Roman" w:hAnsi="Times New Roman" w:cs="Times New Roman"/>
          <w:sz w:val="24"/>
          <w:szCs w:val="24"/>
        </w:rPr>
      </w:pPr>
      <w:r w:rsidRPr="007771DA">
        <w:rPr>
          <w:rFonts w:ascii="Times New Roman" w:hAnsi="Times New Roman" w:cs="Times New Roman"/>
          <w:sz w:val="24"/>
          <w:szCs w:val="24"/>
        </w:rPr>
        <w:t>versus</w:t>
      </w:r>
    </w:p>
    <w:p w:rsidR="00531FF0" w:rsidRDefault="00C14AF5"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ZIM BIO ENERGY (PRIVATE) LIMITED</w:t>
      </w:r>
    </w:p>
    <w:p w:rsidR="007771DA" w:rsidRDefault="007771DA" w:rsidP="007771DA">
      <w:pPr>
        <w:spacing w:after="0" w:line="240" w:lineRule="auto"/>
        <w:rPr>
          <w:rFonts w:ascii="Times New Roman" w:hAnsi="Times New Roman" w:cs="Times New Roman"/>
          <w:sz w:val="24"/>
          <w:szCs w:val="24"/>
        </w:rPr>
      </w:pPr>
    </w:p>
    <w:p w:rsidR="007771DA" w:rsidRPr="007771DA" w:rsidRDefault="007771DA" w:rsidP="007771DA">
      <w:pPr>
        <w:spacing w:after="0" w:line="240" w:lineRule="auto"/>
        <w:rPr>
          <w:rFonts w:ascii="Times New Roman" w:hAnsi="Times New Roman" w:cs="Times New Roman"/>
          <w:sz w:val="24"/>
          <w:szCs w:val="24"/>
        </w:rPr>
      </w:pPr>
    </w:p>
    <w:p w:rsidR="00531FF0" w:rsidRPr="007771DA" w:rsidRDefault="00726873" w:rsidP="00726873">
      <w:pPr>
        <w:tabs>
          <w:tab w:val="left" w:pos="1485"/>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531FF0" w:rsidRPr="007771DA" w:rsidRDefault="00531FF0" w:rsidP="007771DA">
      <w:pPr>
        <w:spacing w:after="0" w:line="240" w:lineRule="auto"/>
        <w:rPr>
          <w:rFonts w:ascii="Times New Roman" w:hAnsi="Times New Roman" w:cs="Times New Roman"/>
          <w:sz w:val="24"/>
          <w:szCs w:val="24"/>
        </w:rPr>
      </w:pPr>
      <w:r w:rsidRPr="007771DA">
        <w:rPr>
          <w:rFonts w:ascii="Times New Roman" w:hAnsi="Times New Roman" w:cs="Times New Roman"/>
          <w:sz w:val="24"/>
          <w:szCs w:val="24"/>
        </w:rPr>
        <w:t>HIGH COURT OF ZIMBABWE</w:t>
      </w:r>
    </w:p>
    <w:p w:rsidR="00531FF0" w:rsidRPr="007771DA" w:rsidRDefault="00C14AF5"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MATHONS</w:t>
      </w:r>
      <w:r w:rsidR="00531FF0" w:rsidRPr="007771DA">
        <w:rPr>
          <w:rFonts w:ascii="Times New Roman" w:hAnsi="Times New Roman" w:cs="Times New Roman"/>
          <w:sz w:val="24"/>
          <w:szCs w:val="24"/>
        </w:rPr>
        <w:t>I J</w:t>
      </w:r>
    </w:p>
    <w:p w:rsidR="00531FF0" w:rsidRPr="007771DA" w:rsidRDefault="00C14AF5" w:rsidP="007771DA">
      <w:pPr>
        <w:spacing w:after="0" w:line="240" w:lineRule="auto"/>
        <w:rPr>
          <w:rFonts w:ascii="Times New Roman" w:hAnsi="Times New Roman" w:cs="Times New Roman"/>
          <w:sz w:val="24"/>
          <w:szCs w:val="24"/>
        </w:rPr>
      </w:pPr>
      <w:r>
        <w:rPr>
          <w:rFonts w:ascii="Times New Roman" w:hAnsi="Times New Roman" w:cs="Times New Roman"/>
          <w:sz w:val="24"/>
          <w:szCs w:val="24"/>
        </w:rPr>
        <w:t>HARARE, 26 July 2018</w:t>
      </w:r>
      <w:r w:rsidR="007771DA">
        <w:rPr>
          <w:rFonts w:ascii="Times New Roman" w:hAnsi="Times New Roman" w:cs="Times New Roman"/>
          <w:sz w:val="24"/>
          <w:szCs w:val="24"/>
        </w:rPr>
        <w:t xml:space="preserve"> &amp;</w:t>
      </w:r>
      <w:r w:rsidR="00105386">
        <w:rPr>
          <w:rFonts w:ascii="Times New Roman" w:hAnsi="Times New Roman" w:cs="Times New Roman"/>
          <w:sz w:val="24"/>
          <w:szCs w:val="24"/>
        </w:rPr>
        <w:t xml:space="preserve"> 8</w:t>
      </w:r>
      <w:r w:rsidR="00530663" w:rsidRPr="007771DA">
        <w:rPr>
          <w:rFonts w:ascii="Times New Roman" w:hAnsi="Times New Roman" w:cs="Times New Roman"/>
          <w:sz w:val="24"/>
          <w:szCs w:val="24"/>
        </w:rPr>
        <w:t xml:space="preserve"> </w:t>
      </w:r>
      <w:r>
        <w:rPr>
          <w:rFonts w:ascii="Times New Roman" w:hAnsi="Times New Roman" w:cs="Times New Roman"/>
          <w:sz w:val="24"/>
          <w:szCs w:val="24"/>
        </w:rPr>
        <w:t>August 2018</w:t>
      </w:r>
    </w:p>
    <w:p w:rsidR="00531FF0" w:rsidRPr="007771DA" w:rsidRDefault="00531FF0" w:rsidP="007771DA">
      <w:pPr>
        <w:spacing w:after="0" w:line="360" w:lineRule="auto"/>
        <w:rPr>
          <w:rFonts w:ascii="Times New Roman" w:hAnsi="Times New Roman" w:cs="Times New Roman"/>
          <w:sz w:val="24"/>
          <w:szCs w:val="24"/>
        </w:rPr>
      </w:pPr>
    </w:p>
    <w:p w:rsidR="00531FF0" w:rsidRPr="007771DA" w:rsidRDefault="00531FF0" w:rsidP="007771DA">
      <w:pPr>
        <w:spacing w:after="0" w:line="360" w:lineRule="auto"/>
        <w:rPr>
          <w:rFonts w:ascii="Times New Roman" w:hAnsi="Times New Roman" w:cs="Times New Roman"/>
          <w:sz w:val="24"/>
          <w:szCs w:val="24"/>
        </w:rPr>
      </w:pPr>
    </w:p>
    <w:p w:rsidR="00531FF0" w:rsidRPr="007771DA" w:rsidRDefault="00531FF0" w:rsidP="007771DA">
      <w:pPr>
        <w:spacing w:after="0" w:line="360" w:lineRule="auto"/>
        <w:rPr>
          <w:rFonts w:ascii="Times New Roman" w:hAnsi="Times New Roman" w:cs="Times New Roman"/>
          <w:b/>
          <w:sz w:val="24"/>
          <w:szCs w:val="24"/>
        </w:rPr>
      </w:pPr>
      <w:r w:rsidRPr="007771DA">
        <w:rPr>
          <w:rFonts w:ascii="Times New Roman" w:hAnsi="Times New Roman" w:cs="Times New Roman"/>
          <w:b/>
          <w:sz w:val="24"/>
          <w:szCs w:val="24"/>
        </w:rPr>
        <w:t>Opposed Matter</w:t>
      </w:r>
    </w:p>
    <w:p w:rsidR="00531FF0" w:rsidRPr="007771DA" w:rsidRDefault="00531FF0" w:rsidP="007771DA">
      <w:pPr>
        <w:spacing w:after="0" w:line="360" w:lineRule="auto"/>
        <w:rPr>
          <w:rFonts w:ascii="Times New Roman" w:hAnsi="Times New Roman" w:cs="Times New Roman"/>
          <w:b/>
          <w:sz w:val="24"/>
          <w:szCs w:val="24"/>
        </w:rPr>
      </w:pPr>
    </w:p>
    <w:p w:rsidR="00054BAD" w:rsidRPr="00C14AF5" w:rsidRDefault="00C14AF5" w:rsidP="007771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V Kufaruwenga</w:t>
      </w:r>
      <w:r>
        <w:rPr>
          <w:rFonts w:ascii="Times New Roman" w:hAnsi="Times New Roman" w:cs="Times New Roman"/>
          <w:sz w:val="24"/>
          <w:szCs w:val="24"/>
        </w:rPr>
        <w:t>, for the applicant</w:t>
      </w:r>
    </w:p>
    <w:p w:rsidR="008A5052" w:rsidRPr="007771DA" w:rsidRDefault="00C14AF5" w:rsidP="007771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 Chiwara</w:t>
      </w:r>
      <w:r w:rsidR="00D90290" w:rsidRPr="007771DA">
        <w:rPr>
          <w:rFonts w:ascii="Times New Roman" w:hAnsi="Times New Roman" w:cs="Times New Roman"/>
          <w:sz w:val="24"/>
          <w:szCs w:val="24"/>
        </w:rPr>
        <w:t>, for the respondent</w:t>
      </w:r>
    </w:p>
    <w:p w:rsidR="00D90290" w:rsidRPr="007771DA" w:rsidRDefault="00D90290" w:rsidP="007771DA">
      <w:pPr>
        <w:spacing w:after="0" w:line="360" w:lineRule="auto"/>
        <w:jc w:val="both"/>
        <w:rPr>
          <w:rFonts w:ascii="Times New Roman" w:hAnsi="Times New Roman" w:cs="Times New Roman"/>
          <w:sz w:val="24"/>
          <w:szCs w:val="24"/>
        </w:rPr>
      </w:pPr>
    </w:p>
    <w:p w:rsidR="00C40A43" w:rsidRDefault="00C14AF5" w:rsidP="00C14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w:t>
      </w:r>
      <w:r w:rsidR="00D90290" w:rsidRPr="007771DA">
        <w:rPr>
          <w:rFonts w:ascii="Times New Roman" w:hAnsi="Times New Roman" w:cs="Times New Roman"/>
          <w:sz w:val="24"/>
          <w:szCs w:val="24"/>
        </w:rPr>
        <w:t xml:space="preserve">: </w:t>
      </w:r>
      <w:r w:rsidR="00E243B7">
        <w:rPr>
          <w:rFonts w:ascii="Times New Roman" w:hAnsi="Times New Roman" w:cs="Times New Roman"/>
          <w:sz w:val="24"/>
          <w:szCs w:val="24"/>
        </w:rPr>
        <w:t xml:space="preserve">What remains standing out </w:t>
      </w:r>
      <w:r>
        <w:rPr>
          <w:rFonts w:ascii="Times New Roman" w:hAnsi="Times New Roman" w:cs="Times New Roman"/>
          <w:sz w:val="24"/>
          <w:szCs w:val="24"/>
        </w:rPr>
        <w:t>as the only de</w:t>
      </w:r>
      <w:r w:rsidR="00E243B7">
        <w:rPr>
          <w:rFonts w:ascii="Times New Roman" w:hAnsi="Times New Roman" w:cs="Times New Roman"/>
          <w:sz w:val="24"/>
          <w:szCs w:val="24"/>
        </w:rPr>
        <w:t>fence which the respondent is clutching</w:t>
      </w:r>
      <w:r>
        <w:rPr>
          <w:rFonts w:ascii="Times New Roman" w:hAnsi="Times New Roman" w:cs="Times New Roman"/>
          <w:sz w:val="24"/>
          <w:szCs w:val="24"/>
        </w:rPr>
        <w:t xml:space="preserve"> to, as if life itself depends on it, in resisting this application for summary judgeme</w:t>
      </w:r>
      <w:r w:rsidR="00E243B7">
        <w:rPr>
          <w:rFonts w:ascii="Times New Roman" w:hAnsi="Times New Roman" w:cs="Times New Roman"/>
          <w:sz w:val="24"/>
          <w:szCs w:val="24"/>
        </w:rPr>
        <w:t xml:space="preserve">nt in the sum of $31 238-00 in statutory </w:t>
      </w:r>
      <w:r>
        <w:rPr>
          <w:rFonts w:ascii="Times New Roman" w:hAnsi="Times New Roman" w:cs="Times New Roman"/>
          <w:sz w:val="24"/>
          <w:szCs w:val="24"/>
        </w:rPr>
        <w:t xml:space="preserve">dues, is that the applicant should have supplied the further particulars </w:t>
      </w:r>
      <w:r w:rsidR="00C40A43">
        <w:rPr>
          <w:rFonts w:ascii="Times New Roman" w:hAnsi="Times New Roman" w:cs="Times New Roman"/>
          <w:sz w:val="24"/>
          <w:szCs w:val="24"/>
        </w:rPr>
        <w:t xml:space="preserve">it requested on 27 October 2015 to particularise how the sum claimed is arrived at and the basis for claiming interest from January 2014. That interesting state of affairs was achieved after Mr </w:t>
      </w:r>
      <w:r w:rsidR="00C40A43" w:rsidRPr="00E243B7">
        <w:rPr>
          <w:rFonts w:ascii="Times New Roman" w:hAnsi="Times New Roman" w:cs="Times New Roman"/>
          <w:i/>
          <w:sz w:val="24"/>
          <w:szCs w:val="24"/>
        </w:rPr>
        <w:t>Chiwara</w:t>
      </w:r>
      <w:r w:rsidR="00C40A43">
        <w:rPr>
          <w:rFonts w:ascii="Times New Roman" w:hAnsi="Times New Roman" w:cs="Times New Roman"/>
          <w:sz w:val="24"/>
          <w:szCs w:val="24"/>
        </w:rPr>
        <w:t xml:space="preserve"> for the respondent and myself had exchanged notes as a result of which he promptly abandoned the other three 3 defences which the respondent had raised in contesting the claim. The first casualty was the constitutional issue taken by the respondent that its constitutional right to freedom of assembly and association enshrined in s 58(2) of the Constitution was being violated by compelling it to pay dues to the employment council. He had relied on the authority of </w:t>
      </w:r>
      <w:r w:rsidR="00C40A43">
        <w:rPr>
          <w:rFonts w:ascii="Times New Roman" w:hAnsi="Times New Roman" w:cs="Times New Roman"/>
          <w:i/>
          <w:sz w:val="24"/>
          <w:szCs w:val="24"/>
        </w:rPr>
        <w:t xml:space="preserve">Netone Cellular (Pvt) Ltd </w:t>
      </w:r>
      <w:r w:rsidR="00C40A43">
        <w:rPr>
          <w:rFonts w:ascii="Times New Roman" w:hAnsi="Times New Roman" w:cs="Times New Roman"/>
          <w:sz w:val="24"/>
          <w:szCs w:val="24"/>
        </w:rPr>
        <w:t xml:space="preserve">v </w:t>
      </w:r>
      <w:r w:rsidR="00C40A43">
        <w:rPr>
          <w:rFonts w:ascii="Times New Roman" w:hAnsi="Times New Roman" w:cs="Times New Roman"/>
          <w:i/>
          <w:sz w:val="24"/>
          <w:szCs w:val="24"/>
        </w:rPr>
        <w:t>Minister of Labour and Anor</w:t>
      </w:r>
      <w:r w:rsidR="00C40A43">
        <w:rPr>
          <w:rFonts w:ascii="Times New Roman" w:hAnsi="Times New Roman" w:cs="Times New Roman"/>
          <w:sz w:val="24"/>
          <w:szCs w:val="24"/>
        </w:rPr>
        <w:t xml:space="preserve"> 2015 (1) ZLR 291 (H) </w:t>
      </w:r>
      <w:r w:rsidR="00E243B7">
        <w:rPr>
          <w:rFonts w:ascii="Times New Roman" w:hAnsi="Times New Roman" w:cs="Times New Roman"/>
          <w:sz w:val="24"/>
          <w:szCs w:val="24"/>
        </w:rPr>
        <w:t xml:space="preserve">that </w:t>
      </w:r>
      <w:r w:rsidR="00C40A43">
        <w:rPr>
          <w:rFonts w:ascii="Times New Roman" w:hAnsi="Times New Roman" w:cs="Times New Roman"/>
          <w:sz w:val="24"/>
          <w:szCs w:val="24"/>
        </w:rPr>
        <w:t>an employer should not be compelled to be bound by a Collective Bargain</w:t>
      </w:r>
      <w:r w:rsidR="00E243B7">
        <w:rPr>
          <w:rFonts w:ascii="Times New Roman" w:hAnsi="Times New Roman" w:cs="Times New Roman"/>
          <w:sz w:val="24"/>
          <w:szCs w:val="24"/>
        </w:rPr>
        <w:t>ing</w:t>
      </w:r>
      <w:r w:rsidR="00C40A43">
        <w:rPr>
          <w:rFonts w:ascii="Times New Roman" w:hAnsi="Times New Roman" w:cs="Times New Roman"/>
          <w:sz w:val="24"/>
          <w:szCs w:val="24"/>
        </w:rPr>
        <w:t xml:space="preserve"> Agreement by virtue of being an employer in the industry</w:t>
      </w:r>
      <w:r w:rsidR="00E243B7">
        <w:rPr>
          <w:rFonts w:ascii="Times New Roman" w:hAnsi="Times New Roman" w:cs="Times New Roman"/>
          <w:sz w:val="24"/>
          <w:szCs w:val="24"/>
        </w:rPr>
        <w:t>.</w:t>
      </w:r>
    </w:p>
    <w:p w:rsidR="00A3270D" w:rsidRDefault="00C40A43" w:rsidP="00C14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it became apparent that the </w:t>
      </w:r>
      <w:r>
        <w:rPr>
          <w:rFonts w:ascii="Times New Roman" w:hAnsi="Times New Roman" w:cs="Times New Roman"/>
          <w:i/>
          <w:sz w:val="24"/>
          <w:szCs w:val="24"/>
        </w:rPr>
        <w:t xml:space="preserve">Netone Cellular </w:t>
      </w:r>
      <w:r>
        <w:rPr>
          <w:rFonts w:ascii="Times New Roman" w:hAnsi="Times New Roman" w:cs="Times New Roman"/>
          <w:sz w:val="24"/>
          <w:szCs w:val="24"/>
        </w:rPr>
        <w:t xml:space="preserve">case was clearly distinguishable from the present where the respondent has been and still is a member of the applicant who has participated fully in collecting, contributing and remitting dues to the applicant, and was therefore </w:t>
      </w:r>
      <w:r>
        <w:rPr>
          <w:rFonts w:ascii="Times New Roman" w:hAnsi="Times New Roman" w:cs="Times New Roman"/>
          <w:sz w:val="24"/>
          <w:szCs w:val="24"/>
        </w:rPr>
        <w:lastRenderedPageBreak/>
        <w:t xml:space="preserve">estopped from denying it, Mr </w:t>
      </w:r>
      <w:r w:rsidRPr="00E243B7">
        <w:rPr>
          <w:rFonts w:ascii="Times New Roman" w:hAnsi="Times New Roman" w:cs="Times New Roman"/>
          <w:i/>
          <w:sz w:val="24"/>
          <w:szCs w:val="24"/>
        </w:rPr>
        <w:t>Chiwara</w:t>
      </w:r>
      <w:r>
        <w:rPr>
          <w:rFonts w:ascii="Times New Roman" w:hAnsi="Times New Roman" w:cs="Times New Roman"/>
          <w:sz w:val="24"/>
          <w:szCs w:val="24"/>
        </w:rPr>
        <w:t xml:space="preserve"> </w:t>
      </w:r>
      <w:r w:rsidR="00D253B7">
        <w:rPr>
          <w:rFonts w:ascii="Times New Roman" w:hAnsi="Times New Roman" w:cs="Times New Roman"/>
          <w:sz w:val="24"/>
          <w:szCs w:val="24"/>
        </w:rPr>
        <w:t>beat a hasty retreat. The constitutional argument was abandoned. Next to bite the dust was the argument that the applicant</w:t>
      </w:r>
      <w:r w:rsidR="00AB7D99">
        <w:rPr>
          <w:rFonts w:ascii="Times New Roman" w:hAnsi="Times New Roman" w:cs="Times New Roman"/>
          <w:sz w:val="24"/>
          <w:szCs w:val="24"/>
        </w:rPr>
        <w:t>’</w:t>
      </w:r>
      <w:r w:rsidR="00D253B7">
        <w:rPr>
          <w:rFonts w:ascii="Times New Roman" w:hAnsi="Times New Roman" w:cs="Times New Roman"/>
          <w:sz w:val="24"/>
          <w:szCs w:val="24"/>
        </w:rPr>
        <w:t>s claim</w:t>
      </w:r>
      <w:r w:rsidR="00E243B7">
        <w:rPr>
          <w:rFonts w:ascii="Times New Roman" w:hAnsi="Times New Roman" w:cs="Times New Roman"/>
          <w:sz w:val="24"/>
          <w:szCs w:val="24"/>
        </w:rPr>
        <w:t xml:space="preserve"> for</w:t>
      </w:r>
      <w:r w:rsidR="00D253B7">
        <w:rPr>
          <w:rFonts w:ascii="Times New Roman" w:hAnsi="Times New Roman" w:cs="Times New Roman"/>
          <w:sz w:val="24"/>
          <w:szCs w:val="24"/>
        </w:rPr>
        <w:t xml:space="preserve"> council contributions was based on a repealed Statutory Instrument (SI 101 of 2010) purportedly repealed by S.I. 116 of 2014. In fact, the applicant’s summons makes it clear that the claim is base</w:t>
      </w:r>
      <w:r w:rsidR="00E243B7">
        <w:rPr>
          <w:rFonts w:ascii="Times New Roman" w:hAnsi="Times New Roman" w:cs="Times New Roman"/>
          <w:sz w:val="24"/>
          <w:szCs w:val="24"/>
        </w:rPr>
        <w:t>d on s 28(1) of S.I. 116 of 2014</w:t>
      </w:r>
      <w:r w:rsidR="00D253B7">
        <w:rPr>
          <w:rFonts w:ascii="Times New Roman" w:hAnsi="Times New Roman" w:cs="Times New Roman"/>
          <w:sz w:val="24"/>
          <w:szCs w:val="24"/>
        </w:rPr>
        <w:t xml:space="preserve">. Therefore, S.I. 101 of 2010 was not repealed by S.I 116 of 2014, the former being the council dues approved by the Minister. It does not matter that Mr </w:t>
      </w:r>
      <w:r w:rsidR="00D253B7" w:rsidRPr="00E243B7">
        <w:rPr>
          <w:rFonts w:ascii="Times New Roman" w:hAnsi="Times New Roman" w:cs="Times New Roman"/>
          <w:i/>
          <w:sz w:val="24"/>
          <w:szCs w:val="24"/>
        </w:rPr>
        <w:t>Chiwara</w:t>
      </w:r>
      <w:r w:rsidR="00D253B7">
        <w:rPr>
          <w:rFonts w:ascii="Times New Roman" w:hAnsi="Times New Roman" w:cs="Times New Roman"/>
          <w:sz w:val="24"/>
          <w:szCs w:val="24"/>
        </w:rPr>
        <w:t xml:space="preserve"> saw the light rather late, the important point being that light finally arrived and he abandoned that ill-taken submission.</w:t>
      </w:r>
    </w:p>
    <w:p w:rsidR="00D253B7" w:rsidRDefault="00D253B7" w:rsidP="00C14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had also raised the defence that its admission of liability contained in a letter written by itself in response to a letter of demand</w:t>
      </w:r>
      <w:r w:rsidRPr="00E243B7">
        <w:rPr>
          <w:rFonts w:ascii="Times New Roman" w:hAnsi="Times New Roman" w:cs="Times New Roman"/>
          <w:sz w:val="24"/>
          <w:szCs w:val="24"/>
        </w:rPr>
        <w:t xml:space="preserve"> penned</w:t>
      </w:r>
      <w:r w:rsidR="00862602">
        <w:rPr>
          <w:rFonts w:ascii="Times New Roman" w:hAnsi="Times New Roman" w:cs="Times New Roman"/>
          <w:sz w:val="24"/>
          <w:szCs w:val="24"/>
        </w:rPr>
        <w:t xml:space="preserve"> </w:t>
      </w:r>
      <w:r>
        <w:rPr>
          <w:rFonts w:ascii="Times New Roman" w:hAnsi="Times New Roman" w:cs="Times New Roman"/>
          <w:sz w:val="24"/>
          <w:szCs w:val="24"/>
        </w:rPr>
        <w:t>by the applicant’s legal practitioners demandin</w:t>
      </w:r>
      <w:r w:rsidR="00862602">
        <w:rPr>
          <w:rFonts w:ascii="Times New Roman" w:hAnsi="Times New Roman" w:cs="Times New Roman"/>
          <w:sz w:val="24"/>
          <w:szCs w:val="24"/>
        </w:rPr>
        <w:t>g payment</w:t>
      </w:r>
      <w:r w:rsidR="00E243B7">
        <w:rPr>
          <w:rFonts w:ascii="Times New Roman" w:hAnsi="Times New Roman" w:cs="Times New Roman"/>
          <w:sz w:val="24"/>
          <w:szCs w:val="24"/>
        </w:rPr>
        <w:t>,</w:t>
      </w:r>
      <w:r w:rsidR="00862602">
        <w:rPr>
          <w:rFonts w:ascii="Times New Roman" w:hAnsi="Times New Roman" w:cs="Times New Roman"/>
          <w:sz w:val="24"/>
          <w:szCs w:val="24"/>
        </w:rPr>
        <w:t xml:space="preserve"> was privileged it having been marked at the top “without prejudice”. In the letter in question the respondent </w:t>
      </w:r>
      <w:r w:rsidR="00E243B7">
        <w:rPr>
          <w:rFonts w:ascii="Times New Roman" w:hAnsi="Times New Roman" w:cs="Times New Roman"/>
          <w:sz w:val="24"/>
          <w:szCs w:val="24"/>
        </w:rPr>
        <w:t xml:space="preserve">had </w:t>
      </w:r>
      <w:r w:rsidR="00862602">
        <w:rPr>
          <w:rFonts w:ascii="Times New Roman" w:hAnsi="Times New Roman" w:cs="Times New Roman"/>
          <w:sz w:val="24"/>
          <w:szCs w:val="24"/>
        </w:rPr>
        <w:t xml:space="preserve">acknowledged receipt of the letter of demand dated 22 June 2015, gone on to state that it had made a direct payment to the applicant in the sum of $3 236-00 towards liquidation of the debt and undertook to make a concrete payment plan in respect of the balance in September 2015 by which time it hoped to have overcome its “cash flow challenges”. Surely the contents of the letter were not written in the course of any negotiations and did not form part of confidential negotiations. The respondent could therefore not claim any </w:t>
      </w:r>
      <w:r w:rsidR="006D1611">
        <w:rPr>
          <w:rFonts w:ascii="Times New Roman" w:hAnsi="Times New Roman" w:cs="Times New Roman"/>
          <w:sz w:val="24"/>
          <w:szCs w:val="24"/>
        </w:rPr>
        <w:t xml:space="preserve">privilege on that letter. It was in consideration of that reality that Mr </w:t>
      </w:r>
      <w:r w:rsidR="006D1611" w:rsidRPr="00E243B7">
        <w:rPr>
          <w:rFonts w:ascii="Times New Roman" w:hAnsi="Times New Roman" w:cs="Times New Roman"/>
          <w:i/>
          <w:sz w:val="24"/>
          <w:szCs w:val="24"/>
        </w:rPr>
        <w:t>Chiwara</w:t>
      </w:r>
      <w:r w:rsidR="006D1611">
        <w:rPr>
          <w:rFonts w:ascii="Times New Roman" w:hAnsi="Times New Roman" w:cs="Times New Roman"/>
          <w:sz w:val="24"/>
          <w:szCs w:val="24"/>
        </w:rPr>
        <w:t xml:space="preserve"> again abandoned that line of defence itself</w:t>
      </w:r>
      <w:r w:rsidR="00E243B7">
        <w:rPr>
          <w:rFonts w:ascii="Times New Roman" w:hAnsi="Times New Roman" w:cs="Times New Roman"/>
          <w:sz w:val="24"/>
          <w:szCs w:val="24"/>
        </w:rPr>
        <w:t xml:space="preserve"> the</w:t>
      </w:r>
      <w:r w:rsidR="006D1611">
        <w:rPr>
          <w:rFonts w:ascii="Times New Roman" w:hAnsi="Times New Roman" w:cs="Times New Roman"/>
          <w:sz w:val="24"/>
          <w:szCs w:val="24"/>
        </w:rPr>
        <w:t xml:space="preserve"> last given that what he was then left with, as l have said, is the argument that summary judgeme</w:t>
      </w:r>
      <w:r w:rsidR="00E243B7">
        <w:rPr>
          <w:rFonts w:ascii="Times New Roman" w:hAnsi="Times New Roman" w:cs="Times New Roman"/>
          <w:sz w:val="24"/>
          <w:szCs w:val="24"/>
        </w:rPr>
        <w:t>nt should not have been resorted</w:t>
      </w:r>
      <w:r w:rsidR="006D1611">
        <w:rPr>
          <w:rFonts w:ascii="Times New Roman" w:hAnsi="Times New Roman" w:cs="Times New Roman"/>
          <w:sz w:val="24"/>
          <w:szCs w:val="24"/>
        </w:rPr>
        <w:t xml:space="preserve"> to at all because the respondent had requested further particulars. </w:t>
      </w:r>
    </w:p>
    <w:p w:rsidR="006D1611" w:rsidRDefault="006D1611" w:rsidP="00C14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w:t>
      </w:r>
      <w:r w:rsidR="00E243B7">
        <w:rPr>
          <w:rFonts w:ascii="Times New Roman" w:hAnsi="Times New Roman" w:cs="Times New Roman"/>
          <w:sz w:val="24"/>
          <w:szCs w:val="24"/>
        </w:rPr>
        <w:t>s</w:t>
      </w:r>
      <w:r>
        <w:rPr>
          <w:rFonts w:ascii="Times New Roman" w:hAnsi="Times New Roman" w:cs="Times New Roman"/>
          <w:sz w:val="24"/>
          <w:szCs w:val="24"/>
        </w:rPr>
        <w:t xml:space="preserve"> are that the respondent is an employer falling under the auspices of the applicant National Employment Council. In terms of s 28(1) of S.I 116 of 2014 as read with sections 1 and 2 of S.I 101 of 2010 it is obliged to collect from its employees and to also contribute levies to the applic</w:t>
      </w:r>
      <w:r w:rsidR="00E243B7">
        <w:rPr>
          <w:rFonts w:ascii="Times New Roman" w:hAnsi="Times New Roman" w:cs="Times New Roman"/>
          <w:sz w:val="24"/>
          <w:szCs w:val="24"/>
        </w:rPr>
        <w:t>ant which should be remitted as</w:t>
      </w:r>
      <w:r>
        <w:rPr>
          <w:rFonts w:ascii="Times New Roman" w:hAnsi="Times New Roman" w:cs="Times New Roman"/>
          <w:sz w:val="24"/>
          <w:szCs w:val="24"/>
        </w:rPr>
        <w:t xml:space="preserve"> provided for </w:t>
      </w:r>
      <w:r w:rsidR="00E243B7">
        <w:rPr>
          <w:rFonts w:ascii="Times New Roman" w:hAnsi="Times New Roman" w:cs="Times New Roman"/>
          <w:sz w:val="24"/>
          <w:szCs w:val="24"/>
        </w:rPr>
        <w:t xml:space="preserve">in </w:t>
      </w:r>
      <w:r>
        <w:rPr>
          <w:rFonts w:ascii="Times New Roman" w:hAnsi="Times New Roman" w:cs="Times New Roman"/>
          <w:sz w:val="24"/>
          <w:szCs w:val="24"/>
        </w:rPr>
        <w:t>the regulations in question agreed upon as of collective bargaining agreement. The levies were approved</w:t>
      </w:r>
      <w:r w:rsidR="00A93DD0">
        <w:rPr>
          <w:rFonts w:ascii="Times New Roman" w:hAnsi="Times New Roman" w:cs="Times New Roman"/>
          <w:sz w:val="24"/>
          <w:szCs w:val="24"/>
        </w:rPr>
        <w:t xml:space="preserve"> by the responsible minister. Although the respondent has participated</w:t>
      </w:r>
      <w:r>
        <w:rPr>
          <w:rFonts w:ascii="Times New Roman" w:hAnsi="Times New Roman" w:cs="Times New Roman"/>
          <w:sz w:val="24"/>
          <w:szCs w:val="24"/>
        </w:rPr>
        <w:t xml:space="preserve"> </w:t>
      </w:r>
      <w:r w:rsidR="001D0163">
        <w:rPr>
          <w:rFonts w:ascii="Times New Roman" w:hAnsi="Times New Roman" w:cs="Times New Roman"/>
          <w:sz w:val="24"/>
          <w:szCs w:val="24"/>
        </w:rPr>
        <w:t xml:space="preserve">in the exercise previously, it defaulted and did not remit to the applicant the sum of $31 </w:t>
      </w:r>
      <w:r w:rsidR="00276DC3">
        <w:rPr>
          <w:rFonts w:ascii="Times New Roman" w:hAnsi="Times New Roman" w:cs="Times New Roman"/>
          <w:sz w:val="24"/>
          <w:szCs w:val="24"/>
        </w:rPr>
        <w:t xml:space="preserve">238-00. As a result, the applicant sued eliciting a notice of appearance to defend and a request for further particulars from the </w:t>
      </w:r>
      <w:r w:rsidR="00E243B7">
        <w:rPr>
          <w:rFonts w:ascii="Times New Roman" w:hAnsi="Times New Roman" w:cs="Times New Roman"/>
          <w:sz w:val="24"/>
          <w:szCs w:val="24"/>
        </w:rPr>
        <w:t xml:space="preserve">respondent, but not </w:t>
      </w:r>
      <w:r w:rsidR="00276DC3">
        <w:rPr>
          <w:rFonts w:ascii="Times New Roman" w:hAnsi="Times New Roman" w:cs="Times New Roman"/>
          <w:sz w:val="24"/>
          <w:szCs w:val="24"/>
        </w:rPr>
        <w:t xml:space="preserve">before </w:t>
      </w:r>
      <w:r w:rsidR="00276DC3">
        <w:rPr>
          <w:rFonts w:ascii="Times New Roman" w:hAnsi="Times New Roman" w:cs="Times New Roman"/>
          <w:sz w:val="24"/>
          <w:szCs w:val="24"/>
        </w:rPr>
        <w:lastRenderedPageBreak/>
        <w:t>the respondent had, on 30 June 2015, acknowledged indebtedness to the applicant undertaking to make a payment plan in September 2015.</w:t>
      </w:r>
    </w:p>
    <w:p w:rsidR="00276DC3" w:rsidRDefault="00276DC3" w:rsidP="00C14A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request for particulars, which now anchors the respondent’s entire </w:t>
      </w:r>
      <w:r w:rsidR="00E5569D">
        <w:rPr>
          <w:rFonts w:ascii="Times New Roman" w:hAnsi="Times New Roman" w:cs="Times New Roman"/>
          <w:sz w:val="24"/>
          <w:szCs w:val="24"/>
        </w:rPr>
        <w:t>defence to</w:t>
      </w:r>
      <w:r>
        <w:rPr>
          <w:rFonts w:ascii="Times New Roman" w:hAnsi="Times New Roman" w:cs="Times New Roman"/>
          <w:sz w:val="24"/>
          <w:szCs w:val="24"/>
        </w:rPr>
        <w:t xml:space="preserve"> the claim, is itself quite a </w:t>
      </w:r>
      <w:r w:rsidR="00E243B7">
        <w:rPr>
          <w:rFonts w:ascii="Times New Roman" w:hAnsi="Times New Roman" w:cs="Times New Roman"/>
          <w:sz w:val="24"/>
          <w:szCs w:val="24"/>
        </w:rPr>
        <w:t xml:space="preserve">modest </w:t>
      </w:r>
      <w:r>
        <w:rPr>
          <w:rFonts w:ascii="Times New Roman" w:hAnsi="Times New Roman" w:cs="Times New Roman"/>
          <w:sz w:val="24"/>
          <w:szCs w:val="24"/>
        </w:rPr>
        <w:t>document of a few lines. It reads:</w:t>
      </w:r>
    </w:p>
    <w:p w:rsidR="00276DC3" w:rsidRPr="00E5569D" w:rsidRDefault="00276DC3" w:rsidP="00E5569D">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E5569D">
        <w:rPr>
          <w:rFonts w:ascii="Times New Roman" w:hAnsi="Times New Roman" w:cs="Times New Roman"/>
        </w:rPr>
        <w:t xml:space="preserve">To enable the defendant to plead, the following particulars to the plaintiff’s claim are </w:t>
      </w:r>
      <w:r w:rsidR="00E5569D" w:rsidRPr="00E5569D">
        <w:rPr>
          <w:rFonts w:ascii="Times New Roman" w:hAnsi="Times New Roman" w:cs="Times New Roman"/>
        </w:rPr>
        <w:tab/>
      </w:r>
      <w:r w:rsidRPr="00E5569D">
        <w:rPr>
          <w:rFonts w:ascii="Times New Roman" w:hAnsi="Times New Roman" w:cs="Times New Roman"/>
        </w:rPr>
        <w:t>requested:</w:t>
      </w:r>
    </w:p>
    <w:p w:rsidR="00276DC3" w:rsidRPr="00E5569D" w:rsidRDefault="00276DC3" w:rsidP="00E5569D">
      <w:pPr>
        <w:pStyle w:val="ListParagraph"/>
        <w:numPr>
          <w:ilvl w:val="0"/>
          <w:numId w:val="3"/>
        </w:numPr>
        <w:spacing w:after="0" w:line="240" w:lineRule="auto"/>
        <w:jc w:val="both"/>
        <w:rPr>
          <w:rFonts w:ascii="Times New Roman" w:hAnsi="Times New Roman" w:cs="Times New Roman"/>
          <w:u w:val="single"/>
        </w:rPr>
      </w:pPr>
      <w:r w:rsidRPr="00E5569D">
        <w:rPr>
          <w:rFonts w:ascii="Times New Roman" w:hAnsi="Times New Roman" w:cs="Times New Roman"/>
          <w:u w:val="single"/>
        </w:rPr>
        <w:t>AD Para 4</w:t>
      </w:r>
    </w:p>
    <w:p w:rsidR="00276DC3" w:rsidRPr="00E5569D" w:rsidRDefault="00276DC3" w:rsidP="00E5569D">
      <w:pPr>
        <w:spacing w:after="0" w:line="240" w:lineRule="auto"/>
        <w:ind w:left="720"/>
        <w:jc w:val="both"/>
        <w:rPr>
          <w:rFonts w:ascii="Times New Roman" w:hAnsi="Times New Roman" w:cs="Times New Roman"/>
        </w:rPr>
      </w:pPr>
      <w:r w:rsidRPr="00E5569D">
        <w:rPr>
          <w:rFonts w:ascii="Times New Roman" w:hAnsi="Times New Roman" w:cs="Times New Roman"/>
        </w:rPr>
        <w:t>Particulars pertaining to the claim of $31 238-00 are requested. A monthly breakdown of the purported outstanding arrears is requested.</w:t>
      </w:r>
    </w:p>
    <w:p w:rsidR="00276DC3" w:rsidRPr="00E5569D" w:rsidRDefault="00276DC3" w:rsidP="00E5569D">
      <w:pPr>
        <w:pStyle w:val="ListParagraph"/>
        <w:numPr>
          <w:ilvl w:val="0"/>
          <w:numId w:val="3"/>
        </w:numPr>
        <w:spacing w:after="0" w:line="240" w:lineRule="auto"/>
        <w:jc w:val="both"/>
        <w:rPr>
          <w:rFonts w:ascii="Times New Roman" w:hAnsi="Times New Roman" w:cs="Times New Roman"/>
        </w:rPr>
      </w:pPr>
      <w:r w:rsidRPr="00E5569D">
        <w:rPr>
          <w:rFonts w:ascii="Times New Roman" w:hAnsi="Times New Roman" w:cs="Times New Roman"/>
          <w:u w:val="single"/>
        </w:rPr>
        <w:t>AD Para 5</w:t>
      </w:r>
    </w:p>
    <w:p w:rsidR="00276DC3" w:rsidRPr="00E5569D" w:rsidRDefault="00276DC3" w:rsidP="00E5569D">
      <w:pPr>
        <w:pStyle w:val="ListParagraph"/>
        <w:spacing w:after="0" w:line="240" w:lineRule="auto"/>
        <w:ind w:left="1080"/>
        <w:jc w:val="both"/>
        <w:rPr>
          <w:rFonts w:ascii="Times New Roman" w:hAnsi="Times New Roman" w:cs="Times New Roman"/>
        </w:rPr>
      </w:pPr>
      <w:r w:rsidRPr="00E5569D">
        <w:rPr>
          <w:rFonts w:ascii="Times New Roman" w:hAnsi="Times New Roman" w:cs="Times New Roman"/>
        </w:rPr>
        <w:t>On what basis is plaintiff claiming interest from January 2014?”</w:t>
      </w:r>
    </w:p>
    <w:p w:rsidR="00E243B7" w:rsidRDefault="00E243B7" w:rsidP="00276DC3">
      <w:pPr>
        <w:spacing w:after="0" w:line="360" w:lineRule="auto"/>
        <w:ind w:firstLine="720"/>
        <w:jc w:val="both"/>
        <w:rPr>
          <w:rFonts w:ascii="Times New Roman" w:hAnsi="Times New Roman" w:cs="Times New Roman"/>
          <w:sz w:val="24"/>
          <w:szCs w:val="24"/>
        </w:rPr>
      </w:pPr>
    </w:p>
    <w:p w:rsidR="00276DC3" w:rsidRDefault="00276DC3" w:rsidP="00276DC3">
      <w:pPr>
        <w:spacing w:after="0" w:line="360" w:lineRule="auto"/>
        <w:ind w:firstLine="720"/>
        <w:jc w:val="both"/>
        <w:rPr>
          <w:rFonts w:ascii="Times New Roman" w:hAnsi="Times New Roman" w:cs="Times New Roman"/>
          <w:sz w:val="24"/>
          <w:szCs w:val="24"/>
        </w:rPr>
      </w:pPr>
      <w:r w:rsidRPr="00276DC3">
        <w:rPr>
          <w:rFonts w:ascii="Times New Roman" w:hAnsi="Times New Roman" w:cs="Times New Roman"/>
          <w:sz w:val="24"/>
          <w:szCs w:val="24"/>
        </w:rPr>
        <w:t>This</w:t>
      </w:r>
      <w:r w:rsidR="00E243B7">
        <w:rPr>
          <w:rFonts w:ascii="Times New Roman" w:hAnsi="Times New Roman" w:cs="Times New Roman"/>
          <w:sz w:val="24"/>
          <w:szCs w:val="24"/>
        </w:rPr>
        <w:t>,</w:t>
      </w:r>
      <w:r w:rsidRPr="00276DC3">
        <w:rPr>
          <w:rFonts w:ascii="Times New Roman" w:hAnsi="Times New Roman" w:cs="Times New Roman"/>
          <w:sz w:val="24"/>
          <w:szCs w:val="24"/>
        </w:rPr>
        <w:t xml:space="preserve"> coming from a party which had acknowledged indebtedness 4 months earlier meant only one thing </w:t>
      </w:r>
      <w:r>
        <w:rPr>
          <w:rFonts w:ascii="Times New Roman" w:hAnsi="Times New Roman" w:cs="Times New Roman"/>
          <w:sz w:val="24"/>
          <w:szCs w:val="24"/>
        </w:rPr>
        <w:t xml:space="preserve">to the applicant, that the respondent was buying time and delaying the evil day as much as possible. It then moved for summary judgement stating that </w:t>
      </w:r>
      <w:r w:rsidR="00E243B7">
        <w:rPr>
          <w:rFonts w:ascii="Times New Roman" w:hAnsi="Times New Roman" w:cs="Times New Roman"/>
          <w:sz w:val="24"/>
          <w:szCs w:val="24"/>
        </w:rPr>
        <w:t xml:space="preserve">the respondent has not </w:t>
      </w:r>
      <w:r w:rsidR="00D679DD">
        <w:rPr>
          <w:rFonts w:ascii="Times New Roman" w:hAnsi="Times New Roman" w:cs="Times New Roman"/>
          <w:sz w:val="24"/>
          <w:szCs w:val="24"/>
        </w:rPr>
        <w:t xml:space="preserve">a </w:t>
      </w:r>
      <w:r w:rsidR="00D679DD" w:rsidRPr="00D679DD">
        <w:rPr>
          <w:rFonts w:ascii="Times New Roman" w:hAnsi="Times New Roman" w:cs="Times New Roman"/>
          <w:i/>
          <w:sz w:val="24"/>
          <w:szCs w:val="24"/>
        </w:rPr>
        <w:t>bona fide</w:t>
      </w:r>
      <w:r w:rsidR="00D679DD">
        <w:rPr>
          <w:rFonts w:ascii="Times New Roman" w:hAnsi="Times New Roman" w:cs="Times New Roman"/>
          <w:i/>
          <w:sz w:val="24"/>
          <w:szCs w:val="24"/>
        </w:rPr>
        <w:t xml:space="preserve"> </w:t>
      </w:r>
      <w:r w:rsidR="00D679DD">
        <w:rPr>
          <w:rFonts w:ascii="Times New Roman" w:hAnsi="Times New Roman" w:cs="Times New Roman"/>
          <w:sz w:val="24"/>
          <w:szCs w:val="24"/>
        </w:rPr>
        <w:t xml:space="preserve">defence and that appearance has been entered for purposes of delay especially as the respondent had, not once but twice on 31 March 2015 and 20 June 2015, written to the applicant admitting that the statutory dues for the period extending from January 2014 to 30 April 2015 were due and owing. The applicant sought summary judgement in the sum claimed plus interest at the prescribed rate and costs of suit. </w:t>
      </w:r>
    </w:p>
    <w:p w:rsidR="00D679DD" w:rsidRDefault="00D679DD" w:rsidP="00276D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w:t>
      </w:r>
      <w:r w:rsidR="00E243B7">
        <w:rPr>
          <w:rFonts w:ascii="Times New Roman" w:hAnsi="Times New Roman" w:cs="Times New Roman"/>
          <w:sz w:val="24"/>
          <w:szCs w:val="24"/>
        </w:rPr>
        <w:t xml:space="preserve">ondent opposed the application adverting </w:t>
      </w:r>
      <w:r>
        <w:rPr>
          <w:rFonts w:ascii="Times New Roman" w:hAnsi="Times New Roman" w:cs="Times New Roman"/>
          <w:sz w:val="24"/>
          <w:szCs w:val="24"/>
        </w:rPr>
        <w:t>to all the defences l have referred to which have since been abandoned and need not detain us any further. As l have said all l am required to decide now is whether there is triable issue premised on the fact that particulars of how the amount claimed is arrived at and why interest is claimed from January 2014</w:t>
      </w:r>
      <w:r w:rsidR="00E243B7">
        <w:rPr>
          <w:rFonts w:ascii="Times New Roman" w:hAnsi="Times New Roman" w:cs="Times New Roman"/>
          <w:sz w:val="24"/>
          <w:szCs w:val="24"/>
        </w:rPr>
        <w:t xml:space="preserve"> were not given</w:t>
      </w:r>
      <w:r>
        <w:rPr>
          <w:rFonts w:ascii="Times New Roman" w:hAnsi="Times New Roman" w:cs="Times New Roman"/>
          <w:sz w:val="24"/>
          <w:szCs w:val="24"/>
        </w:rPr>
        <w:t>. What an applicant for summary judgement is requi</w:t>
      </w:r>
      <w:r w:rsidR="00E243B7">
        <w:rPr>
          <w:rFonts w:ascii="Times New Roman" w:hAnsi="Times New Roman" w:cs="Times New Roman"/>
          <w:sz w:val="24"/>
          <w:szCs w:val="24"/>
        </w:rPr>
        <w:t>red to do is set out in</w:t>
      </w:r>
      <w:r>
        <w:rPr>
          <w:rFonts w:ascii="Times New Roman" w:hAnsi="Times New Roman" w:cs="Times New Roman"/>
          <w:sz w:val="24"/>
          <w:szCs w:val="24"/>
        </w:rPr>
        <w:t xml:space="preserve"> r 64 of the High Court </w:t>
      </w:r>
      <w:r w:rsidR="00E361B5">
        <w:rPr>
          <w:rFonts w:ascii="Times New Roman" w:hAnsi="Times New Roman" w:cs="Times New Roman"/>
          <w:sz w:val="24"/>
          <w:szCs w:val="24"/>
        </w:rPr>
        <w:t>of Zimbabwe</w:t>
      </w:r>
      <w:r>
        <w:rPr>
          <w:rFonts w:ascii="Times New Roman" w:hAnsi="Times New Roman" w:cs="Times New Roman"/>
          <w:sz w:val="24"/>
          <w:szCs w:val="24"/>
        </w:rPr>
        <w:t xml:space="preserve"> Rules, 1971. </w:t>
      </w:r>
      <w:r w:rsidR="00E361B5">
        <w:rPr>
          <w:rFonts w:ascii="Times New Roman" w:hAnsi="Times New Roman" w:cs="Times New Roman"/>
          <w:sz w:val="24"/>
          <w:szCs w:val="24"/>
        </w:rPr>
        <w:t>Sub rule</w:t>
      </w:r>
      <w:r>
        <w:rPr>
          <w:rFonts w:ascii="Times New Roman" w:hAnsi="Times New Roman" w:cs="Times New Roman"/>
          <w:sz w:val="24"/>
          <w:szCs w:val="24"/>
        </w:rPr>
        <w:t xml:space="preserve"> (1)</w:t>
      </w:r>
      <w:r w:rsidR="00E361B5">
        <w:rPr>
          <w:rFonts w:ascii="Times New Roman" w:hAnsi="Times New Roman" w:cs="Times New Roman"/>
          <w:sz w:val="24"/>
          <w:szCs w:val="24"/>
        </w:rPr>
        <w:t xml:space="preserve"> requires an applicant to make a court application for the court to enter summary judgement for what is claimed in summons and costs. Sub rule (2) provides that the court application shall be supported by an affidavit made by the plaintiff or by any other person who can swear positively to the facts verifying the cause of action and the amount claimed, if any</w:t>
      </w:r>
      <w:r w:rsidR="00E243B7">
        <w:rPr>
          <w:rFonts w:ascii="Times New Roman" w:hAnsi="Times New Roman" w:cs="Times New Roman"/>
          <w:sz w:val="24"/>
          <w:szCs w:val="24"/>
        </w:rPr>
        <w:t>,</w:t>
      </w:r>
      <w:r w:rsidR="00E361B5">
        <w:rPr>
          <w:rFonts w:ascii="Times New Roman" w:hAnsi="Times New Roman" w:cs="Times New Roman"/>
          <w:sz w:val="24"/>
          <w:szCs w:val="24"/>
        </w:rPr>
        <w:t xml:space="preserve"> and stating that there is no </w:t>
      </w:r>
      <w:r w:rsidR="00E361B5">
        <w:rPr>
          <w:rFonts w:ascii="Times New Roman" w:hAnsi="Times New Roman" w:cs="Times New Roman"/>
          <w:i/>
          <w:sz w:val="24"/>
          <w:szCs w:val="24"/>
        </w:rPr>
        <w:t>bona fide</w:t>
      </w:r>
      <w:r w:rsidR="00E361B5">
        <w:rPr>
          <w:rFonts w:ascii="Times New Roman" w:hAnsi="Times New Roman" w:cs="Times New Roman"/>
          <w:sz w:val="24"/>
          <w:szCs w:val="24"/>
        </w:rPr>
        <w:t xml:space="preserve"> defence.</w:t>
      </w:r>
    </w:p>
    <w:p w:rsidR="00E361B5" w:rsidRDefault="00E361B5" w:rsidP="00276D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 optional requirement for the attachment to the affidavit in support of the summary judgment application of any documents which verify the cause of action in sub rule (3) but by virtue of the use </w:t>
      </w:r>
      <w:r w:rsidR="00E243B7">
        <w:rPr>
          <w:rFonts w:ascii="Times New Roman" w:hAnsi="Times New Roman" w:cs="Times New Roman"/>
          <w:sz w:val="24"/>
          <w:szCs w:val="24"/>
        </w:rPr>
        <w:t>of the word “ma</w:t>
      </w:r>
      <w:r w:rsidR="00115193">
        <w:rPr>
          <w:rFonts w:ascii="Times New Roman" w:hAnsi="Times New Roman" w:cs="Times New Roman"/>
          <w:sz w:val="24"/>
          <w:szCs w:val="24"/>
        </w:rPr>
        <w:t xml:space="preserve">y” in the sub rule, the attachment of documents is not </w:t>
      </w:r>
      <w:r w:rsidR="00115193">
        <w:rPr>
          <w:rFonts w:ascii="Times New Roman" w:hAnsi="Times New Roman" w:cs="Times New Roman"/>
          <w:sz w:val="24"/>
          <w:szCs w:val="24"/>
        </w:rPr>
        <w:lastRenderedPageBreak/>
        <w:t xml:space="preserve">mandatory. See </w:t>
      </w:r>
      <w:r w:rsidR="00115193">
        <w:rPr>
          <w:rFonts w:ascii="Times New Roman" w:hAnsi="Times New Roman" w:cs="Times New Roman"/>
          <w:i/>
          <w:sz w:val="24"/>
          <w:szCs w:val="24"/>
        </w:rPr>
        <w:t xml:space="preserve">Ndebele </w:t>
      </w:r>
      <w:r w:rsidR="00115193">
        <w:rPr>
          <w:rFonts w:ascii="Times New Roman" w:hAnsi="Times New Roman" w:cs="Times New Roman"/>
          <w:sz w:val="24"/>
          <w:szCs w:val="24"/>
        </w:rPr>
        <w:t xml:space="preserve">v </w:t>
      </w:r>
      <w:r w:rsidR="00115193">
        <w:rPr>
          <w:rFonts w:ascii="Times New Roman" w:hAnsi="Times New Roman" w:cs="Times New Roman"/>
          <w:i/>
          <w:sz w:val="24"/>
          <w:szCs w:val="24"/>
        </w:rPr>
        <w:t xml:space="preserve">Local Authority Pension Fund </w:t>
      </w:r>
      <w:r w:rsidR="00115193">
        <w:rPr>
          <w:rFonts w:ascii="Times New Roman" w:hAnsi="Times New Roman" w:cs="Times New Roman"/>
          <w:sz w:val="24"/>
          <w:szCs w:val="24"/>
        </w:rPr>
        <w:t xml:space="preserve">HB162-18; </w:t>
      </w:r>
      <w:r w:rsidR="00115193">
        <w:rPr>
          <w:rFonts w:ascii="Times New Roman" w:hAnsi="Times New Roman" w:cs="Times New Roman"/>
          <w:i/>
          <w:sz w:val="24"/>
          <w:szCs w:val="24"/>
        </w:rPr>
        <w:t xml:space="preserve">Takawira </w:t>
      </w:r>
      <w:r w:rsidR="00115193">
        <w:rPr>
          <w:rFonts w:ascii="Times New Roman" w:hAnsi="Times New Roman" w:cs="Times New Roman"/>
          <w:sz w:val="24"/>
          <w:szCs w:val="24"/>
        </w:rPr>
        <w:t xml:space="preserve">v </w:t>
      </w:r>
      <w:r w:rsidR="00115193">
        <w:rPr>
          <w:rFonts w:ascii="Times New Roman" w:hAnsi="Times New Roman" w:cs="Times New Roman"/>
          <w:i/>
          <w:sz w:val="24"/>
          <w:szCs w:val="24"/>
        </w:rPr>
        <w:t xml:space="preserve">Zimbabwe Iron and Steel Company </w:t>
      </w:r>
      <w:r w:rsidR="00115193">
        <w:rPr>
          <w:rFonts w:ascii="Times New Roman" w:hAnsi="Times New Roman" w:cs="Times New Roman"/>
          <w:sz w:val="24"/>
          <w:szCs w:val="24"/>
        </w:rPr>
        <w:t>HB42-18.</w:t>
      </w:r>
    </w:p>
    <w:p w:rsidR="00115193" w:rsidRDefault="00115193" w:rsidP="00276D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applicant has complied with the rule providing for the making of a summary judgement application. Where an applicant for summary judgement has complied with r 64, making all the necessary averments in the founding affidavit, the onus shifts to the respondent seeking to resist the application to set out a defence which commends itself for referral to trial. In other words, the respondent must show that there are triable issues. What the respondent has to do in that regard is settled in this jurisdiction. The respondent must disclose facts upon which its defence is based with sufficient clarity and completeness so </w:t>
      </w:r>
      <w:r w:rsidR="00E243B7">
        <w:rPr>
          <w:rFonts w:ascii="Times New Roman" w:hAnsi="Times New Roman" w:cs="Times New Roman"/>
          <w:sz w:val="24"/>
          <w:szCs w:val="24"/>
        </w:rPr>
        <w:t>as to persuade the court that if</w:t>
      </w:r>
      <w:r>
        <w:rPr>
          <w:rFonts w:ascii="Times New Roman" w:hAnsi="Times New Roman" w:cs="Times New Roman"/>
          <w:sz w:val="24"/>
          <w:szCs w:val="24"/>
        </w:rPr>
        <w:t xml:space="preserve"> proved at the trial </w:t>
      </w:r>
      <w:r w:rsidR="00E243B7">
        <w:rPr>
          <w:rFonts w:ascii="Times New Roman" w:hAnsi="Times New Roman" w:cs="Times New Roman"/>
          <w:sz w:val="24"/>
          <w:szCs w:val="24"/>
        </w:rPr>
        <w:t xml:space="preserve">they </w:t>
      </w:r>
      <w:r>
        <w:rPr>
          <w:rFonts w:ascii="Times New Roman" w:hAnsi="Times New Roman" w:cs="Times New Roman"/>
          <w:sz w:val="24"/>
          <w:szCs w:val="24"/>
        </w:rPr>
        <w:t xml:space="preserve">will constitute a defence to the claim. </w:t>
      </w:r>
    </w:p>
    <w:p w:rsidR="00115193" w:rsidRDefault="00D20ABA" w:rsidP="00276D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words of MALABA J (as he then was) in </w:t>
      </w:r>
      <w:r>
        <w:rPr>
          <w:rFonts w:ascii="Times New Roman" w:hAnsi="Times New Roman" w:cs="Times New Roman"/>
          <w:i/>
          <w:sz w:val="24"/>
          <w:szCs w:val="24"/>
        </w:rPr>
        <w:t xml:space="preserve">Hales </w:t>
      </w:r>
      <w:r>
        <w:rPr>
          <w:rFonts w:ascii="Times New Roman" w:hAnsi="Times New Roman" w:cs="Times New Roman"/>
          <w:sz w:val="24"/>
          <w:szCs w:val="24"/>
        </w:rPr>
        <w:t xml:space="preserve">v </w:t>
      </w:r>
      <w:r>
        <w:rPr>
          <w:rFonts w:ascii="Times New Roman" w:hAnsi="Times New Roman" w:cs="Times New Roman"/>
          <w:i/>
          <w:sz w:val="24"/>
          <w:szCs w:val="24"/>
        </w:rPr>
        <w:t xml:space="preserve">Doverick Investments (Pvt) Ltd </w:t>
      </w:r>
      <w:r>
        <w:rPr>
          <w:rFonts w:ascii="Times New Roman" w:hAnsi="Times New Roman" w:cs="Times New Roman"/>
          <w:sz w:val="24"/>
          <w:szCs w:val="24"/>
        </w:rPr>
        <w:t xml:space="preserve">1998 (2) ZLR 235 (H) at 238 G, 238 A, while quoting </w:t>
      </w:r>
      <w:r>
        <w:rPr>
          <w:rFonts w:ascii="Times New Roman" w:hAnsi="Times New Roman" w:cs="Times New Roman"/>
          <w:i/>
          <w:sz w:val="24"/>
          <w:szCs w:val="24"/>
        </w:rPr>
        <w:t xml:space="preserve">Mbayiwa </w:t>
      </w:r>
      <w:r>
        <w:rPr>
          <w:rFonts w:ascii="Times New Roman" w:hAnsi="Times New Roman" w:cs="Times New Roman"/>
          <w:sz w:val="24"/>
          <w:szCs w:val="24"/>
        </w:rPr>
        <w:t xml:space="preserve">v </w:t>
      </w:r>
      <w:r>
        <w:rPr>
          <w:rFonts w:ascii="Times New Roman" w:hAnsi="Times New Roman" w:cs="Times New Roman"/>
          <w:i/>
          <w:sz w:val="24"/>
          <w:szCs w:val="24"/>
        </w:rPr>
        <w:t>Eastern Highlands Motel (Pvt) Ltd</w:t>
      </w:r>
      <w:r>
        <w:rPr>
          <w:rFonts w:ascii="Times New Roman" w:hAnsi="Times New Roman" w:cs="Times New Roman"/>
          <w:sz w:val="24"/>
          <w:szCs w:val="24"/>
        </w:rPr>
        <w:t xml:space="preserve"> S-139-8 at pp 4-5:</w:t>
      </w:r>
    </w:p>
    <w:p w:rsidR="00D20ABA" w:rsidRDefault="00D20ABA" w:rsidP="00E5569D">
      <w:pPr>
        <w:spacing w:after="0" w:line="240" w:lineRule="auto"/>
        <w:ind w:left="720"/>
        <w:jc w:val="both"/>
        <w:rPr>
          <w:rFonts w:ascii="Times New Roman" w:hAnsi="Times New Roman" w:cs="Times New Roman"/>
        </w:rPr>
      </w:pPr>
      <w:r w:rsidRPr="00E5569D">
        <w:rPr>
          <w:rFonts w:ascii="Times New Roman" w:hAnsi="Times New Roman" w:cs="Times New Roman"/>
        </w:rPr>
        <w:t xml:space="preserve">“…while the defendant need not deal exhaustively with the facts and the evidence relied on to substantiate them, he must at least disclose his defence and material facts upon which it is based, with sufficient clarity and completeness to enable the court to decide whether the affidavit discloses a </w:t>
      </w:r>
      <w:r w:rsidRPr="00E5569D">
        <w:rPr>
          <w:rFonts w:ascii="Times New Roman" w:hAnsi="Times New Roman" w:cs="Times New Roman"/>
          <w:i/>
        </w:rPr>
        <w:t xml:space="preserve">bona fide </w:t>
      </w:r>
      <w:r w:rsidRPr="00E5569D">
        <w:rPr>
          <w:rFonts w:ascii="Times New Roman" w:hAnsi="Times New Roman" w:cs="Times New Roman"/>
        </w:rPr>
        <w:t xml:space="preserve">defence ( </w:t>
      </w:r>
      <w:r w:rsidRPr="00E5569D">
        <w:rPr>
          <w:rFonts w:ascii="Times New Roman" w:hAnsi="Times New Roman" w:cs="Times New Roman"/>
          <w:i/>
        </w:rPr>
        <w:t xml:space="preserve">Maharaj </w:t>
      </w:r>
      <w:r w:rsidRPr="00E5569D">
        <w:rPr>
          <w:rFonts w:ascii="Times New Roman" w:hAnsi="Times New Roman" w:cs="Times New Roman"/>
        </w:rPr>
        <w:t xml:space="preserve">v </w:t>
      </w:r>
      <w:r w:rsidRPr="00E5569D">
        <w:rPr>
          <w:rFonts w:ascii="Times New Roman" w:hAnsi="Times New Roman" w:cs="Times New Roman"/>
          <w:i/>
        </w:rPr>
        <w:t>Barclay</w:t>
      </w:r>
      <w:r w:rsidR="00E243B7" w:rsidRPr="00E5569D">
        <w:rPr>
          <w:rFonts w:ascii="Times New Roman" w:hAnsi="Times New Roman" w:cs="Times New Roman"/>
          <w:i/>
        </w:rPr>
        <w:t>s</w:t>
      </w:r>
      <w:r w:rsidRPr="00E5569D">
        <w:rPr>
          <w:rFonts w:ascii="Times New Roman" w:hAnsi="Times New Roman" w:cs="Times New Roman"/>
          <w:i/>
        </w:rPr>
        <w:t xml:space="preserve"> National Bank Limited </w:t>
      </w:r>
      <w:r w:rsidRPr="00E5569D">
        <w:rPr>
          <w:rFonts w:ascii="Times New Roman" w:hAnsi="Times New Roman" w:cs="Times New Roman"/>
        </w:rPr>
        <w:t>1976(1) SA 418 (A) at 426 D</w:t>
      </w:r>
      <w:r w:rsidR="00E243B7" w:rsidRPr="00E5569D">
        <w:rPr>
          <w:rFonts w:ascii="Times New Roman" w:hAnsi="Times New Roman" w:cs="Times New Roman"/>
        </w:rPr>
        <w:t>)</w:t>
      </w:r>
      <w:r w:rsidRPr="00E5569D">
        <w:rPr>
          <w:rFonts w:ascii="Times New Roman" w:hAnsi="Times New Roman" w:cs="Times New Roman"/>
        </w:rPr>
        <w:t xml:space="preserve">…the statement of material facts must be sufficiently full to persuade the court that what the defendant has alleged, if it is proved at </w:t>
      </w:r>
      <w:r w:rsidR="00E243B7" w:rsidRPr="00E5569D">
        <w:rPr>
          <w:rFonts w:ascii="Times New Roman" w:hAnsi="Times New Roman" w:cs="Times New Roman"/>
        </w:rPr>
        <w:t xml:space="preserve">the </w:t>
      </w:r>
      <w:r w:rsidRPr="00E5569D">
        <w:rPr>
          <w:rFonts w:ascii="Times New Roman" w:hAnsi="Times New Roman" w:cs="Times New Roman"/>
        </w:rPr>
        <w:t xml:space="preserve">trial will constitute a defence to the plaintiff’s claim…if the defence is averred in </w:t>
      </w:r>
      <w:r w:rsidR="00E243B7" w:rsidRPr="00E5569D">
        <w:rPr>
          <w:rFonts w:ascii="Times New Roman" w:hAnsi="Times New Roman" w:cs="Times New Roman"/>
        </w:rPr>
        <w:t xml:space="preserve">a </w:t>
      </w:r>
      <w:r w:rsidRPr="00E5569D">
        <w:rPr>
          <w:rFonts w:ascii="Times New Roman" w:hAnsi="Times New Roman" w:cs="Times New Roman"/>
        </w:rPr>
        <w:t>manner which appears in all the circumstances needlessly bald, vague</w:t>
      </w:r>
      <w:r w:rsidR="004657EA" w:rsidRPr="00E5569D">
        <w:rPr>
          <w:rFonts w:ascii="Times New Roman" w:hAnsi="Times New Roman" w:cs="Times New Roman"/>
        </w:rPr>
        <w:t xml:space="preserve"> or sketchy that will constitute material for the court to consider in relation to the requirement of </w:t>
      </w:r>
      <w:r w:rsidR="004657EA" w:rsidRPr="00E5569D">
        <w:rPr>
          <w:rFonts w:ascii="Times New Roman" w:hAnsi="Times New Roman" w:cs="Times New Roman"/>
          <w:i/>
        </w:rPr>
        <w:t>bona fides</w:t>
      </w:r>
      <w:r w:rsidR="004657EA" w:rsidRPr="00E5569D">
        <w:rPr>
          <w:rFonts w:ascii="Times New Roman" w:hAnsi="Times New Roman" w:cs="Times New Roman"/>
        </w:rPr>
        <w:t>.”</w:t>
      </w:r>
    </w:p>
    <w:p w:rsidR="00E5569D" w:rsidRPr="00E5569D" w:rsidRDefault="00E5569D" w:rsidP="00E5569D">
      <w:pPr>
        <w:spacing w:after="0" w:line="240" w:lineRule="auto"/>
        <w:ind w:left="720"/>
        <w:jc w:val="both"/>
        <w:rPr>
          <w:rFonts w:ascii="Times New Roman" w:hAnsi="Times New Roman" w:cs="Times New Roman"/>
        </w:rPr>
      </w:pPr>
    </w:p>
    <w:p w:rsidR="004657EA" w:rsidRDefault="00E5569D" w:rsidP="00465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57EA">
        <w:rPr>
          <w:rFonts w:ascii="Times New Roman" w:hAnsi="Times New Roman" w:cs="Times New Roman"/>
          <w:sz w:val="24"/>
          <w:szCs w:val="24"/>
        </w:rPr>
        <w:t xml:space="preserve">See also </w:t>
      </w:r>
      <w:r w:rsidR="004657EA">
        <w:rPr>
          <w:rFonts w:ascii="Times New Roman" w:hAnsi="Times New Roman" w:cs="Times New Roman"/>
          <w:i/>
          <w:sz w:val="24"/>
          <w:szCs w:val="24"/>
        </w:rPr>
        <w:t>Kingston</w:t>
      </w:r>
      <w:r w:rsidR="00E243B7">
        <w:rPr>
          <w:rFonts w:ascii="Times New Roman" w:hAnsi="Times New Roman" w:cs="Times New Roman"/>
          <w:i/>
          <w:sz w:val="24"/>
          <w:szCs w:val="24"/>
        </w:rPr>
        <w:t>s</w:t>
      </w:r>
      <w:r w:rsidR="004657EA">
        <w:rPr>
          <w:rFonts w:ascii="Times New Roman" w:hAnsi="Times New Roman" w:cs="Times New Roman"/>
          <w:i/>
          <w:sz w:val="24"/>
          <w:szCs w:val="24"/>
        </w:rPr>
        <w:t xml:space="preserve"> Ltd </w:t>
      </w:r>
      <w:r w:rsidR="004657EA">
        <w:rPr>
          <w:rFonts w:ascii="Times New Roman" w:hAnsi="Times New Roman" w:cs="Times New Roman"/>
          <w:sz w:val="24"/>
          <w:szCs w:val="24"/>
        </w:rPr>
        <w:t xml:space="preserve">v </w:t>
      </w:r>
      <w:r w:rsidR="003150D0">
        <w:rPr>
          <w:rFonts w:ascii="Times New Roman" w:hAnsi="Times New Roman" w:cs="Times New Roman"/>
          <w:i/>
          <w:sz w:val="24"/>
          <w:szCs w:val="24"/>
        </w:rPr>
        <w:t>L D In</w:t>
      </w:r>
      <w:r w:rsidR="00E243B7">
        <w:rPr>
          <w:rFonts w:ascii="Times New Roman" w:hAnsi="Times New Roman" w:cs="Times New Roman"/>
          <w:i/>
          <w:sz w:val="24"/>
          <w:szCs w:val="24"/>
        </w:rPr>
        <w:t>eson</w:t>
      </w:r>
      <w:r w:rsidR="004657EA">
        <w:rPr>
          <w:rFonts w:ascii="Times New Roman" w:hAnsi="Times New Roman" w:cs="Times New Roman"/>
          <w:sz w:val="24"/>
          <w:szCs w:val="24"/>
        </w:rPr>
        <w:t xml:space="preserve"> 2006(1) ZLR 451() at 458 F-G.</w:t>
      </w:r>
    </w:p>
    <w:p w:rsidR="004657EA" w:rsidRDefault="00E5569D" w:rsidP="00465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657EA">
        <w:rPr>
          <w:rFonts w:ascii="Times New Roman" w:hAnsi="Times New Roman" w:cs="Times New Roman"/>
          <w:sz w:val="24"/>
          <w:szCs w:val="24"/>
        </w:rPr>
        <w:t>In my view, what the respondent has raised does not come anywhere near to meeting the threshold set by the authorities for defeating an application for summary judgement. The respondent cannot say</w:t>
      </w:r>
      <w:r w:rsidR="00E243B7">
        <w:rPr>
          <w:rFonts w:ascii="Times New Roman" w:hAnsi="Times New Roman" w:cs="Times New Roman"/>
          <w:sz w:val="24"/>
          <w:szCs w:val="24"/>
        </w:rPr>
        <w:t>;</w:t>
      </w:r>
      <w:r w:rsidR="004657EA">
        <w:rPr>
          <w:rFonts w:ascii="Times New Roman" w:hAnsi="Times New Roman" w:cs="Times New Roman"/>
          <w:sz w:val="24"/>
          <w:szCs w:val="24"/>
        </w:rPr>
        <w:t xml:space="preserve"> “Yes l have been sued for $31 238-00 but until such time that it has been broken down, l have a defence.” While it is true that the onus would be on the party suing to prove its claim on a balance of probabilities, where the averments have been made that the amount claimed relates to levies due by virtue of statute for the period extending from Jan</w:t>
      </w:r>
      <w:r w:rsidR="00E243B7">
        <w:rPr>
          <w:rFonts w:ascii="Times New Roman" w:hAnsi="Times New Roman" w:cs="Times New Roman"/>
          <w:sz w:val="24"/>
          <w:szCs w:val="24"/>
        </w:rPr>
        <w:t>uary 2014 to April 2015, that is enough for purposes of pleading</w:t>
      </w:r>
      <w:r w:rsidR="00981F9E">
        <w:rPr>
          <w:rFonts w:ascii="Times New Roman" w:hAnsi="Times New Roman" w:cs="Times New Roman"/>
          <w:sz w:val="24"/>
          <w:szCs w:val="24"/>
        </w:rPr>
        <w:t>. I</w:t>
      </w:r>
      <w:r w:rsidR="004657EA">
        <w:rPr>
          <w:rFonts w:ascii="Times New Roman" w:hAnsi="Times New Roman" w:cs="Times New Roman"/>
          <w:sz w:val="24"/>
          <w:szCs w:val="24"/>
        </w:rPr>
        <w:t xml:space="preserve">n respect of seeking summary judgment </w:t>
      </w:r>
      <w:r w:rsidR="00DC57AE">
        <w:rPr>
          <w:rFonts w:ascii="Times New Roman" w:hAnsi="Times New Roman" w:cs="Times New Roman"/>
          <w:sz w:val="24"/>
          <w:szCs w:val="24"/>
        </w:rPr>
        <w:t>I</w:t>
      </w:r>
      <w:r w:rsidR="004657EA">
        <w:rPr>
          <w:rFonts w:ascii="Times New Roman" w:hAnsi="Times New Roman" w:cs="Times New Roman"/>
          <w:sz w:val="24"/>
          <w:szCs w:val="24"/>
        </w:rPr>
        <w:t xml:space="preserve"> have said that the requirements </w:t>
      </w:r>
      <w:r w:rsidR="00DC57AE">
        <w:rPr>
          <w:rFonts w:ascii="Times New Roman" w:hAnsi="Times New Roman" w:cs="Times New Roman"/>
          <w:sz w:val="24"/>
          <w:szCs w:val="24"/>
        </w:rPr>
        <w:t>are clearly set out in r 64 and they have been complied with. It is the respondent which has failed to defeat the application and for that reason it must grieve. It has simply not set out any defence whatsoever.</w:t>
      </w:r>
    </w:p>
    <w:p w:rsidR="00DC57AE" w:rsidRDefault="00E5569D" w:rsidP="00465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C57AE">
        <w:rPr>
          <w:rFonts w:ascii="Times New Roman" w:hAnsi="Times New Roman" w:cs="Times New Roman"/>
          <w:sz w:val="24"/>
          <w:szCs w:val="24"/>
        </w:rPr>
        <w:t>In the result, it is ordered that:</w:t>
      </w:r>
    </w:p>
    <w:p w:rsidR="00DC57AE" w:rsidRDefault="00DC57AE" w:rsidP="00DC57A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judgement be and is hereby entered in favour of the applicant as against the respondent for;</w:t>
      </w:r>
    </w:p>
    <w:p w:rsidR="00DC57AE" w:rsidRDefault="00DC57AE" w:rsidP="00DC57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the sum of US$31 238-00 council dues owed to the applicant by the respondent for the period January 2014 to April 2015.</w:t>
      </w:r>
    </w:p>
    <w:p w:rsidR="00DC57AE" w:rsidRDefault="00DC57AE" w:rsidP="00DC57A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w:t>
      </w:r>
      <w:r w:rsidR="00981F9E">
        <w:rPr>
          <w:rFonts w:ascii="Times New Roman" w:hAnsi="Times New Roman" w:cs="Times New Roman"/>
          <w:sz w:val="24"/>
          <w:szCs w:val="24"/>
        </w:rPr>
        <w:t>st on that sum at the rate of 5</w:t>
      </w:r>
      <w:r>
        <w:rPr>
          <w:rFonts w:ascii="Times New Roman" w:hAnsi="Times New Roman" w:cs="Times New Roman"/>
          <w:sz w:val="24"/>
          <w:szCs w:val="24"/>
        </w:rPr>
        <w:t>% per annum from due date</w:t>
      </w:r>
      <w:r w:rsidR="003B4510">
        <w:rPr>
          <w:rFonts w:ascii="Times New Roman" w:hAnsi="Times New Roman" w:cs="Times New Roman"/>
          <w:sz w:val="24"/>
          <w:szCs w:val="24"/>
        </w:rPr>
        <w:t xml:space="preserve"> to date of payment in full.</w:t>
      </w:r>
    </w:p>
    <w:p w:rsidR="003B4510" w:rsidRDefault="003B4510" w:rsidP="003B451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3B4510" w:rsidRDefault="003B4510" w:rsidP="003B4510">
      <w:pPr>
        <w:spacing w:after="0" w:line="360" w:lineRule="auto"/>
        <w:jc w:val="both"/>
        <w:rPr>
          <w:rFonts w:ascii="Times New Roman" w:hAnsi="Times New Roman" w:cs="Times New Roman"/>
          <w:sz w:val="24"/>
          <w:szCs w:val="24"/>
        </w:rPr>
      </w:pPr>
    </w:p>
    <w:p w:rsidR="00981F9E" w:rsidRDefault="00981F9E" w:rsidP="003B4510">
      <w:pPr>
        <w:spacing w:after="0" w:line="360" w:lineRule="auto"/>
        <w:jc w:val="both"/>
        <w:rPr>
          <w:rFonts w:ascii="Times New Roman" w:hAnsi="Times New Roman" w:cs="Times New Roman"/>
          <w:sz w:val="24"/>
          <w:szCs w:val="24"/>
        </w:rPr>
      </w:pPr>
    </w:p>
    <w:p w:rsidR="00981F9E" w:rsidRDefault="00981F9E" w:rsidP="003B4510">
      <w:pPr>
        <w:spacing w:after="0" w:line="360" w:lineRule="auto"/>
        <w:jc w:val="both"/>
        <w:rPr>
          <w:rFonts w:ascii="Times New Roman" w:hAnsi="Times New Roman" w:cs="Times New Roman"/>
          <w:sz w:val="24"/>
          <w:szCs w:val="24"/>
        </w:rPr>
      </w:pPr>
    </w:p>
    <w:p w:rsidR="003B4510" w:rsidRDefault="003B4510" w:rsidP="003B4510">
      <w:pPr>
        <w:spacing w:after="0" w:line="360" w:lineRule="auto"/>
        <w:jc w:val="both"/>
        <w:rPr>
          <w:rFonts w:ascii="Times New Roman" w:hAnsi="Times New Roman" w:cs="Times New Roman"/>
          <w:sz w:val="24"/>
          <w:szCs w:val="24"/>
        </w:rPr>
      </w:pPr>
    </w:p>
    <w:p w:rsidR="003B4510" w:rsidRDefault="003B4510" w:rsidP="00981F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Jumo, Mashoko &amp; Partners, </w:t>
      </w:r>
      <w:r>
        <w:rPr>
          <w:rFonts w:ascii="Times New Roman" w:hAnsi="Times New Roman" w:cs="Times New Roman"/>
          <w:sz w:val="24"/>
          <w:szCs w:val="24"/>
        </w:rPr>
        <w:t>applicant</w:t>
      </w:r>
      <w:r w:rsidR="00981F9E">
        <w:rPr>
          <w:rFonts w:ascii="Times New Roman" w:hAnsi="Times New Roman" w:cs="Times New Roman"/>
          <w:sz w:val="24"/>
          <w:szCs w:val="24"/>
        </w:rPr>
        <w:t>’s legal practitioners.</w:t>
      </w:r>
    </w:p>
    <w:p w:rsidR="00981F9E" w:rsidRPr="00981F9E" w:rsidRDefault="00981F9E" w:rsidP="00981F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Coghlan, Welsh and Guest,</w:t>
      </w:r>
      <w:r>
        <w:rPr>
          <w:rFonts w:ascii="Times New Roman" w:hAnsi="Times New Roman" w:cs="Times New Roman"/>
          <w:sz w:val="24"/>
          <w:szCs w:val="24"/>
        </w:rPr>
        <w:t xml:space="preserve"> respondent’s legal practitioners.</w:t>
      </w:r>
    </w:p>
    <w:p w:rsidR="00981F9E" w:rsidRPr="003B4510" w:rsidRDefault="00981F9E" w:rsidP="003B4510">
      <w:pPr>
        <w:spacing w:after="0" w:line="360" w:lineRule="auto"/>
        <w:jc w:val="both"/>
        <w:rPr>
          <w:rFonts w:ascii="Times New Roman" w:hAnsi="Times New Roman" w:cs="Times New Roman"/>
          <w:sz w:val="24"/>
          <w:szCs w:val="24"/>
        </w:rPr>
      </w:pPr>
    </w:p>
    <w:sectPr w:rsidR="00981F9E" w:rsidRPr="003B45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27A" w:rsidRDefault="005E327A" w:rsidP="007771DA">
      <w:pPr>
        <w:spacing w:after="0" w:line="240" w:lineRule="auto"/>
      </w:pPr>
      <w:r>
        <w:separator/>
      </w:r>
    </w:p>
  </w:endnote>
  <w:endnote w:type="continuationSeparator" w:id="0">
    <w:p w:rsidR="005E327A" w:rsidRDefault="005E327A" w:rsidP="0077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27A" w:rsidRDefault="005E327A" w:rsidP="007771DA">
      <w:pPr>
        <w:spacing w:after="0" w:line="240" w:lineRule="auto"/>
      </w:pPr>
      <w:r>
        <w:separator/>
      </w:r>
    </w:p>
  </w:footnote>
  <w:footnote w:type="continuationSeparator" w:id="0">
    <w:p w:rsidR="005E327A" w:rsidRDefault="005E327A" w:rsidP="0077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034659"/>
      <w:docPartObj>
        <w:docPartGallery w:val="Page Numbers (Top of Page)"/>
        <w:docPartUnique/>
      </w:docPartObj>
    </w:sdtPr>
    <w:sdtEndPr>
      <w:rPr>
        <w:noProof/>
      </w:rPr>
    </w:sdtEndPr>
    <w:sdtContent>
      <w:p w:rsidR="00DC57AE" w:rsidRDefault="00DC57AE">
        <w:pPr>
          <w:pStyle w:val="Header"/>
          <w:jc w:val="right"/>
          <w:rPr>
            <w:noProof/>
          </w:rPr>
        </w:pPr>
        <w:r>
          <w:fldChar w:fldCharType="begin"/>
        </w:r>
        <w:r>
          <w:instrText xml:space="preserve"> PAGE   \* MERGEFORMAT </w:instrText>
        </w:r>
        <w:r>
          <w:fldChar w:fldCharType="separate"/>
        </w:r>
        <w:r w:rsidR="00ED21EF">
          <w:rPr>
            <w:noProof/>
          </w:rPr>
          <w:t>1</w:t>
        </w:r>
        <w:r>
          <w:rPr>
            <w:noProof/>
          </w:rPr>
          <w:fldChar w:fldCharType="end"/>
        </w:r>
      </w:p>
      <w:p w:rsidR="00DC57AE" w:rsidRDefault="00DC57AE">
        <w:pPr>
          <w:pStyle w:val="Header"/>
          <w:jc w:val="right"/>
          <w:rPr>
            <w:noProof/>
          </w:rPr>
        </w:pPr>
        <w:r>
          <w:rPr>
            <w:noProof/>
          </w:rPr>
          <w:t xml:space="preserve">HH </w:t>
        </w:r>
        <w:r w:rsidR="00D46464">
          <w:rPr>
            <w:noProof/>
          </w:rPr>
          <w:t>456-18</w:t>
        </w:r>
      </w:p>
      <w:p w:rsidR="00DC57AE" w:rsidRDefault="00DC57AE">
        <w:pPr>
          <w:pStyle w:val="Header"/>
          <w:jc w:val="right"/>
        </w:pPr>
        <w:r>
          <w:rPr>
            <w:noProof/>
          </w:rPr>
          <w:t>HC 7852/15</w:t>
        </w:r>
      </w:p>
    </w:sdtContent>
  </w:sdt>
  <w:p w:rsidR="00DC57AE" w:rsidRPr="007771DA" w:rsidRDefault="00DC57AE">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5375"/>
    <w:multiLevelType w:val="hybridMultilevel"/>
    <w:tmpl w:val="9944449A"/>
    <w:lvl w:ilvl="0" w:tplc="4B22D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A37A3E"/>
    <w:multiLevelType w:val="hybridMultilevel"/>
    <w:tmpl w:val="C2CCB90C"/>
    <w:lvl w:ilvl="0" w:tplc="E9004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AC49D6"/>
    <w:multiLevelType w:val="hybridMultilevel"/>
    <w:tmpl w:val="7286F698"/>
    <w:lvl w:ilvl="0" w:tplc="424A9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C561D8"/>
    <w:multiLevelType w:val="hybridMultilevel"/>
    <w:tmpl w:val="691E1F92"/>
    <w:lvl w:ilvl="0" w:tplc="181091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1429C5"/>
    <w:multiLevelType w:val="hybridMultilevel"/>
    <w:tmpl w:val="7202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1A"/>
    <w:rsid w:val="00017C0F"/>
    <w:rsid w:val="000372DB"/>
    <w:rsid w:val="000453FF"/>
    <w:rsid w:val="000472A5"/>
    <w:rsid w:val="00054BAD"/>
    <w:rsid w:val="00061946"/>
    <w:rsid w:val="0006769B"/>
    <w:rsid w:val="0008677A"/>
    <w:rsid w:val="000F70F0"/>
    <w:rsid w:val="00105386"/>
    <w:rsid w:val="00115193"/>
    <w:rsid w:val="00120A54"/>
    <w:rsid w:val="0012634E"/>
    <w:rsid w:val="001624A5"/>
    <w:rsid w:val="0019078C"/>
    <w:rsid w:val="001A0253"/>
    <w:rsid w:val="001C4391"/>
    <w:rsid w:val="001D0163"/>
    <w:rsid w:val="001D19AF"/>
    <w:rsid w:val="001E6C64"/>
    <w:rsid w:val="00200A79"/>
    <w:rsid w:val="0024078A"/>
    <w:rsid w:val="00241FB7"/>
    <w:rsid w:val="002541BA"/>
    <w:rsid w:val="00276DC3"/>
    <w:rsid w:val="002B15E3"/>
    <w:rsid w:val="002D2EEB"/>
    <w:rsid w:val="002F1FD5"/>
    <w:rsid w:val="003043A9"/>
    <w:rsid w:val="003150D0"/>
    <w:rsid w:val="00334344"/>
    <w:rsid w:val="003648F6"/>
    <w:rsid w:val="003B4510"/>
    <w:rsid w:val="003E6CBE"/>
    <w:rsid w:val="0040377D"/>
    <w:rsid w:val="00446EA7"/>
    <w:rsid w:val="004657EA"/>
    <w:rsid w:val="004803CB"/>
    <w:rsid w:val="00496AC8"/>
    <w:rsid w:val="004B5510"/>
    <w:rsid w:val="004C7F12"/>
    <w:rsid w:val="004E1651"/>
    <w:rsid w:val="004E2C6B"/>
    <w:rsid w:val="004E32B3"/>
    <w:rsid w:val="004E34E3"/>
    <w:rsid w:val="00515F43"/>
    <w:rsid w:val="00524354"/>
    <w:rsid w:val="00530663"/>
    <w:rsid w:val="00531FF0"/>
    <w:rsid w:val="005407D5"/>
    <w:rsid w:val="005527C6"/>
    <w:rsid w:val="00572790"/>
    <w:rsid w:val="00584348"/>
    <w:rsid w:val="00585667"/>
    <w:rsid w:val="005C45E1"/>
    <w:rsid w:val="005D417C"/>
    <w:rsid w:val="005D725F"/>
    <w:rsid w:val="005E327A"/>
    <w:rsid w:val="005F441A"/>
    <w:rsid w:val="00647BC8"/>
    <w:rsid w:val="006529DD"/>
    <w:rsid w:val="00655973"/>
    <w:rsid w:val="0068365E"/>
    <w:rsid w:val="00693F03"/>
    <w:rsid w:val="006D1611"/>
    <w:rsid w:val="006F5C76"/>
    <w:rsid w:val="00726873"/>
    <w:rsid w:val="00735DD0"/>
    <w:rsid w:val="00761257"/>
    <w:rsid w:val="007767E7"/>
    <w:rsid w:val="007771DA"/>
    <w:rsid w:val="00796E58"/>
    <w:rsid w:val="007A757E"/>
    <w:rsid w:val="007E2140"/>
    <w:rsid w:val="007E63BE"/>
    <w:rsid w:val="007F1B00"/>
    <w:rsid w:val="00826B62"/>
    <w:rsid w:val="008300B1"/>
    <w:rsid w:val="00862602"/>
    <w:rsid w:val="00864C47"/>
    <w:rsid w:val="00866A28"/>
    <w:rsid w:val="00873E7A"/>
    <w:rsid w:val="00882EFB"/>
    <w:rsid w:val="008A5052"/>
    <w:rsid w:val="008A7444"/>
    <w:rsid w:val="008B0264"/>
    <w:rsid w:val="008F1474"/>
    <w:rsid w:val="00900EE6"/>
    <w:rsid w:val="0090192A"/>
    <w:rsid w:val="0091070F"/>
    <w:rsid w:val="009260AB"/>
    <w:rsid w:val="00965C44"/>
    <w:rsid w:val="009733B6"/>
    <w:rsid w:val="0098080A"/>
    <w:rsid w:val="00981F9E"/>
    <w:rsid w:val="009A032D"/>
    <w:rsid w:val="009D6447"/>
    <w:rsid w:val="009D69C4"/>
    <w:rsid w:val="009E130A"/>
    <w:rsid w:val="009E274B"/>
    <w:rsid w:val="009F1FE4"/>
    <w:rsid w:val="00A238D8"/>
    <w:rsid w:val="00A3270D"/>
    <w:rsid w:val="00A3567C"/>
    <w:rsid w:val="00A3687E"/>
    <w:rsid w:val="00A4044E"/>
    <w:rsid w:val="00A80CFF"/>
    <w:rsid w:val="00A843F1"/>
    <w:rsid w:val="00A845B9"/>
    <w:rsid w:val="00A93DD0"/>
    <w:rsid w:val="00A95E0E"/>
    <w:rsid w:val="00AB7D99"/>
    <w:rsid w:val="00AC2643"/>
    <w:rsid w:val="00AC4C9E"/>
    <w:rsid w:val="00AD09BE"/>
    <w:rsid w:val="00AD4557"/>
    <w:rsid w:val="00AE7BD3"/>
    <w:rsid w:val="00B03D25"/>
    <w:rsid w:val="00B55AF3"/>
    <w:rsid w:val="00B718FC"/>
    <w:rsid w:val="00B72F21"/>
    <w:rsid w:val="00B8571A"/>
    <w:rsid w:val="00B866DC"/>
    <w:rsid w:val="00BA6477"/>
    <w:rsid w:val="00BD220C"/>
    <w:rsid w:val="00BD3063"/>
    <w:rsid w:val="00BD7DC4"/>
    <w:rsid w:val="00BE0F86"/>
    <w:rsid w:val="00BE786F"/>
    <w:rsid w:val="00C03A15"/>
    <w:rsid w:val="00C14AF5"/>
    <w:rsid w:val="00C31491"/>
    <w:rsid w:val="00C40A43"/>
    <w:rsid w:val="00C679E5"/>
    <w:rsid w:val="00C73F43"/>
    <w:rsid w:val="00C745FB"/>
    <w:rsid w:val="00CB1299"/>
    <w:rsid w:val="00CC6AFF"/>
    <w:rsid w:val="00D069C6"/>
    <w:rsid w:val="00D16AA6"/>
    <w:rsid w:val="00D20ABA"/>
    <w:rsid w:val="00D253B7"/>
    <w:rsid w:val="00D37809"/>
    <w:rsid w:val="00D46464"/>
    <w:rsid w:val="00D54FA3"/>
    <w:rsid w:val="00D66C8B"/>
    <w:rsid w:val="00D679DD"/>
    <w:rsid w:val="00D90290"/>
    <w:rsid w:val="00D91520"/>
    <w:rsid w:val="00DC2AFC"/>
    <w:rsid w:val="00DC57AE"/>
    <w:rsid w:val="00E0795B"/>
    <w:rsid w:val="00E23C50"/>
    <w:rsid w:val="00E243B7"/>
    <w:rsid w:val="00E361B5"/>
    <w:rsid w:val="00E5569D"/>
    <w:rsid w:val="00E63B2F"/>
    <w:rsid w:val="00E87FDB"/>
    <w:rsid w:val="00EC6731"/>
    <w:rsid w:val="00ED19FC"/>
    <w:rsid w:val="00ED21EF"/>
    <w:rsid w:val="00F06C2D"/>
    <w:rsid w:val="00F24EF5"/>
    <w:rsid w:val="00F5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491F2-0FE8-4237-84A6-5083497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E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00EE6"/>
    <w:rPr>
      <w:i/>
      <w:iCs/>
    </w:rPr>
  </w:style>
  <w:style w:type="character" w:styleId="Hyperlink">
    <w:name w:val="Hyperlink"/>
    <w:basedOn w:val="DefaultParagraphFont"/>
    <w:uiPriority w:val="99"/>
    <w:semiHidden/>
    <w:unhideWhenUsed/>
    <w:rsid w:val="005C45E1"/>
    <w:rPr>
      <w:color w:val="0000FF"/>
      <w:u w:val="single"/>
    </w:rPr>
  </w:style>
  <w:style w:type="paragraph" w:styleId="ListParagraph">
    <w:name w:val="List Paragraph"/>
    <w:basedOn w:val="Normal"/>
    <w:uiPriority w:val="34"/>
    <w:qFormat/>
    <w:rsid w:val="000453FF"/>
    <w:pPr>
      <w:ind w:left="720"/>
      <w:contextualSpacing/>
    </w:pPr>
  </w:style>
  <w:style w:type="paragraph" w:styleId="BalloonText">
    <w:name w:val="Balloon Text"/>
    <w:basedOn w:val="Normal"/>
    <w:link w:val="BalloonTextChar"/>
    <w:uiPriority w:val="99"/>
    <w:semiHidden/>
    <w:unhideWhenUsed/>
    <w:rsid w:val="00067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69B"/>
    <w:rPr>
      <w:rFonts w:ascii="Tahoma" w:hAnsi="Tahoma" w:cs="Tahoma"/>
      <w:sz w:val="16"/>
      <w:szCs w:val="16"/>
      <w:lang w:val="en-GB"/>
    </w:rPr>
  </w:style>
  <w:style w:type="paragraph" w:styleId="Header">
    <w:name w:val="header"/>
    <w:basedOn w:val="Normal"/>
    <w:link w:val="HeaderChar"/>
    <w:uiPriority w:val="99"/>
    <w:unhideWhenUsed/>
    <w:rsid w:val="00777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DA"/>
    <w:rPr>
      <w:lang w:val="en-GB"/>
    </w:rPr>
  </w:style>
  <w:style w:type="paragraph" w:styleId="Footer">
    <w:name w:val="footer"/>
    <w:basedOn w:val="Normal"/>
    <w:link w:val="FooterChar"/>
    <w:uiPriority w:val="99"/>
    <w:unhideWhenUsed/>
    <w:rsid w:val="00777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D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4547">
      <w:bodyDiv w:val="1"/>
      <w:marLeft w:val="0"/>
      <w:marRight w:val="0"/>
      <w:marTop w:val="0"/>
      <w:marBottom w:val="0"/>
      <w:divBdr>
        <w:top w:val="none" w:sz="0" w:space="0" w:color="auto"/>
        <w:left w:val="none" w:sz="0" w:space="0" w:color="auto"/>
        <w:bottom w:val="none" w:sz="0" w:space="0" w:color="auto"/>
        <w:right w:val="none" w:sz="0" w:space="0" w:color="auto"/>
      </w:divBdr>
    </w:div>
    <w:div w:id="236482289">
      <w:bodyDiv w:val="1"/>
      <w:marLeft w:val="0"/>
      <w:marRight w:val="0"/>
      <w:marTop w:val="0"/>
      <w:marBottom w:val="0"/>
      <w:divBdr>
        <w:top w:val="none" w:sz="0" w:space="0" w:color="auto"/>
        <w:left w:val="none" w:sz="0" w:space="0" w:color="auto"/>
        <w:bottom w:val="none" w:sz="0" w:space="0" w:color="auto"/>
        <w:right w:val="none" w:sz="0" w:space="0" w:color="auto"/>
      </w:divBdr>
    </w:div>
    <w:div w:id="255596038">
      <w:bodyDiv w:val="1"/>
      <w:marLeft w:val="0"/>
      <w:marRight w:val="0"/>
      <w:marTop w:val="0"/>
      <w:marBottom w:val="0"/>
      <w:divBdr>
        <w:top w:val="none" w:sz="0" w:space="0" w:color="auto"/>
        <w:left w:val="none" w:sz="0" w:space="0" w:color="auto"/>
        <w:bottom w:val="none" w:sz="0" w:space="0" w:color="auto"/>
        <w:right w:val="none" w:sz="0" w:space="0" w:color="auto"/>
      </w:divBdr>
    </w:div>
    <w:div w:id="1362632860">
      <w:bodyDiv w:val="1"/>
      <w:marLeft w:val="0"/>
      <w:marRight w:val="0"/>
      <w:marTop w:val="0"/>
      <w:marBottom w:val="0"/>
      <w:divBdr>
        <w:top w:val="none" w:sz="0" w:space="0" w:color="auto"/>
        <w:left w:val="none" w:sz="0" w:space="0" w:color="auto"/>
        <w:bottom w:val="none" w:sz="0" w:space="0" w:color="auto"/>
        <w:right w:val="none" w:sz="0" w:space="0" w:color="auto"/>
      </w:divBdr>
    </w:div>
    <w:div w:id="14430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CAC76-FB9C-4265-93BA-B909F94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cp:lastPrinted>2018-08-02T07:54:00Z</cp:lastPrinted>
  <dcterms:created xsi:type="dcterms:W3CDTF">2018-08-06T07:16:00Z</dcterms:created>
  <dcterms:modified xsi:type="dcterms:W3CDTF">2018-08-06T07:16:00Z</dcterms:modified>
</cp:coreProperties>
</file>