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A083" w14:textId="77777777" w:rsidR="00456579" w:rsidRDefault="00456579">
      <w:pPr>
        <w:pStyle w:val="BodyText"/>
        <w:spacing w:before="60"/>
        <w:rPr>
          <w:sz w:val="20"/>
        </w:rPr>
      </w:pPr>
    </w:p>
    <w:p w14:paraId="057E92BE" w14:textId="77777777" w:rsidR="00456579" w:rsidRDefault="00456579">
      <w:pPr>
        <w:pStyle w:val="BodyText"/>
        <w:rPr>
          <w:sz w:val="20"/>
        </w:rPr>
        <w:sectPr w:rsidR="00456579">
          <w:type w:val="continuous"/>
          <w:pgSz w:w="12240" w:h="15840"/>
          <w:pgMar w:top="700" w:right="1080" w:bottom="280" w:left="1440" w:header="720" w:footer="720" w:gutter="0"/>
          <w:cols w:space="720"/>
        </w:sectPr>
      </w:pPr>
    </w:p>
    <w:p w14:paraId="63D02BA2" w14:textId="77777777" w:rsidR="00456579" w:rsidRDefault="00456579">
      <w:pPr>
        <w:pStyle w:val="BodyText"/>
        <w:spacing w:before="174"/>
      </w:pPr>
    </w:p>
    <w:p w14:paraId="4426D0ED" w14:textId="77777777" w:rsidR="00456579" w:rsidRDefault="00000000">
      <w:pPr>
        <w:spacing w:line="417" w:lineRule="auto"/>
        <w:rPr>
          <w:b/>
          <w:sz w:val="24"/>
        </w:rPr>
      </w:pPr>
      <w:r>
        <w:rPr>
          <w:b/>
          <w:sz w:val="24"/>
        </w:rPr>
        <w:t>IN</w:t>
      </w:r>
      <w:r>
        <w:rPr>
          <w:b/>
          <w:spacing w:val="-15"/>
          <w:sz w:val="24"/>
        </w:rPr>
        <w:t xml:space="preserve"> </w:t>
      </w:r>
      <w:r>
        <w:rPr>
          <w:b/>
          <w:sz w:val="24"/>
        </w:rPr>
        <w:t>THE</w:t>
      </w:r>
      <w:r>
        <w:rPr>
          <w:b/>
          <w:spacing w:val="-15"/>
          <w:sz w:val="24"/>
        </w:rPr>
        <w:t xml:space="preserve"> </w:t>
      </w:r>
      <w:r>
        <w:rPr>
          <w:b/>
          <w:sz w:val="24"/>
        </w:rPr>
        <w:t>LABOUR</w:t>
      </w:r>
      <w:r>
        <w:rPr>
          <w:b/>
          <w:spacing w:val="-15"/>
          <w:sz w:val="24"/>
        </w:rPr>
        <w:t xml:space="preserve"> </w:t>
      </w:r>
      <w:r>
        <w:rPr>
          <w:b/>
          <w:sz w:val="24"/>
        </w:rPr>
        <w:t>COURTOF</w:t>
      </w:r>
      <w:r>
        <w:rPr>
          <w:b/>
          <w:spacing w:val="-15"/>
          <w:sz w:val="24"/>
        </w:rPr>
        <w:t xml:space="preserve"> </w:t>
      </w:r>
      <w:r>
        <w:rPr>
          <w:b/>
          <w:sz w:val="24"/>
        </w:rPr>
        <w:t>ZIMBABWE HELD AT HARARE</w:t>
      </w:r>
    </w:p>
    <w:p w14:paraId="2029DD3B" w14:textId="77777777" w:rsidR="00456579" w:rsidRDefault="00000000">
      <w:pPr>
        <w:spacing w:line="275" w:lineRule="exact"/>
        <w:rPr>
          <w:b/>
          <w:sz w:val="24"/>
        </w:rPr>
      </w:pPr>
      <w:r>
        <w:rPr>
          <w:b/>
          <w:sz w:val="24"/>
        </w:rPr>
        <w:t>29</w:t>
      </w:r>
      <w:r>
        <w:rPr>
          <w:b/>
          <w:spacing w:val="-5"/>
          <w:sz w:val="24"/>
        </w:rPr>
        <w:t xml:space="preserve"> </w:t>
      </w:r>
      <w:r>
        <w:rPr>
          <w:b/>
          <w:sz w:val="24"/>
        </w:rPr>
        <w:t>OCTOBER</w:t>
      </w:r>
      <w:r>
        <w:rPr>
          <w:b/>
          <w:spacing w:val="-4"/>
          <w:sz w:val="24"/>
        </w:rPr>
        <w:t xml:space="preserve"> 2025</w:t>
      </w:r>
    </w:p>
    <w:p w14:paraId="0118DEB4" w14:textId="77777777" w:rsidR="00456579" w:rsidRDefault="00000000">
      <w:pPr>
        <w:spacing w:before="90" w:line="417" w:lineRule="auto"/>
        <w:ind w:right="114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LC/H/422/25 CASE NO LC/H/628/25</w:t>
      </w:r>
    </w:p>
    <w:p w14:paraId="322450B2" w14:textId="77777777" w:rsidR="00456579" w:rsidRDefault="00456579">
      <w:pPr>
        <w:spacing w:line="417" w:lineRule="auto"/>
        <w:rPr>
          <w:b/>
          <w:sz w:val="24"/>
        </w:rPr>
        <w:sectPr w:rsidR="00456579">
          <w:type w:val="continuous"/>
          <w:pgSz w:w="12240" w:h="15840"/>
          <w:pgMar w:top="700" w:right="1080" w:bottom="280" w:left="1440" w:header="720" w:footer="720" w:gutter="0"/>
          <w:cols w:num="2" w:space="720" w:equalWidth="0">
            <w:col w:w="4587" w:space="813"/>
            <w:col w:w="4320"/>
          </w:cols>
        </w:sectPr>
      </w:pPr>
    </w:p>
    <w:p w14:paraId="36388413" w14:textId="7066C873" w:rsidR="00456579" w:rsidRDefault="00456579">
      <w:pPr>
        <w:pStyle w:val="BodyText"/>
        <w:rPr>
          <w:b/>
        </w:rPr>
      </w:pPr>
    </w:p>
    <w:p w14:paraId="312F8FDA" w14:textId="77777777" w:rsidR="00456579" w:rsidRDefault="00456579">
      <w:pPr>
        <w:pStyle w:val="BodyText"/>
        <w:spacing w:before="132"/>
        <w:rPr>
          <w:b/>
        </w:rPr>
      </w:pPr>
    </w:p>
    <w:p w14:paraId="08AE702C" w14:textId="77777777" w:rsidR="00456579" w:rsidRDefault="00000000">
      <w:pPr>
        <w:jc w:val="both"/>
        <w:rPr>
          <w:b/>
          <w:sz w:val="24"/>
        </w:rPr>
      </w:pPr>
      <w:r>
        <w:rPr>
          <w:b/>
          <w:sz w:val="24"/>
        </w:rPr>
        <w:t>In</w:t>
      </w:r>
      <w:r>
        <w:rPr>
          <w:b/>
          <w:spacing w:val="-5"/>
          <w:sz w:val="24"/>
        </w:rPr>
        <w:t xml:space="preserve"> </w:t>
      </w:r>
      <w:r>
        <w:rPr>
          <w:b/>
          <w:sz w:val="24"/>
        </w:rPr>
        <w:t>the</w:t>
      </w:r>
      <w:r>
        <w:rPr>
          <w:b/>
          <w:spacing w:val="-1"/>
          <w:sz w:val="24"/>
        </w:rPr>
        <w:t xml:space="preserve"> </w:t>
      </w:r>
      <w:r>
        <w:rPr>
          <w:b/>
          <w:sz w:val="24"/>
        </w:rPr>
        <w:t>matter</w:t>
      </w:r>
      <w:r>
        <w:rPr>
          <w:b/>
          <w:spacing w:val="-5"/>
          <w:sz w:val="24"/>
        </w:rPr>
        <w:t xml:space="preserve"> </w:t>
      </w:r>
      <w:r>
        <w:rPr>
          <w:b/>
          <w:spacing w:val="-2"/>
          <w:sz w:val="24"/>
        </w:rPr>
        <w:t>between:</w:t>
      </w:r>
    </w:p>
    <w:p w14:paraId="2711F086" w14:textId="77777777" w:rsidR="00456579" w:rsidRDefault="00000000">
      <w:pPr>
        <w:tabs>
          <w:tab w:val="left" w:pos="6455"/>
        </w:tabs>
        <w:spacing w:before="204" w:line="499" w:lineRule="auto"/>
        <w:ind w:right="1862"/>
        <w:rPr>
          <w:b/>
          <w:sz w:val="24"/>
        </w:rPr>
      </w:pPr>
      <w:r>
        <w:rPr>
          <w:b/>
          <w:sz w:val="24"/>
        </w:rPr>
        <w:t>NATHANIEL FUNGAI SAMHEMBERE</w:t>
      </w:r>
      <w:r>
        <w:rPr>
          <w:b/>
          <w:sz w:val="24"/>
        </w:rPr>
        <w:tab/>
      </w:r>
      <w:r>
        <w:rPr>
          <w:b/>
          <w:spacing w:val="-2"/>
          <w:sz w:val="24"/>
        </w:rPr>
        <w:t xml:space="preserve">APPLICANT </w:t>
      </w:r>
      <w:r>
        <w:rPr>
          <w:b/>
          <w:spacing w:val="-4"/>
          <w:sz w:val="24"/>
        </w:rPr>
        <w:t>AND</w:t>
      </w:r>
    </w:p>
    <w:p w14:paraId="7645026B" w14:textId="77777777" w:rsidR="00456579" w:rsidRDefault="00000000">
      <w:pPr>
        <w:tabs>
          <w:tab w:val="left" w:pos="6444"/>
        </w:tabs>
        <w:spacing w:line="275" w:lineRule="exact"/>
        <w:rPr>
          <w:b/>
          <w:sz w:val="24"/>
        </w:rPr>
      </w:pPr>
      <w:r>
        <w:rPr>
          <w:b/>
          <w:spacing w:val="-6"/>
          <w:sz w:val="24"/>
        </w:rPr>
        <w:t>GATEWAY SCHOOLS</w:t>
      </w:r>
      <w:r>
        <w:rPr>
          <w:b/>
          <w:sz w:val="24"/>
        </w:rPr>
        <w:t xml:space="preserve"> </w:t>
      </w:r>
      <w:r>
        <w:rPr>
          <w:b/>
          <w:spacing w:val="-6"/>
          <w:sz w:val="24"/>
        </w:rPr>
        <w:t>TRUST</w:t>
      </w:r>
      <w:r>
        <w:rPr>
          <w:b/>
          <w:sz w:val="24"/>
        </w:rPr>
        <w:tab/>
      </w:r>
      <w:r>
        <w:rPr>
          <w:b/>
          <w:spacing w:val="-2"/>
          <w:sz w:val="24"/>
        </w:rPr>
        <w:t>RESPONDENT</w:t>
      </w:r>
    </w:p>
    <w:p w14:paraId="507AB67C" w14:textId="77777777" w:rsidR="00456579" w:rsidRDefault="00456579">
      <w:pPr>
        <w:pStyle w:val="BodyText"/>
        <w:spacing w:before="23"/>
        <w:rPr>
          <w:b/>
        </w:rPr>
      </w:pPr>
    </w:p>
    <w:p w14:paraId="0EB79761" w14:textId="77777777" w:rsidR="00456579" w:rsidRDefault="00000000">
      <w:pPr>
        <w:jc w:val="both"/>
        <w:rPr>
          <w:b/>
          <w:sz w:val="24"/>
        </w:rPr>
      </w:pPr>
      <w:r>
        <w:rPr>
          <w:b/>
          <w:sz w:val="24"/>
        </w:rPr>
        <w:t>Before</w:t>
      </w:r>
      <w:r>
        <w:rPr>
          <w:b/>
          <w:spacing w:val="-10"/>
          <w:sz w:val="24"/>
        </w:rPr>
        <w:t xml:space="preserve"> </w:t>
      </w:r>
      <w:r>
        <w:rPr>
          <w:b/>
          <w:sz w:val="24"/>
        </w:rPr>
        <w:t>the</w:t>
      </w:r>
      <w:r>
        <w:rPr>
          <w:b/>
          <w:spacing w:val="-9"/>
          <w:sz w:val="24"/>
        </w:rPr>
        <w:t xml:space="preserve"> </w:t>
      </w:r>
      <w:r>
        <w:rPr>
          <w:b/>
          <w:sz w:val="24"/>
        </w:rPr>
        <w:t>Honourable</w:t>
      </w:r>
      <w:r>
        <w:rPr>
          <w:b/>
          <w:spacing w:val="-12"/>
          <w:sz w:val="24"/>
        </w:rPr>
        <w:t xml:space="preserve"> </w:t>
      </w:r>
      <w:r>
        <w:rPr>
          <w:b/>
          <w:sz w:val="24"/>
        </w:rPr>
        <w:t>Tsikwa</w:t>
      </w:r>
      <w:r>
        <w:rPr>
          <w:b/>
          <w:spacing w:val="-7"/>
          <w:sz w:val="24"/>
        </w:rPr>
        <w:t xml:space="preserve"> </w:t>
      </w:r>
      <w:r>
        <w:rPr>
          <w:b/>
          <w:spacing w:val="-10"/>
          <w:sz w:val="24"/>
        </w:rPr>
        <w:t>J</w:t>
      </w:r>
    </w:p>
    <w:p w14:paraId="34372008" w14:textId="77777777" w:rsidR="00456579" w:rsidRDefault="00000000">
      <w:pPr>
        <w:pStyle w:val="BodyText"/>
        <w:spacing w:before="203"/>
        <w:jc w:val="both"/>
      </w:pPr>
      <w:r>
        <w:t xml:space="preserve">In </w:t>
      </w:r>
      <w:r>
        <w:rPr>
          <w:spacing w:val="-2"/>
        </w:rPr>
        <w:t>chambers.</w:t>
      </w:r>
    </w:p>
    <w:p w14:paraId="41D4AACC" w14:textId="77777777" w:rsidR="00456579" w:rsidRDefault="00000000">
      <w:pPr>
        <w:pStyle w:val="BodyText"/>
        <w:spacing w:before="204" w:line="360" w:lineRule="auto"/>
        <w:ind w:right="355"/>
        <w:jc w:val="both"/>
      </w:pPr>
      <w:r>
        <w:rPr>
          <w:b/>
        </w:rPr>
        <w:t>TSIKWA, J</w:t>
      </w:r>
      <w:r>
        <w:t>: This was an application for condonation for late filing of heads of argument and extension</w:t>
      </w:r>
      <w:r>
        <w:rPr>
          <w:spacing w:val="-12"/>
        </w:rPr>
        <w:t xml:space="preserve"> </w:t>
      </w:r>
      <w:r>
        <w:t>of</w:t>
      </w:r>
      <w:r>
        <w:rPr>
          <w:spacing w:val="-12"/>
        </w:rPr>
        <w:t xml:space="preserve"> </w:t>
      </w:r>
      <w:r>
        <w:t>time</w:t>
      </w:r>
      <w:r>
        <w:rPr>
          <w:spacing w:val="-12"/>
        </w:rPr>
        <w:t xml:space="preserve"> </w:t>
      </w:r>
      <w:r>
        <w:t>within</w:t>
      </w:r>
      <w:r>
        <w:rPr>
          <w:spacing w:val="-13"/>
        </w:rPr>
        <w:t xml:space="preserve"> </w:t>
      </w:r>
      <w:r>
        <w:t>which</w:t>
      </w:r>
      <w:r>
        <w:rPr>
          <w:spacing w:val="-11"/>
        </w:rPr>
        <w:t xml:space="preserve"> </w:t>
      </w:r>
      <w:r>
        <w:t>to</w:t>
      </w:r>
      <w:r>
        <w:rPr>
          <w:spacing w:val="-12"/>
        </w:rPr>
        <w:t xml:space="preserve"> </w:t>
      </w:r>
      <w:r>
        <w:t>file</w:t>
      </w:r>
      <w:r>
        <w:rPr>
          <w:spacing w:val="-13"/>
        </w:rPr>
        <w:t xml:space="preserve"> </w:t>
      </w:r>
      <w:r>
        <w:t>same</w:t>
      </w:r>
      <w:r>
        <w:rPr>
          <w:spacing w:val="-12"/>
        </w:rPr>
        <w:t xml:space="preserve"> </w:t>
      </w:r>
      <w:r>
        <w:t>brought</w:t>
      </w:r>
      <w:r>
        <w:rPr>
          <w:spacing w:val="-12"/>
        </w:rPr>
        <w:t xml:space="preserve"> </w:t>
      </w:r>
      <w:r>
        <w:t>in</w:t>
      </w:r>
      <w:r>
        <w:rPr>
          <w:spacing w:val="-12"/>
        </w:rPr>
        <w:t xml:space="preserve"> </w:t>
      </w:r>
      <w:r>
        <w:t>terms</w:t>
      </w:r>
      <w:r>
        <w:rPr>
          <w:spacing w:val="-11"/>
        </w:rPr>
        <w:t xml:space="preserve"> </w:t>
      </w:r>
      <w:r>
        <w:t>of</w:t>
      </w:r>
      <w:r>
        <w:rPr>
          <w:spacing w:val="-11"/>
        </w:rPr>
        <w:t xml:space="preserve"> </w:t>
      </w:r>
      <w:r>
        <w:t>Rule</w:t>
      </w:r>
      <w:r>
        <w:rPr>
          <w:spacing w:val="-12"/>
        </w:rPr>
        <w:t xml:space="preserve"> </w:t>
      </w:r>
      <w:r>
        <w:t>22</w:t>
      </w:r>
      <w:r>
        <w:rPr>
          <w:spacing w:val="-12"/>
        </w:rPr>
        <w:t xml:space="preserve"> </w:t>
      </w:r>
      <w:r>
        <w:t>of</w:t>
      </w:r>
      <w:r>
        <w:rPr>
          <w:spacing w:val="-12"/>
        </w:rPr>
        <w:t xml:space="preserve"> </w:t>
      </w:r>
      <w:r>
        <w:t>the</w:t>
      </w:r>
      <w:r>
        <w:rPr>
          <w:spacing w:val="-11"/>
        </w:rPr>
        <w:t xml:space="preserve"> </w:t>
      </w:r>
      <w:r>
        <w:t>Labour</w:t>
      </w:r>
      <w:r>
        <w:rPr>
          <w:spacing w:val="-12"/>
        </w:rPr>
        <w:t xml:space="preserve"> </w:t>
      </w:r>
      <w:r>
        <w:t>Court</w:t>
      </w:r>
      <w:r>
        <w:rPr>
          <w:spacing w:val="-12"/>
        </w:rPr>
        <w:t xml:space="preserve"> </w:t>
      </w:r>
      <w:r>
        <w:t>Rules, 2017. The matter was set down for hearing today.</w:t>
      </w:r>
    </w:p>
    <w:p w14:paraId="16A9306D" w14:textId="77777777" w:rsidR="00456579" w:rsidRDefault="00000000">
      <w:pPr>
        <w:pStyle w:val="BodyText"/>
        <w:spacing w:before="160" w:line="360" w:lineRule="auto"/>
        <w:ind w:right="357"/>
        <w:jc w:val="both"/>
      </w:pPr>
      <w:r>
        <w:t>On</w:t>
      </w:r>
      <w:r>
        <w:rPr>
          <w:spacing w:val="-15"/>
        </w:rPr>
        <w:t xml:space="preserve"> </w:t>
      </w:r>
      <w:r>
        <w:t>25</w:t>
      </w:r>
      <w:r>
        <w:rPr>
          <w:spacing w:val="-15"/>
        </w:rPr>
        <w:t xml:space="preserve"> </w:t>
      </w:r>
      <w:r>
        <w:t>October</w:t>
      </w:r>
      <w:r>
        <w:rPr>
          <w:spacing w:val="-14"/>
        </w:rPr>
        <w:t xml:space="preserve"> </w:t>
      </w:r>
      <w:r>
        <w:t>2025,</w:t>
      </w:r>
      <w:r>
        <w:rPr>
          <w:spacing w:val="-12"/>
        </w:rPr>
        <w:t xml:space="preserve"> </w:t>
      </w:r>
      <w:r>
        <w:t>the</w:t>
      </w:r>
      <w:r>
        <w:rPr>
          <w:spacing w:val="-12"/>
        </w:rPr>
        <w:t xml:space="preserve"> </w:t>
      </w:r>
      <w:r>
        <w:t>legal</w:t>
      </w:r>
      <w:r>
        <w:rPr>
          <w:spacing w:val="-13"/>
        </w:rPr>
        <w:t xml:space="preserve"> </w:t>
      </w:r>
      <w:r>
        <w:t>practitioners,</w:t>
      </w:r>
      <w:r>
        <w:rPr>
          <w:spacing w:val="-13"/>
        </w:rPr>
        <w:t xml:space="preserve"> </w:t>
      </w:r>
      <w:r>
        <w:t>Samukange</w:t>
      </w:r>
      <w:r>
        <w:rPr>
          <w:spacing w:val="-13"/>
        </w:rPr>
        <w:t xml:space="preserve"> </w:t>
      </w:r>
      <w:r>
        <w:t>Hungwe</w:t>
      </w:r>
      <w:r>
        <w:rPr>
          <w:spacing w:val="-15"/>
        </w:rPr>
        <w:t xml:space="preserve"> </w:t>
      </w:r>
      <w:r>
        <w:t>Attorneys,</w:t>
      </w:r>
      <w:r>
        <w:rPr>
          <w:spacing w:val="-13"/>
        </w:rPr>
        <w:t xml:space="preserve"> </w:t>
      </w:r>
      <w:r>
        <w:t>wrote</w:t>
      </w:r>
      <w:r>
        <w:rPr>
          <w:spacing w:val="-13"/>
        </w:rPr>
        <w:t xml:space="preserve"> </w:t>
      </w:r>
      <w:r>
        <w:t>to</w:t>
      </w:r>
      <w:r>
        <w:rPr>
          <w:spacing w:val="-13"/>
        </w:rPr>
        <w:t xml:space="preserve"> </w:t>
      </w:r>
      <w:r>
        <w:t>the</w:t>
      </w:r>
      <w:r>
        <w:rPr>
          <w:spacing w:val="-13"/>
        </w:rPr>
        <w:t xml:space="preserve"> </w:t>
      </w:r>
      <w:r>
        <w:t>Registrar advising</w:t>
      </w:r>
      <w:r>
        <w:rPr>
          <w:spacing w:val="-15"/>
        </w:rPr>
        <w:t xml:space="preserve"> </w:t>
      </w:r>
      <w:r>
        <w:t>that</w:t>
      </w:r>
      <w:r>
        <w:rPr>
          <w:spacing w:val="-15"/>
        </w:rPr>
        <w:t xml:space="preserve"> </w:t>
      </w:r>
      <w:r>
        <w:t>the</w:t>
      </w:r>
      <w:r>
        <w:rPr>
          <w:spacing w:val="-15"/>
        </w:rPr>
        <w:t xml:space="preserve"> </w:t>
      </w:r>
      <w:r>
        <w:t>applicant</w:t>
      </w:r>
      <w:r>
        <w:rPr>
          <w:spacing w:val="-15"/>
        </w:rPr>
        <w:t xml:space="preserve"> </w:t>
      </w:r>
      <w:r>
        <w:t>had</w:t>
      </w:r>
      <w:r>
        <w:rPr>
          <w:spacing w:val="-15"/>
        </w:rPr>
        <w:t xml:space="preserve"> </w:t>
      </w:r>
      <w:r>
        <w:t>also</w:t>
      </w:r>
      <w:r>
        <w:rPr>
          <w:spacing w:val="-15"/>
        </w:rPr>
        <w:t xml:space="preserve"> </w:t>
      </w:r>
      <w:r>
        <w:t>filed</w:t>
      </w:r>
      <w:r>
        <w:rPr>
          <w:spacing w:val="-15"/>
        </w:rPr>
        <w:t xml:space="preserve"> </w:t>
      </w:r>
      <w:r>
        <w:t>an</w:t>
      </w:r>
      <w:r>
        <w:rPr>
          <w:spacing w:val="-15"/>
        </w:rPr>
        <w:t xml:space="preserve"> </w:t>
      </w:r>
      <w:r>
        <w:t>application</w:t>
      </w:r>
      <w:r>
        <w:rPr>
          <w:spacing w:val="-15"/>
        </w:rPr>
        <w:t xml:space="preserve"> </w:t>
      </w:r>
      <w:r>
        <w:t>for</w:t>
      </w:r>
      <w:r>
        <w:rPr>
          <w:spacing w:val="-15"/>
        </w:rPr>
        <w:t xml:space="preserve"> </w:t>
      </w:r>
      <w:r>
        <w:t>review</w:t>
      </w:r>
      <w:r>
        <w:rPr>
          <w:spacing w:val="-15"/>
        </w:rPr>
        <w:t xml:space="preserve"> </w:t>
      </w:r>
      <w:r>
        <w:t>under</w:t>
      </w:r>
      <w:r>
        <w:rPr>
          <w:spacing w:val="-15"/>
        </w:rPr>
        <w:t xml:space="preserve"> </w:t>
      </w:r>
      <w:r>
        <w:t>case</w:t>
      </w:r>
      <w:r>
        <w:rPr>
          <w:spacing w:val="-15"/>
        </w:rPr>
        <w:t xml:space="preserve"> </w:t>
      </w:r>
      <w:r>
        <w:t>number</w:t>
      </w:r>
      <w:r>
        <w:rPr>
          <w:spacing w:val="-15"/>
        </w:rPr>
        <w:t xml:space="preserve"> </w:t>
      </w:r>
      <w:r>
        <w:t>LCH/509/25. Further,</w:t>
      </w:r>
      <w:r>
        <w:rPr>
          <w:spacing w:val="-2"/>
        </w:rPr>
        <w:t xml:space="preserve"> </w:t>
      </w:r>
      <w:r>
        <w:t>it</w:t>
      </w:r>
      <w:r>
        <w:rPr>
          <w:spacing w:val="-1"/>
        </w:rPr>
        <w:t xml:space="preserve"> </w:t>
      </w:r>
      <w:r>
        <w:t>was</w:t>
      </w:r>
      <w:r>
        <w:rPr>
          <w:spacing w:val="-1"/>
        </w:rPr>
        <w:t xml:space="preserve"> </w:t>
      </w:r>
      <w:r>
        <w:t>indicated</w:t>
      </w:r>
      <w:r>
        <w:rPr>
          <w:spacing w:val="-2"/>
        </w:rPr>
        <w:t xml:space="preserve"> </w:t>
      </w:r>
      <w:r>
        <w:t>that the</w:t>
      </w:r>
      <w:r>
        <w:rPr>
          <w:spacing w:val="-1"/>
        </w:rPr>
        <w:t xml:space="preserve"> </w:t>
      </w:r>
      <w:r>
        <w:t>case</w:t>
      </w:r>
      <w:r>
        <w:rPr>
          <w:spacing w:val="-2"/>
        </w:rPr>
        <w:t xml:space="preserve"> </w:t>
      </w:r>
      <w:r>
        <w:t>was</w:t>
      </w:r>
      <w:r>
        <w:rPr>
          <w:spacing w:val="-1"/>
        </w:rPr>
        <w:t xml:space="preserve"> </w:t>
      </w:r>
      <w:r>
        <w:t>heard</w:t>
      </w:r>
      <w:r>
        <w:rPr>
          <w:spacing w:val="-1"/>
        </w:rPr>
        <w:t xml:space="preserve"> </w:t>
      </w:r>
      <w:r>
        <w:t>before</w:t>
      </w:r>
      <w:r>
        <w:rPr>
          <w:spacing w:val="-1"/>
        </w:rPr>
        <w:t xml:space="preserve"> </w:t>
      </w:r>
      <w:r>
        <w:t>Justice</w:t>
      </w:r>
      <w:r>
        <w:rPr>
          <w:spacing w:val="-2"/>
        </w:rPr>
        <w:t xml:space="preserve"> </w:t>
      </w:r>
      <w:r>
        <w:t>Murasi</w:t>
      </w:r>
      <w:r>
        <w:rPr>
          <w:spacing w:val="-1"/>
        </w:rPr>
        <w:t xml:space="preserve"> </w:t>
      </w:r>
      <w:r>
        <w:t>who</w:t>
      </w:r>
      <w:r>
        <w:rPr>
          <w:spacing w:val="-2"/>
        </w:rPr>
        <w:t xml:space="preserve"> </w:t>
      </w:r>
      <w:r>
        <w:t>granted</w:t>
      </w:r>
      <w:r>
        <w:rPr>
          <w:spacing w:val="-1"/>
        </w:rPr>
        <w:t xml:space="preserve"> </w:t>
      </w:r>
      <w:r>
        <w:t>the</w:t>
      </w:r>
      <w:r>
        <w:rPr>
          <w:spacing w:val="-1"/>
        </w:rPr>
        <w:t xml:space="preserve"> </w:t>
      </w:r>
      <w:r>
        <w:t xml:space="preserve">following </w:t>
      </w:r>
      <w:r>
        <w:rPr>
          <w:spacing w:val="-2"/>
        </w:rPr>
        <w:t>order:</w:t>
      </w:r>
    </w:p>
    <w:p w14:paraId="73B370AE" w14:textId="77777777" w:rsidR="00456579" w:rsidRDefault="00000000">
      <w:pPr>
        <w:pStyle w:val="ListParagraph"/>
        <w:numPr>
          <w:ilvl w:val="0"/>
          <w:numId w:val="2"/>
        </w:numPr>
        <w:tabs>
          <w:tab w:val="left" w:pos="720"/>
        </w:tabs>
        <w:spacing w:before="160"/>
        <w:ind w:hanging="360"/>
        <w:jc w:val="both"/>
        <w:rPr>
          <w:sz w:val="24"/>
        </w:rPr>
      </w:pPr>
      <w:r>
        <w:rPr>
          <w:sz w:val="24"/>
        </w:rPr>
        <w:t>Application</w:t>
      </w:r>
      <w:r>
        <w:rPr>
          <w:spacing w:val="-3"/>
          <w:sz w:val="24"/>
        </w:rPr>
        <w:t xml:space="preserve"> </w:t>
      </w:r>
      <w:r>
        <w:rPr>
          <w:sz w:val="24"/>
        </w:rPr>
        <w:t>for</w:t>
      </w:r>
      <w:r>
        <w:rPr>
          <w:spacing w:val="-1"/>
          <w:sz w:val="24"/>
        </w:rPr>
        <w:t xml:space="preserve"> </w:t>
      </w:r>
      <w:r>
        <w:rPr>
          <w:sz w:val="24"/>
        </w:rPr>
        <w:t>review</w:t>
      </w:r>
      <w:r>
        <w:rPr>
          <w:spacing w:val="-2"/>
          <w:sz w:val="24"/>
        </w:rPr>
        <w:t xml:space="preserve"> </w:t>
      </w:r>
      <w:r>
        <w:rPr>
          <w:sz w:val="24"/>
        </w:rPr>
        <w:t>is</w:t>
      </w:r>
      <w:r>
        <w:rPr>
          <w:spacing w:val="-2"/>
          <w:sz w:val="24"/>
        </w:rPr>
        <w:t xml:space="preserve"> </w:t>
      </w:r>
      <w:r>
        <w:rPr>
          <w:sz w:val="24"/>
        </w:rPr>
        <w:t>hereby</w:t>
      </w:r>
      <w:r>
        <w:rPr>
          <w:spacing w:val="-1"/>
          <w:sz w:val="24"/>
        </w:rPr>
        <w:t xml:space="preserve"> </w:t>
      </w:r>
      <w:r>
        <w:rPr>
          <w:spacing w:val="-2"/>
          <w:sz w:val="24"/>
        </w:rPr>
        <w:t>granted.</w:t>
      </w:r>
    </w:p>
    <w:p w14:paraId="45F6AE0F" w14:textId="77777777" w:rsidR="00456579" w:rsidRDefault="00000000">
      <w:pPr>
        <w:pStyle w:val="ListParagraph"/>
        <w:numPr>
          <w:ilvl w:val="0"/>
          <w:numId w:val="2"/>
        </w:numPr>
        <w:tabs>
          <w:tab w:val="left" w:pos="720"/>
        </w:tabs>
        <w:spacing w:before="138" w:line="360" w:lineRule="auto"/>
        <w:ind w:right="356"/>
        <w:jc w:val="both"/>
        <w:rPr>
          <w:sz w:val="24"/>
        </w:rPr>
      </w:pPr>
      <w:r>
        <w:rPr>
          <w:sz w:val="24"/>
        </w:rPr>
        <w:t>The decision of the 1</w:t>
      </w:r>
      <w:r>
        <w:rPr>
          <w:sz w:val="24"/>
          <w:vertAlign w:val="superscript"/>
        </w:rPr>
        <w:t>st</w:t>
      </w:r>
      <w:r>
        <w:rPr>
          <w:sz w:val="24"/>
        </w:rPr>
        <w:t xml:space="preserve"> respondent finding the applicant guilty of misconduct culminating in his dismissal is hereby set aside.</w:t>
      </w:r>
    </w:p>
    <w:p w14:paraId="23805030" w14:textId="77777777" w:rsidR="00456579" w:rsidRDefault="00000000">
      <w:pPr>
        <w:pStyle w:val="ListParagraph"/>
        <w:numPr>
          <w:ilvl w:val="0"/>
          <w:numId w:val="2"/>
        </w:numPr>
        <w:tabs>
          <w:tab w:val="left" w:pos="720"/>
        </w:tabs>
        <w:spacing w:line="360" w:lineRule="auto"/>
        <w:ind w:right="361"/>
        <w:jc w:val="both"/>
        <w:rPr>
          <w:sz w:val="24"/>
        </w:rPr>
      </w:pPr>
      <w:r>
        <w:rPr>
          <w:sz w:val="24"/>
        </w:rPr>
        <w:t>The</w:t>
      </w:r>
      <w:r>
        <w:rPr>
          <w:spacing w:val="-15"/>
          <w:sz w:val="24"/>
        </w:rPr>
        <w:t xml:space="preserve"> </w:t>
      </w:r>
      <w:r>
        <w:rPr>
          <w:sz w:val="24"/>
        </w:rPr>
        <w:t>matter</w:t>
      </w:r>
      <w:r>
        <w:rPr>
          <w:spacing w:val="-15"/>
          <w:sz w:val="24"/>
        </w:rPr>
        <w:t xml:space="preserve"> </w:t>
      </w:r>
      <w:r>
        <w:rPr>
          <w:sz w:val="24"/>
        </w:rPr>
        <w:t>is</w:t>
      </w:r>
      <w:r>
        <w:rPr>
          <w:spacing w:val="-15"/>
          <w:sz w:val="24"/>
        </w:rPr>
        <w:t xml:space="preserve"> </w:t>
      </w:r>
      <w:r>
        <w:rPr>
          <w:sz w:val="24"/>
        </w:rPr>
        <w:t>remitted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denovo</w:t>
      </w:r>
      <w:r>
        <w:rPr>
          <w:spacing w:val="-15"/>
          <w:sz w:val="24"/>
        </w:rPr>
        <w:t xml:space="preserve"> </w:t>
      </w:r>
      <w:r>
        <w:rPr>
          <w:sz w:val="24"/>
        </w:rPr>
        <w:t>before</w:t>
      </w:r>
      <w:r>
        <w:rPr>
          <w:spacing w:val="-15"/>
          <w:sz w:val="24"/>
        </w:rPr>
        <w:t xml:space="preserve"> </w:t>
      </w:r>
      <w:r>
        <w:rPr>
          <w:sz w:val="24"/>
        </w:rPr>
        <w:t>a</w:t>
      </w:r>
      <w:r>
        <w:rPr>
          <w:spacing w:val="-14"/>
          <w:sz w:val="24"/>
        </w:rPr>
        <w:t xml:space="preserve"> </w:t>
      </w:r>
      <w:r>
        <w:rPr>
          <w:sz w:val="24"/>
        </w:rPr>
        <w:t>different</w:t>
      </w:r>
      <w:r>
        <w:rPr>
          <w:spacing w:val="-15"/>
          <w:sz w:val="24"/>
        </w:rPr>
        <w:t xml:space="preserve"> </w:t>
      </w:r>
      <w:r>
        <w:rPr>
          <w:sz w:val="24"/>
        </w:rPr>
        <w:t>Disciplinary</w:t>
      </w:r>
      <w:r>
        <w:rPr>
          <w:spacing w:val="-15"/>
          <w:sz w:val="24"/>
        </w:rPr>
        <w:t xml:space="preserve"> </w:t>
      </w:r>
      <w:r>
        <w:rPr>
          <w:sz w:val="24"/>
        </w:rPr>
        <w:t>Authority</w:t>
      </w:r>
      <w:r>
        <w:rPr>
          <w:spacing w:val="-14"/>
          <w:sz w:val="24"/>
        </w:rPr>
        <w:t xml:space="preserve"> </w:t>
      </w:r>
      <w:r>
        <w:rPr>
          <w:sz w:val="24"/>
        </w:rPr>
        <w:t>which hearing shall take place within sixty (60 days) from the date of this order.</w:t>
      </w:r>
    </w:p>
    <w:p w14:paraId="0C911A02" w14:textId="77777777" w:rsidR="00456579" w:rsidRDefault="00000000">
      <w:pPr>
        <w:pStyle w:val="ListParagraph"/>
        <w:numPr>
          <w:ilvl w:val="0"/>
          <w:numId w:val="2"/>
        </w:numPr>
        <w:tabs>
          <w:tab w:val="left" w:pos="720"/>
        </w:tabs>
        <w:ind w:hanging="360"/>
        <w:jc w:val="both"/>
        <w:rPr>
          <w:sz w:val="24"/>
        </w:rPr>
      </w:pPr>
      <w:r>
        <w:rPr>
          <w:sz w:val="24"/>
        </w:rPr>
        <w:t>The</w:t>
      </w:r>
      <w:r>
        <w:rPr>
          <w:spacing w:val="-3"/>
          <w:sz w:val="24"/>
        </w:rPr>
        <w:t xml:space="preserve"> </w:t>
      </w:r>
      <w:r>
        <w:rPr>
          <w:sz w:val="24"/>
        </w:rPr>
        <w:t>2</w:t>
      </w:r>
      <w:r>
        <w:rPr>
          <w:sz w:val="24"/>
          <w:vertAlign w:val="superscript"/>
        </w:rPr>
        <w:t>nd</w:t>
      </w:r>
      <w:r>
        <w:rPr>
          <w:spacing w:val="-3"/>
          <w:sz w:val="24"/>
        </w:rPr>
        <w:t xml:space="preserve"> </w:t>
      </w:r>
      <w:r>
        <w:rPr>
          <w:sz w:val="24"/>
        </w:rPr>
        <w:t>respondent</w:t>
      </w:r>
      <w:r>
        <w:rPr>
          <w:spacing w:val="-3"/>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3"/>
          <w:sz w:val="24"/>
        </w:rPr>
        <w:t xml:space="preserve"> </w:t>
      </w:r>
      <w:r>
        <w:rPr>
          <w:sz w:val="24"/>
        </w:rPr>
        <w:t>applicant’s</w:t>
      </w:r>
      <w:r>
        <w:rPr>
          <w:spacing w:val="-4"/>
          <w:sz w:val="24"/>
        </w:rPr>
        <w:t xml:space="preserve"> </w:t>
      </w:r>
      <w:r>
        <w:rPr>
          <w:spacing w:val="-2"/>
          <w:sz w:val="24"/>
        </w:rPr>
        <w:t>costs.</w:t>
      </w:r>
    </w:p>
    <w:p w14:paraId="359F66AA" w14:textId="77777777" w:rsidR="00456579" w:rsidRDefault="00456579">
      <w:pPr>
        <w:pStyle w:val="BodyText"/>
        <w:spacing w:before="23"/>
      </w:pPr>
    </w:p>
    <w:p w14:paraId="3F325A7B" w14:textId="77777777" w:rsidR="00456579" w:rsidRDefault="00000000">
      <w:pPr>
        <w:pStyle w:val="BodyText"/>
        <w:spacing w:line="360" w:lineRule="auto"/>
        <w:ind w:right="359"/>
        <w:jc w:val="both"/>
      </w:pPr>
      <w:r>
        <w:t>In light of the above order, it is apparent that this application has been overtaken by events. The appeal can no longer proceed because the decision that the applicant intended to challenge has been set aside.</w:t>
      </w:r>
    </w:p>
    <w:p w14:paraId="09C5E88B" w14:textId="77777777" w:rsidR="00456579" w:rsidRDefault="00000000">
      <w:pPr>
        <w:pStyle w:val="BodyText"/>
        <w:spacing w:before="160"/>
        <w:jc w:val="both"/>
      </w:pPr>
      <w:r>
        <w:t>In</w:t>
      </w:r>
      <w:r>
        <w:rPr>
          <w:spacing w:val="-1"/>
        </w:rPr>
        <w:t xml:space="preserve"> </w:t>
      </w:r>
      <w:r>
        <w:t>the</w:t>
      </w:r>
      <w:r>
        <w:rPr>
          <w:spacing w:val="-1"/>
        </w:rPr>
        <w:t xml:space="preserve"> </w:t>
      </w:r>
      <w:r>
        <w:t>premises,</w:t>
      </w:r>
      <w:r>
        <w:rPr>
          <w:spacing w:val="-1"/>
        </w:rPr>
        <w:t xml:space="preserve"> </w:t>
      </w:r>
      <w:r>
        <w:t>the</w:t>
      </w:r>
      <w:r>
        <w:rPr>
          <w:spacing w:val="-1"/>
        </w:rPr>
        <w:t xml:space="preserve"> </w:t>
      </w:r>
      <w:r>
        <w:t>court</w:t>
      </w:r>
      <w:r>
        <w:rPr>
          <w:spacing w:val="-1"/>
        </w:rPr>
        <w:t xml:space="preserve"> </w:t>
      </w:r>
      <w:r>
        <w:t>therefore</w:t>
      </w:r>
      <w:r>
        <w:rPr>
          <w:spacing w:val="-1"/>
        </w:rPr>
        <w:t xml:space="preserve"> </w:t>
      </w:r>
      <w:r>
        <w:t>orders</w:t>
      </w:r>
      <w:r>
        <w:rPr>
          <w:spacing w:val="-2"/>
        </w:rPr>
        <w:t xml:space="preserve"> </w:t>
      </w:r>
      <w:r>
        <w:t>as</w:t>
      </w:r>
      <w:r>
        <w:rPr>
          <w:spacing w:val="-1"/>
        </w:rPr>
        <w:t xml:space="preserve"> </w:t>
      </w:r>
      <w:r>
        <w:rPr>
          <w:spacing w:val="-2"/>
        </w:rPr>
        <w:t>follows:</w:t>
      </w:r>
    </w:p>
    <w:p w14:paraId="0876D765" w14:textId="77777777" w:rsidR="00456579" w:rsidRDefault="00456579">
      <w:pPr>
        <w:pStyle w:val="BodyText"/>
        <w:jc w:val="both"/>
        <w:sectPr w:rsidR="00456579">
          <w:type w:val="continuous"/>
          <w:pgSz w:w="12240" w:h="15840"/>
          <w:pgMar w:top="700" w:right="1080" w:bottom="280" w:left="1440" w:header="720" w:footer="720" w:gutter="0"/>
          <w:cols w:space="720"/>
        </w:sectPr>
      </w:pPr>
    </w:p>
    <w:p w14:paraId="5231E853" w14:textId="77777777" w:rsidR="00456579" w:rsidRDefault="00000000">
      <w:pPr>
        <w:pStyle w:val="ListParagraph"/>
        <w:numPr>
          <w:ilvl w:val="0"/>
          <w:numId w:val="1"/>
        </w:numPr>
        <w:tabs>
          <w:tab w:val="left" w:pos="720"/>
        </w:tabs>
        <w:spacing w:before="60"/>
        <w:ind w:hanging="360"/>
        <w:rPr>
          <w:sz w:val="24"/>
        </w:rPr>
      </w:pPr>
      <w:r>
        <w:rPr>
          <w:sz w:val="24"/>
        </w:rPr>
        <w:lastRenderedPageBreak/>
        <w:t>The</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z w:val="24"/>
        </w:rPr>
        <w:t>condonation</w:t>
      </w:r>
      <w:r>
        <w:rPr>
          <w:spacing w:val="-1"/>
          <w:sz w:val="24"/>
        </w:rPr>
        <w:t xml:space="preserve"> </w:t>
      </w:r>
      <w:r>
        <w:rPr>
          <w:sz w:val="24"/>
        </w:rPr>
        <w:t>be</w:t>
      </w:r>
      <w:r>
        <w:rPr>
          <w:spacing w:val="-2"/>
          <w:sz w:val="24"/>
        </w:rPr>
        <w:t xml:space="preserve"> </w:t>
      </w:r>
      <w:r>
        <w:rPr>
          <w:sz w:val="24"/>
        </w:rPr>
        <w:t>and is</w:t>
      </w:r>
      <w:r>
        <w:rPr>
          <w:spacing w:val="-1"/>
          <w:sz w:val="24"/>
        </w:rPr>
        <w:t xml:space="preserve"> </w:t>
      </w:r>
      <w:r>
        <w:rPr>
          <w:sz w:val="24"/>
        </w:rPr>
        <w:t>hereby</w:t>
      </w:r>
      <w:r>
        <w:rPr>
          <w:spacing w:val="-2"/>
          <w:sz w:val="24"/>
        </w:rPr>
        <w:t xml:space="preserve"> </w:t>
      </w:r>
      <w:r>
        <w:rPr>
          <w:sz w:val="24"/>
        </w:rPr>
        <w:t>struck</w:t>
      </w:r>
      <w:r>
        <w:rPr>
          <w:spacing w:val="-1"/>
          <w:sz w:val="24"/>
        </w:rPr>
        <w:t xml:space="preserve"> </w:t>
      </w:r>
      <w:r>
        <w:rPr>
          <w:sz w:val="24"/>
        </w:rPr>
        <w:t>off</w:t>
      </w:r>
      <w:r>
        <w:rPr>
          <w:spacing w:val="-1"/>
          <w:sz w:val="24"/>
        </w:rPr>
        <w:t xml:space="preserve"> </w:t>
      </w:r>
      <w:r>
        <w:rPr>
          <w:sz w:val="24"/>
        </w:rPr>
        <w:t xml:space="preserve">the </w:t>
      </w:r>
      <w:r>
        <w:rPr>
          <w:spacing w:val="-2"/>
          <w:sz w:val="24"/>
        </w:rPr>
        <w:t>roll.</w:t>
      </w:r>
    </w:p>
    <w:p w14:paraId="5FAA9F8D" w14:textId="64E9EB7F" w:rsidR="00456579" w:rsidRDefault="00000000">
      <w:pPr>
        <w:pStyle w:val="ListParagraph"/>
        <w:numPr>
          <w:ilvl w:val="0"/>
          <w:numId w:val="1"/>
        </w:numPr>
        <w:tabs>
          <w:tab w:val="left" w:pos="720"/>
        </w:tabs>
        <w:spacing w:before="138"/>
        <w:ind w:hanging="360"/>
        <w:rPr>
          <w:sz w:val="24"/>
        </w:rPr>
      </w:pPr>
      <w:r>
        <w:rPr>
          <w:sz w:val="24"/>
        </w:rPr>
        <w:t>There</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order as</w:t>
      </w:r>
      <w:r>
        <w:rPr>
          <w:spacing w:val="-1"/>
          <w:sz w:val="24"/>
        </w:rPr>
        <w:t xml:space="preserve"> </w:t>
      </w:r>
      <w:r>
        <w:rPr>
          <w:sz w:val="24"/>
        </w:rPr>
        <w:t xml:space="preserve">to </w:t>
      </w:r>
      <w:r>
        <w:rPr>
          <w:spacing w:val="-2"/>
          <w:sz w:val="24"/>
        </w:rPr>
        <w:t>costs.</w:t>
      </w:r>
    </w:p>
    <w:p w14:paraId="2FB7D78A" w14:textId="77777777" w:rsidR="00456579" w:rsidRDefault="00456579">
      <w:pPr>
        <w:pStyle w:val="BodyText"/>
      </w:pPr>
    </w:p>
    <w:p w14:paraId="3AD49184" w14:textId="77777777" w:rsidR="00456579" w:rsidRDefault="00456579">
      <w:pPr>
        <w:pStyle w:val="BodyText"/>
      </w:pPr>
    </w:p>
    <w:p w14:paraId="07DF3A44" w14:textId="77777777" w:rsidR="00456579" w:rsidRDefault="00456579">
      <w:pPr>
        <w:pStyle w:val="BodyText"/>
        <w:spacing w:before="45"/>
      </w:pPr>
    </w:p>
    <w:p w14:paraId="19CAF6DB" w14:textId="77777777" w:rsidR="00456579" w:rsidRDefault="00000000">
      <w:pPr>
        <w:ind w:right="358"/>
        <w:jc w:val="center"/>
        <w:rPr>
          <w:b/>
          <w:sz w:val="24"/>
        </w:rPr>
      </w:pPr>
      <w:r>
        <w:rPr>
          <w:b/>
          <w:spacing w:val="-6"/>
          <w:sz w:val="24"/>
        </w:rPr>
        <w:t>TSIKWA</w:t>
      </w:r>
      <w:r>
        <w:rPr>
          <w:b/>
          <w:spacing w:val="-8"/>
          <w:sz w:val="24"/>
        </w:rPr>
        <w:t xml:space="preserve"> </w:t>
      </w:r>
      <w:r>
        <w:rPr>
          <w:b/>
          <w:spacing w:val="-10"/>
          <w:sz w:val="24"/>
        </w:rPr>
        <w:t>J</w:t>
      </w:r>
    </w:p>
    <w:p w14:paraId="1A6CF339" w14:textId="77777777" w:rsidR="00456579" w:rsidRDefault="00456579">
      <w:pPr>
        <w:pStyle w:val="BodyText"/>
        <w:rPr>
          <w:b/>
          <w:sz w:val="20"/>
        </w:rPr>
      </w:pPr>
    </w:p>
    <w:p w14:paraId="60BB8601" w14:textId="77777777" w:rsidR="00456579" w:rsidRDefault="00456579">
      <w:pPr>
        <w:pStyle w:val="BodyText"/>
        <w:rPr>
          <w:b/>
          <w:sz w:val="20"/>
        </w:rPr>
      </w:pPr>
    </w:p>
    <w:p w14:paraId="1510CC54" w14:textId="77777777" w:rsidR="00456579" w:rsidRDefault="00456579">
      <w:pPr>
        <w:pStyle w:val="BodyText"/>
        <w:rPr>
          <w:b/>
          <w:sz w:val="20"/>
        </w:rPr>
      </w:pPr>
    </w:p>
    <w:p w14:paraId="407B5E93" w14:textId="77777777" w:rsidR="00456579" w:rsidRDefault="00456579">
      <w:pPr>
        <w:pStyle w:val="BodyText"/>
        <w:rPr>
          <w:b/>
          <w:sz w:val="20"/>
        </w:rPr>
      </w:pPr>
    </w:p>
    <w:p w14:paraId="57E7FFBF" w14:textId="4B9D198C" w:rsidR="00456579" w:rsidRDefault="00456579">
      <w:pPr>
        <w:pStyle w:val="BodyText"/>
        <w:spacing w:before="12"/>
        <w:rPr>
          <w:b/>
          <w:sz w:val="20"/>
        </w:rPr>
      </w:pPr>
    </w:p>
    <w:sectPr w:rsidR="00456579">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17277"/>
    <w:multiLevelType w:val="hybridMultilevel"/>
    <w:tmpl w:val="11846990"/>
    <w:lvl w:ilvl="0" w:tplc="367EE202">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708EEE">
      <w:numFmt w:val="bullet"/>
      <w:lvlText w:val="•"/>
      <w:lvlJc w:val="left"/>
      <w:pPr>
        <w:ind w:left="1620" w:hanging="361"/>
      </w:pPr>
      <w:rPr>
        <w:rFonts w:hint="default"/>
        <w:lang w:val="en-US" w:eastAsia="en-US" w:bidi="ar-SA"/>
      </w:rPr>
    </w:lvl>
    <w:lvl w:ilvl="2" w:tplc="D1E60278">
      <w:numFmt w:val="bullet"/>
      <w:lvlText w:val="•"/>
      <w:lvlJc w:val="left"/>
      <w:pPr>
        <w:ind w:left="2520" w:hanging="361"/>
      </w:pPr>
      <w:rPr>
        <w:rFonts w:hint="default"/>
        <w:lang w:val="en-US" w:eastAsia="en-US" w:bidi="ar-SA"/>
      </w:rPr>
    </w:lvl>
    <w:lvl w:ilvl="3" w:tplc="28662B54">
      <w:numFmt w:val="bullet"/>
      <w:lvlText w:val="•"/>
      <w:lvlJc w:val="left"/>
      <w:pPr>
        <w:ind w:left="3420" w:hanging="361"/>
      </w:pPr>
      <w:rPr>
        <w:rFonts w:hint="default"/>
        <w:lang w:val="en-US" w:eastAsia="en-US" w:bidi="ar-SA"/>
      </w:rPr>
    </w:lvl>
    <w:lvl w:ilvl="4" w:tplc="A0962596">
      <w:numFmt w:val="bullet"/>
      <w:lvlText w:val="•"/>
      <w:lvlJc w:val="left"/>
      <w:pPr>
        <w:ind w:left="4320" w:hanging="361"/>
      </w:pPr>
      <w:rPr>
        <w:rFonts w:hint="default"/>
        <w:lang w:val="en-US" w:eastAsia="en-US" w:bidi="ar-SA"/>
      </w:rPr>
    </w:lvl>
    <w:lvl w:ilvl="5" w:tplc="3F865F94">
      <w:numFmt w:val="bullet"/>
      <w:lvlText w:val="•"/>
      <w:lvlJc w:val="left"/>
      <w:pPr>
        <w:ind w:left="5220" w:hanging="361"/>
      </w:pPr>
      <w:rPr>
        <w:rFonts w:hint="default"/>
        <w:lang w:val="en-US" w:eastAsia="en-US" w:bidi="ar-SA"/>
      </w:rPr>
    </w:lvl>
    <w:lvl w:ilvl="6" w:tplc="2682A0DA">
      <w:numFmt w:val="bullet"/>
      <w:lvlText w:val="•"/>
      <w:lvlJc w:val="left"/>
      <w:pPr>
        <w:ind w:left="6120" w:hanging="361"/>
      </w:pPr>
      <w:rPr>
        <w:rFonts w:hint="default"/>
        <w:lang w:val="en-US" w:eastAsia="en-US" w:bidi="ar-SA"/>
      </w:rPr>
    </w:lvl>
    <w:lvl w:ilvl="7" w:tplc="632CF81C">
      <w:numFmt w:val="bullet"/>
      <w:lvlText w:val="•"/>
      <w:lvlJc w:val="left"/>
      <w:pPr>
        <w:ind w:left="7020" w:hanging="361"/>
      </w:pPr>
      <w:rPr>
        <w:rFonts w:hint="default"/>
        <w:lang w:val="en-US" w:eastAsia="en-US" w:bidi="ar-SA"/>
      </w:rPr>
    </w:lvl>
    <w:lvl w:ilvl="8" w:tplc="E596369E">
      <w:numFmt w:val="bullet"/>
      <w:lvlText w:val="•"/>
      <w:lvlJc w:val="left"/>
      <w:pPr>
        <w:ind w:left="7920" w:hanging="361"/>
      </w:pPr>
      <w:rPr>
        <w:rFonts w:hint="default"/>
        <w:lang w:val="en-US" w:eastAsia="en-US" w:bidi="ar-SA"/>
      </w:rPr>
    </w:lvl>
  </w:abstractNum>
  <w:abstractNum w:abstractNumId="1" w15:restartNumberingAfterBreak="0">
    <w:nsid w:val="4CDA1D6A"/>
    <w:multiLevelType w:val="hybridMultilevel"/>
    <w:tmpl w:val="4D08809E"/>
    <w:lvl w:ilvl="0" w:tplc="8E3289C2">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AE9748">
      <w:numFmt w:val="bullet"/>
      <w:lvlText w:val="•"/>
      <w:lvlJc w:val="left"/>
      <w:pPr>
        <w:ind w:left="1620" w:hanging="361"/>
      </w:pPr>
      <w:rPr>
        <w:rFonts w:hint="default"/>
        <w:lang w:val="en-US" w:eastAsia="en-US" w:bidi="ar-SA"/>
      </w:rPr>
    </w:lvl>
    <w:lvl w:ilvl="2" w:tplc="17069826">
      <w:numFmt w:val="bullet"/>
      <w:lvlText w:val="•"/>
      <w:lvlJc w:val="left"/>
      <w:pPr>
        <w:ind w:left="2520" w:hanging="361"/>
      </w:pPr>
      <w:rPr>
        <w:rFonts w:hint="default"/>
        <w:lang w:val="en-US" w:eastAsia="en-US" w:bidi="ar-SA"/>
      </w:rPr>
    </w:lvl>
    <w:lvl w:ilvl="3" w:tplc="80828210">
      <w:numFmt w:val="bullet"/>
      <w:lvlText w:val="•"/>
      <w:lvlJc w:val="left"/>
      <w:pPr>
        <w:ind w:left="3420" w:hanging="361"/>
      </w:pPr>
      <w:rPr>
        <w:rFonts w:hint="default"/>
        <w:lang w:val="en-US" w:eastAsia="en-US" w:bidi="ar-SA"/>
      </w:rPr>
    </w:lvl>
    <w:lvl w:ilvl="4" w:tplc="183E506A">
      <w:numFmt w:val="bullet"/>
      <w:lvlText w:val="•"/>
      <w:lvlJc w:val="left"/>
      <w:pPr>
        <w:ind w:left="4320" w:hanging="361"/>
      </w:pPr>
      <w:rPr>
        <w:rFonts w:hint="default"/>
        <w:lang w:val="en-US" w:eastAsia="en-US" w:bidi="ar-SA"/>
      </w:rPr>
    </w:lvl>
    <w:lvl w:ilvl="5" w:tplc="7F185C30">
      <w:numFmt w:val="bullet"/>
      <w:lvlText w:val="•"/>
      <w:lvlJc w:val="left"/>
      <w:pPr>
        <w:ind w:left="5220" w:hanging="361"/>
      </w:pPr>
      <w:rPr>
        <w:rFonts w:hint="default"/>
        <w:lang w:val="en-US" w:eastAsia="en-US" w:bidi="ar-SA"/>
      </w:rPr>
    </w:lvl>
    <w:lvl w:ilvl="6" w:tplc="1C9029BA">
      <w:numFmt w:val="bullet"/>
      <w:lvlText w:val="•"/>
      <w:lvlJc w:val="left"/>
      <w:pPr>
        <w:ind w:left="6120" w:hanging="361"/>
      </w:pPr>
      <w:rPr>
        <w:rFonts w:hint="default"/>
        <w:lang w:val="en-US" w:eastAsia="en-US" w:bidi="ar-SA"/>
      </w:rPr>
    </w:lvl>
    <w:lvl w:ilvl="7" w:tplc="3A5E954E">
      <w:numFmt w:val="bullet"/>
      <w:lvlText w:val="•"/>
      <w:lvlJc w:val="left"/>
      <w:pPr>
        <w:ind w:left="7020" w:hanging="361"/>
      </w:pPr>
      <w:rPr>
        <w:rFonts w:hint="default"/>
        <w:lang w:val="en-US" w:eastAsia="en-US" w:bidi="ar-SA"/>
      </w:rPr>
    </w:lvl>
    <w:lvl w:ilvl="8" w:tplc="6DD03B8E">
      <w:numFmt w:val="bullet"/>
      <w:lvlText w:val="•"/>
      <w:lvlJc w:val="left"/>
      <w:pPr>
        <w:ind w:left="7920" w:hanging="361"/>
      </w:pPr>
      <w:rPr>
        <w:rFonts w:hint="default"/>
        <w:lang w:val="en-US" w:eastAsia="en-US" w:bidi="ar-SA"/>
      </w:rPr>
    </w:lvl>
  </w:abstractNum>
  <w:num w:numId="1" w16cid:durableId="316998730">
    <w:abstractNumId w:val="0"/>
  </w:num>
  <w:num w:numId="2" w16cid:durableId="213038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6579"/>
    <w:rsid w:val="0015031F"/>
    <w:rsid w:val="00456579"/>
    <w:rsid w:val="0070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ECE3"/>
  <w15:docId w15:val="{0DE8FCEF-D0BB-4095-9BE5-BD765FD4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3</cp:revision>
  <dcterms:created xsi:type="dcterms:W3CDTF">2025-10-31T08:11:00Z</dcterms:created>
  <dcterms:modified xsi:type="dcterms:W3CDTF">2025-10-31T08:33:00Z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