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8D1" w:rsidRDefault="00EE78D1" w:rsidP="003E5395">
      <w:pPr>
        <w:spacing w:after="0"/>
        <w:jc w:val="both"/>
        <w:rPr>
          <w:rFonts w:ascii="Times New Roman" w:hAnsi="Times New Roman" w:cs="Times New Roman"/>
          <w:sz w:val="24"/>
          <w:szCs w:val="24"/>
        </w:rPr>
      </w:pPr>
      <w:bookmarkStart w:id="0" w:name="_GoBack"/>
      <w:bookmarkEnd w:id="0"/>
    </w:p>
    <w:p w:rsidR="00EE78D1" w:rsidRPr="00B017EC" w:rsidRDefault="00502BFA"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NASHCHRYSTAL</w:t>
      </w:r>
      <w:r w:rsidR="007C2C22">
        <w:rPr>
          <w:rFonts w:ascii="Times New Roman" w:hAnsi="Times New Roman" w:cs="Times New Roman"/>
          <w:sz w:val="24"/>
          <w:szCs w:val="24"/>
        </w:rPr>
        <w:t xml:space="preserve"> MOTORS (PRIVATE) LIMITED</w:t>
      </w:r>
    </w:p>
    <w:p w:rsidR="0096091F" w:rsidRPr="00B017EC" w:rsidRDefault="00B835DC"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A4FD6" w:rsidRDefault="007C2C22"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TOTAL ZIMBABWE (PRIVATE) LIMITED</w:t>
      </w:r>
      <w:r w:rsidR="00B835DC">
        <w:rPr>
          <w:rFonts w:ascii="Times New Roman" w:hAnsi="Times New Roman" w:cs="Times New Roman"/>
          <w:sz w:val="24"/>
          <w:szCs w:val="24"/>
        </w:rPr>
        <w:t xml:space="preserve"> </w:t>
      </w:r>
    </w:p>
    <w:p w:rsidR="00CA4FD6" w:rsidRDefault="00B835DC"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C2C22" w:rsidRDefault="007C2C22"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4E4F8A">
        <w:rPr>
          <w:rFonts w:ascii="Times New Roman" w:hAnsi="Times New Roman" w:cs="Times New Roman"/>
          <w:sz w:val="24"/>
          <w:szCs w:val="24"/>
        </w:rPr>
        <w:t>.</w:t>
      </w:r>
      <w:r>
        <w:rPr>
          <w:rFonts w:ascii="Times New Roman" w:hAnsi="Times New Roman" w:cs="Times New Roman"/>
          <w:sz w:val="24"/>
          <w:szCs w:val="24"/>
        </w:rPr>
        <w:t>H</w:t>
      </w:r>
      <w:r w:rsidR="004E4F8A">
        <w:rPr>
          <w:rFonts w:ascii="Times New Roman" w:hAnsi="Times New Roman" w:cs="Times New Roman"/>
          <w:sz w:val="24"/>
          <w:szCs w:val="24"/>
        </w:rPr>
        <w:t>.</w:t>
      </w:r>
      <w:r>
        <w:rPr>
          <w:rFonts w:ascii="Times New Roman" w:hAnsi="Times New Roman" w:cs="Times New Roman"/>
          <w:sz w:val="24"/>
          <w:szCs w:val="24"/>
        </w:rPr>
        <w:t xml:space="preserve"> DRURY</w:t>
      </w:r>
    </w:p>
    <w:p w:rsidR="00EE78D1" w:rsidRDefault="007C2C22"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B835DC">
        <w:rPr>
          <w:rFonts w:ascii="Times New Roman" w:hAnsi="Times New Roman" w:cs="Times New Roman"/>
          <w:sz w:val="24"/>
          <w:szCs w:val="24"/>
        </w:rPr>
        <w:t xml:space="preserve"> </w:t>
      </w:r>
      <w:r w:rsidR="00CD0AE3">
        <w:rPr>
          <w:rFonts w:ascii="Times New Roman" w:hAnsi="Times New Roman" w:cs="Times New Roman"/>
          <w:sz w:val="24"/>
          <w:szCs w:val="24"/>
        </w:rPr>
        <w:t xml:space="preserve"> </w:t>
      </w:r>
    </w:p>
    <w:p w:rsidR="00C40160" w:rsidRPr="00B017EC" w:rsidRDefault="007C2C22"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DRAW CARD ENTRERPRISES (PRIVATE) LIMITED</w:t>
      </w:r>
    </w:p>
    <w:p w:rsidR="00C40160" w:rsidRDefault="007C2C22"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A689C" w:rsidRDefault="007C2C22"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 OF DEEDS</w:t>
      </w:r>
    </w:p>
    <w:p w:rsidR="007C2C22" w:rsidRDefault="007C2C22" w:rsidP="003A689C">
      <w:pPr>
        <w:spacing w:after="0" w:line="240" w:lineRule="auto"/>
        <w:jc w:val="both"/>
        <w:rPr>
          <w:rFonts w:ascii="Times New Roman" w:hAnsi="Times New Roman" w:cs="Times New Roman"/>
          <w:sz w:val="24"/>
          <w:szCs w:val="24"/>
        </w:rPr>
      </w:pPr>
    </w:p>
    <w:p w:rsidR="007C2C22" w:rsidRDefault="007C2C22" w:rsidP="003A689C">
      <w:pPr>
        <w:spacing w:after="0" w:line="240" w:lineRule="auto"/>
        <w:jc w:val="both"/>
        <w:rPr>
          <w:rFonts w:ascii="Times New Roman" w:hAnsi="Times New Roman" w:cs="Times New Roman"/>
          <w:sz w:val="24"/>
          <w:szCs w:val="24"/>
        </w:rPr>
      </w:pPr>
    </w:p>
    <w:p w:rsidR="007C2C22" w:rsidRPr="00B017EC" w:rsidRDefault="007C2C22" w:rsidP="003A689C">
      <w:pPr>
        <w:spacing w:after="0" w:line="240" w:lineRule="auto"/>
        <w:jc w:val="both"/>
        <w:rPr>
          <w:rFonts w:ascii="Times New Roman" w:hAnsi="Times New Roman" w:cs="Times New Roman"/>
          <w:sz w:val="24"/>
          <w:szCs w:val="24"/>
        </w:rPr>
      </w:pPr>
    </w:p>
    <w:p w:rsidR="00C40160" w:rsidRPr="00B017EC" w:rsidRDefault="00C40160" w:rsidP="003A689C">
      <w:pPr>
        <w:spacing w:after="0" w:line="240" w:lineRule="auto"/>
        <w:jc w:val="both"/>
        <w:rPr>
          <w:rFonts w:ascii="Times New Roman" w:hAnsi="Times New Roman" w:cs="Times New Roman"/>
          <w:sz w:val="24"/>
          <w:szCs w:val="24"/>
        </w:rPr>
      </w:pPr>
      <w:r w:rsidRPr="00B017EC">
        <w:rPr>
          <w:rFonts w:ascii="Times New Roman" w:hAnsi="Times New Roman" w:cs="Times New Roman"/>
          <w:sz w:val="24"/>
          <w:szCs w:val="24"/>
        </w:rPr>
        <w:t xml:space="preserve">HIGH COURT OF ZIMBABWE </w:t>
      </w:r>
    </w:p>
    <w:p w:rsidR="00C40160" w:rsidRPr="00B017EC" w:rsidRDefault="0047505A"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MUZENDA J</w:t>
      </w:r>
    </w:p>
    <w:p w:rsidR="00C40160" w:rsidRPr="00B017EC" w:rsidRDefault="00C40160" w:rsidP="003A689C">
      <w:pPr>
        <w:spacing w:after="0" w:line="240" w:lineRule="auto"/>
        <w:jc w:val="both"/>
        <w:rPr>
          <w:rFonts w:ascii="Times New Roman" w:hAnsi="Times New Roman" w:cs="Times New Roman"/>
          <w:sz w:val="24"/>
          <w:szCs w:val="24"/>
        </w:rPr>
      </w:pPr>
      <w:r w:rsidRPr="00B017EC">
        <w:rPr>
          <w:rFonts w:ascii="Times New Roman" w:hAnsi="Times New Roman" w:cs="Times New Roman"/>
          <w:sz w:val="24"/>
          <w:szCs w:val="24"/>
        </w:rPr>
        <w:t>MUT</w:t>
      </w:r>
      <w:r w:rsidR="00A54D67">
        <w:rPr>
          <w:rFonts w:ascii="Times New Roman" w:hAnsi="Times New Roman" w:cs="Times New Roman"/>
          <w:sz w:val="24"/>
          <w:szCs w:val="24"/>
        </w:rPr>
        <w:t xml:space="preserve">ARE, 24 May </w:t>
      </w:r>
      <w:r w:rsidR="00F073EF">
        <w:rPr>
          <w:rFonts w:ascii="Times New Roman" w:hAnsi="Times New Roman" w:cs="Times New Roman"/>
          <w:sz w:val="24"/>
          <w:szCs w:val="24"/>
        </w:rPr>
        <w:t xml:space="preserve">2021 </w:t>
      </w:r>
      <w:r w:rsidR="00A54D67">
        <w:rPr>
          <w:rFonts w:ascii="Times New Roman" w:hAnsi="Times New Roman" w:cs="Times New Roman"/>
          <w:sz w:val="24"/>
          <w:szCs w:val="24"/>
        </w:rPr>
        <w:t>and 12 August 2021</w:t>
      </w:r>
    </w:p>
    <w:p w:rsidR="00C40160" w:rsidRPr="00B017EC" w:rsidRDefault="00C40160" w:rsidP="003A689C">
      <w:pPr>
        <w:spacing w:after="0" w:line="240" w:lineRule="auto"/>
        <w:jc w:val="both"/>
        <w:rPr>
          <w:rFonts w:ascii="Times New Roman" w:hAnsi="Times New Roman" w:cs="Times New Roman"/>
          <w:sz w:val="24"/>
          <w:szCs w:val="24"/>
        </w:rPr>
      </w:pPr>
    </w:p>
    <w:p w:rsidR="00EF05BC" w:rsidRPr="00B017EC" w:rsidRDefault="00EF05BC" w:rsidP="003A689C">
      <w:pPr>
        <w:spacing w:after="0" w:line="240" w:lineRule="auto"/>
        <w:jc w:val="both"/>
        <w:rPr>
          <w:rFonts w:ascii="Times New Roman" w:hAnsi="Times New Roman" w:cs="Times New Roman"/>
          <w:sz w:val="24"/>
          <w:szCs w:val="24"/>
        </w:rPr>
      </w:pPr>
    </w:p>
    <w:p w:rsidR="00C26757" w:rsidRDefault="007C2C22" w:rsidP="003A689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Trial</w:t>
      </w:r>
      <w:r w:rsidR="002719BB">
        <w:rPr>
          <w:rFonts w:ascii="Times New Roman" w:hAnsi="Times New Roman" w:cs="Times New Roman"/>
          <w:b/>
          <w:sz w:val="24"/>
          <w:szCs w:val="24"/>
        </w:rPr>
        <w:t xml:space="preserve"> </w:t>
      </w:r>
    </w:p>
    <w:p w:rsidR="00CD0AE3" w:rsidRDefault="00CD0AE3" w:rsidP="003A689C">
      <w:pPr>
        <w:spacing w:after="0" w:line="240" w:lineRule="auto"/>
        <w:jc w:val="both"/>
        <w:rPr>
          <w:rFonts w:ascii="Times New Roman" w:hAnsi="Times New Roman" w:cs="Times New Roman"/>
          <w:b/>
          <w:sz w:val="24"/>
          <w:szCs w:val="24"/>
        </w:rPr>
      </w:pPr>
    </w:p>
    <w:p w:rsidR="003A689C" w:rsidRDefault="003A689C" w:rsidP="003A689C">
      <w:pPr>
        <w:spacing w:after="0" w:line="240" w:lineRule="auto"/>
        <w:jc w:val="both"/>
        <w:rPr>
          <w:rFonts w:ascii="Times New Roman" w:hAnsi="Times New Roman" w:cs="Times New Roman"/>
          <w:b/>
          <w:sz w:val="24"/>
          <w:szCs w:val="24"/>
        </w:rPr>
      </w:pPr>
    </w:p>
    <w:p w:rsidR="00CD0AE3" w:rsidRPr="00CC354B" w:rsidRDefault="007C2C22" w:rsidP="003A689C">
      <w:pPr>
        <w:spacing w:after="0" w:line="240" w:lineRule="auto"/>
        <w:jc w:val="both"/>
        <w:rPr>
          <w:rFonts w:ascii="Times New Roman" w:hAnsi="Times New Roman" w:cs="Times New Roman"/>
          <w:b/>
          <w:sz w:val="24"/>
          <w:szCs w:val="24"/>
        </w:rPr>
      </w:pPr>
      <w:r w:rsidRPr="00CC354B">
        <w:rPr>
          <w:rFonts w:ascii="Times New Roman" w:hAnsi="Times New Roman" w:cs="Times New Roman"/>
          <w:b/>
          <w:sz w:val="24"/>
          <w:szCs w:val="24"/>
        </w:rPr>
        <w:t>Advocate</w:t>
      </w:r>
      <w:r w:rsidRPr="00CC354B">
        <w:rPr>
          <w:rFonts w:ascii="Times New Roman" w:hAnsi="Times New Roman" w:cs="Times New Roman"/>
          <w:b/>
          <w:i/>
          <w:sz w:val="24"/>
          <w:szCs w:val="24"/>
        </w:rPr>
        <w:t xml:space="preserve"> L. Uriri </w:t>
      </w:r>
      <w:r w:rsidRPr="00CC354B">
        <w:rPr>
          <w:rFonts w:ascii="Times New Roman" w:hAnsi="Times New Roman" w:cs="Times New Roman"/>
          <w:b/>
          <w:sz w:val="24"/>
          <w:szCs w:val="24"/>
        </w:rPr>
        <w:t>with</w:t>
      </w:r>
      <w:r w:rsidRPr="00CC354B">
        <w:rPr>
          <w:rFonts w:ascii="Times New Roman" w:hAnsi="Times New Roman" w:cs="Times New Roman"/>
          <w:b/>
          <w:i/>
          <w:sz w:val="24"/>
          <w:szCs w:val="24"/>
        </w:rPr>
        <w:t xml:space="preserve"> Mr P Makombe,</w:t>
      </w:r>
      <w:r w:rsidR="00B835DC" w:rsidRPr="00CC354B">
        <w:rPr>
          <w:rFonts w:ascii="Times New Roman" w:hAnsi="Times New Roman" w:cs="Times New Roman"/>
          <w:b/>
          <w:i/>
          <w:sz w:val="24"/>
          <w:szCs w:val="24"/>
        </w:rPr>
        <w:t xml:space="preserve"> </w:t>
      </w:r>
      <w:r w:rsidR="00B835DC" w:rsidRPr="00CC354B">
        <w:rPr>
          <w:rFonts w:ascii="Times New Roman" w:hAnsi="Times New Roman" w:cs="Times New Roman"/>
          <w:b/>
          <w:sz w:val="24"/>
          <w:szCs w:val="24"/>
        </w:rPr>
        <w:t>for the</w:t>
      </w:r>
      <w:r w:rsidR="00B835DC" w:rsidRPr="00CC354B">
        <w:rPr>
          <w:rFonts w:ascii="Times New Roman" w:hAnsi="Times New Roman" w:cs="Times New Roman"/>
          <w:b/>
          <w:i/>
          <w:sz w:val="24"/>
          <w:szCs w:val="24"/>
        </w:rPr>
        <w:t xml:space="preserve"> </w:t>
      </w:r>
      <w:r w:rsidRPr="00CC354B">
        <w:rPr>
          <w:rFonts w:ascii="Times New Roman" w:hAnsi="Times New Roman" w:cs="Times New Roman"/>
          <w:b/>
          <w:sz w:val="24"/>
          <w:szCs w:val="24"/>
        </w:rPr>
        <w:t>Plaintiff</w:t>
      </w:r>
    </w:p>
    <w:p w:rsidR="00CD0AE3" w:rsidRPr="00CC354B" w:rsidRDefault="007C2C22" w:rsidP="003A689C">
      <w:pPr>
        <w:spacing w:after="0" w:line="240" w:lineRule="auto"/>
        <w:jc w:val="both"/>
        <w:rPr>
          <w:rFonts w:ascii="Times New Roman" w:hAnsi="Times New Roman" w:cs="Times New Roman"/>
          <w:b/>
          <w:sz w:val="24"/>
          <w:szCs w:val="24"/>
        </w:rPr>
      </w:pPr>
      <w:r w:rsidRPr="00CC354B">
        <w:rPr>
          <w:rFonts w:ascii="Times New Roman" w:hAnsi="Times New Roman" w:cs="Times New Roman"/>
          <w:b/>
          <w:i/>
          <w:sz w:val="24"/>
          <w:szCs w:val="24"/>
        </w:rPr>
        <w:t>S. Sadomba,</w:t>
      </w:r>
      <w:r w:rsidR="00CA4FD6" w:rsidRPr="00CC354B">
        <w:rPr>
          <w:rFonts w:ascii="Times New Roman" w:hAnsi="Times New Roman" w:cs="Times New Roman"/>
          <w:b/>
          <w:sz w:val="24"/>
          <w:szCs w:val="24"/>
        </w:rPr>
        <w:t xml:space="preserve"> for the </w:t>
      </w:r>
      <w:r w:rsidR="00C23BF8" w:rsidRPr="00CC354B">
        <w:rPr>
          <w:rFonts w:ascii="Times New Roman" w:hAnsi="Times New Roman" w:cs="Times New Roman"/>
          <w:b/>
          <w:sz w:val="24"/>
          <w:szCs w:val="24"/>
        </w:rPr>
        <w:t>First</w:t>
      </w:r>
      <w:r w:rsidRPr="00CC354B">
        <w:rPr>
          <w:rFonts w:ascii="Times New Roman" w:hAnsi="Times New Roman" w:cs="Times New Roman"/>
          <w:b/>
          <w:sz w:val="24"/>
          <w:szCs w:val="24"/>
        </w:rPr>
        <w:t xml:space="preserve"> Defendant </w:t>
      </w:r>
    </w:p>
    <w:p w:rsidR="007C2C22" w:rsidRPr="00CC354B" w:rsidRDefault="00C23BF8" w:rsidP="003A689C">
      <w:pPr>
        <w:spacing w:after="0" w:line="240" w:lineRule="auto"/>
        <w:jc w:val="both"/>
        <w:rPr>
          <w:rFonts w:ascii="Times New Roman" w:hAnsi="Times New Roman" w:cs="Times New Roman"/>
          <w:b/>
          <w:sz w:val="24"/>
          <w:szCs w:val="24"/>
        </w:rPr>
      </w:pPr>
      <w:r w:rsidRPr="00CC354B">
        <w:rPr>
          <w:rFonts w:ascii="Times New Roman" w:hAnsi="Times New Roman" w:cs="Times New Roman"/>
          <w:b/>
          <w:sz w:val="24"/>
          <w:szCs w:val="24"/>
        </w:rPr>
        <w:t>No appearance for Second</w:t>
      </w:r>
      <w:r w:rsidR="007C2C22" w:rsidRPr="00CC354B">
        <w:rPr>
          <w:rFonts w:ascii="Times New Roman" w:hAnsi="Times New Roman" w:cs="Times New Roman"/>
          <w:b/>
          <w:sz w:val="24"/>
          <w:szCs w:val="24"/>
        </w:rPr>
        <w:t xml:space="preserve"> Defendant</w:t>
      </w:r>
      <w:r w:rsidR="00BC434C" w:rsidRPr="00CC354B">
        <w:rPr>
          <w:rFonts w:ascii="Times New Roman" w:hAnsi="Times New Roman" w:cs="Times New Roman"/>
          <w:b/>
          <w:sz w:val="24"/>
          <w:szCs w:val="24"/>
        </w:rPr>
        <w:t>.</w:t>
      </w:r>
    </w:p>
    <w:p w:rsidR="00BC434C" w:rsidRPr="00CC354B" w:rsidRDefault="00BC434C" w:rsidP="003A689C">
      <w:pPr>
        <w:spacing w:after="0" w:line="240" w:lineRule="auto"/>
        <w:jc w:val="both"/>
        <w:rPr>
          <w:rFonts w:ascii="Times New Roman" w:hAnsi="Times New Roman" w:cs="Times New Roman"/>
          <w:b/>
          <w:sz w:val="24"/>
          <w:szCs w:val="24"/>
        </w:rPr>
      </w:pPr>
      <w:r w:rsidRPr="00CC354B">
        <w:rPr>
          <w:rFonts w:ascii="Times New Roman" w:hAnsi="Times New Roman" w:cs="Times New Roman"/>
          <w:b/>
          <w:i/>
          <w:sz w:val="24"/>
          <w:szCs w:val="24"/>
        </w:rPr>
        <w:t>B. Chipupure</w:t>
      </w:r>
      <w:r w:rsidR="00C23BF8" w:rsidRPr="00CC354B">
        <w:rPr>
          <w:rFonts w:ascii="Times New Roman" w:hAnsi="Times New Roman" w:cs="Times New Roman"/>
          <w:b/>
          <w:sz w:val="24"/>
          <w:szCs w:val="24"/>
        </w:rPr>
        <w:t>, for Third</w:t>
      </w:r>
      <w:r w:rsidRPr="00CC354B">
        <w:rPr>
          <w:rFonts w:ascii="Times New Roman" w:hAnsi="Times New Roman" w:cs="Times New Roman"/>
          <w:b/>
          <w:sz w:val="24"/>
          <w:szCs w:val="24"/>
        </w:rPr>
        <w:t xml:space="preserve"> Defendant </w:t>
      </w:r>
    </w:p>
    <w:p w:rsidR="00BC434C" w:rsidRPr="00CC354B" w:rsidRDefault="00C23BF8" w:rsidP="003A689C">
      <w:pPr>
        <w:spacing w:after="0" w:line="240" w:lineRule="auto"/>
        <w:jc w:val="both"/>
        <w:rPr>
          <w:rFonts w:ascii="Times New Roman" w:hAnsi="Times New Roman" w:cs="Times New Roman"/>
          <w:b/>
          <w:sz w:val="24"/>
          <w:szCs w:val="24"/>
        </w:rPr>
      </w:pPr>
      <w:r w:rsidRPr="00CC354B">
        <w:rPr>
          <w:rFonts w:ascii="Times New Roman" w:hAnsi="Times New Roman" w:cs="Times New Roman"/>
          <w:b/>
          <w:sz w:val="24"/>
          <w:szCs w:val="24"/>
        </w:rPr>
        <w:t>No appearance for the Fourth</w:t>
      </w:r>
      <w:r w:rsidR="00BC434C" w:rsidRPr="00CC354B">
        <w:rPr>
          <w:rFonts w:ascii="Times New Roman" w:hAnsi="Times New Roman" w:cs="Times New Roman"/>
          <w:b/>
          <w:sz w:val="24"/>
          <w:szCs w:val="24"/>
        </w:rPr>
        <w:t xml:space="preserve"> Defendant.</w:t>
      </w:r>
    </w:p>
    <w:p w:rsidR="006919BD" w:rsidRPr="00B017EC" w:rsidRDefault="006919BD" w:rsidP="003A689C">
      <w:pPr>
        <w:spacing w:after="0" w:line="240" w:lineRule="auto"/>
        <w:jc w:val="both"/>
        <w:rPr>
          <w:rFonts w:ascii="Times New Roman" w:hAnsi="Times New Roman" w:cs="Times New Roman"/>
          <w:b/>
          <w:sz w:val="24"/>
          <w:szCs w:val="24"/>
        </w:rPr>
      </w:pPr>
    </w:p>
    <w:p w:rsidR="00C26757" w:rsidRPr="00B017EC" w:rsidRDefault="00C26757" w:rsidP="00B017EC">
      <w:pPr>
        <w:spacing w:after="0" w:line="360" w:lineRule="auto"/>
        <w:jc w:val="both"/>
        <w:rPr>
          <w:rFonts w:ascii="Times New Roman" w:hAnsi="Times New Roman" w:cs="Times New Roman"/>
          <w:b/>
          <w:sz w:val="24"/>
          <w:szCs w:val="24"/>
        </w:rPr>
      </w:pPr>
    </w:p>
    <w:p w:rsidR="00502BFA" w:rsidRDefault="00AD6211" w:rsidP="00502BFA">
      <w:pPr>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tab/>
        <w:t xml:space="preserve">MUZENDA J: </w:t>
      </w:r>
      <w:r w:rsidR="004E4F8A">
        <w:rPr>
          <w:rFonts w:ascii="Times New Roman" w:hAnsi="Times New Roman" w:cs="Times New Roman"/>
          <w:sz w:val="24"/>
          <w:szCs w:val="24"/>
        </w:rPr>
        <w:t>Nashchrystal Motors (P</w:t>
      </w:r>
      <w:r w:rsidR="00BC434C">
        <w:rPr>
          <w:rFonts w:ascii="Times New Roman" w:hAnsi="Times New Roman" w:cs="Times New Roman"/>
          <w:sz w:val="24"/>
          <w:szCs w:val="24"/>
        </w:rPr>
        <w:t>rivate) Limited, (plaintiff) claims the following from first to third defendants:</w:t>
      </w:r>
    </w:p>
    <w:p w:rsidR="00BC434C" w:rsidRPr="00981CE7" w:rsidRDefault="00502BFA" w:rsidP="00502BFA">
      <w:pPr>
        <w:pStyle w:val="ListParagraph"/>
        <w:numPr>
          <w:ilvl w:val="0"/>
          <w:numId w:val="21"/>
        </w:numPr>
        <w:spacing w:after="0" w:line="360" w:lineRule="auto"/>
        <w:jc w:val="both"/>
        <w:rPr>
          <w:rFonts w:ascii="Times New Roman" w:hAnsi="Times New Roman" w:cs="Times New Roman"/>
          <w:b/>
          <w:sz w:val="24"/>
          <w:szCs w:val="24"/>
        </w:rPr>
      </w:pPr>
      <w:r w:rsidRPr="00981CE7">
        <w:rPr>
          <w:rFonts w:ascii="Times New Roman" w:hAnsi="Times New Roman" w:cs="Times New Roman"/>
          <w:b/>
          <w:sz w:val="24"/>
          <w:szCs w:val="24"/>
        </w:rPr>
        <w:t xml:space="preserve">(a) </w:t>
      </w:r>
      <w:r w:rsidR="001F6DBC" w:rsidRPr="00981CE7">
        <w:rPr>
          <w:rFonts w:ascii="Times New Roman" w:hAnsi="Times New Roman" w:cs="Times New Roman"/>
          <w:b/>
          <w:sz w:val="24"/>
          <w:szCs w:val="24"/>
        </w:rPr>
        <w:t xml:space="preserve">  F</w:t>
      </w:r>
      <w:r w:rsidR="0049155D" w:rsidRPr="00981CE7">
        <w:rPr>
          <w:rFonts w:ascii="Times New Roman" w:hAnsi="Times New Roman" w:cs="Times New Roman"/>
          <w:b/>
          <w:sz w:val="24"/>
          <w:szCs w:val="24"/>
        </w:rPr>
        <w:t>or an Order cancelling</w:t>
      </w:r>
      <w:r w:rsidR="00AC2C5E" w:rsidRPr="00981CE7">
        <w:rPr>
          <w:rFonts w:ascii="Times New Roman" w:hAnsi="Times New Roman" w:cs="Times New Roman"/>
          <w:b/>
          <w:sz w:val="24"/>
          <w:szCs w:val="24"/>
        </w:rPr>
        <w:t xml:space="preserve"> the agreement of sale between second</w:t>
      </w:r>
      <w:r w:rsidR="0049155D" w:rsidRPr="00981CE7">
        <w:rPr>
          <w:rFonts w:ascii="Times New Roman" w:hAnsi="Times New Roman" w:cs="Times New Roman"/>
          <w:b/>
          <w:sz w:val="24"/>
          <w:szCs w:val="24"/>
        </w:rPr>
        <w:t xml:space="preserve"> (B.H. Drury) and third (Draw</w:t>
      </w:r>
      <w:r w:rsidRPr="00981CE7">
        <w:rPr>
          <w:rFonts w:ascii="Times New Roman" w:hAnsi="Times New Roman" w:cs="Times New Roman"/>
          <w:b/>
          <w:sz w:val="24"/>
          <w:szCs w:val="24"/>
        </w:rPr>
        <w:t xml:space="preserve"> </w:t>
      </w:r>
      <w:r w:rsidR="00AC2C5E" w:rsidRPr="00981CE7">
        <w:rPr>
          <w:rFonts w:ascii="Times New Roman" w:hAnsi="Times New Roman" w:cs="Times New Roman"/>
          <w:b/>
          <w:sz w:val="24"/>
          <w:szCs w:val="24"/>
        </w:rPr>
        <w:t>Card Enterprises (Private)</w:t>
      </w:r>
      <w:r w:rsidR="0049155D" w:rsidRPr="00981CE7">
        <w:rPr>
          <w:rFonts w:ascii="Times New Roman" w:hAnsi="Times New Roman" w:cs="Times New Roman"/>
          <w:b/>
          <w:sz w:val="24"/>
          <w:szCs w:val="24"/>
        </w:rPr>
        <w:t xml:space="preserve"> Limited</w:t>
      </w:r>
      <w:r w:rsidR="00AC2C5E" w:rsidRPr="00981CE7">
        <w:rPr>
          <w:rFonts w:ascii="Times New Roman" w:hAnsi="Times New Roman" w:cs="Times New Roman"/>
          <w:b/>
          <w:sz w:val="24"/>
          <w:szCs w:val="24"/>
        </w:rPr>
        <w:t>)</w:t>
      </w:r>
      <w:r w:rsidR="0049155D" w:rsidRPr="00981CE7">
        <w:rPr>
          <w:rFonts w:ascii="Times New Roman" w:hAnsi="Times New Roman" w:cs="Times New Roman"/>
          <w:b/>
          <w:sz w:val="24"/>
          <w:szCs w:val="24"/>
        </w:rPr>
        <w:t xml:space="preserve"> defendants pertaining to stand 2427A Umtali To</w:t>
      </w:r>
      <w:r w:rsidR="004664E5">
        <w:rPr>
          <w:rFonts w:ascii="Times New Roman" w:hAnsi="Times New Roman" w:cs="Times New Roman"/>
          <w:b/>
          <w:sz w:val="24"/>
          <w:szCs w:val="24"/>
        </w:rPr>
        <w:t>wnship, Mutare, measuring 1364 s</w:t>
      </w:r>
      <w:r w:rsidR="0049155D" w:rsidRPr="00981CE7">
        <w:rPr>
          <w:rFonts w:ascii="Times New Roman" w:hAnsi="Times New Roman" w:cs="Times New Roman"/>
          <w:b/>
          <w:sz w:val="24"/>
          <w:szCs w:val="24"/>
        </w:rPr>
        <w:t>quare metres.</w:t>
      </w:r>
    </w:p>
    <w:p w:rsidR="0049155D" w:rsidRPr="00981CE7" w:rsidRDefault="00502BFA" w:rsidP="004664E5">
      <w:pPr>
        <w:spacing w:after="0" w:line="360" w:lineRule="auto"/>
        <w:ind w:left="720"/>
        <w:jc w:val="both"/>
        <w:rPr>
          <w:rFonts w:ascii="Times New Roman" w:hAnsi="Times New Roman" w:cs="Times New Roman"/>
          <w:b/>
          <w:sz w:val="24"/>
          <w:szCs w:val="24"/>
        </w:rPr>
      </w:pPr>
      <w:r w:rsidRPr="00981CE7">
        <w:rPr>
          <w:rFonts w:ascii="Times New Roman" w:hAnsi="Times New Roman" w:cs="Times New Roman"/>
          <w:b/>
          <w:sz w:val="24"/>
          <w:szCs w:val="24"/>
        </w:rPr>
        <w:t xml:space="preserve">(b) </w:t>
      </w:r>
      <w:r w:rsidR="001F6DBC" w:rsidRPr="00981CE7">
        <w:rPr>
          <w:rFonts w:ascii="Times New Roman" w:hAnsi="Times New Roman" w:cs="Times New Roman"/>
          <w:b/>
          <w:sz w:val="24"/>
          <w:szCs w:val="24"/>
        </w:rPr>
        <w:t>F</w:t>
      </w:r>
      <w:r w:rsidR="0049155D" w:rsidRPr="00981CE7">
        <w:rPr>
          <w:rFonts w:ascii="Times New Roman" w:hAnsi="Times New Roman" w:cs="Times New Roman"/>
          <w:b/>
          <w:sz w:val="24"/>
          <w:szCs w:val="24"/>
        </w:rPr>
        <w:t xml:space="preserve">or an order cancelling Deed of Transfer Number 4777/2017 issued in favour of </w:t>
      </w:r>
      <w:r w:rsidR="00AC2C5E" w:rsidRPr="00981CE7">
        <w:rPr>
          <w:rFonts w:ascii="Times New Roman" w:hAnsi="Times New Roman" w:cs="Times New Roman"/>
          <w:b/>
          <w:sz w:val="24"/>
          <w:szCs w:val="24"/>
        </w:rPr>
        <w:t xml:space="preserve">third </w:t>
      </w:r>
      <w:r w:rsidR="0049155D" w:rsidRPr="00981CE7">
        <w:rPr>
          <w:rFonts w:ascii="Times New Roman" w:hAnsi="Times New Roman" w:cs="Times New Roman"/>
          <w:b/>
          <w:sz w:val="24"/>
          <w:szCs w:val="24"/>
        </w:rPr>
        <w:t>defendant.</w:t>
      </w:r>
    </w:p>
    <w:p w:rsidR="00502BFA" w:rsidRPr="00981CE7" w:rsidRDefault="001F6DBC" w:rsidP="004664E5">
      <w:pPr>
        <w:spacing w:after="0" w:line="360" w:lineRule="auto"/>
        <w:ind w:left="720"/>
        <w:jc w:val="both"/>
        <w:rPr>
          <w:rFonts w:ascii="Times New Roman" w:hAnsi="Times New Roman" w:cs="Times New Roman"/>
          <w:b/>
          <w:sz w:val="24"/>
          <w:szCs w:val="24"/>
        </w:rPr>
      </w:pPr>
      <w:r w:rsidRPr="00981CE7">
        <w:rPr>
          <w:rFonts w:ascii="Times New Roman" w:hAnsi="Times New Roman" w:cs="Times New Roman"/>
          <w:b/>
          <w:sz w:val="24"/>
          <w:szCs w:val="24"/>
        </w:rPr>
        <w:t>(c) F</w:t>
      </w:r>
      <w:r w:rsidR="0049155D" w:rsidRPr="00981CE7">
        <w:rPr>
          <w:rFonts w:ascii="Times New Roman" w:hAnsi="Times New Roman" w:cs="Times New Roman"/>
          <w:b/>
          <w:sz w:val="24"/>
          <w:szCs w:val="24"/>
        </w:rPr>
        <w:t>o</w:t>
      </w:r>
      <w:r w:rsidR="00502BFA" w:rsidRPr="00981CE7">
        <w:rPr>
          <w:rFonts w:ascii="Times New Roman" w:hAnsi="Times New Roman" w:cs="Times New Roman"/>
          <w:b/>
          <w:sz w:val="24"/>
          <w:szCs w:val="24"/>
        </w:rPr>
        <w:t xml:space="preserve">r an Order that first to third </w:t>
      </w:r>
      <w:r w:rsidR="0049155D" w:rsidRPr="00981CE7">
        <w:rPr>
          <w:rFonts w:ascii="Times New Roman" w:hAnsi="Times New Roman" w:cs="Times New Roman"/>
          <w:b/>
          <w:sz w:val="24"/>
          <w:szCs w:val="24"/>
        </w:rPr>
        <w:t xml:space="preserve">defendants take all necessary steps to pass transfer of stand </w:t>
      </w:r>
      <w:r w:rsidR="00502BFA" w:rsidRPr="00981CE7">
        <w:rPr>
          <w:rFonts w:ascii="Times New Roman" w:hAnsi="Times New Roman" w:cs="Times New Roman"/>
          <w:b/>
          <w:sz w:val="24"/>
          <w:szCs w:val="24"/>
        </w:rPr>
        <w:t xml:space="preserve">   </w:t>
      </w:r>
      <w:r w:rsidR="0049155D" w:rsidRPr="00981CE7">
        <w:rPr>
          <w:rFonts w:ascii="Times New Roman" w:hAnsi="Times New Roman" w:cs="Times New Roman"/>
          <w:b/>
          <w:sz w:val="24"/>
          <w:szCs w:val="24"/>
        </w:rPr>
        <w:t>2447A Umtali Township, Mutare measuring</w:t>
      </w:r>
      <w:r w:rsidR="00502BFA" w:rsidRPr="00981CE7">
        <w:rPr>
          <w:rFonts w:ascii="Times New Roman" w:hAnsi="Times New Roman" w:cs="Times New Roman"/>
          <w:b/>
          <w:sz w:val="24"/>
          <w:szCs w:val="24"/>
        </w:rPr>
        <w:t xml:space="preserve"> 1364 square metres to plaintiff.</w:t>
      </w:r>
    </w:p>
    <w:p w:rsidR="00502BFA" w:rsidRPr="00981CE7" w:rsidRDefault="001F6DBC" w:rsidP="004664E5">
      <w:pPr>
        <w:spacing w:after="0" w:line="360" w:lineRule="auto"/>
        <w:ind w:left="720"/>
        <w:jc w:val="both"/>
        <w:rPr>
          <w:rFonts w:ascii="Times New Roman" w:hAnsi="Times New Roman" w:cs="Times New Roman"/>
          <w:b/>
          <w:sz w:val="24"/>
          <w:szCs w:val="24"/>
        </w:rPr>
      </w:pPr>
      <w:r w:rsidRPr="00981CE7">
        <w:rPr>
          <w:rFonts w:ascii="Times New Roman" w:hAnsi="Times New Roman" w:cs="Times New Roman"/>
          <w:b/>
          <w:sz w:val="24"/>
          <w:szCs w:val="24"/>
        </w:rPr>
        <w:t>(d) F</w:t>
      </w:r>
      <w:r w:rsidR="00502BFA" w:rsidRPr="00981CE7">
        <w:rPr>
          <w:rFonts w:ascii="Times New Roman" w:hAnsi="Times New Roman" w:cs="Times New Roman"/>
          <w:b/>
          <w:sz w:val="24"/>
          <w:szCs w:val="24"/>
        </w:rPr>
        <w:t>or  an order that if first to third  defendants fail within 14 days of the court’s order to take t</w:t>
      </w:r>
      <w:r w:rsidR="004E4F8A" w:rsidRPr="00981CE7">
        <w:rPr>
          <w:rFonts w:ascii="Times New Roman" w:hAnsi="Times New Roman" w:cs="Times New Roman"/>
          <w:b/>
          <w:sz w:val="24"/>
          <w:szCs w:val="24"/>
        </w:rPr>
        <w:t>he necessary steps, the Deputy S</w:t>
      </w:r>
      <w:r w:rsidR="00502BFA" w:rsidRPr="00981CE7">
        <w:rPr>
          <w:rFonts w:ascii="Times New Roman" w:hAnsi="Times New Roman" w:cs="Times New Roman"/>
          <w:b/>
          <w:sz w:val="24"/>
          <w:szCs w:val="24"/>
        </w:rPr>
        <w:t>heriff be authorised to take such steps on defendant’s behalf.</w:t>
      </w:r>
    </w:p>
    <w:p w:rsidR="00502BFA" w:rsidRPr="00981CE7" w:rsidRDefault="001F6DBC" w:rsidP="004664E5">
      <w:pPr>
        <w:spacing w:after="0" w:line="360" w:lineRule="auto"/>
        <w:ind w:left="720"/>
        <w:jc w:val="both"/>
        <w:rPr>
          <w:rFonts w:ascii="Times New Roman" w:hAnsi="Times New Roman" w:cs="Times New Roman"/>
          <w:b/>
          <w:sz w:val="24"/>
          <w:szCs w:val="24"/>
        </w:rPr>
      </w:pPr>
      <w:r w:rsidRPr="00981CE7">
        <w:rPr>
          <w:rFonts w:ascii="Times New Roman" w:hAnsi="Times New Roman" w:cs="Times New Roman"/>
          <w:b/>
          <w:sz w:val="24"/>
          <w:szCs w:val="24"/>
        </w:rPr>
        <w:lastRenderedPageBreak/>
        <w:t>(e) F</w:t>
      </w:r>
      <w:r w:rsidR="00502BFA" w:rsidRPr="00981CE7">
        <w:rPr>
          <w:rFonts w:ascii="Times New Roman" w:hAnsi="Times New Roman" w:cs="Times New Roman"/>
          <w:b/>
          <w:sz w:val="24"/>
          <w:szCs w:val="24"/>
        </w:rPr>
        <w:t>or an order that fo</w:t>
      </w:r>
      <w:r w:rsidRPr="00981CE7">
        <w:rPr>
          <w:rFonts w:ascii="Times New Roman" w:hAnsi="Times New Roman" w:cs="Times New Roman"/>
          <w:b/>
          <w:sz w:val="24"/>
          <w:szCs w:val="24"/>
        </w:rPr>
        <w:t>u</w:t>
      </w:r>
      <w:r w:rsidR="00502BFA" w:rsidRPr="00981CE7">
        <w:rPr>
          <w:rFonts w:ascii="Times New Roman" w:hAnsi="Times New Roman" w:cs="Times New Roman"/>
          <w:b/>
          <w:sz w:val="24"/>
          <w:szCs w:val="24"/>
        </w:rPr>
        <w:t>rth defendant shall comply with the provisions of this order.</w:t>
      </w:r>
    </w:p>
    <w:p w:rsidR="00502BFA" w:rsidRPr="00981CE7" w:rsidRDefault="001F6DBC" w:rsidP="004664E5">
      <w:pPr>
        <w:spacing w:after="0" w:line="360" w:lineRule="auto"/>
        <w:ind w:left="720"/>
        <w:jc w:val="both"/>
        <w:rPr>
          <w:rFonts w:ascii="Times New Roman" w:hAnsi="Times New Roman" w:cs="Times New Roman"/>
          <w:b/>
          <w:sz w:val="24"/>
          <w:szCs w:val="24"/>
        </w:rPr>
      </w:pPr>
      <w:r w:rsidRPr="00981CE7">
        <w:rPr>
          <w:rFonts w:ascii="Times New Roman" w:hAnsi="Times New Roman" w:cs="Times New Roman"/>
          <w:b/>
          <w:sz w:val="24"/>
          <w:szCs w:val="24"/>
        </w:rPr>
        <w:t>(f) A</w:t>
      </w:r>
      <w:r w:rsidR="00502BFA" w:rsidRPr="00981CE7">
        <w:rPr>
          <w:rFonts w:ascii="Times New Roman" w:hAnsi="Times New Roman" w:cs="Times New Roman"/>
          <w:b/>
          <w:sz w:val="24"/>
          <w:szCs w:val="24"/>
        </w:rPr>
        <w:t>s against first to third defendants, the one paying the other</w:t>
      </w:r>
      <w:r w:rsidR="006F49A8" w:rsidRPr="00981CE7">
        <w:rPr>
          <w:rFonts w:ascii="Times New Roman" w:hAnsi="Times New Roman" w:cs="Times New Roman"/>
          <w:b/>
          <w:sz w:val="24"/>
          <w:szCs w:val="24"/>
        </w:rPr>
        <w:t xml:space="preserve"> to be absolv</w:t>
      </w:r>
      <w:r w:rsidR="00502BFA" w:rsidRPr="00981CE7">
        <w:rPr>
          <w:rFonts w:ascii="Times New Roman" w:hAnsi="Times New Roman" w:cs="Times New Roman"/>
          <w:b/>
          <w:sz w:val="24"/>
          <w:szCs w:val="24"/>
        </w:rPr>
        <w:t>ed, costs of suit.</w:t>
      </w:r>
    </w:p>
    <w:p w:rsidR="006F49A8" w:rsidRPr="00981CE7" w:rsidRDefault="006F49A8" w:rsidP="006F49A8">
      <w:pPr>
        <w:pStyle w:val="ListParagraph"/>
        <w:numPr>
          <w:ilvl w:val="0"/>
          <w:numId w:val="21"/>
        </w:numPr>
        <w:spacing w:after="0" w:line="360" w:lineRule="auto"/>
        <w:jc w:val="both"/>
        <w:rPr>
          <w:rFonts w:ascii="Times New Roman" w:hAnsi="Times New Roman" w:cs="Times New Roman"/>
          <w:b/>
          <w:sz w:val="24"/>
          <w:szCs w:val="24"/>
        </w:rPr>
      </w:pPr>
      <w:r w:rsidRPr="00981CE7">
        <w:rPr>
          <w:rFonts w:ascii="Times New Roman" w:hAnsi="Times New Roman" w:cs="Times New Roman"/>
          <w:b/>
          <w:sz w:val="24"/>
          <w:szCs w:val="24"/>
        </w:rPr>
        <w:t>In the alternative and or in any event, as against first and third defendants jointly and severally, one paying the other to be absolved.</w:t>
      </w:r>
    </w:p>
    <w:p w:rsidR="006F49A8" w:rsidRPr="00981CE7" w:rsidRDefault="006F49A8" w:rsidP="006F49A8">
      <w:pPr>
        <w:pStyle w:val="ListParagraph"/>
        <w:numPr>
          <w:ilvl w:val="0"/>
          <w:numId w:val="22"/>
        </w:numPr>
        <w:spacing w:after="0" w:line="360" w:lineRule="auto"/>
        <w:jc w:val="both"/>
        <w:rPr>
          <w:rFonts w:ascii="Times New Roman" w:hAnsi="Times New Roman" w:cs="Times New Roman"/>
          <w:b/>
          <w:sz w:val="24"/>
          <w:szCs w:val="24"/>
        </w:rPr>
      </w:pPr>
      <w:r w:rsidRPr="00981CE7">
        <w:rPr>
          <w:rFonts w:ascii="Times New Roman" w:hAnsi="Times New Roman" w:cs="Times New Roman"/>
          <w:b/>
          <w:sz w:val="24"/>
          <w:szCs w:val="24"/>
        </w:rPr>
        <w:t>$80 000 being reimbursement of the paid purchase price.</w:t>
      </w:r>
    </w:p>
    <w:p w:rsidR="006F49A8" w:rsidRPr="00981CE7" w:rsidRDefault="006F49A8" w:rsidP="006F49A8">
      <w:pPr>
        <w:pStyle w:val="ListParagraph"/>
        <w:numPr>
          <w:ilvl w:val="0"/>
          <w:numId w:val="22"/>
        </w:numPr>
        <w:spacing w:after="0" w:line="360" w:lineRule="auto"/>
        <w:jc w:val="both"/>
        <w:rPr>
          <w:rFonts w:ascii="Times New Roman" w:hAnsi="Times New Roman" w:cs="Times New Roman"/>
          <w:b/>
          <w:sz w:val="24"/>
          <w:szCs w:val="24"/>
        </w:rPr>
      </w:pPr>
      <w:r w:rsidRPr="00981CE7">
        <w:rPr>
          <w:rFonts w:ascii="Times New Roman" w:hAnsi="Times New Roman" w:cs="Times New Roman"/>
          <w:b/>
          <w:sz w:val="24"/>
          <w:szCs w:val="24"/>
        </w:rPr>
        <w:t>$100 000 being additional amount of money needed to purchase other premises of same value of extent.</w:t>
      </w:r>
    </w:p>
    <w:p w:rsidR="006F49A8" w:rsidRPr="00981CE7" w:rsidRDefault="006F49A8" w:rsidP="006F49A8">
      <w:pPr>
        <w:pStyle w:val="ListParagraph"/>
        <w:numPr>
          <w:ilvl w:val="0"/>
          <w:numId w:val="22"/>
        </w:numPr>
        <w:spacing w:after="0" w:line="360" w:lineRule="auto"/>
        <w:jc w:val="both"/>
        <w:rPr>
          <w:rFonts w:ascii="Times New Roman" w:hAnsi="Times New Roman" w:cs="Times New Roman"/>
          <w:b/>
          <w:sz w:val="24"/>
          <w:szCs w:val="24"/>
        </w:rPr>
      </w:pPr>
      <w:r w:rsidRPr="00981CE7">
        <w:rPr>
          <w:rFonts w:ascii="Times New Roman" w:hAnsi="Times New Roman" w:cs="Times New Roman"/>
          <w:b/>
          <w:sz w:val="24"/>
          <w:szCs w:val="24"/>
        </w:rPr>
        <w:t xml:space="preserve">$43 667 being costs of improvements done on the property </w:t>
      </w:r>
      <w:r w:rsidR="009C62AC" w:rsidRPr="00981CE7">
        <w:rPr>
          <w:rFonts w:ascii="Times New Roman" w:hAnsi="Times New Roman" w:cs="Times New Roman"/>
          <w:b/>
          <w:sz w:val="24"/>
          <w:szCs w:val="24"/>
        </w:rPr>
        <w:t>in</w:t>
      </w:r>
      <w:r w:rsidRPr="00981CE7">
        <w:rPr>
          <w:rFonts w:ascii="Times New Roman" w:hAnsi="Times New Roman" w:cs="Times New Roman"/>
          <w:b/>
          <w:sz w:val="24"/>
          <w:szCs w:val="24"/>
        </w:rPr>
        <w:t xml:space="preserve"> question.</w:t>
      </w:r>
    </w:p>
    <w:p w:rsidR="006F49A8" w:rsidRPr="00981CE7" w:rsidRDefault="006F49A8" w:rsidP="006F49A8">
      <w:pPr>
        <w:pStyle w:val="ListParagraph"/>
        <w:numPr>
          <w:ilvl w:val="0"/>
          <w:numId w:val="22"/>
        </w:numPr>
        <w:spacing w:after="0" w:line="360" w:lineRule="auto"/>
        <w:jc w:val="both"/>
        <w:rPr>
          <w:rFonts w:ascii="Times New Roman" w:hAnsi="Times New Roman" w:cs="Times New Roman"/>
          <w:b/>
          <w:sz w:val="24"/>
          <w:szCs w:val="24"/>
        </w:rPr>
      </w:pPr>
      <w:r w:rsidRPr="00981CE7">
        <w:rPr>
          <w:rFonts w:ascii="Times New Roman" w:hAnsi="Times New Roman" w:cs="Times New Roman"/>
          <w:b/>
          <w:sz w:val="24"/>
          <w:szCs w:val="24"/>
        </w:rPr>
        <w:t xml:space="preserve">Interest on (a) and (c) from date of issue of summons to date of final payment </w:t>
      </w:r>
    </w:p>
    <w:p w:rsidR="006F49A8" w:rsidRPr="00981CE7" w:rsidRDefault="006F49A8" w:rsidP="006F49A8">
      <w:pPr>
        <w:pStyle w:val="ListParagraph"/>
        <w:numPr>
          <w:ilvl w:val="0"/>
          <w:numId w:val="22"/>
        </w:numPr>
        <w:spacing w:after="0" w:line="360" w:lineRule="auto"/>
        <w:jc w:val="both"/>
        <w:rPr>
          <w:rFonts w:ascii="Times New Roman" w:hAnsi="Times New Roman" w:cs="Times New Roman"/>
          <w:b/>
          <w:sz w:val="24"/>
          <w:szCs w:val="24"/>
        </w:rPr>
      </w:pPr>
      <w:r w:rsidRPr="00981CE7">
        <w:rPr>
          <w:rFonts w:ascii="Times New Roman" w:hAnsi="Times New Roman" w:cs="Times New Roman"/>
          <w:b/>
          <w:sz w:val="24"/>
          <w:szCs w:val="24"/>
        </w:rPr>
        <w:t>As against first to third defendants, the one paying the other to be absolved, costs of suit.</w:t>
      </w:r>
    </w:p>
    <w:p w:rsidR="00502BFA" w:rsidRDefault="006F49A8" w:rsidP="006F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and third defendants entered appearance to defend the plaintiff’s action. There is no appearance for second and fourth defendants.</w:t>
      </w:r>
      <w:r w:rsidRPr="006F49A8">
        <w:rPr>
          <w:rFonts w:ascii="Times New Roman" w:hAnsi="Times New Roman" w:cs="Times New Roman"/>
          <w:sz w:val="24"/>
          <w:szCs w:val="24"/>
        </w:rPr>
        <w:t xml:space="preserve"> </w:t>
      </w:r>
    </w:p>
    <w:p w:rsidR="006F49A8" w:rsidRDefault="006F49A8" w:rsidP="006F49A8">
      <w:pPr>
        <w:spacing w:after="0" w:line="360" w:lineRule="auto"/>
        <w:jc w:val="both"/>
        <w:rPr>
          <w:rFonts w:ascii="Times New Roman" w:hAnsi="Times New Roman" w:cs="Times New Roman"/>
          <w:sz w:val="24"/>
          <w:szCs w:val="24"/>
        </w:rPr>
      </w:pPr>
    </w:p>
    <w:p w:rsidR="004664E5" w:rsidRPr="00805DCD" w:rsidRDefault="006F49A8" w:rsidP="006F49A8">
      <w:pPr>
        <w:spacing w:after="0" w:line="360" w:lineRule="auto"/>
        <w:jc w:val="both"/>
        <w:rPr>
          <w:rFonts w:ascii="Times New Roman" w:hAnsi="Times New Roman" w:cs="Times New Roman"/>
          <w:sz w:val="24"/>
          <w:szCs w:val="24"/>
          <w:u w:val="single"/>
        </w:rPr>
      </w:pPr>
      <w:r w:rsidRPr="00805DCD">
        <w:rPr>
          <w:rFonts w:ascii="Times New Roman" w:hAnsi="Times New Roman" w:cs="Times New Roman"/>
          <w:sz w:val="24"/>
          <w:szCs w:val="24"/>
          <w:u w:val="single"/>
        </w:rPr>
        <w:t>Background</w:t>
      </w:r>
    </w:p>
    <w:p w:rsidR="006F49A8" w:rsidRDefault="006F49A8" w:rsidP="006F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Second defendant (BH Drury) is a title holder of stand 2427A Umtali Township, a</w:t>
      </w:r>
      <w:r w:rsidR="00E559DE">
        <w:rPr>
          <w:rFonts w:ascii="Times New Roman" w:hAnsi="Times New Roman" w:cs="Times New Roman"/>
          <w:sz w:val="24"/>
          <w:szCs w:val="24"/>
        </w:rPr>
        <w:t>l</w:t>
      </w:r>
      <w:r>
        <w:rPr>
          <w:rFonts w:ascii="Times New Roman" w:hAnsi="Times New Roman" w:cs="Times New Roman"/>
          <w:sz w:val="24"/>
          <w:szCs w:val="24"/>
        </w:rPr>
        <w:t>s</w:t>
      </w:r>
      <w:r w:rsidR="00E559DE">
        <w:rPr>
          <w:rFonts w:ascii="Times New Roman" w:hAnsi="Times New Roman" w:cs="Times New Roman"/>
          <w:sz w:val="24"/>
          <w:szCs w:val="24"/>
        </w:rPr>
        <w:t>o</w:t>
      </w:r>
      <w:r>
        <w:rPr>
          <w:rFonts w:ascii="Times New Roman" w:hAnsi="Times New Roman" w:cs="Times New Roman"/>
          <w:sz w:val="24"/>
          <w:szCs w:val="24"/>
        </w:rPr>
        <w:t xml:space="preserve"> known as No. 17 Aerodrome R</w:t>
      </w:r>
      <w:r w:rsidR="009C62AC">
        <w:rPr>
          <w:rFonts w:ascii="Times New Roman" w:hAnsi="Times New Roman" w:cs="Times New Roman"/>
          <w:sz w:val="24"/>
          <w:szCs w:val="24"/>
        </w:rPr>
        <w:t>oad</w:t>
      </w:r>
      <w:r>
        <w:rPr>
          <w:rFonts w:ascii="Times New Roman" w:hAnsi="Times New Roman" w:cs="Times New Roman"/>
          <w:sz w:val="24"/>
          <w:szCs w:val="24"/>
        </w:rPr>
        <w:t>, Mutar</w:t>
      </w:r>
      <w:r w:rsidR="009C62AC">
        <w:rPr>
          <w:rFonts w:ascii="Times New Roman" w:hAnsi="Times New Roman" w:cs="Times New Roman"/>
          <w:sz w:val="24"/>
          <w:szCs w:val="24"/>
        </w:rPr>
        <w:t>e, the property measures 1364 sq</w:t>
      </w:r>
      <w:r>
        <w:rPr>
          <w:rFonts w:ascii="Times New Roman" w:hAnsi="Times New Roman" w:cs="Times New Roman"/>
          <w:sz w:val="24"/>
          <w:szCs w:val="24"/>
        </w:rPr>
        <w:t>uare metres.</w:t>
      </w:r>
    </w:p>
    <w:p w:rsidR="008440BC" w:rsidRDefault="006F49A8" w:rsidP="006F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2009 first defendant </w:t>
      </w:r>
      <w:r w:rsidR="00E559DE">
        <w:rPr>
          <w:rFonts w:ascii="Times New Roman" w:hAnsi="Times New Roman" w:cs="Times New Roman"/>
          <w:sz w:val="24"/>
          <w:szCs w:val="24"/>
        </w:rPr>
        <w:t xml:space="preserve">acting on behalf of second defendant </w:t>
      </w:r>
      <w:r>
        <w:rPr>
          <w:rFonts w:ascii="Times New Roman" w:hAnsi="Times New Roman" w:cs="Times New Roman"/>
          <w:sz w:val="24"/>
          <w:szCs w:val="24"/>
        </w:rPr>
        <w:t xml:space="preserve">sold the property to the </w:t>
      </w:r>
      <w:r w:rsidR="009C62AC">
        <w:rPr>
          <w:rFonts w:ascii="Times New Roman" w:hAnsi="Times New Roman" w:cs="Times New Roman"/>
          <w:sz w:val="24"/>
          <w:szCs w:val="24"/>
        </w:rPr>
        <w:t>plaintiff and entered</w:t>
      </w:r>
      <w:r w:rsidR="003A1B0C">
        <w:rPr>
          <w:rFonts w:ascii="Times New Roman" w:hAnsi="Times New Roman" w:cs="Times New Roman"/>
          <w:sz w:val="24"/>
          <w:szCs w:val="24"/>
        </w:rPr>
        <w:t xml:space="preserve"> into an agreement of sa</w:t>
      </w:r>
      <w:r w:rsidR="00E559DE">
        <w:rPr>
          <w:rFonts w:ascii="Times New Roman" w:hAnsi="Times New Roman" w:cs="Times New Roman"/>
          <w:sz w:val="24"/>
          <w:szCs w:val="24"/>
        </w:rPr>
        <w:t>le.</w:t>
      </w:r>
      <w:r w:rsidR="009C62AC">
        <w:rPr>
          <w:rFonts w:ascii="Times New Roman" w:hAnsi="Times New Roman" w:cs="Times New Roman"/>
          <w:sz w:val="24"/>
          <w:szCs w:val="24"/>
        </w:rPr>
        <w:t xml:space="preserve"> The purchase </w:t>
      </w:r>
      <w:r w:rsidR="00E559DE">
        <w:rPr>
          <w:rFonts w:ascii="Times New Roman" w:hAnsi="Times New Roman" w:cs="Times New Roman"/>
          <w:sz w:val="24"/>
          <w:szCs w:val="24"/>
        </w:rPr>
        <w:t xml:space="preserve">price </w:t>
      </w:r>
      <w:r w:rsidR="009C62AC">
        <w:rPr>
          <w:rFonts w:ascii="Times New Roman" w:hAnsi="Times New Roman" w:cs="Times New Roman"/>
          <w:sz w:val="24"/>
          <w:szCs w:val="24"/>
        </w:rPr>
        <w:t xml:space="preserve">was </w:t>
      </w:r>
      <w:r w:rsidR="00E559DE">
        <w:rPr>
          <w:rFonts w:ascii="Times New Roman" w:hAnsi="Times New Roman" w:cs="Times New Roman"/>
          <w:sz w:val="24"/>
          <w:szCs w:val="24"/>
        </w:rPr>
        <w:t>US</w:t>
      </w:r>
      <w:r w:rsidR="009C62AC">
        <w:rPr>
          <w:rFonts w:ascii="Times New Roman" w:hAnsi="Times New Roman" w:cs="Times New Roman"/>
          <w:sz w:val="24"/>
          <w:szCs w:val="24"/>
        </w:rPr>
        <w:t>$</w:t>
      </w:r>
      <w:r w:rsidR="00CC354B">
        <w:rPr>
          <w:rFonts w:ascii="Times New Roman" w:hAnsi="Times New Roman" w:cs="Times New Roman"/>
          <w:sz w:val="24"/>
          <w:szCs w:val="24"/>
        </w:rPr>
        <w:t>80 000 and the plaintiff</w:t>
      </w:r>
      <w:r w:rsidR="008440BC">
        <w:rPr>
          <w:rFonts w:ascii="Times New Roman" w:hAnsi="Times New Roman" w:cs="Times New Roman"/>
          <w:sz w:val="24"/>
          <w:szCs w:val="24"/>
        </w:rPr>
        <w:t xml:space="preserve"> contends that it paid in full in 2009. Plaintiff has been a tenant at the property in question from 1999 and upon payment of the purchase price in 2009 it cease</w:t>
      </w:r>
      <w:r w:rsidR="00E559DE">
        <w:rPr>
          <w:rFonts w:ascii="Times New Roman" w:hAnsi="Times New Roman" w:cs="Times New Roman"/>
          <w:sz w:val="24"/>
          <w:szCs w:val="24"/>
        </w:rPr>
        <w:t>d</w:t>
      </w:r>
      <w:r w:rsidR="008440BC">
        <w:rPr>
          <w:rFonts w:ascii="Times New Roman" w:hAnsi="Times New Roman" w:cs="Times New Roman"/>
          <w:sz w:val="24"/>
          <w:szCs w:val="24"/>
        </w:rPr>
        <w:t xml:space="preserve"> to pay rentals to first defendants.</w:t>
      </w:r>
    </w:p>
    <w:p w:rsidR="006F49A8" w:rsidRDefault="008440BC" w:rsidP="006F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After payment of the purchase price plaintiff demanded transfer of ownership from second defendant through first defendant but the two told plaintiff that plaintiff had delayed payment and had breached the agreement. Second defendant had consequently cancelled the agreement of sale and resold it to the third defendant. First defendant tendered refund of the purchase price. On these facts plaintiff prays for s</w:t>
      </w:r>
      <w:r w:rsidR="00440E65">
        <w:rPr>
          <w:rFonts w:ascii="Times New Roman" w:hAnsi="Times New Roman" w:cs="Times New Roman"/>
          <w:sz w:val="24"/>
          <w:szCs w:val="24"/>
        </w:rPr>
        <w:t xml:space="preserve">pecific performance that is an </w:t>
      </w:r>
      <w:r w:rsidR="00BF1BC7">
        <w:rPr>
          <w:rFonts w:ascii="Times New Roman" w:hAnsi="Times New Roman" w:cs="Times New Roman"/>
          <w:sz w:val="24"/>
          <w:szCs w:val="24"/>
        </w:rPr>
        <w:t>order that the property in question be transferred to the plaintiff.</w:t>
      </w:r>
    </w:p>
    <w:p w:rsidR="00BF1BC7" w:rsidRDefault="00BF1BC7" w:rsidP="006F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E62895">
        <w:rPr>
          <w:rFonts w:ascii="Times New Roman" w:hAnsi="Times New Roman" w:cs="Times New Roman"/>
          <w:sz w:val="24"/>
          <w:szCs w:val="24"/>
        </w:rPr>
        <w:t xml:space="preserve">plaintiff prays in the alternative that the first and second defendant acted wrongly by refusing to pass ownership to it after it had paid the full purchase price. In that event plaintiff states that it has a right to cancel the agreement of sale and claims refund of US$80 000 and </w:t>
      </w:r>
      <w:r w:rsidR="00E62895">
        <w:rPr>
          <w:rFonts w:ascii="Times New Roman" w:hAnsi="Times New Roman" w:cs="Times New Roman"/>
          <w:sz w:val="24"/>
          <w:szCs w:val="24"/>
        </w:rPr>
        <w:lastRenderedPageBreak/>
        <w:t>plaintiff would require US$100 000 in order to purchase a pr</w:t>
      </w:r>
      <w:r w:rsidR="00E559DE">
        <w:rPr>
          <w:rFonts w:ascii="Times New Roman" w:hAnsi="Times New Roman" w:cs="Times New Roman"/>
          <w:sz w:val="24"/>
          <w:szCs w:val="24"/>
        </w:rPr>
        <w:t>emise</w:t>
      </w:r>
      <w:r w:rsidR="00E62895">
        <w:rPr>
          <w:rFonts w:ascii="Times New Roman" w:hAnsi="Times New Roman" w:cs="Times New Roman"/>
          <w:sz w:val="24"/>
          <w:szCs w:val="24"/>
        </w:rPr>
        <w:t xml:space="preserve"> of the same value and extent. Plaintiff also claims improvement damages for the </w:t>
      </w:r>
      <w:r w:rsidR="00440E65">
        <w:rPr>
          <w:rFonts w:ascii="Times New Roman" w:hAnsi="Times New Roman" w:cs="Times New Roman"/>
          <w:sz w:val="24"/>
          <w:szCs w:val="24"/>
        </w:rPr>
        <w:t>additional</w:t>
      </w:r>
      <w:r w:rsidR="00E559DE">
        <w:rPr>
          <w:rFonts w:ascii="Times New Roman" w:hAnsi="Times New Roman" w:cs="Times New Roman"/>
          <w:sz w:val="24"/>
          <w:szCs w:val="24"/>
        </w:rPr>
        <w:t>s</w:t>
      </w:r>
      <w:r w:rsidR="00E62895">
        <w:rPr>
          <w:rFonts w:ascii="Times New Roman" w:hAnsi="Times New Roman" w:cs="Times New Roman"/>
          <w:sz w:val="24"/>
          <w:szCs w:val="24"/>
        </w:rPr>
        <w:t xml:space="preserve"> it effected at the pro</w:t>
      </w:r>
      <w:r w:rsidR="00440E65">
        <w:rPr>
          <w:rFonts w:ascii="Times New Roman" w:hAnsi="Times New Roman" w:cs="Times New Roman"/>
          <w:sz w:val="24"/>
          <w:szCs w:val="24"/>
        </w:rPr>
        <w:t>perty worthy US$43 667. The tot</w:t>
      </w:r>
      <w:r w:rsidR="00E62895">
        <w:rPr>
          <w:rFonts w:ascii="Times New Roman" w:hAnsi="Times New Roman" w:cs="Times New Roman"/>
          <w:sz w:val="24"/>
          <w:szCs w:val="24"/>
        </w:rPr>
        <w:t>al of US$223 667 is equally and alternatively claimed on plaintiff’s claim under misrepresentation to the plaintiff that it was selling the property on behal</w:t>
      </w:r>
      <w:r w:rsidR="008F46C9">
        <w:rPr>
          <w:rFonts w:ascii="Times New Roman" w:hAnsi="Times New Roman" w:cs="Times New Roman"/>
          <w:sz w:val="24"/>
          <w:szCs w:val="24"/>
        </w:rPr>
        <w:t>f of the second defendant and he</w:t>
      </w:r>
      <w:r w:rsidR="00E62895">
        <w:rPr>
          <w:rFonts w:ascii="Times New Roman" w:hAnsi="Times New Roman" w:cs="Times New Roman"/>
          <w:sz w:val="24"/>
          <w:szCs w:val="24"/>
        </w:rPr>
        <w:t xml:space="preserve">ld a right to sell the immovable property. The plaintiff claims that since the agreement of sale was cancelled first defendant is liable to reimburse the amount paid as well as damages suffered by the plaintiff </w:t>
      </w:r>
      <w:r w:rsidR="000823DB">
        <w:rPr>
          <w:rFonts w:ascii="Times New Roman" w:hAnsi="Times New Roman" w:cs="Times New Roman"/>
          <w:sz w:val="24"/>
          <w:szCs w:val="24"/>
        </w:rPr>
        <w:t>arising out of the misrepresentation.</w:t>
      </w:r>
    </w:p>
    <w:p w:rsidR="000823DB" w:rsidRDefault="000823DB" w:rsidP="006F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third alternative claim is against the third defendant for the sum of US$43 667 being the value of improvements added to the immovable property by the plaintiff now that third defendant is the registered owner of the property.</w:t>
      </w:r>
    </w:p>
    <w:p w:rsidR="000823DB" w:rsidRDefault="000823DB" w:rsidP="006F49A8">
      <w:pPr>
        <w:spacing w:after="0" w:line="360" w:lineRule="auto"/>
        <w:jc w:val="both"/>
        <w:rPr>
          <w:rFonts w:ascii="Times New Roman" w:hAnsi="Times New Roman" w:cs="Times New Roman"/>
          <w:sz w:val="24"/>
          <w:szCs w:val="24"/>
        </w:rPr>
      </w:pPr>
    </w:p>
    <w:p w:rsidR="000823DB" w:rsidRPr="001F6DBC" w:rsidRDefault="000823DB" w:rsidP="006F49A8">
      <w:pPr>
        <w:spacing w:after="0" w:line="360" w:lineRule="auto"/>
        <w:jc w:val="both"/>
        <w:rPr>
          <w:rFonts w:ascii="Times New Roman" w:hAnsi="Times New Roman" w:cs="Times New Roman"/>
          <w:sz w:val="24"/>
          <w:szCs w:val="24"/>
          <w:u w:val="single"/>
        </w:rPr>
      </w:pPr>
      <w:r w:rsidRPr="001F6DBC">
        <w:rPr>
          <w:rFonts w:ascii="Times New Roman" w:hAnsi="Times New Roman" w:cs="Times New Roman"/>
          <w:sz w:val="24"/>
          <w:szCs w:val="24"/>
          <w:u w:val="single"/>
        </w:rPr>
        <w:t>First Defendant Special Plea.</w:t>
      </w:r>
    </w:p>
    <w:p w:rsidR="000823DB" w:rsidRDefault="000823DB" w:rsidP="006F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17 August 2018 first defendant filed a special plea of prescription. To the first defendant the facts established by the plaintiff show that plaintiff claim is based on an agreement entered into </w:t>
      </w:r>
      <w:r w:rsidR="008F46C9">
        <w:rPr>
          <w:rFonts w:ascii="Times New Roman" w:hAnsi="Times New Roman" w:cs="Times New Roman"/>
          <w:sz w:val="24"/>
          <w:szCs w:val="24"/>
        </w:rPr>
        <w:t xml:space="preserve">in </w:t>
      </w:r>
      <w:r>
        <w:rPr>
          <w:rFonts w:ascii="Times New Roman" w:hAnsi="Times New Roman" w:cs="Times New Roman"/>
          <w:sz w:val="24"/>
          <w:szCs w:val="24"/>
        </w:rPr>
        <w:t xml:space="preserve">early 2009. To first defendant plaintiff was made aware of the termination of the agreement of sale on 29 September 2010 and a refund was tendered to it but plaintiff refused to accept the refund. On 13 October 2010 plaintiff was informed of the sale of the immovable property to </w:t>
      </w:r>
      <w:r w:rsidR="008F46C9">
        <w:rPr>
          <w:rFonts w:ascii="Times New Roman" w:hAnsi="Times New Roman" w:cs="Times New Roman"/>
          <w:sz w:val="24"/>
          <w:szCs w:val="24"/>
        </w:rPr>
        <w:t xml:space="preserve">a </w:t>
      </w:r>
      <w:r>
        <w:rPr>
          <w:rFonts w:ascii="Times New Roman" w:hAnsi="Times New Roman" w:cs="Times New Roman"/>
          <w:sz w:val="24"/>
          <w:szCs w:val="24"/>
        </w:rPr>
        <w:t xml:space="preserve">third party and that transfer was no longer </w:t>
      </w:r>
      <w:r w:rsidR="008A548F">
        <w:rPr>
          <w:rFonts w:ascii="Times New Roman" w:hAnsi="Times New Roman" w:cs="Times New Roman"/>
          <w:sz w:val="24"/>
          <w:szCs w:val="24"/>
        </w:rPr>
        <w:t>feasible</w:t>
      </w:r>
      <w:r>
        <w:rPr>
          <w:rFonts w:ascii="Times New Roman" w:hAnsi="Times New Roman" w:cs="Times New Roman"/>
          <w:sz w:val="24"/>
          <w:szCs w:val="24"/>
        </w:rPr>
        <w:t xml:space="preserve"> and by </w:t>
      </w:r>
      <w:r w:rsidR="004E4F8A">
        <w:rPr>
          <w:rFonts w:ascii="Times New Roman" w:hAnsi="Times New Roman" w:cs="Times New Roman"/>
          <w:sz w:val="24"/>
          <w:szCs w:val="24"/>
        </w:rPr>
        <w:t>22 March 2011 when plaintiff’s L</w:t>
      </w:r>
      <w:r>
        <w:rPr>
          <w:rFonts w:ascii="Times New Roman" w:hAnsi="Times New Roman" w:cs="Times New Roman"/>
          <w:sz w:val="24"/>
          <w:szCs w:val="24"/>
        </w:rPr>
        <w:t xml:space="preserve">egal Practitioners wrote </w:t>
      </w:r>
      <w:r w:rsidR="008A548F">
        <w:rPr>
          <w:rFonts w:ascii="Times New Roman" w:hAnsi="Times New Roman" w:cs="Times New Roman"/>
          <w:sz w:val="24"/>
          <w:szCs w:val="24"/>
        </w:rPr>
        <w:t xml:space="preserve">to first defendant about the transfer, plaintiff effectively placed first defendant in </w:t>
      </w:r>
      <w:r w:rsidR="004E4F8A" w:rsidRPr="008F46C9">
        <w:rPr>
          <w:rFonts w:ascii="Times New Roman" w:hAnsi="Times New Roman" w:cs="Times New Roman"/>
          <w:i/>
          <w:sz w:val="24"/>
          <w:szCs w:val="24"/>
        </w:rPr>
        <w:t>mora</w:t>
      </w:r>
      <w:r w:rsidR="004E4F8A">
        <w:rPr>
          <w:rFonts w:ascii="Times New Roman" w:hAnsi="Times New Roman" w:cs="Times New Roman"/>
          <w:sz w:val="24"/>
          <w:szCs w:val="24"/>
        </w:rPr>
        <w:t>. S</w:t>
      </w:r>
      <w:r w:rsidR="008A548F">
        <w:rPr>
          <w:rFonts w:ascii="Times New Roman" w:hAnsi="Times New Roman" w:cs="Times New Roman"/>
          <w:sz w:val="24"/>
          <w:szCs w:val="24"/>
        </w:rPr>
        <w:t>he ought to have acted from that date.</w:t>
      </w:r>
    </w:p>
    <w:p w:rsidR="008A548F" w:rsidRDefault="008A548F" w:rsidP="006F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response to the special plea the pla</w:t>
      </w:r>
      <w:r w:rsidR="008F46C9">
        <w:rPr>
          <w:rFonts w:ascii="Times New Roman" w:hAnsi="Times New Roman" w:cs="Times New Roman"/>
          <w:sz w:val="24"/>
          <w:szCs w:val="24"/>
        </w:rPr>
        <w:t>intiff stated that from 200</w:t>
      </w:r>
      <w:r>
        <w:rPr>
          <w:rFonts w:ascii="Times New Roman" w:hAnsi="Times New Roman" w:cs="Times New Roman"/>
          <w:sz w:val="24"/>
          <w:szCs w:val="24"/>
        </w:rPr>
        <w:t xml:space="preserve">9 to the date of summons first defendant has been admitting owing plaintiff. In any case first defendant through its legal practitioners acknowledged on 5 April 2018 through an email that </w:t>
      </w:r>
      <w:r w:rsidR="00C414B0">
        <w:rPr>
          <w:rFonts w:ascii="Times New Roman" w:hAnsi="Times New Roman" w:cs="Times New Roman"/>
          <w:sz w:val="24"/>
          <w:szCs w:val="24"/>
        </w:rPr>
        <w:t xml:space="preserve">it </w:t>
      </w:r>
      <w:r>
        <w:rPr>
          <w:rFonts w:ascii="Times New Roman" w:hAnsi="Times New Roman" w:cs="Times New Roman"/>
          <w:sz w:val="24"/>
          <w:szCs w:val="24"/>
        </w:rPr>
        <w:t>was holding funds payable to the plai</w:t>
      </w:r>
      <w:r w:rsidR="004E4F8A">
        <w:rPr>
          <w:rFonts w:ascii="Times New Roman" w:hAnsi="Times New Roman" w:cs="Times New Roman"/>
          <w:sz w:val="24"/>
          <w:szCs w:val="24"/>
        </w:rPr>
        <w:t>ntiff. An identical acknowledgment</w:t>
      </w:r>
      <w:r>
        <w:rPr>
          <w:rFonts w:ascii="Times New Roman" w:hAnsi="Times New Roman" w:cs="Times New Roman"/>
          <w:sz w:val="24"/>
          <w:szCs w:val="24"/>
        </w:rPr>
        <w:t xml:space="preserve"> was repeated on 3 May 2018 when first defendant indicated that it was ready to disburse the purchase price. Plaintif</w:t>
      </w:r>
      <w:r w:rsidR="00C414B0">
        <w:rPr>
          <w:rFonts w:ascii="Times New Roman" w:hAnsi="Times New Roman" w:cs="Times New Roman"/>
          <w:sz w:val="24"/>
          <w:szCs w:val="24"/>
        </w:rPr>
        <w:t>f further added that prescription</w:t>
      </w:r>
      <w:r>
        <w:rPr>
          <w:rFonts w:ascii="Times New Roman" w:hAnsi="Times New Roman" w:cs="Times New Roman"/>
          <w:sz w:val="24"/>
          <w:szCs w:val="24"/>
        </w:rPr>
        <w:t xml:space="preserve"> does not apply to the alternative claims of damages. It prayed for the dismissal of the special plea.</w:t>
      </w:r>
    </w:p>
    <w:p w:rsidR="008A548F" w:rsidRDefault="008A548F" w:rsidP="006F49A8">
      <w:pPr>
        <w:spacing w:after="0" w:line="360" w:lineRule="auto"/>
        <w:jc w:val="both"/>
        <w:rPr>
          <w:rFonts w:ascii="Times New Roman" w:hAnsi="Times New Roman" w:cs="Times New Roman"/>
          <w:sz w:val="24"/>
          <w:szCs w:val="24"/>
        </w:rPr>
      </w:pPr>
    </w:p>
    <w:p w:rsidR="008A548F" w:rsidRPr="001F6DBC" w:rsidRDefault="008A548F" w:rsidP="006F49A8">
      <w:pPr>
        <w:spacing w:after="0" w:line="360" w:lineRule="auto"/>
        <w:jc w:val="both"/>
        <w:rPr>
          <w:rFonts w:ascii="Times New Roman" w:hAnsi="Times New Roman" w:cs="Times New Roman"/>
          <w:sz w:val="24"/>
          <w:szCs w:val="24"/>
          <w:u w:val="single"/>
        </w:rPr>
      </w:pPr>
      <w:r w:rsidRPr="001F6DBC">
        <w:rPr>
          <w:rFonts w:ascii="Times New Roman" w:hAnsi="Times New Roman" w:cs="Times New Roman"/>
          <w:sz w:val="24"/>
          <w:szCs w:val="24"/>
          <w:u w:val="single"/>
        </w:rPr>
        <w:t>First defendant’s Plea on Merits:</w:t>
      </w:r>
    </w:p>
    <w:p w:rsidR="008A548F" w:rsidRDefault="008A548F" w:rsidP="006F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essence of the first defendant’s plea is to the following effect: at no point did it hold itself out as or act as an </w:t>
      </w:r>
      <w:r w:rsidR="004E4F8A">
        <w:rPr>
          <w:rFonts w:ascii="Times New Roman" w:hAnsi="Times New Roman" w:cs="Times New Roman"/>
          <w:sz w:val="24"/>
          <w:szCs w:val="24"/>
        </w:rPr>
        <w:t>agent for the second defendant in</w:t>
      </w:r>
      <w:r>
        <w:rPr>
          <w:rFonts w:ascii="Times New Roman" w:hAnsi="Times New Roman" w:cs="Times New Roman"/>
          <w:sz w:val="24"/>
          <w:szCs w:val="24"/>
        </w:rPr>
        <w:t xml:space="preserve"> respect of the immovable property in dispute. Second defendant offered the property for sale to first defendant and first defendant was not interested so first defendant entered into a bus</w:t>
      </w:r>
      <w:r w:rsidR="008B78D0">
        <w:rPr>
          <w:rFonts w:ascii="Times New Roman" w:hAnsi="Times New Roman" w:cs="Times New Roman"/>
          <w:sz w:val="24"/>
          <w:szCs w:val="24"/>
        </w:rPr>
        <w:t xml:space="preserve">iness arrangement which </w:t>
      </w:r>
      <w:r w:rsidR="008B78D0">
        <w:rPr>
          <w:rFonts w:ascii="Times New Roman" w:hAnsi="Times New Roman" w:cs="Times New Roman"/>
          <w:sz w:val="24"/>
          <w:szCs w:val="24"/>
        </w:rPr>
        <w:lastRenderedPageBreak/>
        <w:t xml:space="preserve">resulted in plaintiff purchasing the property from second defendant. The </w:t>
      </w:r>
      <w:r w:rsidR="001F6DBC">
        <w:rPr>
          <w:rFonts w:ascii="Times New Roman" w:hAnsi="Times New Roman" w:cs="Times New Roman"/>
          <w:sz w:val="24"/>
          <w:szCs w:val="24"/>
        </w:rPr>
        <w:t>arrangement</w:t>
      </w:r>
      <w:r w:rsidR="008B78D0">
        <w:rPr>
          <w:rFonts w:ascii="Times New Roman" w:hAnsi="Times New Roman" w:cs="Times New Roman"/>
          <w:sz w:val="24"/>
          <w:szCs w:val="24"/>
        </w:rPr>
        <w:t xml:space="preserve"> was that plaintiff would pay the full purchase price to the second defendant </w:t>
      </w:r>
      <w:r w:rsidR="001F6DBC">
        <w:rPr>
          <w:rFonts w:ascii="Times New Roman" w:hAnsi="Times New Roman" w:cs="Times New Roman"/>
          <w:sz w:val="24"/>
          <w:szCs w:val="24"/>
        </w:rPr>
        <w:t>where after</w:t>
      </w:r>
      <w:r w:rsidR="008B78D0">
        <w:rPr>
          <w:rFonts w:ascii="Times New Roman" w:hAnsi="Times New Roman" w:cs="Times New Roman"/>
          <w:sz w:val="24"/>
          <w:szCs w:val="24"/>
        </w:rPr>
        <w:t xml:space="preserve"> an agreement of sale would be finalised. However plaintiff breached the terms and conditions of the business arrangement and failed to pay the purchase on time resulting in the </w:t>
      </w:r>
      <w:r w:rsidR="00345FA5">
        <w:rPr>
          <w:rFonts w:ascii="Times New Roman" w:hAnsi="Times New Roman" w:cs="Times New Roman"/>
          <w:sz w:val="24"/>
          <w:szCs w:val="24"/>
        </w:rPr>
        <w:t>penultimate</w:t>
      </w:r>
      <w:r w:rsidR="008B78D0">
        <w:rPr>
          <w:rFonts w:ascii="Times New Roman" w:hAnsi="Times New Roman" w:cs="Times New Roman"/>
          <w:sz w:val="24"/>
          <w:szCs w:val="24"/>
        </w:rPr>
        <w:t xml:space="preserve"> cancelation of the arrangement. Plaintiff refused to accept the cancellation of the arran</w:t>
      </w:r>
      <w:r w:rsidR="00440E65">
        <w:rPr>
          <w:rFonts w:ascii="Times New Roman" w:hAnsi="Times New Roman" w:cs="Times New Roman"/>
          <w:sz w:val="24"/>
          <w:szCs w:val="24"/>
        </w:rPr>
        <w:t xml:space="preserve">gement. First defendant stated </w:t>
      </w:r>
      <w:r w:rsidR="008B78D0">
        <w:rPr>
          <w:rFonts w:ascii="Times New Roman" w:hAnsi="Times New Roman" w:cs="Times New Roman"/>
          <w:sz w:val="24"/>
          <w:szCs w:val="24"/>
        </w:rPr>
        <w:t>that it had no knowledge of the allegations made by the plaintiff in its papers in respect of the dealing between the second and third defendants.</w:t>
      </w:r>
    </w:p>
    <w:p w:rsidR="008B78D0" w:rsidRDefault="008B78D0" w:rsidP="006F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First defendant added in its plea</w:t>
      </w:r>
      <w:r w:rsidR="00206CE9">
        <w:rPr>
          <w:rFonts w:ascii="Times New Roman" w:hAnsi="Times New Roman" w:cs="Times New Roman"/>
          <w:sz w:val="24"/>
          <w:szCs w:val="24"/>
        </w:rPr>
        <w:t xml:space="preserve"> on merits that it is holding the re</w:t>
      </w:r>
      <w:r w:rsidR="00345FA5">
        <w:rPr>
          <w:rFonts w:ascii="Times New Roman" w:hAnsi="Times New Roman" w:cs="Times New Roman"/>
          <w:sz w:val="24"/>
          <w:szCs w:val="24"/>
        </w:rPr>
        <w:t>fund of the purchase price in t</w:t>
      </w:r>
      <w:r w:rsidR="00206CE9">
        <w:rPr>
          <w:rFonts w:ascii="Times New Roman" w:hAnsi="Times New Roman" w:cs="Times New Roman"/>
          <w:sz w:val="24"/>
          <w:szCs w:val="24"/>
        </w:rPr>
        <w:t>rust awaiting plaintiff’s instructions. On the claim for dama</w:t>
      </w:r>
      <w:r w:rsidR="001F6DBC">
        <w:rPr>
          <w:rFonts w:ascii="Times New Roman" w:hAnsi="Times New Roman" w:cs="Times New Roman"/>
          <w:sz w:val="24"/>
          <w:szCs w:val="24"/>
        </w:rPr>
        <w:t xml:space="preserve">ges in the sum </w:t>
      </w:r>
      <w:r w:rsidR="00206CE9">
        <w:rPr>
          <w:rFonts w:ascii="Times New Roman" w:hAnsi="Times New Roman" w:cs="Times New Roman"/>
          <w:sz w:val="24"/>
          <w:szCs w:val="24"/>
        </w:rPr>
        <w:t>of $100 000 first defendant averred that those damages had not been proved, nor particular</w:t>
      </w:r>
      <w:r w:rsidR="00730B17">
        <w:rPr>
          <w:rFonts w:ascii="Times New Roman" w:hAnsi="Times New Roman" w:cs="Times New Roman"/>
          <w:sz w:val="24"/>
          <w:szCs w:val="24"/>
        </w:rPr>
        <w:t>ised and are too remote to be recoverable. The same challenge relates to the $43 667 and plaintiff failed to mitigate its damages. Plaintiff was put to the proof.</w:t>
      </w:r>
    </w:p>
    <w:p w:rsidR="00730B17" w:rsidRDefault="00730B17" w:rsidP="006F49A8">
      <w:pPr>
        <w:spacing w:after="0" w:line="360" w:lineRule="auto"/>
        <w:jc w:val="both"/>
        <w:rPr>
          <w:rFonts w:ascii="Times New Roman" w:hAnsi="Times New Roman" w:cs="Times New Roman"/>
          <w:sz w:val="24"/>
          <w:szCs w:val="24"/>
        </w:rPr>
      </w:pPr>
    </w:p>
    <w:p w:rsidR="00730B17" w:rsidRPr="001F6DBC" w:rsidRDefault="00730B17" w:rsidP="006F49A8">
      <w:pPr>
        <w:spacing w:after="0" w:line="360" w:lineRule="auto"/>
        <w:jc w:val="both"/>
        <w:rPr>
          <w:rFonts w:ascii="Times New Roman" w:hAnsi="Times New Roman" w:cs="Times New Roman"/>
          <w:sz w:val="24"/>
          <w:szCs w:val="24"/>
          <w:u w:val="single"/>
        </w:rPr>
      </w:pPr>
      <w:r w:rsidRPr="001F6DBC">
        <w:rPr>
          <w:rFonts w:ascii="Times New Roman" w:hAnsi="Times New Roman" w:cs="Times New Roman"/>
          <w:sz w:val="24"/>
          <w:szCs w:val="24"/>
          <w:u w:val="single"/>
        </w:rPr>
        <w:t>Third Defendant’s Plea</w:t>
      </w:r>
    </w:p>
    <w:p w:rsidR="00730B17" w:rsidRDefault="00730B17" w:rsidP="006F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third defendant princip</w:t>
      </w:r>
      <w:r w:rsidR="00345FA5">
        <w:rPr>
          <w:rFonts w:ascii="Times New Roman" w:hAnsi="Times New Roman" w:cs="Times New Roman"/>
          <w:sz w:val="24"/>
          <w:szCs w:val="24"/>
        </w:rPr>
        <w:t>ally distanced it</w:t>
      </w:r>
      <w:r>
        <w:rPr>
          <w:rFonts w:ascii="Times New Roman" w:hAnsi="Times New Roman" w:cs="Times New Roman"/>
          <w:sz w:val="24"/>
          <w:szCs w:val="24"/>
        </w:rPr>
        <w:t>self from</w:t>
      </w:r>
      <w:r w:rsidR="004E4F8A">
        <w:rPr>
          <w:rFonts w:ascii="Times New Roman" w:hAnsi="Times New Roman" w:cs="Times New Roman"/>
          <w:sz w:val="24"/>
          <w:szCs w:val="24"/>
        </w:rPr>
        <w:t xml:space="preserve"> the prior arrangements of the s</w:t>
      </w:r>
      <w:r>
        <w:rPr>
          <w:rFonts w:ascii="Times New Roman" w:hAnsi="Times New Roman" w:cs="Times New Roman"/>
          <w:sz w:val="24"/>
          <w:szCs w:val="24"/>
        </w:rPr>
        <w:t>ale of the immovable property between plaintiff and first defendant. Third defendant bought the property from second d</w:t>
      </w:r>
      <w:r w:rsidR="00FC4172">
        <w:rPr>
          <w:rFonts w:ascii="Times New Roman" w:hAnsi="Times New Roman" w:cs="Times New Roman"/>
          <w:sz w:val="24"/>
          <w:szCs w:val="24"/>
        </w:rPr>
        <w:t>efendant who had the right to ti</w:t>
      </w:r>
      <w:r>
        <w:rPr>
          <w:rFonts w:ascii="Times New Roman" w:hAnsi="Times New Roman" w:cs="Times New Roman"/>
          <w:sz w:val="24"/>
          <w:szCs w:val="24"/>
        </w:rPr>
        <w:t>tle and interests in the subject property and concluded an agreement of sale leadin</w:t>
      </w:r>
      <w:r w:rsidR="00FC4172">
        <w:rPr>
          <w:rFonts w:ascii="Times New Roman" w:hAnsi="Times New Roman" w:cs="Times New Roman"/>
          <w:sz w:val="24"/>
          <w:szCs w:val="24"/>
        </w:rPr>
        <w:t>g to third defendant getting ti</w:t>
      </w:r>
      <w:r>
        <w:rPr>
          <w:rFonts w:ascii="Times New Roman" w:hAnsi="Times New Roman" w:cs="Times New Roman"/>
          <w:sz w:val="24"/>
          <w:szCs w:val="24"/>
        </w:rPr>
        <w:t xml:space="preserve">tle. Third defendant added in its plea that it cannot effect transfer to plaintiff where plaintiff has no rights to </w:t>
      </w:r>
      <w:r w:rsidR="00FC4172">
        <w:rPr>
          <w:rFonts w:ascii="Times New Roman" w:hAnsi="Times New Roman" w:cs="Times New Roman"/>
          <w:sz w:val="24"/>
          <w:szCs w:val="24"/>
        </w:rPr>
        <w:t xml:space="preserve">the </w:t>
      </w:r>
      <w:r>
        <w:rPr>
          <w:rFonts w:ascii="Times New Roman" w:hAnsi="Times New Roman" w:cs="Times New Roman"/>
          <w:sz w:val="24"/>
          <w:szCs w:val="24"/>
        </w:rPr>
        <w:t xml:space="preserve">property. Third defendant states further that it is but a </w:t>
      </w:r>
      <w:r w:rsidRPr="00730B17">
        <w:rPr>
          <w:rFonts w:ascii="Times New Roman" w:hAnsi="Times New Roman" w:cs="Times New Roman"/>
          <w:i/>
          <w:sz w:val="24"/>
          <w:szCs w:val="24"/>
        </w:rPr>
        <w:t>bona fide</w:t>
      </w:r>
      <w:r>
        <w:rPr>
          <w:rFonts w:ascii="Times New Roman" w:hAnsi="Times New Roman" w:cs="Times New Roman"/>
          <w:sz w:val="24"/>
          <w:szCs w:val="24"/>
        </w:rPr>
        <w:t xml:space="preserve"> purchase</w:t>
      </w:r>
      <w:r w:rsidR="00FC4172">
        <w:rPr>
          <w:rFonts w:ascii="Times New Roman" w:hAnsi="Times New Roman" w:cs="Times New Roman"/>
          <w:sz w:val="24"/>
          <w:szCs w:val="24"/>
        </w:rPr>
        <w:t>r</w:t>
      </w:r>
      <w:r>
        <w:rPr>
          <w:rFonts w:ascii="Times New Roman" w:hAnsi="Times New Roman" w:cs="Times New Roman"/>
          <w:sz w:val="24"/>
          <w:szCs w:val="24"/>
        </w:rPr>
        <w:t xml:space="preserve"> of the property and perceives no reason why it should be stripped of</w:t>
      </w:r>
      <w:r w:rsidR="004E4F8A">
        <w:rPr>
          <w:rFonts w:ascii="Times New Roman" w:hAnsi="Times New Roman" w:cs="Times New Roman"/>
          <w:sz w:val="24"/>
          <w:szCs w:val="24"/>
        </w:rPr>
        <w:t>f</w:t>
      </w:r>
      <w:r>
        <w:rPr>
          <w:rFonts w:ascii="Times New Roman" w:hAnsi="Times New Roman" w:cs="Times New Roman"/>
          <w:sz w:val="24"/>
          <w:szCs w:val="24"/>
        </w:rPr>
        <w:t xml:space="preserve"> its real rights in the property. Third defendant added further that it bought the property </w:t>
      </w:r>
      <w:r w:rsidRPr="00207AA5">
        <w:rPr>
          <w:rFonts w:ascii="Times New Roman" w:hAnsi="Times New Roman" w:cs="Times New Roman"/>
          <w:i/>
          <w:sz w:val="24"/>
          <w:szCs w:val="24"/>
        </w:rPr>
        <w:t>voestoo</w:t>
      </w:r>
      <w:r w:rsidR="004E4F8A">
        <w:rPr>
          <w:rFonts w:ascii="Times New Roman" w:hAnsi="Times New Roman" w:cs="Times New Roman"/>
          <w:i/>
          <w:sz w:val="24"/>
          <w:szCs w:val="24"/>
        </w:rPr>
        <w:t>t</w:t>
      </w:r>
      <w:r w:rsidRPr="00207AA5">
        <w:rPr>
          <w:rFonts w:ascii="Times New Roman" w:hAnsi="Times New Roman" w:cs="Times New Roman"/>
          <w:i/>
          <w:sz w:val="24"/>
          <w:szCs w:val="24"/>
        </w:rPr>
        <w:t xml:space="preserve">s </w:t>
      </w:r>
      <w:r>
        <w:rPr>
          <w:rFonts w:ascii="Times New Roman" w:hAnsi="Times New Roman" w:cs="Times New Roman"/>
          <w:sz w:val="24"/>
          <w:szCs w:val="24"/>
        </w:rPr>
        <w:t xml:space="preserve">from the second defendant and denies plaintiff’s claim </w:t>
      </w:r>
      <w:r w:rsidR="00207AA5">
        <w:rPr>
          <w:rFonts w:ascii="Times New Roman" w:hAnsi="Times New Roman" w:cs="Times New Roman"/>
          <w:sz w:val="24"/>
          <w:szCs w:val="24"/>
        </w:rPr>
        <w:t xml:space="preserve">for enrichment. It prays for the dismissal of plaintiff’s claim as well as alternative claims with costs. </w:t>
      </w:r>
    </w:p>
    <w:p w:rsidR="00207AA5" w:rsidRDefault="00207AA5" w:rsidP="006F49A8">
      <w:pPr>
        <w:spacing w:after="0" w:line="360" w:lineRule="auto"/>
        <w:jc w:val="both"/>
        <w:rPr>
          <w:rFonts w:ascii="Times New Roman" w:hAnsi="Times New Roman" w:cs="Times New Roman"/>
          <w:sz w:val="24"/>
          <w:szCs w:val="24"/>
        </w:rPr>
      </w:pPr>
    </w:p>
    <w:p w:rsidR="00207AA5" w:rsidRPr="001F6DBC" w:rsidRDefault="00207AA5" w:rsidP="006F49A8">
      <w:pPr>
        <w:spacing w:after="0" w:line="360" w:lineRule="auto"/>
        <w:jc w:val="both"/>
        <w:rPr>
          <w:rFonts w:ascii="Times New Roman" w:hAnsi="Times New Roman" w:cs="Times New Roman"/>
          <w:sz w:val="24"/>
          <w:szCs w:val="24"/>
          <w:u w:val="single"/>
        </w:rPr>
      </w:pPr>
      <w:r w:rsidRPr="001F6DBC">
        <w:rPr>
          <w:rFonts w:ascii="Times New Roman" w:hAnsi="Times New Roman" w:cs="Times New Roman"/>
          <w:sz w:val="24"/>
          <w:szCs w:val="24"/>
          <w:u w:val="single"/>
        </w:rPr>
        <w:t xml:space="preserve">Third defendant’s Claim in Reconvention </w:t>
      </w:r>
    </w:p>
    <w:p w:rsidR="00207AA5" w:rsidRDefault="00207AA5" w:rsidP="006F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After third defendant acquired title it engaged the occupant of the property, the plaintiff in good faith as to the evacuation of the property by the plaintiff. According to the third defendant it agreed with plaintiff that the latter would occupy the property for three (3) months and that during that period plaintiff would not be paying rentals.</w:t>
      </w:r>
    </w:p>
    <w:p w:rsidR="00207AA5" w:rsidRDefault="00207AA5" w:rsidP="006F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latter demanded $43 667 from third defendant for unjustified enrichment. Third defendant spurns the claim and </w:t>
      </w:r>
      <w:r w:rsidR="00CA3AAC">
        <w:rPr>
          <w:rFonts w:ascii="Times New Roman" w:hAnsi="Times New Roman" w:cs="Times New Roman"/>
          <w:sz w:val="24"/>
          <w:szCs w:val="24"/>
        </w:rPr>
        <w:t xml:space="preserve">claims that it has no </w:t>
      </w:r>
      <w:r w:rsidR="001F6DBC">
        <w:rPr>
          <w:rFonts w:ascii="Times New Roman" w:hAnsi="Times New Roman" w:cs="Times New Roman"/>
          <w:sz w:val="24"/>
          <w:szCs w:val="24"/>
        </w:rPr>
        <w:t>obligation towards the plaintiff. Th</w:t>
      </w:r>
      <w:r w:rsidR="00CA3AAC">
        <w:rPr>
          <w:rFonts w:ascii="Times New Roman" w:hAnsi="Times New Roman" w:cs="Times New Roman"/>
          <w:sz w:val="24"/>
          <w:szCs w:val="24"/>
        </w:rPr>
        <w:t>ird</w:t>
      </w:r>
      <w:r w:rsidR="001F6DBC">
        <w:rPr>
          <w:rFonts w:ascii="Times New Roman" w:hAnsi="Times New Roman" w:cs="Times New Roman"/>
          <w:sz w:val="24"/>
          <w:szCs w:val="24"/>
        </w:rPr>
        <w:t xml:space="preserve"> </w:t>
      </w:r>
      <w:r w:rsidR="00CA3AAC">
        <w:rPr>
          <w:rFonts w:ascii="Times New Roman" w:hAnsi="Times New Roman" w:cs="Times New Roman"/>
          <w:sz w:val="24"/>
          <w:szCs w:val="24"/>
        </w:rPr>
        <w:t xml:space="preserve">defendant bought the property and now holds title to it. On the basis of being the owner </w:t>
      </w:r>
      <w:r w:rsidR="00CA3AAC">
        <w:rPr>
          <w:rFonts w:ascii="Times New Roman" w:hAnsi="Times New Roman" w:cs="Times New Roman"/>
          <w:sz w:val="24"/>
          <w:szCs w:val="24"/>
        </w:rPr>
        <w:lastRenderedPageBreak/>
        <w:t xml:space="preserve">of the property the third defendant claims $1000 per moth rentals from plaintiff and the rentals are being claimed from </w:t>
      </w:r>
      <w:r w:rsidR="0026084F">
        <w:rPr>
          <w:rFonts w:ascii="Times New Roman" w:hAnsi="Times New Roman" w:cs="Times New Roman"/>
          <w:sz w:val="24"/>
          <w:szCs w:val="24"/>
        </w:rPr>
        <w:t>Octo</w:t>
      </w:r>
      <w:r w:rsidR="001F6DBC">
        <w:rPr>
          <w:rFonts w:ascii="Times New Roman" w:hAnsi="Times New Roman" w:cs="Times New Roman"/>
          <w:sz w:val="24"/>
          <w:szCs w:val="24"/>
        </w:rPr>
        <w:t>ber 2009 to June 2019, the tota</w:t>
      </w:r>
      <w:r w:rsidR="0026084F">
        <w:rPr>
          <w:rFonts w:ascii="Times New Roman" w:hAnsi="Times New Roman" w:cs="Times New Roman"/>
          <w:sz w:val="24"/>
          <w:szCs w:val="24"/>
        </w:rPr>
        <w:t xml:space="preserve">l due to the plaintiff as at the date of claim in reconvention totalled </w:t>
      </w:r>
      <w:r w:rsidR="008C2682">
        <w:rPr>
          <w:rFonts w:ascii="Times New Roman" w:hAnsi="Times New Roman" w:cs="Times New Roman"/>
          <w:sz w:val="24"/>
          <w:szCs w:val="24"/>
        </w:rPr>
        <w:t>US</w:t>
      </w:r>
      <w:r w:rsidR="0026084F">
        <w:rPr>
          <w:rFonts w:ascii="Times New Roman" w:hAnsi="Times New Roman" w:cs="Times New Roman"/>
          <w:sz w:val="24"/>
          <w:szCs w:val="24"/>
        </w:rPr>
        <w:t>$104 000.</w:t>
      </w:r>
    </w:p>
    <w:p w:rsidR="0026084F" w:rsidRDefault="0026084F" w:rsidP="006F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Third defendant counter-claims against plaintiff the following:</w:t>
      </w:r>
    </w:p>
    <w:p w:rsidR="0026084F" w:rsidRPr="00CC354B" w:rsidRDefault="0026084F" w:rsidP="0026084F">
      <w:pPr>
        <w:pStyle w:val="ListParagraph"/>
        <w:numPr>
          <w:ilvl w:val="0"/>
          <w:numId w:val="23"/>
        </w:numPr>
        <w:spacing w:after="0" w:line="360" w:lineRule="auto"/>
        <w:jc w:val="both"/>
        <w:rPr>
          <w:rFonts w:ascii="Times New Roman" w:hAnsi="Times New Roman" w:cs="Times New Roman"/>
          <w:b/>
          <w:sz w:val="24"/>
          <w:szCs w:val="24"/>
        </w:rPr>
      </w:pPr>
      <w:r w:rsidRPr="00CC354B">
        <w:rPr>
          <w:rFonts w:ascii="Times New Roman" w:hAnsi="Times New Roman" w:cs="Times New Roman"/>
          <w:b/>
          <w:sz w:val="24"/>
          <w:szCs w:val="24"/>
        </w:rPr>
        <w:t>An order of ejectment of plaintiff from No. 17 Aerodrome Road, Mutare</w:t>
      </w:r>
      <w:r w:rsidR="008C2682" w:rsidRPr="00CC354B">
        <w:rPr>
          <w:rFonts w:ascii="Times New Roman" w:hAnsi="Times New Roman" w:cs="Times New Roman"/>
          <w:b/>
          <w:sz w:val="24"/>
          <w:szCs w:val="24"/>
        </w:rPr>
        <w:t>.</w:t>
      </w:r>
    </w:p>
    <w:p w:rsidR="0026084F" w:rsidRPr="00CC354B" w:rsidRDefault="0026084F" w:rsidP="0026084F">
      <w:pPr>
        <w:pStyle w:val="ListParagraph"/>
        <w:numPr>
          <w:ilvl w:val="0"/>
          <w:numId w:val="23"/>
        </w:numPr>
        <w:spacing w:after="0" w:line="360" w:lineRule="auto"/>
        <w:jc w:val="both"/>
        <w:rPr>
          <w:rFonts w:ascii="Times New Roman" w:hAnsi="Times New Roman" w:cs="Times New Roman"/>
          <w:b/>
          <w:sz w:val="24"/>
          <w:szCs w:val="24"/>
        </w:rPr>
      </w:pPr>
      <w:r w:rsidRPr="00CC354B">
        <w:rPr>
          <w:rFonts w:ascii="Times New Roman" w:hAnsi="Times New Roman" w:cs="Times New Roman"/>
          <w:b/>
          <w:sz w:val="24"/>
          <w:szCs w:val="24"/>
        </w:rPr>
        <w:t>An order for rentals from October 200</w:t>
      </w:r>
      <w:r w:rsidR="008C2682" w:rsidRPr="00CC354B">
        <w:rPr>
          <w:rFonts w:ascii="Times New Roman" w:hAnsi="Times New Roman" w:cs="Times New Roman"/>
          <w:b/>
          <w:sz w:val="24"/>
          <w:szCs w:val="24"/>
        </w:rPr>
        <w:t>9, to June 2018 in the sum of US</w:t>
      </w:r>
      <w:r w:rsidRPr="00CC354B">
        <w:rPr>
          <w:rFonts w:ascii="Times New Roman" w:hAnsi="Times New Roman" w:cs="Times New Roman"/>
          <w:b/>
          <w:sz w:val="24"/>
          <w:szCs w:val="24"/>
        </w:rPr>
        <w:t>$104 000</w:t>
      </w:r>
      <w:r w:rsidR="008C2682" w:rsidRPr="00CC354B">
        <w:rPr>
          <w:rFonts w:ascii="Times New Roman" w:hAnsi="Times New Roman" w:cs="Times New Roman"/>
          <w:b/>
          <w:sz w:val="24"/>
          <w:szCs w:val="24"/>
        </w:rPr>
        <w:t>.</w:t>
      </w:r>
    </w:p>
    <w:p w:rsidR="0026084F" w:rsidRPr="00CC354B" w:rsidRDefault="0026084F" w:rsidP="0026084F">
      <w:pPr>
        <w:pStyle w:val="ListParagraph"/>
        <w:numPr>
          <w:ilvl w:val="0"/>
          <w:numId w:val="23"/>
        </w:numPr>
        <w:spacing w:after="0" w:line="360" w:lineRule="auto"/>
        <w:jc w:val="both"/>
        <w:rPr>
          <w:rFonts w:ascii="Times New Roman" w:hAnsi="Times New Roman" w:cs="Times New Roman"/>
          <w:b/>
          <w:sz w:val="24"/>
          <w:szCs w:val="24"/>
        </w:rPr>
      </w:pPr>
      <w:r w:rsidRPr="00CC354B">
        <w:rPr>
          <w:rFonts w:ascii="Times New Roman" w:hAnsi="Times New Roman" w:cs="Times New Roman"/>
          <w:b/>
          <w:sz w:val="24"/>
          <w:szCs w:val="24"/>
        </w:rPr>
        <w:t>Costs of suit.</w:t>
      </w:r>
    </w:p>
    <w:p w:rsidR="0026084F" w:rsidRDefault="0026084F" w:rsidP="0026084F">
      <w:pPr>
        <w:spacing w:after="0" w:line="360" w:lineRule="auto"/>
        <w:jc w:val="both"/>
        <w:rPr>
          <w:rFonts w:ascii="Times New Roman" w:hAnsi="Times New Roman" w:cs="Times New Roman"/>
          <w:sz w:val="24"/>
          <w:szCs w:val="24"/>
        </w:rPr>
      </w:pPr>
    </w:p>
    <w:p w:rsidR="0026084F" w:rsidRPr="001F6DBC" w:rsidRDefault="0026084F" w:rsidP="0026084F">
      <w:pPr>
        <w:spacing w:after="0" w:line="360" w:lineRule="auto"/>
        <w:jc w:val="both"/>
        <w:rPr>
          <w:rFonts w:ascii="Times New Roman" w:hAnsi="Times New Roman" w:cs="Times New Roman"/>
          <w:sz w:val="24"/>
          <w:szCs w:val="24"/>
          <w:u w:val="single"/>
        </w:rPr>
      </w:pPr>
      <w:r w:rsidRPr="001F6DBC">
        <w:rPr>
          <w:rFonts w:ascii="Times New Roman" w:hAnsi="Times New Roman" w:cs="Times New Roman"/>
          <w:sz w:val="24"/>
          <w:szCs w:val="24"/>
          <w:u w:val="single"/>
        </w:rPr>
        <w:t xml:space="preserve">Plaintiff’s Plea to Third Defendant’s Claim in </w:t>
      </w:r>
      <w:r w:rsidR="004518E0" w:rsidRPr="001F6DBC">
        <w:rPr>
          <w:rFonts w:ascii="Times New Roman" w:hAnsi="Times New Roman" w:cs="Times New Roman"/>
          <w:sz w:val="24"/>
          <w:szCs w:val="24"/>
          <w:u w:val="single"/>
        </w:rPr>
        <w:t>R</w:t>
      </w:r>
      <w:r w:rsidRPr="001F6DBC">
        <w:rPr>
          <w:rFonts w:ascii="Times New Roman" w:hAnsi="Times New Roman" w:cs="Times New Roman"/>
          <w:sz w:val="24"/>
          <w:szCs w:val="24"/>
          <w:u w:val="single"/>
        </w:rPr>
        <w:t>econvention.</w:t>
      </w:r>
    </w:p>
    <w:p w:rsidR="004518E0" w:rsidRDefault="0026084F" w:rsidP="002608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response to third defendant’s claim in reconvention plaintiff contended that third defendant purchase</w:t>
      </w:r>
      <w:r w:rsidR="008C2682">
        <w:rPr>
          <w:rFonts w:ascii="Times New Roman" w:hAnsi="Times New Roman" w:cs="Times New Roman"/>
          <w:sz w:val="24"/>
          <w:szCs w:val="24"/>
        </w:rPr>
        <w:t xml:space="preserve">d the premises and improvement </w:t>
      </w:r>
      <w:r>
        <w:rPr>
          <w:rFonts w:ascii="Times New Roman" w:hAnsi="Times New Roman" w:cs="Times New Roman"/>
          <w:sz w:val="24"/>
          <w:szCs w:val="24"/>
        </w:rPr>
        <w:t xml:space="preserve">well after the additional improvements had already been done. Plaintiff also told third defendant’s representatives that the property was sold to plaintiff. Plaintiff though admitting meeting third defendant at a round table </w:t>
      </w:r>
      <w:r w:rsidR="004518E0">
        <w:rPr>
          <w:rFonts w:ascii="Times New Roman" w:hAnsi="Times New Roman" w:cs="Times New Roman"/>
          <w:sz w:val="24"/>
          <w:szCs w:val="24"/>
        </w:rPr>
        <w:t xml:space="preserve">conference contends that such a meeting was held on a without prejudice basis and third defendant never demanded rentals from plaintiff. The plaintiff insisted in its plea to the third defendant’s claim in reconvention that if the third defendant is adjudged by this court that it is the new owner of the property then third defendant must pay for the improvements of $43 667 in form of unjustified enrichment. Otherwise plaintiff stated that it cannot vacate the premises because it has a right of </w:t>
      </w:r>
      <w:r w:rsidR="004518E0" w:rsidRPr="004518E0">
        <w:rPr>
          <w:rFonts w:ascii="Times New Roman" w:hAnsi="Times New Roman" w:cs="Times New Roman"/>
          <w:i/>
          <w:sz w:val="24"/>
          <w:szCs w:val="24"/>
        </w:rPr>
        <w:t>lien</w:t>
      </w:r>
      <w:r w:rsidR="004518E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822DF" w:rsidRDefault="004E4F8A" w:rsidP="002608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Plaintiff goes on to add</w:t>
      </w:r>
      <w:r w:rsidR="004518E0">
        <w:rPr>
          <w:rFonts w:ascii="Times New Roman" w:hAnsi="Times New Roman" w:cs="Times New Roman"/>
          <w:sz w:val="24"/>
          <w:szCs w:val="24"/>
        </w:rPr>
        <w:t xml:space="preserve"> that it was not leasing the property from the third defendant so as to justify demand for payment of rentals by </w:t>
      </w:r>
      <w:r w:rsidR="008822DF">
        <w:rPr>
          <w:rFonts w:ascii="Times New Roman" w:hAnsi="Times New Roman" w:cs="Times New Roman"/>
          <w:sz w:val="24"/>
          <w:szCs w:val="24"/>
        </w:rPr>
        <w:t>the third defendant</w:t>
      </w:r>
      <w:r w:rsidR="004518E0">
        <w:rPr>
          <w:rFonts w:ascii="Times New Roman" w:hAnsi="Times New Roman" w:cs="Times New Roman"/>
          <w:sz w:val="24"/>
          <w:szCs w:val="24"/>
        </w:rPr>
        <w:t xml:space="preserve"> in any case, plaintiff goes on its plea, $1 000 rentals are unjustified. Plaintiff occupied the property as owner from 2009 and to it there is no issue of rentals arising from the occupation. Plaintiff prayed that the claim in reconvention be dismissed with costs. </w:t>
      </w:r>
      <w:r w:rsidR="0026084F">
        <w:rPr>
          <w:rFonts w:ascii="Times New Roman" w:hAnsi="Times New Roman" w:cs="Times New Roman"/>
          <w:sz w:val="24"/>
          <w:szCs w:val="24"/>
        </w:rPr>
        <w:t xml:space="preserve"> </w:t>
      </w:r>
    </w:p>
    <w:p w:rsidR="008822DF" w:rsidRDefault="008822DF" w:rsidP="0026084F">
      <w:pPr>
        <w:spacing w:after="0" w:line="360" w:lineRule="auto"/>
        <w:jc w:val="both"/>
        <w:rPr>
          <w:rFonts w:ascii="Times New Roman" w:hAnsi="Times New Roman" w:cs="Times New Roman"/>
          <w:sz w:val="24"/>
          <w:szCs w:val="24"/>
        </w:rPr>
      </w:pPr>
    </w:p>
    <w:p w:rsidR="008822DF" w:rsidRPr="001F6DBC" w:rsidRDefault="008822DF" w:rsidP="0026084F">
      <w:pPr>
        <w:spacing w:after="0" w:line="360" w:lineRule="auto"/>
        <w:jc w:val="both"/>
        <w:rPr>
          <w:rFonts w:ascii="Times New Roman" w:hAnsi="Times New Roman" w:cs="Times New Roman"/>
          <w:sz w:val="24"/>
          <w:szCs w:val="24"/>
          <w:u w:val="single"/>
        </w:rPr>
      </w:pPr>
      <w:r w:rsidRPr="001F6DBC">
        <w:rPr>
          <w:rFonts w:ascii="Times New Roman" w:hAnsi="Times New Roman" w:cs="Times New Roman"/>
          <w:sz w:val="24"/>
          <w:szCs w:val="24"/>
          <w:u w:val="single"/>
        </w:rPr>
        <w:t>Issues Referred to trial</w:t>
      </w:r>
    </w:p>
    <w:p w:rsidR="008822DF" w:rsidRDefault="004E4F8A" w:rsidP="008822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5 M</w:t>
      </w:r>
      <w:r w:rsidR="008822DF">
        <w:rPr>
          <w:rFonts w:ascii="Times New Roman" w:hAnsi="Times New Roman" w:cs="Times New Roman"/>
          <w:sz w:val="24"/>
          <w:szCs w:val="24"/>
        </w:rPr>
        <w:t>arch 2020 the parties agree</w:t>
      </w:r>
      <w:r w:rsidR="008C2682">
        <w:rPr>
          <w:rFonts w:ascii="Times New Roman" w:hAnsi="Times New Roman" w:cs="Times New Roman"/>
          <w:sz w:val="24"/>
          <w:szCs w:val="24"/>
        </w:rPr>
        <w:t>d that the following were issues</w:t>
      </w:r>
      <w:r w:rsidR="008822DF">
        <w:rPr>
          <w:rFonts w:ascii="Times New Roman" w:hAnsi="Times New Roman" w:cs="Times New Roman"/>
          <w:sz w:val="24"/>
          <w:szCs w:val="24"/>
        </w:rPr>
        <w:t xml:space="preserve"> for trial</w:t>
      </w:r>
    </w:p>
    <w:p w:rsidR="008822DF" w:rsidRDefault="008822DF" w:rsidP="008822DF">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issue against first defendant </w:t>
      </w:r>
    </w:p>
    <w:p w:rsidR="008822DF" w:rsidRPr="008C2682" w:rsidRDefault="007B2C3B" w:rsidP="008822DF">
      <w:pPr>
        <w:pStyle w:val="ListParagraph"/>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Whether or</w:t>
      </w:r>
      <w:r w:rsidR="008822DF" w:rsidRPr="008C2682">
        <w:rPr>
          <w:rFonts w:ascii="Times New Roman" w:hAnsi="Times New Roman" w:cs="Times New Roman"/>
          <w:i/>
          <w:sz w:val="24"/>
          <w:szCs w:val="24"/>
        </w:rPr>
        <w:t xml:space="preserve"> not matter has prescribed?</w:t>
      </w:r>
    </w:p>
    <w:p w:rsidR="008822DF" w:rsidRDefault="008822DF" w:rsidP="008822DF">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Issue against first and third defendant </w:t>
      </w:r>
    </w:p>
    <w:p w:rsidR="008822DF" w:rsidRPr="008C2682" w:rsidRDefault="008822DF" w:rsidP="008822DF">
      <w:pPr>
        <w:pStyle w:val="ListParagraph"/>
        <w:spacing w:after="0" w:line="360" w:lineRule="auto"/>
        <w:jc w:val="both"/>
        <w:rPr>
          <w:rFonts w:ascii="Times New Roman" w:hAnsi="Times New Roman" w:cs="Times New Roman"/>
          <w:i/>
          <w:sz w:val="24"/>
          <w:szCs w:val="24"/>
        </w:rPr>
      </w:pPr>
      <w:r w:rsidRPr="008C2682">
        <w:rPr>
          <w:rFonts w:ascii="Times New Roman" w:hAnsi="Times New Roman" w:cs="Times New Roman"/>
          <w:i/>
          <w:sz w:val="24"/>
          <w:szCs w:val="24"/>
        </w:rPr>
        <w:t xml:space="preserve">Was </w:t>
      </w:r>
      <w:r w:rsidR="004E4F8A" w:rsidRPr="008C2682">
        <w:rPr>
          <w:rFonts w:ascii="Times New Roman" w:hAnsi="Times New Roman" w:cs="Times New Roman"/>
          <w:i/>
          <w:sz w:val="24"/>
          <w:szCs w:val="24"/>
        </w:rPr>
        <w:t xml:space="preserve">there </w:t>
      </w:r>
      <w:r w:rsidRPr="008C2682">
        <w:rPr>
          <w:rFonts w:ascii="Times New Roman" w:hAnsi="Times New Roman" w:cs="Times New Roman"/>
          <w:i/>
          <w:sz w:val="24"/>
          <w:szCs w:val="24"/>
        </w:rPr>
        <w:t xml:space="preserve">a double sale? If so was it fraudulent? </w:t>
      </w:r>
    </w:p>
    <w:p w:rsidR="008822DF" w:rsidRDefault="008822DF" w:rsidP="008822DF">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Issue against first defendant </w:t>
      </w:r>
    </w:p>
    <w:p w:rsidR="008822DF" w:rsidRPr="008C2682" w:rsidRDefault="008822DF" w:rsidP="008822DF">
      <w:pPr>
        <w:pStyle w:val="ListParagraph"/>
        <w:spacing w:after="0" w:line="360" w:lineRule="auto"/>
        <w:jc w:val="both"/>
        <w:rPr>
          <w:rFonts w:ascii="Times New Roman" w:hAnsi="Times New Roman" w:cs="Times New Roman"/>
          <w:i/>
          <w:sz w:val="24"/>
          <w:szCs w:val="24"/>
        </w:rPr>
      </w:pPr>
      <w:r w:rsidRPr="008C2682">
        <w:rPr>
          <w:rFonts w:ascii="Times New Roman" w:hAnsi="Times New Roman" w:cs="Times New Roman"/>
          <w:i/>
          <w:sz w:val="24"/>
          <w:szCs w:val="24"/>
        </w:rPr>
        <w:t>Was there a valid cancellation of the agreement of sale?</w:t>
      </w:r>
    </w:p>
    <w:p w:rsidR="008C2682" w:rsidRDefault="008822DF" w:rsidP="008822DF">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Issue against third defendant</w:t>
      </w:r>
      <w:r w:rsidR="008C2682">
        <w:rPr>
          <w:rFonts w:ascii="Times New Roman" w:hAnsi="Times New Roman" w:cs="Times New Roman"/>
          <w:sz w:val="24"/>
          <w:szCs w:val="24"/>
        </w:rPr>
        <w:t>.</w:t>
      </w:r>
      <w:r>
        <w:rPr>
          <w:rFonts w:ascii="Times New Roman" w:hAnsi="Times New Roman" w:cs="Times New Roman"/>
          <w:sz w:val="24"/>
          <w:szCs w:val="24"/>
        </w:rPr>
        <w:t xml:space="preserve"> </w:t>
      </w:r>
    </w:p>
    <w:p w:rsidR="008822DF" w:rsidRPr="008C2682" w:rsidRDefault="008C2682" w:rsidP="008C2682">
      <w:pPr>
        <w:pStyle w:val="ListParagraph"/>
        <w:spacing w:after="0" w:line="360" w:lineRule="auto"/>
        <w:jc w:val="both"/>
        <w:rPr>
          <w:rFonts w:ascii="Times New Roman" w:hAnsi="Times New Roman" w:cs="Times New Roman"/>
          <w:i/>
          <w:sz w:val="24"/>
          <w:szCs w:val="24"/>
        </w:rPr>
      </w:pPr>
      <w:r w:rsidRPr="008C2682">
        <w:rPr>
          <w:rFonts w:ascii="Times New Roman" w:hAnsi="Times New Roman" w:cs="Times New Roman"/>
          <w:i/>
          <w:sz w:val="24"/>
          <w:szCs w:val="24"/>
        </w:rPr>
        <w:t>Whether</w:t>
      </w:r>
      <w:r w:rsidR="008822DF" w:rsidRPr="008C2682">
        <w:rPr>
          <w:rFonts w:ascii="Times New Roman" w:hAnsi="Times New Roman" w:cs="Times New Roman"/>
          <w:i/>
          <w:sz w:val="24"/>
          <w:szCs w:val="24"/>
        </w:rPr>
        <w:t xml:space="preserve"> or not plaintiff has a right to an improvement lien? If so what is the quantum thereof?</w:t>
      </w:r>
    </w:p>
    <w:p w:rsidR="008822DF" w:rsidRDefault="008822DF" w:rsidP="008822DF">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Issue against first defendant.</w:t>
      </w:r>
    </w:p>
    <w:p w:rsidR="008822DF" w:rsidRPr="008C2682" w:rsidRDefault="008822DF" w:rsidP="008822DF">
      <w:pPr>
        <w:pStyle w:val="ListParagraph"/>
        <w:spacing w:after="0" w:line="360" w:lineRule="auto"/>
        <w:jc w:val="both"/>
        <w:rPr>
          <w:rFonts w:ascii="Times New Roman" w:hAnsi="Times New Roman" w:cs="Times New Roman"/>
          <w:i/>
          <w:sz w:val="24"/>
          <w:szCs w:val="24"/>
        </w:rPr>
      </w:pPr>
      <w:r w:rsidRPr="008C2682">
        <w:rPr>
          <w:rFonts w:ascii="Times New Roman" w:hAnsi="Times New Roman" w:cs="Times New Roman"/>
          <w:i/>
          <w:sz w:val="24"/>
          <w:szCs w:val="24"/>
        </w:rPr>
        <w:t xml:space="preserve">Whether there was a misrepresentation by the first defendant to the plaintiff? If so is plaintiff entitled to </w:t>
      </w:r>
    </w:p>
    <w:p w:rsidR="008822DF" w:rsidRPr="008C2682" w:rsidRDefault="008C2682" w:rsidP="008822DF">
      <w:pPr>
        <w:pStyle w:val="ListParagraph"/>
        <w:numPr>
          <w:ilvl w:val="0"/>
          <w:numId w:val="25"/>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US</w:t>
      </w:r>
      <w:r w:rsidR="008822DF" w:rsidRPr="008C2682">
        <w:rPr>
          <w:rFonts w:ascii="Times New Roman" w:hAnsi="Times New Roman" w:cs="Times New Roman"/>
          <w:i/>
          <w:sz w:val="24"/>
          <w:szCs w:val="24"/>
        </w:rPr>
        <w:t>$80 000 refund.</w:t>
      </w:r>
    </w:p>
    <w:p w:rsidR="008822DF" w:rsidRPr="008C2682" w:rsidRDefault="004E4F8A" w:rsidP="008822DF">
      <w:pPr>
        <w:pStyle w:val="ListParagraph"/>
        <w:numPr>
          <w:ilvl w:val="0"/>
          <w:numId w:val="25"/>
        </w:numPr>
        <w:spacing w:after="0" w:line="360" w:lineRule="auto"/>
        <w:jc w:val="both"/>
        <w:rPr>
          <w:rFonts w:ascii="Times New Roman" w:hAnsi="Times New Roman" w:cs="Times New Roman"/>
          <w:i/>
          <w:sz w:val="24"/>
          <w:szCs w:val="24"/>
        </w:rPr>
      </w:pPr>
      <w:r w:rsidRPr="008C2682">
        <w:rPr>
          <w:rFonts w:ascii="Times New Roman" w:hAnsi="Times New Roman" w:cs="Times New Roman"/>
          <w:i/>
          <w:sz w:val="24"/>
          <w:szCs w:val="24"/>
        </w:rPr>
        <w:t>US</w:t>
      </w:r>
      <w:r w:rsidR="00AD679C" w:rsidRPr="008C2682">
        <w:rPr>
          <w:rFonts w:ascii="Times New Roman" w:hAnsi="Times New Roman" w:cs="Times New Roman"/>
          <w:i/>
          <w:sz w:val="24"/>
          <w:szCs w:val="24"/>
        </w:rPr>
        <w:t>$43 667 for improvements made.</w:t>
      </w:r>
    </w:p>
    <w:p w:rsidR="00AD679C" w:rsidRPr="008C2682" w:rsidRDefault="00AD679C" w:rsidP="008822DF">
      <w:pPr>
        <w:pStyle w:val="ListParagraph"/>
        <w:numPr>
          <w:ilvl w:val="0"/>
          <w:numId w:val="25"/>
        </w:numPr>
        <w:spacing w:after="0" w:line="360" w:lineRule="auto"/>
        <w:jc w:val="both"/>
        <w:rPr>
          <w:rFonts w:ascii="Times New Roman" w:hAnsi="Times New Roman" w:cs="Times New Roman"/>
          <w:i/>
          <w:sz w:val="24"/>
          <w:szCs w:val="24"/>
        </w:rPr>
      </w:pPr>
      <w:r w:rsidRPr="008C2682">
        <w:rPr>
          <w:rFonts w:ascii="Times New Roman" w:hAnsi="Times New Roman" w:cs="Times New Roman"/>
          <w:i/>
          <w:sz w:val="24"/>
          <w:szCs w:val="24"/>
        </w:rPr>
        <w:t xml:space="preserve">Replacement value and if so the quantum thereof. </w:t>
      </w:r>
    </w:p>
    <w:p w:rsidR="00AD679C" w:rsidRDefault="00AD679C" w:rsidP="00AD679C">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issue against plaintiff in reconvention</w:t>
      </w:r>
      <w:r w:rsidR="008C2682">
        <w:rPr>
          <w:rFonts w:ascii="Times New Roman" w:hAnsi="Times New Roman" w:cs="Times New Roman"/>
          <w:sz w:val="24"/>
          <w:szCs w:val="24"/>
        </w:rPr>
        <w:t>.</w:t>
      </w:r>
      <w:r>
        <w:rPr>
          <w:rFonts w:ascii="Times New Roman" w:hAnsi="Times New Roman" w:cs="Times New Roman"/>
          <w:sz w:val="24"/>
          <w:szCs w:val="24"/>
        </w:rPr>
        <w:t xml:space="preserve"> </w:t>
      </w:r>
    </w:p>
    <w:p w:rsidR="00AD679C" w:rsidRPr="008C2682" w:rsidRDefault="00AD679C" w:rsidP="00AD679C">
      <w:pPr>
        <w:pStyle w:val="ListParagraph"/>
        <w:numPr>
          <w:ilvl w:val="0"/>
          <w:numId w:val="26"/>
        </w:numPr>
        <w:spacing w:after="0" w:line="360" w:lineRule="auto"/>
        <w:jc w:val="both"/>
        <w:rPr>
          <w:rFonts w:ascii="Times New Roman" w:hAnsi="Times New Roman" w:cs="Times New Roman"/>
          <w:i/>
          <w:sz w:val="24"/>
          <w:szCs w:val="24"/>
        </w:rPr>
      </w:pPr>
      <w:r w:rsidRPr="008C2682">
        <w:rPr>
          <w:rFonts w:ascii="Times New Roman" w:hAnsi="Times New Roman" w:cs="Times New Roman"/>
          <w:i/>
          <w:sz w:val="24"/>
          <w:szCs w:val="24"/>
        </w:rPr>
        <w:t>Whether o</w:t>
      </w:r>
      <w:r w:rsidR="00802733" w:rsidRPr="008C2682">
        <w:rPr>
          <w:rFonts w:ascii="Times New Roman" w:hAnsi="Times New Roman" w:cs="Times New Roman"/>
          <w:i/>
          <w:sz w:val="24"/>
          <w:szCs w:val="24"/>
        </w:rPr>
        <w:t>r</w:t>
      </w:r>
      <w:r w:rsidRPr="008C2682">
        <w:rPr>
          <w:rFonts w:ascii="Times New Roman" w:hAnsi="Times New Roman" w:cs="Times New Roman"/>
          <w:i/>
          <w:sz w:val="24"/>
          <w:szCs w:val="24"/>
        </w:rPr>
        <w:t xml:space="preserve"> not third defendant is entitled to evict the plaintiff and all those claiming occupation through it.</w:t>
      </w:r>
    </w:p>
    <w:p w:rsidR="00AD679C" w:rsidRPr="008C2682" w:rsidRDefault="00AD679C" w:rsidP="00AD679C">
      <w:pPr>
        <w:pStyle w:val="ListParagraph"/>
        <w:numPr>
          <w:ilvl w:val="0"/>
          <w:numId w:val="26"/>
        </w:numPr>
        <w:spacing w:after="0" w:line="360" w:lineRule="auto"/>
        <w:jc w:val="both"/>
        <w:rPr>
          <w:rFonts w:ascii="Times New Roman" w:hAnsi="Times New Roman" w:cs="Times New Roman"/>
          <w:i/>
          <w:sz w:val="24"/>
          <w:szCs w:val="24"/>
        </w:rPr>
      </w:pPr>
      <w:r w:rsidRPr="008C2682">
        <w:rPr>
          <w:rFonts w:ascii="Times New Roman" w:hAnsi="Times New Roman" w:cs="Times New Roman"/>
          <w:i/>
          <w:sz w:val="24"/>
          <w:szCs w:val="24"/>
        </w:rPr>
        <w:t>Whether third defendant is entitled to rentals? If so what is the quantum thereof.</w:t>
      </w:r>
    </w:p>
    <w:p w:rsidR="00AD679C" w:rsidRDefault="00AD679C" w:rsidP="00AD679C">
      <w:pPr>
        <w:spacing w:after="0" w:line="360" w:lineRule="auto"/>
        <w:jc w:val="both"/>
        <w:rPr>
          <w:rFonts w:ascii="Times New Roman" w:hAnsi="Times New Roman" w:cs="Times New Roman"/>
          <w:sz w:val="24"/>
          <w:szCs w:val="24"/>
        </w:rPr>
      </w:pPr>
    </w:p>
    <w:p w:rsidR="00AD679C" w:rsidRPr="008C2682" w:rsidRDefault="00AD679C" w:rsidP="003A532A">
      <w:pPr>
        <w:spacing w:after="0" w:line="360" w:lineRule="auto"/>
        <w:jc w:val="both"/>
        <w:rPr>
          <w:rFonts w:ascii="Times New Roman" w:hAnsi="Times New Roman" w:cs="Times New Roman"/>
          <w:b/>
          <w:sz w:val="24"/>
          <w:szCs w:val="24"/>
          <w:u w:val="single"/>
        </w:rPr>
      </w:pPr>
      <w:r w:rsidRPr="008C2682">
        <w:rPr>
          <w:rFonts w:ascii="Times New Roman" w:hAnsi="Times New Roman" w:cs="Times New Roman"/>
          <w:b/>
          <w:sz w:val="24"/>
          <w:szCs w:val="24"/>
          <w:u w:val="single"/>
        </w:rPr>
        <w:t xml:space="preserve">When special plea of prescription </w:t>
      </w:r>
      <w:r w:rsidR="008C2682">
        <w:rPr>
          <w:rFonts w:ascii="Times New Roman" w:hAnsi="Times New Roman" w:cs="Times New Roman"/>
          <w:b/>
          <w:sz w:val="24"/>
          <w:szCs w:val="24"/>
          <w:u w:val="single"/>
        </w:rPr>
        <w:t xml:space="preserve">is </w:t>
      </w:r>
      <w:r w:rsidRPr="008C2682">
        <w:rPr>
          <w:rFonts w:ascii="Times New Roman" w:hAnsi="Times New Roman" w:cs="Times New Roman"/>
          <w:b/>
          <w:sz w:val="24"/>
          <w:szCs w:val="24"/>
          <w:u w:val="single"/>
        </w:rPr>
        <w:t xml:space="preserve">to be raised by a party. </w:t>
      </w:r>
    </w:p>
    <w:p w:rsidR="00AD2DB7" w:rsidRDefault="00AD679C" w:rsidP="00E555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date of hearing of the matter, Mr </w:t>
      </w:r>
      <w:r w:rsidRPr="00AD679C">
        <w:rPr>
          <w:rFonts w:ascii="Times New Roman" w:hAnsi="Times New Roman" w:cs="Times New Roman"/>
          <w:i/>
          <w:sz w:val="24"/>
          <w:szCs w:val="24"/>
        </w:rPr>
        <w:t>Sadomba</w:t>
      </w:r>
      <w:r>
        <w:rPr>
          <w:rFonts w:ascii="Times New Roman" w:hAnsi="Times New Roman" w:cs="Times New Roman"/>
          <w:sz w:val="24"/>
          <w:szCs w:val="24"/>
        </w:rPr>
        <w:t xml:space="preserve"> for first defendant applied that the special plea </w:t>
      </w:r>
      <w:r w:rsidR="008C2682">
        <w:rPr>
          <w:rFonts w:ascii="Times New Roman" w:hAnsi="Times New Roman" w:cs="Times New Roman"/>
          <w:sz w:val="24"/>
          <w:szCs w:val="24"/>
        </w:rPr>
        <w:t>of prescription</w:t>
      </w:r>
      <w:r>
        <w:rPr>
          <w:rFonts w:ascii="Times New Roman" w:hAnsi="Times New Roman" w:cs="Times New Roman"/>
          <w:sz w:val="24"/>
          <w:szCs w:val="24"/>
        </w:rPr>
        <w:t xml:space="preserve"> b</w:t>
      </w:r>
      <w:r w:rsidR="008C2682">
        <w:rPr>
          <w:rFonts w:ascii="Times New Roman" w:hAnsi="Times New Roman" w:cs="Times New Roman"/>
          <w:sz w:val="24"/>
          <w:szCs w:val="24"/>
        </w:rPr>
        <w:t>e dealt with first before delving</w:t>
      </w:r>
      <w:r>
        <w:rPr>
          <w:rFonts w:ascii="Times New Roman" w:hAnsi="Times New Roman" w:cs="Times New Roman"/>
          <w:sz w:val="24"/>
          <w:szCs w:val="24"/>
        </w:rPr>
        <w:t xml:space="preserve"> into the main issues before the court. Mr </w:t>
      </w:r>
      <w:r w:rsidRPr="00AD679C">
        <w:rPr>
          <w:rFonts w:ascii="Times New Roman" w:hAnsi="Times New Roman" w:cs="Times New Roman"/>
          <w:i/>
          <w:sz w:val="24"/>
          <w:szCs w:val="24"/>
        </w:rPr>
        <w:t>Uriri</w:t>
      </w:r>
      <w:r>
        <w:rPr>
          <w:rFonts w:ascii="Times New Roman" w:hAnsi="Times New Roman" w:cs="Times New Roman"/>
          <w:sz w:val="24"/>
          <w:szCs w:val="24"/>
        </w:rPr>
        <w:t xml:space="preserve"> opposed that proposition an</w:t>
      </w:r>
      <w:r w:rsidR="008C2682">
        <w:rPr>
          <w:rFonts w:ascii="Times New Roman" w:hAnsi="Times New Roman" w:cs="Times New Roman"/>
          <w:sz w:val="24"/>
          <w:szCs w:val="24"/>
        </w:rPr>
        <w:t>d submitted that a special plea</w:t>
      </w:r>
      <w:r>
        <w:rPr>
          <w:rFonts w:ascii="Times New Roman" w:hAnsi="Times New Roman" w:cs="Times New Roman"/>
          <w:sz w:val="24"/>
          <w:szCs w:val="24"/>
        </w:rPr>
        <w:t xml:space="preserve"> of prescription needs full enquiry</w:t>
      </w:r>
      <w:r w:rsidR="00612499">
        <w:rPr>
          <w:rFonts w:ascii="Times New Roman" w:hAnsi="Times New Roman" w:cs="Times New Roman"/>
          <w:sz w:val="24"/>
          <w:szCs w:val="24"/>
        </w:rPr>
        <w:t xml:space="preserve"> which </w:t>
      </w:r>
      <w:r>
        <w:rPr>
          <w:rFonts w:ascii="Times New Roman" w:hAnsi="Times New Roman" w:cs="Times New Roman"/>
          <w:sz w:val="24"/>
          <w:szCs w:val="24"/>
        </w:rPr>
        <w:t xml:space="preserve">requires evidence from the parties. After hearing counsel I ordered that </w:t>
      </w:r>
      <w:r w:rsidR="00612499">
        <w:rPr>
          <w:rFonts w:ascii="Times New Roman" w:hAnsi="Times New Roman" w:cs="Times New Roman"/>
          <w:sz w:val="24"/>
          <w:szCs w:val="24"/>
        </w:rPr>
        <w:t xml:space="preserve">the </w:t>
      </w:r>
      <w:r>
        <w:rPr>
          <w:rFonts w:ascii="Times New Roman" w:hAnsi="Times New Roman" w:cs="Times New Roman"/>
          <w:sz w:val="24"/>
          <w:szCs w:val="24"/>
        </w:rPr>
        <w:t>plaintiff</w:t>
      </w:r>
      <w:r w:rsidR="00612499">
        <w:rPr>
          <w:rFonts w:ascii="Times New Roman" w:hAnsi="Times New Roman" w:cs="Times New Roman"/>
          <w:sz w:val="24"/>
          <w:szCs w:val="24"/>
        </w:rPr>
        <w:t xml:space="preserve"> proceed to lead its evidence and deal with prescription </w:t>
      </w:r>
      <w:r w:rsidR="00612499" w:rsidRPr="008C2682">
        <w:rPr>
          <w:rFonts w:ascii="Times New Roman" w:hAnsi="Times New Roman" w:cs="Times New Roman"/>
          <w:i/>
          <w:sz w:val="24"/>
          <w:szCs w:val="24"/>
        </w:rPr>
        <w:t>in tandem</w:t>
      </w:r>
      <w:r w:rsidR="00CC354B">
        <w:rPr>
          <w:rFonts w:ascii="Times New Roman" w:hAnsi="Times New Roman" w:cs="Times New Roman"/>
          <w:sz w:val="24"/>
          <w:szCs w:val="24"/>
        </w:rPr>
        <w:t xml:space="preserve"> with the main issues </w:t>
      </w:r>
      <w:r w:rsidR="00612499">
        <w:rPr>
          <w:rFonts w:ascii="Times New Roman" w:hAnsi="Times New Roman" w:cs="Times New Roman"/>
          <w:sz w:val="24"/>
          <w:szCs w:val="24"/>
        </w:rPr>
        <w:t>f</w:t>
      </w:r>
      <w:r w:rsidR="00CC354B">
        <w:rPr>
          <w:rFonts w:ascii="Times New Roman" w:hAnsi="Times New Roman" w:cs="Times New Roman"/>
          <w:sz w:val="24"/>
          <w:szCs w:val="24"/>
        </w:rPr>
        <w:t>or</w:t>
      </w:r>
      <w:r w:rsidR="00612499">
        <w:rPr>
          <w:rFonts w:ascii="Times New Roman" w:hAnsi="Times New Roman" w:cs="Times New Roman"/>
          <w:sz w:val="24"/>
          <w:szCs w:val="24"/>
        </w:rPr>
        <w:t xml:space="preserve"> trial. I indicated that I would avail my reasons in my main judg</w:t>
      </w:r>
      <w:r w:rsidR="008C2682">
        <w:rPr>
          <w:rFonts w:ascii="Times New Roman" w:hAnsi="Times New Roman" w:cs="Times New Roman"/>
          <w:sz w:val="24"/>
          <w:szCs w:val="24"/>
        </w:rPr>
        <w:t>ment and the following are the</w:t>
      </w:r>
      <w:r>
        <w:rPr>
          <w:rFonts w:ascii="Times New Roman" w:hAnsi="Times New Roman" w:cs="Times New Roman"/>
          <w:sz w:val="24"/>
          <w:szCs w:val="24"/>
        </w:rPr>
        <w:t xml:space="preserve"> </w:t>
      </w:r>
      <w:r w:rsidR="00612499">
        <w:rPr>
          <w:rFonts w:ascii="Times New Roman" w:hAnsi="Times New Roman" w:cs="Times New Roman"/>
          <w:sz w:val="24"/>
          <w:szCs w:val="24"/>
        </w:rPr>
        <w:t xml:space="preserve">reasons for the </w:t>
      </w:r>
      <w:r w:rsidR="00612499" w:rsidRPr="008C2682">
        <w:rPr>
          <w:rFonts w:ascii="Times New Roman" w:hAnsi="Times New Roman" w:cs="Times New Roman"/>
          <w:i/>
          <w:sz w:val="24"/>
          <w:szCs w:val="24"/>
        </w:rPr>
        <w:t>ex-tempo order</w:t>
      </w:r>
      <w:r w:rsidR="00612499">
        <w:rPr>
          <w:rFonts w:ascii="Times New Roman" w:hAnsi="Times New Roman" w:cs="Times New Roman"/>
          <w:sz w:val="24"/>
          <w:szCs w:val="24"/>
        </w:rPr>
        <w:t xml:space="preserve">. In the matters of (1) </w:t>
      </w:r>
      <w:r w:rsidR="00612499" w:rsidRPr="00802733">
        <w:rPr>
          <w:rFonts w:ascii="Times New Roman" w:hAnsi="Times New Roman" w:cs="Times New Roman"/>
          <w:i/>
          <w:sz w:val="24"/>
          <w:szCs w:val="24"/>
        </w:rPr>
        <w:t xml:space="preserve">Brooker </w:t>
      </w:r>
      <w:r w:rsidR="00612499" w:rsidRPr="008C2682">
        <w:rPr>
          <w:rFonts w:ascii="Times New Roman" w:hAnsi="Times New Roman" w:cs="Times New Roman"/>
          <w:sz w:val="24"/>
          <w:szCs w:val="24"/>
        </w:rPr>
        <w:t>v</w:t>
      </w:r>
      <w:r w:rsidR="00612499" w:rsidRPr="00802733">
        <w:rPr>
          <w:rFonts w:ascii="Times New Roman" w:hAnsi="Times New Roman" w:cs="Times New Roman"/>
          <w:i/>
          <w:sz w:val="24"/>
          <w:szCs w:val="24"/>
        </w:rPr>
        <w:t xml:space="preserve"> Madhanda and Another</w:t>
      </w:r>
      <w:r w:rsidR="00612499">
        <w:rPr>
          <w:rFonts w:ascii="Times New Roman" w:hAnsi="Times New Roman" w:cs="Times New Roman"/>
          <w:sz w:val="24"/>
          <w:szCs w:val="24"/>
        </w:rPr>
        <w:t xml:space="preserve"> (2) </w:t>
      </w:r>
      <w:r w:rsidR="00612499" w:rsidRPr="00802733">
        <w:rPr>
          <w:rFonts w:ascii="Times New Roman" w:hAnsi="Times New Roman" w:cs="Times New Roman"/>
          <w:i/>
          <w:sz w:val="24"/>
          <w:szCs w:val="24"/>
        </w:rPr>
        <w:t xml:space="preserve">Pearce </w:t>
      </w:r>
      <w:r w:rsidR="00612499" w:rsidRPr="008C2682">
        <w:rPr>
          <w:rFonts w:ascii="Times New Roman" w:hAnsi="Times New Roman" w:cs="Times New Roman"/>
          <w:sz w:val="24"/>
          <w:szCs w:val="24"/>
        </w:rPr>
        <w:t>v</w:t>
      </w:r>
      <w:r w:rsidR="00612499" w:rsidRPr="00802733">
        <w:rPr>
          <w:rFonts w:ascii="Times New Roman" w:hAnsi="Times New Roman" w:cs="Times New Roman"/>
          <w:i/>
          <w:sz w:val="24"/>
          <w:szCs w:val="24"/>
        </w:rPr>
        <w:t xml:space="preserve"> Mashanda and Another</w:t>
      </w:r>
      <w:r w:rsidR="00612499">
        <w:rPr>
          <w:rStyle w:val="FootnoteReference"/>
          <w:rFonts w:ascii="Times New Roman" w:hAnsi="Times New Roman" w:cs="Times New Roman"/>
          <w:sz w:val="24"/>
          <w:szCs w:val="24"/>
        </w:rPr>
        <w:footnoteReference w:id="1"/>
      </w:r>
      <w:r w:rsidR="00612499">
        <w:rPr>
          <w:rFonts w:ascii="Times New Roman" w:hAnsi="Times New Roman" w:cs="Times New Roman"/>
          <w:sz w:val="24"/>
          <w:szCs w:val="24"/>
        </w:rPr>
        <w:t xml:space="preserve"> it was held that </w:t>
      </w:r>
    </w:p>
    <w:p w:rsidR="00AD2DB7" w:rsidRDefault="00612499" w:rsidP="00AD2DB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AD2DB7">
        <w:rPr>
          <w:rFonts w:ascii="Times New Roman" w:hAnsi="Times New Roman" w:cs="Times New Roman"/>
        </w:rPr>
        <w:t>in a plea of prescription the onus is on the defendant to show that the claim is prescribed but if in reply alleges that the prescription has been interrupted or waived, the onus would be on the plaintiff to show that it was so interrupted”</w:t>
      </w:r>
      <w:r>
        <w:rPr>
          <w:rFonts w:ascii="Times New Roman" w:hAnsi="Times New Roman" w:cs="Times New Roman"/>
          <w:sz w:val="24"/>
          <w:szCs w:val="24"/>
        </w:rPr>
        <w:t xml:space="preserve"> </w:t>
      </w:r>
    </w:p>
    <w:p w:rsidR="006501C0" w:rsidRDefault="006501C0" w:rsidP="00AD2DB7">
      <w:pPr>
        <w:spacing w:after="0" w:line="240" w:lineRule="auto"/>
        <w:ind w:left="720"/>
        <w:jc w:val="both"/>
        <w:rPr>
          <w:rFonts w:ascii="Times New Roman" w:hAnsi="Times New Roman" w:cs="Times New Roman"/>
          <w:sz w:val="24"/>
          <w:szCs w:val="24"/>
        </w:rPr>
      </w:pPr>
    </w:p>
    <w:p w:rsidR="00AD2DB7" w:rsidRDefault="006501C0" w:rsidP="006501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612499">
        <w:rPr>
          <w:rFonts w:ascii="Times New Roman" w:hAnsi="Times New Roman" w:cs="Times New Roman"/>
          <w:sz w:val="24"/>
          <w:szCs w:val="24"/>
        </w:rPr>
        <w:t xml:space="preserve">t was further held that </w:t>
      </w:r>
    </w:p>
    <w:p w:rsidR="00E5553B" w:rsidRDefault="00AD2DB7" w:rsidP="00E5553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612499" w:rsidRPr="00E5553B">
        <w:rPr>
          <w:rFonts w:ascii="Times New Roman" w:hAnsi="Times New Roman" w:cs="Times New Roman"/>
        </w:rPr>
        <w:t xml:space="preserve">the court a quo erred by making a decision on the special plea on the absence of evidence. It was crucial for the court to understand the nature of the defence </w:t>
      </w:r>
      <w:r w:rsidRPr="00E5553B">
        <w:rPr>
          <w:rFonts w:ascii="Times New Roman" w:hAnsi="Times New Roman" w:cs="Times New Roman"/>
        </w:rPr>
        <w:t>of prescription</w:t>
      </w:r>
      <w:r>
        <w:rPr>
          <w:rFonts w:ascii="Times New Roman" w:hAnsi="Times New Roman" w:cs="Times New Roman"/>
          <w:sz w:val="24"/>
          <w:szCs w:val="24"/>
        </w:rPr>
        <w:t xml:space="preserve">.”  </w:t>
      </w:r>
    </w:p>
    <w:p w:rsidR="006501C0" w:rsidRDefault="006501C0" w:rsidP="00E5553B">
      <w:pPr>
        <w:spacing w:after="0" w:line="240" w:lineRule="auto"/>
        <w:ind w:left="720"/>
        <w:jc w:val="both"/>
        <w:rPr>
          <w:rFonts w:ascii="Times New Roman" w:hAnsi="Times New Roman" w:cs="Times New Roman"/>
          <w:sz w:val="24"/>
          <w:szCs w:val="24"/>
        </w:rPr>
      </w:pPr>
    </w:p>
    <w:p w:rsidR="00AD2DB7" w:rsidRDefault="00AD2DB7" w:rsidP="006501C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learned judge of Appeal went further to hold that </w:t>
      </w:r>
    </w:p>
    <w:p w:rsidR="006501C0" w:rsidRDefault="006501C0" w:rsidP="006501C0">
      <w:pPr>
        <w:spacing w:after="0" w:line="240" w:lineRule="auto"/>
        <w:ind w:firstLine="720"/>
        <w:jc w:val="both"/>
        <w:rPr>
          <w:rFonts w:ascii="Times New Roman" w:hAnsi="Times New Roman" w:cs="Times New Roman"/>
          <w:sz w:val="24"/>
          <w:szCs w:val="24"/>
        </w:rPr>
      </w:pPr>
    </w:p>
    <w:p w:rsidR="00AD679C" w:rsidRPr="00AD679C" w:rsidRDefault="00AD2DB7" w:rsidP="00AD2DB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AD2DB7">
        <w:rPr>
          <w:rFonts w:ascii="Times New Roman" w:hAnsi="Times New Roman" w:cs="Times New Roman"/>
        </w:rPr>
        <w:t xml:space="preserve">it is accepted as settled that evidence is necessary when disposing of a matter in which a special plea </w:t>
      </w:r>
      <w:r w:rsidR="006501C0">
        <w:rPr>
          <w:rFonts w:ascii="Times New Roman" w:hAnsi="Times New Roman" w:cs="Times New Roman"/>
        </w:rPr>
        <w:t xml:space="preserve">is raised. </w:t>
      </w:r>
      <w:r w:rsidR="008B62BE">
        <w:rPr>
          <w:rFonts w:ascii="Times New Roman" w:hAnsi="Times New Roman" w:cs="Times New Roman"/>
        </w:rPr>
        <w:t>When a party raises a special plea</w:t>
      </w:r>
      <w:r w:rsidR="006501C0">
        <w:rPr>
          <w:rFonts w:ascii="Times New Roman" w:hAnsi="Times New Roman" w:cs="Times New Roman"/>
        </w:rPr>
        <w:t xml:space="preserve"> </w:t>
      </w:r>
      <w:r w:rsidRPr="00AD2DB7">
        <w:rPr>
          <w:rFonts w:ascii="Times New Roman" w:hAnsi="Times New Roman" w:cs="Times New Roman"/>
        </w:rPr>
        <w:t xml:space="preserve">as a defence, new facts arise and because of </w:t>
      </w:r>
      <w:r w:rsidRPr="00AD2DB7">
        <w:rPr>
          <w:rFonts w:ascii="Times New Roman" w:hAnsi="Times New Roman" w:cs="Times New Roman"/>
        </w:rPr>
        <w:lastRenderedPageBreak/>
        <w:t xml:space="preserve">the introduction of fresh facts which did not appear in the declaration, there is need for a </w:t>
      </w:r>
      <w:r w:rsidR="008B62BE">
        <w:rPr>
          <w:rFonts w:ascii="Times New Roman" w:hAnsi="Times New Roman" w:cs="Times New Roman"/>
        </w:rPr>
        <w:t xml:space="preserve">court to hear the evidence of the parties where facts are disputed before making a </w:t>
      </w:r>
      <w:r w:rsidRPr="00AD2DB7">
        <w:rPr>
          <w:rFonts w:ascii="Times New Roman" w:hAnsi="Times New Roman" w:cs="Times New Roman"/>
        </w:rPr>
        <w:t xml:space="preserve">ruling on the special plea. It was referred to as special plea mainly due to its ability to destroy the action or postpone the proceedings. It was just that the court </w:t>
      </w:r>
      <w:r w:rsidRPr="008B62BE">
        <w:rPr>
          <w:rFonts w:ascii="Times New Roman" w:hAnsi="Times New Roman" w:cs="Times New Roman"/>
          <w:i/>
        </w:rPr>
        <w:t>a quo</w:t>
      </w:r>
      <w:r w:rsidRPr="00AD2DB7">
        <w:rPr>
          <w:rFonts w:ascii="Times New Roman" w:hAnsi="Times New Roman" w:cs="Times New Roman"/>
        </w:rPr>
        <w:t xml:space="preserve"> should h</w:t>
      </w:r>
      <w:r w:rsidR="008B62BE">
        <w:rPr>
          <w:rFonts w:ascii="Times New Roman" w:hAnsi="Times New Roman" w:cs="Times New Roman"/>
        </w:rPr>
        <w:t>ave adopted the sai</w:t>
      </w:r>
      <w:r w:rsidR="004E4F8A">
        <w:rPr>
          <w:rFonts w:ascii="Times New Roman" w:hAnsi="Times New Roman" w:cs="Times New Roman"/>
        </w:rPr>
        <w:t>d procedure in</w:t>
      </w:r>
      <w:r w:rsidRPr="00AD2DB7">
        <w:rPr>
          <w:rFonts w:ascii="Times New Roman" w:hAnsi="Times New Roman" w:cs="Times New Roman"/>
        </w:rPr>
        <w:t xml:space="preserve"> order for</w:t>
      </w:r>
      <w:r w:rsidR="004E4F8A">
        <w:rPr>
          <w:rFonts w:ascii="Times New Roman" w:hAnsi="Times New Roman" w:cs="Times New Roman"/>
        </w:rPr>
        <w:t xml:space="preserve"> the special pleas to be </w:t>
      </w:r>
      <w:r w:rsidR="008B62BE">
        <w:rPr>
          <w:rFonts w:ascii="Times New Roman" w:hAnsi="Times New Roman" w:cs="Times New Roman"/>
        </w:rPr>
        <w:t>proper</w:t>
      </w:r>
      <w:r w:rsidR="008B62BE" w:rsidRPr="00AD2DB7">
        <w:rPr>
          <w:rFonts w:ascii="Times New Roman" w:hAnsi="Times New Roman" w:cs="Times New Roman"/>
        </w:rPr>
        <w:t>ly</w:t>
      </w:r>
      <w:r w:rsidRPr="00AD2DB7">
        <w:rPr>
          <w:rFonts w:ascii="Times New Roman" w:hAnsi="Times New Roman" w:cs="Times New Roman"/>
        </w:rPr>
        <w:t xml:space="preserve"> dealt with and an order for the remittal of the court </w:t>
      </w:r>
      <w:r w:rsidRPr="008B62BE">
        <w:rPr>
          <w:rFonts w:ascii="Times New Roman" w:hAnsi="Times New Roman" w:cs="Times New Roman"/>
          <w:i/>
        </w:rPr>
        <w:t>a quo</w:t>
      </w:r>
      <w:r w:rsidRPr="00AD2DB7">
        <w:rPr>
          <w:rFonts w:ascii="Times New Roman" w:hAnsi="Times New Roman" w:cs="Times New Roman"/>
        </w:rPr>
        <w:t xml:space="preserve"> would best achieve this</w:t>
      </w:r>
      <w:r>
        <w:rPr>
          <w:rFonts w:ascii="Times New Roman" w:hAnsi="Times New Roman" w:cs="Times New Roman"/>
          <w:sz w:val="24"/>
          <w:szCs w:val="24"/>
        </w:rPr>
        <w:t xml:space="preserve">” </w:t>
      </w:r>
    </w:p>
    <w:p w:rsidR="00E5553B" w:rsidRDefault="00E5553B" w:rsidP="002608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26084F" w:rsidRDefault="00E5553B" w:rsidP="00E555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conclusion made by the Court of Appeal in </w:t>
      </w:r>
      <w:r w:rsidR="00E5276D">
        <w:rPr>
          <w:rFonts w:ascii="Times New Roman" w:hAnsi="Times New Roman" w:cs="Times New Roman"/>
          <w:sz w:val="24"/>
          <w:szCs w:val="24"/>
        </w:rPr>
        <w:t>the aforesaid matter equally applies</w:t>
      </w:r>
      <w:r>
        <w:rPr>
          <w:rFonts w:ascii="Times New Roman" w:hAnsi="Times New Roman" w:cs="Times New Roman"/>
          <w:sz w:val="24"/>
          <w:szCs w:val="24"/>
        </w:rPr>
        <w:t xml:space="preserve"> to the matter before</w:t>
      </w:r>
      <w:r w:rsidR="001F6DBC">
        <w:rPr>
          <w:rFonts w:ascii="Times New Roman" w:hAnsi="Times New Roman" w:cs="Times New Roman"/>
          <w:sz w:val="24"/>
          <w:szCs w:val="24"/>
        </w:rPr>
        <w:t xml:space="preserve"> </w:t>
      </w:r>
      <w:r>
        <w:rPr>
          <w:rFonts w:ascii="Times New Roman" w:hAnsi="Times New Roman" w:cs="Times New Roman"/>
          <w:sz w:val="24"/>
          <w:szCs w:val="24"/>
        </w:rPr>
        <w:t xml:space="preserve">me. The facts are precisely </w:t>
      </w:r>
      <w:r w:rsidR="001F6DBC">
        <w:rPr>
          <w:rFonts w:ascii="Times New Roman" w:hAnsi="Times New Roman" w:cs="Times New Roman"/>
          <w:sz w:val="24"/>
          <w:szCs w:val="24"/>
        </w:rPr>
        <w:t>identical</w:t>
      </w:r>
      <w:r>
        <w:rPr>
          <w:rFonts w:ascii="Times New Roman" w:hAnsi="Times New Roman" w:cs="Times New Roman"/>
          <w:sz w:val="24"/>
          <w:szCs w:val="24"/>
        </w:rPr>
        <w:t xml:space="preserve"> to the case cited and first defendant raised a</w:t>
      </w:r>
      <w:r w:rsidR="004E4F8A">
        <w:rPr>
          <w:rFonts w:ascii="Times New Roman" w:hAnsi="Times New Roman" w:cs="Times New Roman"/>
          <w:sz w:val="24"/>
          <w:szCs w:val="24"/>
        </w:rPr>
        <w:t xml:space="preserve"> special plea of prescription. P</w:t>
      </w:r>
      <w:r>
        <w:rPr>
          <w:rFonts w:ascii="Times New Roman" w:hAnsi="Times New Roman" w:cs="Times New Roman"/>
          <w:sz w:val="24"/>
          <w:szCs w:val="24"/>
        </w:rPr>
        <w:t xml:space="preserve">laintiff in convention replicated raising interruption of prescription. The first defendant did not </w:t>
      </w:r>
      <w:r w:rsidR="004E4F8A">
        <w:rPr>
          <w:rFonts w:ascii="Times New Roman" w:hAnsi="Times New Roman" w:cs="Times New Roman"/>
          <w:sz w:val="24"/>
          <w:szCs w:val="24"/>
        </w:rPr>
        <w:t>raise the special plea as a point</w:t>
      </w:r>
      <w:r>
        <w:rPr>
          <w:rFonts w:ascii="Times New Roman" w:hAnsi="Times New Roman" w:cs="Times New Roman"/>
          <w:sz w:val="24"/>
          <w:szCs w:val="24"/>
        </w:rPr>
        <w:t xml:space="preserve"> in </w:t>
      </w:r>
      <w:r w:rsidRPr="00E5553B">
        <w:rPr>
          <w:rFonts w:ascii="Times New Roman" w:hAnsi="Times New Roman" w:cs="Times New Roman"/>
          <w:i/>
          <w:sz w:val="24"/>
          <w:szCs w:val="24"/>
        </w:rPr>
        <w:t>limine</w:t>
      </w:r>
      <w:r>
        <w:rPr>
          <w:rFonts w:ascii="Times New Roman" w:hAnsi="Times New Roman" w:cs="Times New Roman"/>
          <w:sz w:val="24"/>
          <w:szCs w:val="24"/>
        </w:rPr>
        <w:t xml:space="preserve">. In any case even if it had, once </w:t>
      </w:r>
      <w:r w:rsidR="004E4F8A">
        <w:rPr>
          <w:rFonts w:ascii="Times New Roman" w:hAnsi="Times New Roman" w:cs="Times New Roman"/>
          <w:sz w:val="24"/>
          <w:szCs w:val="24"/>
        </w:rPr>
        <w:t>t</w:t>
      </w:r>
      <w:r>
        <w:rPr>
          <w:rFonts w:ascii="Times New Roman" w:hAnsi="Times New Roman" w:cs="Times New Roman"/>
          <w:sz w:val="24"/>
          <w:szCs w:val="24"/>
        </w:rPr>
        <w:t xml:space="preserve">he plaintiff replicated, there is a change of onus and </w:t>
      </w:r>
      <w:r w:rsidR="0000253C">
        <w:rPr>
          <w:rFonts w:ascii="Times New Roman" w:hAnsi="Times New Roman" w:cs="Times New Roman"/>
          <w:sz w:val="24"/>
          <w:szCs w:val="24"/>
        </w:rPr>
        <w:t>t</w:t>
      </w:r>
      <w:r>
        <w:rPr>
          <w:rFonts w:ascii="Times New Roman" w:hAnsi="Times New Roman" w:cs="Times New Roman"/>
          <w:sz w:val="24"/>
          <w:szCs w:val="24"/>
        </w:rPr>
        <w:t xml:space="preserve">here would be need for oral evidence to be led by both parties. The special plea could not have been dealt with in the absence of evidence. It is on this basis that I </w:t>
      </w:r>
      <w:r w:rsidR="00191595">
        <w:rPr>
          <w:rFonts w:ascii="Times New Roman" w:hAnsi="Times New Roman" w:cs="Times New Roman"/>
          <w:sz w:val="24"/>
          <w:szCs w:val="24"/>
        </w:rPr>
        <w:t xml:space="preserve">ordered </w:t>
      </w:r>
      <w:r>
        <w:rPr>
          <w:rFonts w:ascii="Times New Roman" w:hAnsi="Times New Roman" w:cs="Times New Roman"/>
          <w:sz w:val="24"/>
          <w:szCs w:val="24"/>
        </w:rPr>
        <w:t>th</w:t>
      </w:r>
      <w:r w:rsidR="00191595">
        <w:rPr>
          <w:rFonts w:ascii="Times New Roman" w:hAnsi="Times New Roman" w:cs="Times New Roman"/>
          <w:sz w:val="24"/>
          <w:szCs w:val="24"/>
        </w:rPr>
        <w:t>a</w:t>
      </w:r>
      <w:r>
        <w:rPr>
          <w:rFonts w:ascii="Times New Roman" w:hAnsi="Times New Roman" w:cs="Times New Roman"/>
          <w:sz w:val="24"/>
          <w:szCs w:val="24"/>
        </w:rPr>
        <w:t>t the parties lead evidence both on the special plea and on the merits.</w:t>
      </w:r>
    </w:p>
    <w:p w:rsidR="00E5553B" w:rsidRDefault="00E5553B" w:rsidP="00E5553B">
      <w:pPr>
        <w:spacing w:after="0" w:line="360" w:lineRule="auto"/>
        <w:jc w:val="both"/>
        <w:rPr>
          <w:rFonts w:ascii="Times New Roman" w:hAnsi="Times New Roman" w:cs="Times New Roman"/>
          <w:sz w:val="24"/>
          <w:szCs w:val="24"/>
        </w:rPr>
      </w:pPr>
    </w:p>
    <w:p w:rsidR="00E5553B" w:rsidRPr="001F6DBC" w:rsidRDefault="004E4F8A" w:rsidP="00E5553B">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Plaintiff’s Case</w:t>
      </w:r>
    </w:p>
    <w:p w:rsidR="00665AC1" w:rsidRDefault="00E5553B" w:rsidP="00E555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1F6DBC">
        <w:rPr>
          <w:rFonts w:ascii="Times New Roman" w:hAnsi="Times New Roman" w:cs="Times New Roman"/>
          <w:i/>
          <w:sz w:val="24"/>
          <w:szCs w:val="24"/>
        </w:rPr>
        <w:t>Thomas Sariman</w:t>
      </w:r>
      <w:r w:rsidR="00191595" w:rsidRPr="001F6DBC">
        <w:rPr>
          <w:rFonts w:ascii="Times New Roman" w:hAnsi="Times New Roman" w:cs="Times New Roman"/>
          <w:i/>
          <w:sz w:val="24"/>
          <w:szCs w:val="24"/>
        </w:rPr>
        <w:t>a</w:t>
      </w:r>
      <w:r>
        <w:rPr>
          <w:rFonts w:ascii="Times New Roman" w:hAnsi="Times New Roman" w:cs="Times New Roman"/>
          <w:sz w:val="24"/>
          <w:szCs w:val="24"/>
        </w:rPr>
        <w:t xml:space="preserve"> testified as the fi</w:t>
      </w:r>
      <w:r w:rsidR="00191595">
        <w:rPr>
          <w:rFonts w:ascii="Times New Roman" w:hAnsi="Times New Roman" w:cs="Times New Roman"/>
          <w:sz w:val="24"/>
          <w:szCs w:val="24"/>
        </w:rPr>
        <w:t>r</w:t>
      </w:r>
      <w:r>
        <w:rPr>
          <w:rFonts w:ascii="Times New Roman" w:hAnsi="Times New Roman" w:cs="Times New Roman"/>
          <w:sz w:val="24"/>
          <w:szCs w:val="24"/>
        </w:rPr>
        <w:t xml:space="preserve">st witness for the plaintiff. He is the Director. His evidence was to the following effect. Plaintiff is in </w:t>
      </w:r>
      <w:r w:rsidR="00191595">
        <w:rPr>
          <w:rFonts w:ascii="Times New Roman" w:hAnsi="Times New Roman" w:cs="Times New Roman"/>
          <w:sz w:val="24"/>
          <w:szCs w:val="24"/>
        </w:rPr>
        <w:t>the business of repairing of and</w:t>
      </w:r>
      <w:r>
        <w:rPr>
          <w:rFonts w:ascii="Times New Roman" w:hAnsi="Times New Roman" w:cs="Times New Roman"/>
          <w:sz w:val="24"/>
          <w:szCs w:val="24"/>
        </w:rPr>
        <w:t xml:space="preserve"> selling accessories for motor vehicles. Currently plaintiff </w:t>
      </w:r>
      <w:r w:rsidR="00191595">
        <w:rPr>
          <w:rFonts w:ascii="Times New Roman" w:hAnsi="Times New Roman" w:cs="Times New Roman"/>
          <w:sz w:val="24"/>
          <w:szCs w:val="24"/>
        </w:rPr>
        <w:t xml:space="preserve">operates at premises which are the subject of this matter. Sometime in August 1999, beginning of, the plaintiff </w:t>
      </w:r>
      <w:r w:rsidR="004E4F8A">
        <w:rPr>
          <w:rFonts w:ascii="Times New Roman" w:hAnsi="Times New Roman" w:cs="Times New Roman"/>
          <w:sz w:val="24"/>
          <w:szCs w:val="24"/>
        </w:rPr>
        <w:t>entered into a lease agreement o</w:t>
      </w:r>
      <w:r w:rsidR="00191595">
        <w:rPr>
          <w:rFonts w:ascii="Times New Roman" w:hAnsi="Times New Roman" w:cs="Times New Roman"/>
          <w:sz w:val="24"/>
          <w:szCs w:val="24"/>
        </w:rPr>
        <w:t xml:space="preserve">f the subject property and first defendant acted </w:t>
      </w:r>
      <w:r w:rsidR="001F6DBC">
        <w:rPr>
          <w:rFonts w:ascii="Times New Roman" w:hAnsi="Times New Roman" w:cs="Times New Roman"/>
          <w:sz w:val="24"/>
          <w:szCs w:val="24"/>
        </w:rPr>
        <w:t>as an agent of second defendant. T</w:t>
      </w:r>
      <w:r w:rsidR="00FB56C1">
        <w:rPr>
          <w:rFonts w:ascii="Times New Roman" w:hAnsi="Times New Roman" w:cs="Times New Roman"/>
          <w:sz w:val="24"/>
          <w:szCs w:val="24"/>
        </w:rPr>
        <w:t>he</w:t>
      </w:r>
      <w:r w:rsidR="00665AC1">
        <w:rPr>
          <w:rFonts w:ascii="Times New Roman" w:hAnsi="Times New Roman" w:cs="Times New Roman"/>
          <w:sz w:val="24"/>
          <w:szCs w:val="24"/>
        </w:rPr>
        <w:t xml:space="preserve"> lease lasted for a period of al</w:t>
      </w:r>
      <w:r w:rsidR="00FB56C1">
        <w:rPr>
          <w:rFonts w:ascii="Times New Roman" w:hAnsi="Times New Roman" w:cs="Times New Roman"/>
          <w:sz w:val="24"/>
          <w:szCs w:val="24"/>
        </w:rPr>
        <w:t>most</w:t>
      </w:r>
      <w:r w:rsidR="00665AC1">
        <w:rPr>
          <w:rFonts w:ascii="Times New Roman" w:hAnsi="Times New Roman" w:cs="Times New Roman"/>
          <w:sz w:val="24"/>
          <w:szCs w:val="24"/>
        </w:rPr>
        <w:t xml:space="preserve"> 10 years, up</w:t>
      </w:r>
      <w:r w:rsidR="00552BB1">
        <w:rPr>
          <w:rFonts w:ascii="Times New Roman" w:hAnsi="Times New Roman" w:cs="Times New Roman"/>
          <w:sz w:val="24"/>
          <w:szCs w:val="24"/>
        </w:rPr>
        <w:t xml:space="preserve"> </w:t>
      </w:r>
      <w:r w:rsidR="00665AC1">
        <w:rPr>
          <w:rFonts w:ascii="Times New Roman" w:hAnsi="Times New Roman" w:cs="Times New Roman"/>
          <w:sz w:val="24"/>
          <w:szCs w:val="24"/>
        </w:rPr>
        <w:t xml:space="preserve">to February 2009. When first defendant sold the same property to the plaintiff. The witness signed the agreement of sale representing plaintiff. The purchase price was US$ 80 000. The plaintiff experienced </w:t>
      </w:r>
      <w:r w:rsidR="0000253C">
        <w:rPr>
          <w:rFonts w:ascii="Times New Roman" w:hAnsi="Times New Roman" w:cs="Times New Roman"/>
          <w:sz w:val="24"/>
          <w:szCs w:val="24"/>
        </w:rPr>
        <w:t xml:space="preserve">financial </w:t>
      </w:r>
      <w:r w:rsidR="00665AC1">
        <w:rPr>
          <w:rFonts w:ascii="Times New Roman" w:hAnsi="Times New Roman" w:cs="Times New Roman"/>
          <w:sz w:val="24"/>
          <w:szCs w:val="24"/>
        </w:rPr>
        <w:t xml:space="preserve">challenges and renegotiated new terms more specifically relating to the period of payment, however the full purchase price was paid in 2009 and after full payment plaintiff ceased to be a tenant of the property </w:t>
      </w:r>
      <w:r w:rsidR="00802733">
        <w:rPr>
          <w:rFonts w:ascii="Times New Roman" w:hAnsi="Times New Roman" w:cs="Times New Roman"/>
          <w:sz w:val="24"/>
          <w:szCs w:val="24"/>
        </w:rPr>
        <w:t>that</w:t>
      </w:r>
      <w:r w:rsidR="00665AC1">
        <w:rPr>
          <w:rFonts w:ascii="Times New Roman" w:hAnsi="Times New Roman" w:cs="Times New Roman"/>
          <w:sz w:val="24"/>
          <w:szCs w:val="24"/>
        </w:rPr>
        <w:t xml:space="preserve"> year. </w:t>
      </w:r>
    </w:p>
    <w:p w:rsidR="009276F5" w:rsidRDefault="00665AC1" w:rsidP="00E555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witness testified that from the onset second defendant was aware</w:t>
      </w:r>
      <w:r w:rsidR="004E4F8A">
        <w:rPr>
          <w:rFonts w:ascii="Times New Roman" w:hAnsi="Times New Roman" w:cs="Times New Roman"/>
          <w:sz w:val="24"/>
          <w:szCs w:val="24"/>
        </w:rPr>
        <w:t xml:space="preserve"> of the agreement of sale. He po</w:t>
      </w:r>
      <w:r>
        <w:rPr>
          <w:rFonts w:ascii="Times New Roman" w:hAnsi="Times New Roman" w:cs="Times New Roman"/>
          <w:sz w:val="24"/>
          <w:szCs w:val="24"/>
        </w:rPr>
        <w:t xml:space="preserve">inted out </w:t>
      </w:r>
      <w:r w:rsidR="0000253C">
        <w:rPr>
          <w:rFonts w:ascii="Times New Roman" w:hAnsi="Times New Roman" w:cs="Times New Roman"/>
          <w:sz w:val="24"/>
          <w:szCs w:val="24"/>
        </w:rPr>
        <w:t xml:space="preserve">that </w:t>
      </w:r>
      <w:r>
        <w:rPr>
          <w:rFonts w:ascii="Times New Roman" w:hAnsi="Times New Roman" w:cs="Times New Roman"/>
          <w:sz w:val="24"/>
          <w:szCs w:val="24"/>
        </w:rPr>
        <w:t xml:space="preserve">second defendant gave a power of attorney to Mr </w:t>
      </w:r>
      <w:r w:rsidRPr="001F6DBC">
        <w:rPr>
          <w:rFonts w:ascii="Times New Roman" w:hAnsi="Times New Roman" w:cs="Times New Roman"/>
          <w:i/>
          <w:sz w:val="24"/>
          <w:szCs w:val="24"/>
        </w:rPr>
        <w:t xml:space="preserve">Mark Richard David </w:t>
      </w:r>
      <w:r w:rsidR="00DD7805" w:rsidRPr="001F6DBC">
        <w:rPr>
          <w:rFonts w:ascii="Times New Roman" w:hAnsi="Times New Roman" w:cs="Times New Roman"/>
          <w:i/>
          <w:sz w:val="24"/>
          <w:szCs w:val="24"/>
        </w:rPr>
        <w:t>S</w:t>
      </w:r>
      <w:r w:rsidRPr="001F6DBC">
        <w:rPr>
          <w:rFonts w:ascii="Times New Roman" w:hAnsi="Times New Roman" w:cs="Times New Roman"/>
          <w:i/>
          <w:sz w:val="24"/>
          <w:szCs w:val="24"/>
        </w:rPr>
        <w:t>tonier</w:t>
      </w:r>
      <w:r>
        <w:rPr>
          <w:rFonts w:ascii="Times New Roman" w:hAnsi="Times New Roman" w:cs="Times New Roman"/>
          <w:sz w:val="24"/>
          <w:szCs w:val="24"/>
        </w:rPr>
        <w:t xml:space="preserve"> empowering him to act on her behalf in transferring the property to </w:t>
      </w:r>
      <w:r w:rsidR="004E4F8A">
        <w:rPr>
          <w:rFonts w:ascii="Times New Roman" w:hAnsi="Times New Roman" w:cs="Times New Roman"/>
          <w:sz w:val="24"/>
          <w:szCs w:val="24"/>
        </w:rPr>
        <w:t>the purchaser, the P</w:t>
      </w:r>
      <w:r>
        <w:rPr>
          <w:rFonts w:ascii="Times New Roman" w:hAnsi="Times New Roman" w:cs="Times New Roman"/>
          <w:sz w:val="24"/>
          <w:szCs w:val="24"/>
        </w:rPr>
        <w:t xml:space="preserve">ower </w:t>
      </w:r>
      <w:r w:rsidR="0000253C">
        <w:rPr>
          <w:rFonts w:ascii="Times New Roman" w:hAnsi="Times New Roman" w:cs="Times New Roman"/>
          <w:sz w:val="24"/>
          <w:szCs w:val="24"/>
        </w:rPr>
        <w:t>of attorney</w:t>
      </w:r>
      <w:r>
        <w:rPr>
          <w:rFonts w:ascii="Times New Roman" w:hAnsi="Times New Roman" w:cs="Times New Roman"/>
          <w:sz w:val="24"/>
          <w:szCs w:val="24"/>
        </w:rPr>
        <w:t xml:space="preserve"> is dated first October 2002. The witness also referred the </w:t>
      </w:r>
      <w:r w:rsidR="00552BB1">
        <w:rPr>
          <w:rFonts w:ascii="Times New Roman" w:hAnsi="Times New Roman" w:cs="Times New Roman"/>
          <w:sz w:val="24"/>
          <w:szCs w:val="24"/>
        </w:rPr>
        <w:t>court to the water and services s</w:t>
      </w:r>
      <w:r w:rsidR="0000253C">
        <w:rPr>
          <w:rFonts w:ascii="Times New Roman" w:hAnsi="Times New Roman" w:cs="Times New Roman"/>
          <w:sz w:val="24"/>
          <w:szCs w:val="24"/>
        </w:rPr>
        <w:t>tatements</w:t>
      </w:r>
      <w:r w:rsidR="00F637B7">
        <w:rPr>
          <w:rFonts w:ascii="Times New Roman" w:hAnsi="Times New Roman" w:cs="Times New Roman"/>
          <w:sz w:val="24"/>
          <w:szCs w:val="24"/>
        </w:rPr>
        <w:t xml:space="preserve"> for the period 01 April 2021 to 21 April 2021</w:t>
      </w:r>
      <w:r>
        <w:rPr>
          <w:rFonts w:ascii="Times New Roman" w:hAnsi="Times New Roman" w:cs="Times New Roman"/>
          <w:sz w:val="24"/>
          <w:szCs w:val="24"/>
        </w:rPr>
        <w:t xml:space="preserve"> in the name of second defendant. Contrary to the letter dated 30</w:t>
      </w:r>
      <w:r>
        <w:rPr>
          <w:rFonts w:ascii="Times New Roman" w:hAnsi="Times New Roman" w:cs="Times New Roman"/>
          <w:sz w:val="24"/>
          <w:szCs w:val="24"/>
          <w:vertAlign w:val="superscript"/>
        </w:rPr>
        <w:t xml:space="preserve"> </w:t>
      </w:r>
      <w:r>
        <w:rPr>
          <w:rFonts w:ascii="Times New Roman" w:hAnsi="Times New Roman" w:cs="Times New Roman"/>
          <w:sz w:val="24"/>
          <w:szCs w:val="24"/>
        </w:rPr>
        <w:t>March 2011 from Messrs’ Mark S</w:t>
      </w:r>
      <w:r w:rsidR="00DD7805">
        <w:rPr>
          <w:rFonts w:ascii="Times New Roman" w:hAnsi="Times New Roman" w:cs="Times New Roman"/>
          <w:sz w:val="24"/>
          <w:szCs w:val="24"/>
        </w:rPr>
        <w:t>tonie</w:t>
      </w:r>
      <w:r>
        <w:rPr>
          <w:rFonts w:ascii="Times New Roman" w:hAnsi="Times New Roman" w:cs="Times New Roman"/>
          <w:sz w:val="24"/>
          <w:szCs w:val="24"/>
        </w:rPr>
        <w:t>r Legal P</w:t>
      </w:r>
      <w:r w:rsidR="00F637B7">
        <w:rPr>
          <w:rFonts w:ascii="Times New Roman" w:hAnsi="Times New Roman" w:cs="Times New Roman"/>
          <w:sz w:val="24"/>
          <w:szCs w:val="24"/>
        </w:rPr>
        <w:t xml:space="preserve">ractitioners addressed to plaintiff’s legal practitioners of record, the witness reiterated that </w:t>
      </w:r>
      <w:r w:rsidR="00F637B7">
        <w:rPr>
          <w:rFonts w:ascii="Times New Roman" w:hAnsi="Times New Roman" w:cs="Times New Roman"/>
          <w:sz w:val="24"/>
          <w:szCs w:val="24"/>
        </w:rPr>
        <w:lastRenderedPageBreak/>
        <w:t xml:space="preserve">second defendant was fully aware of the agreement of sale. The agreement of sale reflected on </w:t>
      </w:r>
      <w:r w:rsidR="0000253C">
        <w:rPr>
          <w:rFonts w:ascii="Times New Roman" w:hAnsi="Times New Roman" w:cs="Times New Roman"/>
          <w:sz w:val="24"/>
          <w:szCs w:val="24"/>
        </w:rPr>
        <w:t>p</w:t>
      </w:r>
      <w:r w:rsidR="00F637B7">
        <w:rPr>
          <w:rFonts w:ascii="Times New Roman" w:hAnsi="Times New Roman" w:cs="Times New Roman"/>
          <w:sz w:val="24"/>
          <w:szCs w:val="24"/>
        </w:rPr>
        <w:t xml:space="preserve"> 33 of plaintiff’s bun</w:t>
      </w:r>
      <w:r w:rsidR="004E4F8A">
        <w:rPr>
          <w:rFonts w:ascii="Times New Roman" w:hAnsi="Times New Roman" w:cs="Times New Roman"/>
          <w:sz w:val="24"/>
          <w:szCs w:val="24"/>
        </w:rPr>
        <w:t>dles was prepared</w:t>
      </w:r>
      <w:r w:rsidR="00F637B7">
        <w:rPr>
          <w:rFonts w:ascii="Times New Roman" w:hAnsi="Times New Roman" w:cs="Times New Roman"/>
          <w:sz w:val="24"/>
          <w:szCs w:val="24"/>
        </w:rPr>
        <w:t xml:space="preserve"> by first defendant’s legal practitioners and employe</w:t>
      </w:r>
      <w:r w:rsidR="004E4F8A">
        <w:rPr>
          <w:rFonts w:ascii="Times New Roman" w:hAnsi="Times New Roman" w:cs="Times New Roman"/>
          <w:sz w:val="24"/>
          <w:szCs w:val="24"/>
        </w:rPr>
        <w:t>es of first defendant. Moses Mu</w:t>
      </w:r>
      <w:r w:rsidR="00F637B7">
        <w:rPr>
          <w:rFonts w:ascii="Times New Roman" w:hAnsi="Times New Roman" w:cs="Times New Roman"/>
          <w:sz w:val="24"/>
          <w:szCs w:val="24"/>
        </w:rPr>
        <w:t>di</w:t>
      </w:r>
      <w:r w:rsidR="004E4F8A">
        <w:rPr>
          <w:rFonts w:ascii="Times New Roman" w:hAnsi="Times New Roman" w:cs="Times New Roman"/>
          <w:sz w:val="24"/>
          <w:szCs w:val="24"/>
        </w:rPr>
        <w:t>i</w:t>
      </w:r>
      <w:r w:rsidR="00F637B7">
        <w:rPr>
          <w:rFonts w:ascii="Times New Roman" w:hAnsi="Times New Roman" w:cs="Times New Roman"/>
          <w:sz w:val="24"/>
          <w:szCs w:val="24"/>
        </w:rPr>
        <w:t>ma represented first defendant. Communication between the witness a</w:t>
      </w:r>
      <w:r w:rsidR="001F6DBC">
        <w:rPr>
          <w:rFonts w:ascii="Times New Roman" w:hAnsi="Times New Roman" w:cs="Times New Roman"/>
          <w:sz w:val="24"/>
          <w:szCs w:val="24"/>
        </w:rPr>
        <w:t>nd first defendant was through M</w:t>
      </w:r>
      <w:r w:rsidR="004E4F8A">
        <w:rPr>
          <w:rFonts w:ascii="Times New Roman" w:hAnsi="Times New Roman" w:cs="Times New Roman"/>
          <w:sz w:val="24"/>
          <w:szCs w:val="24"/>
        </w:rPr>
        <w:t>r Moses Mu</w:t>
      </w:r>
      <w:r w:rsidR="00F637B7">
        <w:rPr>
          <w:rFonts w:ascii="Times New Roman" w:hAnsi="Times New Roman" w:cs="Times New Roman"/>
          <w:sz w:val="24"/>
          <w:szCs w:val="24"/>
        </w:rPr>
        <w:t>d</w:t>
      </w:r>
      <w:r w:rsidR="004E4F8A">
        <w:rPr>
          <w:rFonts w:ascii="Times New Roman" w:hAnsi="Times New Roman" w:cs="Times New Roman"/>
          <w:sz w:val="24"/>
          <w:szCs w:val="24"/>
        </w:rPr>
        <w:t>i</w:t>
      </w:r>
      <w:r w:rsidR="00F637B7">
        <w:rPr>
          <w:rFonts w:ascii="Times New Roman" w:hAnsi="Times New Roman" w:cs="Times New Roman"/>
          <w:sz w:val="24"/>
          <w:szCs w:val="24"/>
        </w:rPr>
        <w:t xml:space="preserve">ima and Wycliffe Chirinda. The latter two were dealing directly with second defendant’s legal </w:t>
      </w:r>
      <w:r w:rsidR="001F6DBC">
        <w:rPr>
          <w:rFonts w:ascii="Times New Roman" w:hAnsi="Times New Roman" w:cs="Times New Roman"/>
          <w:sz w:val="24"/>
          <w:szCs w:val="24"/>
        </w:rPr>
        <w:t>practitioners</w:t>
      </w:r>
      <w:r w:rsidR="00F637B7">
        <w:rPr>
          <w:rFonts w:ascii="Times New Roman" w:hAnsi="Times New Roman" w:cs="Times New Roman"/>
          <w:sz w:val="24"/>
          <w:szCs w:val="24"/>
        </w:rPr>
        <w:t xml:space="preserve"> and periodically informed the witness about first defendant waiting for second defendant to give first defendant green</w:t>
      </w:r>
      <w:r w:rsidR="00C53876">
        <w:rPr>
          <w:rFonts w:ascii="Times New Roman" w:hAnsi="Times New Roman" w:cs="Times New Roman"/>
          <w:sz w:val="24"/>
          <w:szCs w:val="24"/>
        </w:rPr>
        <w:t xml:space="preserve"> </w:t>
      </w:r>
      <w:r w:rsidR="00F637B7">
        <w:rPr>
          <w:rFonts w:ascii="Times New Roman" w:hAnsi="Times New Roman" w:cs="Times New Roman"/>
          <w:sz w:val="24"/>
          <w:szCs w:val="24"/>
        </w:rPr>
        <w:t>light as to the variation, signing and payment of the bal</w:t>
      </w:r>
      <w:r w:rsidR="009276F5">
        <w:rPr>
          <w:rFonts w:ascii="Times New Roman" w:hAnsi="Times New Roman" w:cs="Times New Roman"/>
          <w:sz w:val="24"/>
          <w:szCs w:val="24"/>
        </w:rPr>
        <w:t>ance as well as the subsequent refund of the purchase price to the plaintiff.</w:t>
      </w:r>
    </w:p>
    <w:p w:rsidR="00E5553B" w:rsidRDefault="009276F5" w:rsidP="00E555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w:t>
      </w:r>
      <w:r w:rsidR="00C53876">
        <w:rPr>
          <w:rFonts w:ascii="Times New Roman" w:hAnsi="Times New Roman" w:cs="Times New Roman"/>
          <w:sz w:val="24"/>
          <w:szCs w:val="24"/>
        </w:rPr>
        <w:t>itness produced emails</w:t>
      </w:r>
      <w:r w:rsidR="0000253C">
        <w:rPr>
          <w:rFonts w:ascii="Times New Roman" w:hAnsi="Times New Roman" w:cs="Times New Roman"/>
          <w:sz w:val="24"/>
          <w:szCs w:val="24"/>
        </w:rPr>
        <w:t>,</w:t>
      </w:r>
      <w:r w:rsidR="00C53876">
        <w:rPr>
          <w:rFonts w:ascii="Times New Roman" w:hAnsi="Times New Roman" w:cs="Times New Roman"/>
          <w:sz w:val="24"/>
          <w:szCs w:val="24"/>
        </w:rPr>
        <w:t xml:space="preserve"> letters and other forms of correspondence to show that though first defendant dealt with plaintiff, second defendant was fully aware of every development pertaining to the agreement of sale. At every crucial stage </w:t>
      </w:r>
      <w:r w:rsidR="00C53876" w:rsidRPr="001F6DBC">
        <w:rPr>
          <w:rFonts w:ascii="Times New Roman" w:hAnsi="Times New Roman" w:cs="Times New Roman"/>
          <w:i/>
          <w:sz w:val="24"/>
          <w:szCs w:val="24"/>
        </w:rPr>
        <w:t>Mark Stonier</w:t>
      </w:r>
      <w:r w:rsidR="00C53876">
        <w:rPr>
          <w:rFonts w:ascii="Times New Roman" w:hAnsi="Times New Roman" w:cs="Times New Roman"/>
          <w:sz w:val="24"/>
          <w:szCs w:val="24"/>
        </w:rPr>
        <w:t xml:space="preserve"> had a final say. Second defendant agreed to extend the deadline for payment. Second defendant’s legal practitioners provided a foreign account Trust Account Number based in Switzerland and directed plaintiff to deposit the purchase price in that account and on 17 march 2009 Mr Mudiima confirmed the method of payment to the witness and </w:t>
      </w:r>
      <w:r w:rsidR="00A926E2">
        <w:rPr>
          <w:rFonts w:ascii="Times New Roman" w:hAnsi="Times New Roman" w:cs="Times New Roman"/>
          <w:sz w:val="24"/>
          <w:szCs w:val="24"/>
        </w:rPr>
        <w:t>Messrs’</w:t>
      </w:r>
      <w:r w:rsidR="00C53876">
        <w:rPr>
          <w:rFonts w:ascii="Times New Roman" w:hAnsi="Times New Roman" w:cs="Times New Roman"/>
          <w:sz w:val="24"/>
          <w:szCs w:val="24"/>
        </w:rPr>
        <w:t xml:space="preserve"> Gill, Godlonton and Gerrans indicated to the witness that they were getting instructions from Mr Mark Stonier. However all the deposit were paid into Gill Godlonton and Gerrans Overseas Trust Account in Switzerland. The </w:t>
      </w:r>
      <w:r w:rsidR="00A926E2">
        <w:rPr>
          <w:rFonts w:ascii="Times New Roman" w:hAnsi="Times New Roman" w:cs="Times New Roman"/>
          <w:sz w:val="24"/>
          <w:szCs w:val="24"/>
        </w:rPr>
        <w:t xml:space="preserve">follow ups for balances outstanding were done by first defendant’s employees, particularly Mr Mudiima and second defendant was frequently mentioned as the proprietor of the property being sold. The witness was also made to understand by first defendant that if plaintiff fails to meet the deadline </w:t>
      </w:r>
      <w:r w:rsidR="001F6DBC">
        <w:rPr>
          <w:rFonts w:ascii="Times New Roman" w:hAnsi="Times New Roman" w:cs="Times New Roman"/>
          <w:sz w:val="24"/>
          <w:szCs w:val="24"/>
        </w:rPr>
        <w:t>of payment second defendant was</w:t>
      </w:r>
      <w:r w:rsidR="00A926E2">
        <w:rPr>
          <w:rFonts w:ascii="Times New Roman" w:hAnsi="Times New Roman" w:cs="Times New Roman"/>
          <w:sz w:val="24"/>
          <w:szCs w:val="24"/>
        </w:rPr>
        <w:t xml:space="preserve"> going to resell the property to a third party.</w:t>
      </w:r>
    </w:p>
    <w:p w:rsidR="00A926E2" w:rsidRDefault="0000253C" w:rsidP="00E555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witness denied</w:t>
      </w:r>
      <w:r w:rsidR="00A926E2">
        <w:rPr>
          <w:rFonts w:ascii="Times New Roman" w:hAnsi="Times New Roman" w:cs="Times New Roman"/>
          <w:sz w:val="24"/>
          <w:szCs w:val="24"/>
        </w:rPr>
        <w:t xml:space="preserve"> that the agreement of</w:t>
      </w:r>
      <w:r w:rsidR="001B1CCB">
        <w:rPr>
          <w:rFonts w:ascii="Times New Roman" w:hAnsi="Times New Roman" w:cs="Times New Roman"/>
          <w:sz w:val="24"/>
          <w:szCs w:val="24"/>
        </w:rPr>
        <w:t xml:space="preserve"> sale was cancelled. The witness told the court that plaintiff was never appraised of the cancellation. All the alleged emails or letters talking of the cancellation were not sent to plaintiff. What the witness acknowledged receiving were correspondences about recti</w:t>
      </w:r>
      <w:r w:rsidR="004E4F8A">
        <w:rPr>
          <w:rFonts w:ascii="Times New Roman" w:hAnsi="Times New Roman" w:cs="Times New Roman"/>
          <w:sz w:val="24"/>
          <w:szCs w:val="24"/>
        </w:rPr>
        <w:t>fying breach for late payment. H</w:t>
      </w:r>
      <w:r w:rsidR="001B1CCB">
        <w:rPr>
          <w:rFonts w:ascii="Times New Roman" w:hAnsi="Times New Roman" w:cs="Times New Roman"/>
          <w:sz w:val="24"/>
          <w:szCs w:val="24"/>
        </w:rPr>
        <w:t xml:space="preserve">owever the plaintiff sought extension of time and first and second defendants agreed to the extensions which facilitated plaintiff to pay the outstanding balances and demanded transfer of ownership. Contrary to the requirement of either party giving the one at least fourteen days notice to rectify the breach as stipulated in the agreement of sale, plaintiff never received that notice. The witness also remarked that no notice of 30 days for the cancellation of the agreement was posted to him before the </w:t>
      </w:r>
      <w:r w:rsidR="001F6DBC">
        <w:rPr>
          <w:rFonts w:ascii="Times New Roman" w:hAnsi="Times New Roman" w:cs="Times New Roman"/>
          <w:sz w:val="24"/>
          <w:szCs w:val="24"/>
        </w:rPr>
        <w:t>purported</w:t>
      </w:r>
      <w:r w:rsidR="001B1CCB">
        <w:rPr>
          <w:rFonts w:ascii="Times New Roman" w:hAnsi="Times New Roman" w:cs="Times New Roman"/>
          <w:sz w:val="24"/>
          <w:szCs w:val="24"/>
        </w:rPr>
        <w:t xml:space="preserve"> cancellation. No one placed plaintiff on terms that the </w:t>
      </w:r>
      <w:r w:rsidR="001F6DBC">
        <w:rPr>
          <w:rFonts w:ascii="Times New Roman" w:hAnsi="Times New Roman" w:cs="Times New Roman"/>
          <w:sz w:val="24"/>
          <w:szCs w:val="24"/>
        </w:rPr>
        <w:t>contract</w:t>
      </w:r>
      <w:r w:rsidR="001B1CCB">
        <w:rPr>
          <w:rFonts w:ascii="Times New Roman" w:hAnsi="Times New Roman" w:cs="Times New Roman"/>
          <w:sz w:val="24"/>
          <w:szCs w:val="24"/>
        </w:rPr>
        <w:t xml:space="preserve"> has been </w:t>
      </w:r>
      <w:r w:rsidR="001B1CCB">
        <w:rPr>
          <w:rFonts w:ascii="Times New Roman" w:hAnsi="Times New Roman" w:cs="Times New Roman"/>
          <w:sz w:val="24"/>
          <w:szCs w:val="24"/>
        </w:rPr>
        <w:lastRenderedPageBreak/>
        <w:t>terminated or was about to be terminated. He was not informed that the property had been resold as alleged by first defendant.</w:t>
      </w:r>
    </w:p>
    <w:p w:rsidR="001B1CCB" w:rsidRDefault="001B1CCB" w:rsidP="00E555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witness went on to state that the first and second defendant</w:t>
      </w:r>
      <w:r w:rsidR="0000253C">
        <w:rPr>
          <w:rFonts w:ascii="Times New Roman" w:hAnsi="Times New Roman" w:cs="Times New Roman"/>
          <w:sz w:val="24"/>
          <w:szCs w:val="24"/>
        </w:rPr>
        <w:t>s</w:t>
      </w:r>
      <w:r>
        <w:rPr>
          <w:rFonts w:ascii="Times New Roman" w:hAnsi="Times New Roman" w:cs="Times New Roman"/>
          <w:sz w:val="24"/>
          <w:szCs w:val="24"/>
        </w:rPr>
        <w:t xml:space="preserve"> never informed plaintiff that the </w:t>
      </w:r>
      <w:r w:rsidR="001F6DBC">
        <w:rPr>
          <w:rFonts w:ascii="Times New Roman" w:hAnsi="Times New Roman" w:cs="Times New Roman"/>
          <w:sz w:val="24"/>
          <w:szCs w:val="24"/>
        </w:rPr>
        <w:t>property had</w:t>
      </w:r>
      <w:r>
        <w:rPr>
          <w:rFonts w:ascii="Times New Roman" w:hAnsi="Times New Roman" w:cs="Times New Roman"/>
          <w:sz w:val="24"/>
          <w:szCs w:val="24"/>
        </w:rPr>
        <w:t xml:space="preserve"> been sold to a third party. The witness got to know about third defendant on 30 September 2015 through one Mr Farai Chitsinde. The witness told Mr Chitsinde that plaintiff had purchased the property and also informed Mr Chitsinde about the caveat at the fo</w:t>
      </w:r>
      <w:r w:rsidR="00552BB1">
        <w:rPr>
          <w:rFonts w:ascii="Times New Roman" w:hAnsi="Times New Roman" w:cs="Times New Roman"/>
          <w:sz w:val="24"/>
          <w:szCs w:val="24"/>
        </w:rPr>
        <w:t>u</w:t>
      </w:r>
      <w:r>
        <w:rPr>
          <w:rFonts w:ascii="Times New Roman" w:hAnsi="Times New Roman" w:cs="Times New Roman"/>
          <w:sz w:val="24"/>
          <w:szCs w:val="24"/>
        </w:rPr>
        <w:t xml:space="preserve">rth </w:t>
      </w:r>
      <w:r w:rsidR="0000253C">
        <w:rPr>
          <w:rFonts w:ascii="Times New Roman" w:hAnsi="Times New Roman" w:cs="Times New Roman"/>
          <w:sz w:val="24"/>
          <w:szCs w:val="24"/>
        </w:rPr>
        <w:t>defendant’s offices over the ti</w:t>
      </w:r>
      <w:r>
        <w:rPr>
          <w:rFonts w:ascii="Times New Roman" w:hAnsi="Times New Roman" w:cs="Times New Roman"/>
          <w:sz w:val="24"/>
          <w:szCs w:val="24"/>
        </w:rPr>
        <w:t xml:space="preserve">tle </w:t>
      </w:r>
      <w:r w:rsidR="00370944">
        <w:rPr>
          <w:rFonts w:ascii="Times New Roman" w:hAnsi="Times New Roman" w:cs="Times New Roman"/>
          <w:sz w:val="24"/>
          <w:szCs w:val="24"/>
        </w:rPr>
        <w:t>deeds. The witness was not aware that third defendant took transfer</w:t>
      </w:r>
      <w:r w:rsidR="001F6DBC">
        <w:rPr>
          <w:rFonts w:ascii="Times New Roman" w:hAnsi="Times New Roman" w:cs="Times New Roman"/>
          <w:sz w:val="24"/>
          <w:szCs w:val="24"/>
        </w:rPr>
        <w:t xml:space="preserve"> of the property on </w:t>
      </w:r>
      <w:r w:rsidR="00370944">
        <w:rPr>
          <w:rFonts w:ascii="Times New Roman" w:hAnsi="Times New Roman" w:cs="Times New Roman"/>
          <w:sz w:val="24"/>
          <w:szCs w:val="24"/>
        </w:rPr>
        <w:t>6 December 2017.</w:t>
      </w:r>
    </w:p>
    <w:p w:rsidR="00370944" w:rsidRDefault="00370944" w:rsidP="00E555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It is also the witness’ evidence that plaintiff </w:t>
      </w:r>
      <w:r w:rsidR="004E4F8A">
        <w:rPr>
          <w:rFonts w:ascii="Times New Roman" w:hAnsi="Times New Roman" w:cs="Times New Roman"/>
          <w:sz w:val="24"/>
          <w:szCs w:val="24"/>
        </w:rPr>
        <w:t xml:space="preserve">paid </w:t>
      </w:r>
      <w:r>
        <w:rPr>
          <w:rFonts w:ascii="Times New Roman" w:hAnsi="Times New Roman" w:cs="Times New Roman"/>
          <w:sz w:val="24"/>
          <w:szCs w:val="24"/>
        </w:rPr>
        <w:t>the full purchase price o</w:t>
      </w:r>
      <w:r w:rsidR="004E4F8A">
        <w:rPr>
          <w:rFonts w:ascii="Times New Roman" w:hAnsi="Times New Roman" w:cs="Times New Roman"/>
          <w:sz w:val="24"/>
          <w:szCs w:val="24"/>
        </w:rPr>
        <w:t>f US$80 000.  The witness referr</w:t>
      </w:r>
      <w:r>
        <w:rPr>
          <w:rFonts w:ascii="Times New Roman" w:hAnsi="Times New Roman" w:cs="Times New Roman"/>
          <w:sz w:val="24"/>
          <w:szCs w:val="24"/>
        </w:rPr>
        <w:t>ed the court to correspondences confirming payments of US$20 045, US$3 500, US$1 100 and 6000 pounds. The witness also produced letters confirming that Coghlan Welsh and Guest was holding a total of US$80 000 in trust ready for release to the plaintiff. It is important to observe that the same amount ready for refund to the plaintiff is the same amount paid through an offshore Trust Account for Gill, Godlonton and Gerrans.</w:t>
      </w:r>
    </w:p>
    <w:p w:rsidR="00370944" w:rsidRDefault="00370944" w:rsidP="00E555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the witness’ evidence that after taking occupation of 17 Aerodrome Road soon after payment of the purchase price it made additions or improvement on the property. Plaintiff produced details of the improvement</w:t>
      </w:r>
      <w:r w:rsidR="00104A86">
        <w:rPr>
          <w:rFonts w:ascii="Times New Roman" w:hAnsi="Times New Roman" w:cs="Times New Roman"/>
          <w:sz w:val="24"/>
          <w:szCs w:val="24"/>
        </w:rPr>
        <w:t>s</w:t>
      </w:r>
      <w:r>
        <w:rPr>
          <w:rFonts w:ascii="Times New Roman" w:hAnsi="Times New Roman" w:cs="Times New Roman"/>
          <w:sz w:val="24"/>
          <w:szCs w:val="24"/>
        </w:rPr>
        <w:t xml:space="preserve"> which totalled US$43 667-52. Plaintiff is the one paying municipal rate</w:t>
      </w:r>
      <w:r w:rsidR="00104A86">
        <w:rPr>
          <w:rFonts w:ascii="Times New Roman" w:hAnsi="Times New Roman" w:cs="Times New Roman"/>
          <w:sz w:val="24"/>
          <w:szCs w:val="24"/>
        </w:rPr>
        <w:t>s</w:t>
      </w:r>
      <w:r>
        <w:rPr>
          <w:rFonts w:ascii="Times New Roman" w:hAnsi="Times New Roman" w:cs="Times New Roman"/>
          <w:sz w:val="24"/>
          <w:szCs w:val="24"/>
        </w:rPr>
        <w:t>.</w:t>
      </w:r>
    </w:p>
    <w:p w:rsidR="00370944" w:rsidRDefault="00370944" w:rsidP="003709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respondent to the th</w:t>
      </w:r>
      <w:r w:rsidR="00104A86">
        <w:rPr>
          <w:rFonts w:ascii="Times New Roman" w:hAnsi="Times New Roman" w:cs="Times New Roman"/>
          <w:sz w:val="24"/>
          <w:szCs w:val="24"/>
        </w:rPr>
        <w:t>ird defendant’s claim in reconven</w:t>
      </w:r>
      <w:r>
        <w:rPr>
          <w:rFonts w:ascii="Times New Roman" w:hAnsi="Times New Roman" w:cs="Times New Roman"/>
          <w:sz w:val="24"/>
          <w:szCs w:val="24"/>
        </w:rPr>
        <w:t xml:space="preserve">tion ejectment and arrear rentals the witness told the court </w:t>
      </w:r>
      <w:r w:rsidR="00104A86">
        <w:rPr>
          <w:rFonts w:ascii="Times New Roman" w:hAnsi="Times New Roman" w:cs="Times New Roman"/>
          <w:sz w:val="24"/>
          <w:szCs w:val="24"/>
        </w:rPr>
        <w:t xml:space="preserve">that </w:t>
      </w:r>
      <w:r>
        <w:rPr>
          <w:rFonts w:ascii="Times New Roman" w:hAnsi="Times New Roman" w:cs="Times New Roman"/>
          <w:sz w:val="24"/>
          <w:szCs w:val="24"/>
        </w:rPr>
        <w:t xml:space="preserve">plaintiff </w:t>
      </w:r>
      <w:r w:rsidR="004E4F8A">
        <w:rPr>
          <w:rFonts w:ascii="Times New Roman" w:hAnsi="Times New Roman" w:cs="Times New Roman"/>
          <w:sz w:val="24"/>
          <w:szCs w:val="24"/>
        </w:rPr>
        <w:t>ceased to be a tenant in 2009. T</w:t>
      </w:r>
      <w:r>
        <w:rPr>
          <w:rFonts w:ascii="Times New Roman" w:hAnsi="Times New Roman" w:cs="Times New Roman"/>
          <w:sz w:val="24"/>
          <w:szCs w:val="24"/>
        </w:rPr>
        <w:t xml:space="preserve">hird defendant never demanded rentals from the plaintiff. Plaintiff </w:t>
      </w:r>
      <w:r w:rsidR="00B37D8F">
        <w:rPr>
          <w:rFonts w:ascii="Times New Roman" w:hAnsi="Times New Roman" w:cs="Times New Roman"/>
          <w:sz w:val="24"/>
          <w:szCs w:val="24"/>
        </w:rPr>
        <w:t>only becam</w:t>
      </w:r>
      <w:r>
        <w:rPr>
          <w:rFonts w:ascii="Times New Roman" w:hAnsi="Times New Roman" w:cs="Times New Roman"/>
          <w:sz w:val="24"/>
          <w:szCs w:val="24"/>
        </w:rPr>
        <w:t xml:space="preserve">e </w:t>
      </w:r>
      <w:r w:rsidR="00B37D8F">
        <w:rPr>
          <w:rFonts w:ascii="Times New Roman" w:hAnsi="Times New Roman" w:cs="Times New Roman"/>
          <w:sz w:val="24"/>
          <w:szCs w:val="24"/>
        </w:rPr>
        <w:t>aware of third defendant on 30 September 2015. The title was registered on 6 December 2017 when the witness had told Mr Farai Chitsinde about the existence of an agreement of sale. The witness added that there was no contractual relationship between plaintiff and third defendant. He told the court further that plaintiff</w:t>
      </w:r>
      <w:r w:rsidR="001F6DBC">
        <w:rPr>
          <w:rFonts w:ascii="Times New Roman" w:hAnsi="Times New Roman" w:cs="Times New Roman"/>
          <w:sz w:val="24"/>
          <w:szCs w:val="24"/>
        </w:rPr>
        <w:t xml:space="preserve"> can</w:t>
      </w:r>
      <w:r w:rsidR="00B37D8F">
        <w:rPr>
          <w:rFonts w:ascii="Times New Roman" w:hAnsi="Times New Roman" w:cs="Times New Roman"/>
          <w:sz w:val="24"/>
          <w:szCs w:val="24"/>
        </w:rPr>
        <w:t>not pay rentals to a property it had bought. However if the third defendant is declared the owner of the property in dispute then it must pay US$43 667-52 for unjustified enrichment. Otherwise the third defendant must transfer title to plaintiff.</w:t>
      </w:r>
    </w:p>
    <w:p w:rsidR="00B37D8F" w:rsidRDefault="00B37D8F" w:rsidP="003709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w:t>
      </w:r>
      <w:r w:rsidR="008E40E4">
        <w:rPr>
          <w:rFonts w:ascii="Times New Roman" w:hAnsi="Times New Roman" w:cs="Times New Roman"/>
          <w:sz w:val="24"/>
          <w:szCs w:val="24"/>
        </w:rPr>
        <w:t>’s</w:t>
      </w:r>
      <w:r>
        <w:rPr>
          <w:rFonts w:ascii="Times New Roman" w:hAnsi="Times New Roman" w:cs="Times New Roman"/>
          <w:sz w:val="24"/>
          <w:szCs w:val="24"/>
        </w:rPr>
        <w:t xml:space="preserve"> witness went on to te</w:t>
      </w:r>
      <w:r w:rsidR="006D7C95">
        <w:rPr>
          <w:rFonts w:ascii="Times New Roman" w:hAnsi="Times New Roman" w:cs="Times New Roman"/>
          <w:sz w:val="24"/>
          <w:szCs w:val="24"/>
        </w:rPr>
        <w:t>ll the</w:t>
      </w:r>
      <w:r w:rsidR="001F6DBC">
        <w:rPr>
          <w:rFonts w:ascii="Times New Roman" w:hAnsi="Times New Roman" w:cs="Times New Roman"/>
          <w:sz w:val="24"/>
          <w:szCs w:val="24"/>
        </w:rPr>
        <w:t xml:space="preserve"> court</w:t>
      </w:r>
      <w:r w:rsidR="006D7C95">
        <w:rPr>
          <w:rFonts w:ascii="Times New Roman" w:hAnsi="Times New Roman" w:cs="Times New Roman"/>
          <w:sz w:val="24"/>
          <w:szCs w:val="24"/>
        </w:rPr>
        <w:t xml:space="preserve"> that</w:t>
      </w:r>
      <w:r w:rsidR="001F6DBC">
        <w:rPr>
          <w:rFonts w:ascii="Times New Roman" w:hAnsi="Times New Roman" w:cs="Times New Roman"/>
          <w:sz w:val="24"/>
          <w:szCs w:val="24"/>
        </w:rPr>
        <w:t xml:space="preserve"> first and second </w:t>
      </w:r>
      <w:r>
        <w:rPr>
          <w:rFonts w:ascii="Times New Roman" w:hAnsi="Times New Roman" w:cs="Times New Roman"/>
          <w:sz w:val="24"/>
          <w:szCs w:val="24"/>
        </w:rPr>
        <w:t>defendant</w:t>
      </w:r>
      <w:r w:rsidR="008E40E4">
        <w:rPr>
          <w:rFonts w:ascii="Times New Roman" w:hAnsi="Times New Roman" w:cs="Times New Roman"/>
          <w:sz w:val="24"/>
          <w:szCs w:val="24"/>
        </w:rPr>
        <w:t>s</w:t>
      </w:r>
      <w:r>
        <w:rPr>
          <w:rFonts w:ascii="Times New Roman" w:hAnsi="Times New Roman" w:cs="Times New Roman"/>
          <w:sz w:val="24"/>
          <w:szCs w:val="24"/>
        </w:rPr>
        <w:t xml:space="preserve"> did not provide the witness with a copy of the contract </w:t>
      </w:r>
      <w:r w:rsidR="000A3A8A">
        <w:rPr>
          <w:rFonts w:ascii="Times New Roman" w:hAnsi="Times New Roman" w:cs="Times New Roman"/>
          <w:sz w:val="24"/>
          <w:szCs w:val="24"/>
        </w:rPr>
        <w:t xml:space="preserve">or </w:t>
      </w:r>
      <w:r>
        <w:rPr>
          <w:rFonts w:ascii="Times New Roman" w:hAnsi="Times New Roman" w:cs="Times New Roman"/>
          <w:sz w:val="24"/>
          <w:szCs w:val="24"/>
        </w:rPr>
        <w:t>agreement of sale. Even though the witness had requested for a copy. To the witness the date of transfer of ownership of the property was 6 December 2017 and t</w:t>
      </w:r>
      <w:r w:rsidR="00C2493F">
        <w:rPr>
          <w:rFonts w:ascii="Times New Roman" w:hAnsi="Times New Roman" w:cs="Times New Roman"/>
          <w:sz w:val="24"/>
          <w:szCs w:val="24"/>
        </w:rPr>
        <w:t>he date of issue of summons is 1</w:t>
      </w:r>
      <w:r>
        <w:rPr>
          <w:rFonts w:ascii="Times New Roman" w:hAnsi="Times New Roman" w:cs="Times New Roman"/>
          <w:sz w:val="24"/>
          <w:szCs w:val="24"/>
        </w:rPr>
        <w:t xml:space="preserve"> June 2018. The witness reiterated to court that he got bank details from first defendant and deposited the funds in that Trust account. </w:t>
      </w:r>
      <w:r>
        <w:rPr>
          <w:rFonts w:ascii="Times New Roman" w:hAnsi="Times New Roman" w:cs="Times New Roman"/>
          <w:sz w:val="24"/>
          <w:szCs w:val="24"/>
        </w:rPr>
        <w:lastRenderedPageBreak/>
        <w:t xml:space="preserve">He was never instructed nor directed by first or second defendant to stop any further payments to show or </w:t>
      </w:r>
      <w:r w:rsidR="004A470A">
        <w:rPr>
          <w:rFonts w:ascii="Times New Roman" w:hAnsi="Times New Roman" w:cs="Times New Roman"/>
          <w:sz w:val="24"/>
          <w:szCs w:val="24"/>
        </w:rPr>
        <w:t>confirm</w:t>
      </w:r>
      <w:r>
        <w:rPr>
          <w:rFonts w:ascii="Times New Roman" w:hAnsi="Times New Roman" w:cs="Times New Roman"/>
          <w:sz w:val="24"/>
          <w:szCs w:val="24"/>
        </w:rPr>
        <w:t xml:space="preserve"> that the contract had been cancelled.</w:t>
      </w:r>
    </w:p>
    <w:p w:rsidR="00B37D8F" w:rsidRDefault="00B37D8F" w:rsidP="003709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cross-examination by first defendant’s legal practitioner</w:t>
      </w:r>
      <w:r w:rsidR="006D7C95">
        <w:rPr>
          <w:rFonts w:ascii="Times New Roman" w:hAnsi="Times New Roman" w:cs="Times New Roman"/>
          <w:sz w:val="24"/>
          <w:szCs w:val="24"/>
        </w:rPr>
        <w:t>,</w:t>
      </w:r>
      <w:r>
        <w:rPr>
          <w:rFonts w:ascii="Times New Roman" w:hAnsi="Times New Roman" w:cs="Times New Roman"/>
          <w:sz w:val="24"/>
          <w:szCs w:val="24"/>
        </w:rPr>
        <w:t xml:space="preserve"> the witness reconfirmed that at all material times first defendant was </w:t>
      </w:r>
      <w:r w:rsidR="004A470A">
        <w:rPr>
          <w:rFonts w:ascii="Times New Roman" w:hAnsi="Times New Roman" w:cs="Times New Roman"/>
          <w:sz w:val="24"/>
          <w:szCs w:val="24"/>
        </w:rPr>
        <w:t xml:space="preserve">second defendant’s agent and first defendant would only </w:t>
      </w:r>
      <w:r w:rsidR="001F6DBC">
        <w:rPr>
          <w:rFonts w:ascii="Times New Roman" w:hAnsi="Times New Roman" w:cs="Times New Roman"/>
          <w:sz w:val="24"/>
          <w:szCs w:val="24"/>
        </w:rPr>
        <w:t>cause</w:t>
      </w:r>
      <w:r w:rsidR="004A470A">
        <w:rPr>
          <w:rFonts w:ascii="Times New Roman" w:hAnsi="Times New Roman" w:cs="Times New Roman"/>
          <w:sz w:val="24"/>
          <w:szCs w:val="24"/>
        </w:rPr>
        <w:t xml:space="preserve"> transfer of ownership with the full cooperation of second defendant who was registered owner of the property. The witness was aware of the crucial ro</w:t>
      </w:r>
      <w:r w:rsidR="001F6DBC">
        <w:rPr>
          <w:rFonts w:ascii="Times New Roman" w:hAnsi="Times New Roman" w:cs="Times New Roman"/>
          <w:sz w:val="24"/>
          <w:szCs w:val="24"/>
        </w:rPr>
        <w:t>l</w:t>
      </w:r>
      <w:r w:rsidR="004A470A">
        <w:rPr>
          <w:rFonts w:ascii="Times New Roman" w:hAnsi="Times New Roman" w:cs="Times New Roman"/>
          <w:sz w:val="24"/>
          <w:szCs w:val="24"/>
        </w:rPr>
        <w:t xml:space="preserve">e of Mr Mark Stonier who was representing the second defendant. Mr </w:t>
      </w:r>
      <w:r w:rsidR="004A470A" w:rsidRPr="001F6DBC">
        <w:rPr>
          <w:rFonts w:ascii="Times New Roman" w:hAnsi="Times New Roman" w:cs="Times New Roman"/>
          <w:i/>
          <w:sz w:val="24"/>
          <w:szCs w:val="24"/>
        </w:rPr>
        <w:t>Stonier</w:t>
      </w:r>
      <w:r w:rsidR="004A470A">
        <w:rPr>
          <w:rFonts w:ascii="Times New Roman" w:hAnsi="Times New Roman" w:cs="Times New Roman"/>
          <w:sz w:val="24"/>
          <w:szCs w:val="24"/>
        </w:rPr>
        <w:t xml:space="preserve"> made several sanctions </w:t>
      </w:r>
      <w:r w:rsidR="006D7C95">
        <w:rPr>
          <w:rFonts w:ascii="Times New Roman" w:hAnsi="Times New Roman" w:cs="Times New Roman"/>
          <w:sz w:val="24"/>
          <w:szCs w:val="24"/>
        </w:rPr>
        <w:t>and approval</w:t>
      </w:r>
      <w:r w:rsidR="004A470A">
        <w:rPr>
          <w:rFonts w:ascii="Times New Roman" w:hAnsi="Times New Roman" w:cs="Times New Roman"/>
          <w:sz w:val="24"/>
          <w:szCs w:val="24"/>
        </w:rPr>
        <w:t>s on the requests for extension of time to allow plaintiff to effect payments. The witness denied receipt of an email terminating the contract. The witness was referred to an unsigned agreement of sale by counsel for first defendant and commented there was one which all parties appended their signatures but that copy was not subsequently forwarded to the plaintiff by first defendant up</w:t>
      </w:r>
      <w:r w:rsidR="00104509">
        <w:rPr>
          <w:rFonts w:ascii="Times New Roman" w:hAnsi="Times New Roman" w:cs="Times New Roman"/>
          <w:sz w:val="24"/>
          <w:szCs w:val="24"/>
        </w:rPr>
        <w:t xml:space="preserve"> </w:t>
      </w:r>
      <w:r w:rsidR="004A470A">
        <w:rPr>
          <w:rFonts w:ascii="Times New Roman" w:hAnsi="Times New Roman" w:cs="Times New Roman"/>
          <w:sz w:val="24"/>
          <w:szCs w:val="24"/>
        </w:rPr>
        <w:t xml:space="preserve">to this date. He acknowledged that there is an email addressed to plaintiff’s lawyers dated 27 November 2019 but the witness responded by stating that by that date plaintiff had paid the purchase price in full. He also admitted that summons commencing action reflect the date of 1 June 2018, </w:t>
      </w:r>
      <w:r w:rsidR="00E06E5B">
        <w:rPr>
          <w:rFonts w:ascii="Times New Roman" w:hAnsi="Times New Roman" w:cs="Times New Roman"/>
          <w:sz w:val="24"/>
          <w:szCs w:val="24"/>
        </w:rPr>
        <w:t>9 year</w:t>
      </w:r>
      <w:r w:rsidR="006D7C95">
        <w:rPr>
          <w:rFonts w:ascii="Times New Roman" w:hAnsi="Times New Roman" w:cs="Times New Roman"/>
          <w:sz w:val="24"/>
          <w:szCs w:val="24"/>
        </w:rPr>
        <w:t>s</w:t>
      </w:r>
      <w:r w:rsidR="00E06E5B">
        <w:rPr>
          <w:rFonts w:ascii="Times New Roman" w:hAnsi="Times New Roman" w:cs="Times New Roman"/>
          <w:sz w:val="24"/>
          <w:szCs w:val="24"/>
        </w:rPr>
        <w:t xml:space="preserve"> </w:t>
      </w:r>
      <w:r w:rsidR="004A470A">
        <w:rPr>
          <w:rFonts w:ascii="Times New Roman" w:hAnsi="Times New Roman" w:cs="Times New Roman"/>
          <w:sz w:val="24"/>
          <w:szCs w:val="24"/>
        </w:rPr>
        <w:t xml:space="preserve">after November 2009 and 7 year from 2011 when first defendant threatened to issue summons. The witness also indicated under cross-examination that the last instalment </w:t>
      </w:r>
      <w:r w:rsidR="00E06E5B">
        <w:rPr>
          <w:rFonts w:ascii="Times New Roman" w:hAnsi="Times New Roman" w:cs="Times New Roman"/>
          <w:sz w:val="24"/>
          <w:szCs w:val="24"/>
        </w:rPr>
        <w:t xml:space="preserve">towards the purchase price was made in October 2009 and by that date </w:t>
      </w:r>
      <w:r w:rsidR="008E40E4">
        <w:rPr>
          <w:rFonts w:ascii="Times New Roman" w:hAnsi="Times New Roman" w:cs="Times New Roman"/>
          <w:sz w:val="24"/>
          <w:szCs w:val="24"/>
        </w:rPr>
        <w:t>t</w:t>
      </w:r>
      <w:r w:rsidR="00E06E5B">
        <w:rPr>
          <w:rFonts w:ascii="Times New Roman" w:hAnsi="Times New Roman" w:cs="Times New Roman"/>
          <w:sz w:val="24"/>
          <w:szCs w:val="24"/>
        </w:rPr>
        <w:t>he witness confirmed that first defendant had informed plaintiff that they no longer had the mandate to act</w:t>
      </w:r>
      <w:r w:rsidR="006D7C95">
        <w:rPr>
          <w:rFonts w:ascii="Times New Roman" w:hAnsi="Times New Roman" w:cs="Times New Roman"/>
          <w:sz w:val="24"/>
          <w:szCs w:val="24"/>
        </w:rPr>
        <w:t xml:space="preserve"> on behalf of second defendant. H</w:t>
      </w:r>
      <w:r w:rsidR="00E06E5B">
        <w:rPr>
          <w:rFonts w:ascii="Times New Roman" w:hAnsi="Times New Roman" w:cs="Times New Roman"/>
          <w:sz w:val="24"/>
          <w:szCs w:val="24"/>
        </w:rPr>
        <w:t xml:space="preserve">owever first defendant could not provide alternative contract to deal with the matter. The witness told the court that first and second defendant acknowledged liability to plaintiff and he admitted that the refund was tendered to plaintiff but the latter demanded specific performance having met its obligation in the agreement of sale. He explained the basis of plaintiff’s claim for US$100 000 for compensation and </w:t>
      </w:r>
      <w:r w:rsidR="009C0597">
        <w:rPr>
          <w:rFonts w:ascii="Times New Roman" w:hAnsi="Times New Roman" w:cs="Times New Roman"/>
          <w:sz w:val="24"/>
          <w:szCs w:val="24"/>
        </w:rPr>
        <w:t>further</w:t>
      </w:r>
      <w:r w:rsidR="00E06E5B">
        <w:rPr>
          <w:rFonts w:ascii="Times New Roman" w:hAnsi="Times New Roman" w:cs="Times New Roman"/>
          <w:sz w:val="24"/>
          <w:szCs w:val="24"/>
        </w:rPr>
        <w:t xml:space="preserve"> added that </w:t>
      </w:r>
      <w:r w:rsidR="009C0597">
        <w:rPr>
          <w:rFonts w:ascii="Times New Roman" w:hAnsi="Times New Roman" w:cs="Times New Roman"/>
          <w:sz w:val="24"/>
          <w:szCs w:val="24"/>
        </w:rPr>
        <w:t>first</w:t>
      </w:r>
      <w:r w:rsidR="00E06E5B">
        <w:rPr>
          <w:rFonts w:ascii="Times New Roman" w:hAnsi="Times New Roman" w:cs="Times New Roman"/>
          <w:sz w:val="24"/>
          <w:szCs w:val="24"/>
        </w:rPr>
        <w:t xml:space="preserve"> defendant dealt with plaintiff throughout as if first defendant owned the </w:t>
      </w:r>
      <w:r w:rsidR="009C0597">
        <w:rPr>
          <w:rFonts w:ascii="Times New Roman" w:hAnsi="Times New Roman" w:cs="Times New Roman"/>
          <w:sz w:val="24"/>
          <w:szCs w:val="24"/>
        </w:rPr>
        <w:t>property</w:t>
      </w:r>
      <w:r w:rsidR="00E06E5B">
        <w:rPr>
          <w:rFonts w:ascii="Times New Roman" w:hAnsi="Times New Roman" w:cs="Times New Roman"/>
          <w:sz w:val="24"/>
          <w:szCs w:val="24"/>
        </w:rPr>
        <w:t>.</w:t>
      </w:r>
    </w:p>
    <w:p w:rsidR="009C0597" w:rsidRDefault="00E06E5B" w:rsidP="003709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Plaintiff’s witness</w:t>
      </w:r>
      <w:r w:rsidR="006D7C95">
        <w:rPr>
          <w:rFonts w:ascii="Times New Roman" w:hAnsi="Times New Roman" w:cs="Times New Roman"/>
          <w:sz w:val="24"/>
          <w:szCs w:val="24"/>
        </w:rPr>
        <w:t>’</w:t>
      </w:r>
      <w:r>
        <w:rPr>
          <w:rFonts w:ascii="Times New Roman" w:hAnsi="Times New Roman" w:cs="Times New Roman"/>
          <w:sz w:val="24"/>
          <w:szCs w:val="24"/>
        </w:rPr>
        <w:t xml:space="preserve"> was also cross-examined by third </w:t>
      </w:r>
      <w:r w:rsidR="009C0597">
        <w:rPr>
          <w:rFonts w:ascii="Times New Roman" w:hAnsi="Times New Roman" w:cs="Times New Roman"/>
          <w:sz w:val="24"/>
          <w:szCs w:val="24"/>
        </w:rPr>
        <w:t>defendant’s</w:t>
      </w:r>
      <w:r>
        <w:rPr>
          <w:rFonts w:ascii="Times New Roman" w:hAnsi="Times New Roman" w:cs="Times New Roman"/>
          <w:sz w:val="24"/>
          <w:szCs w:val="24"/>
        </w:rPr>
        <w:t xml:space="preserve"> counsel. The witness told the court the improvements were effected at the premises in 2016 and plaintiff did not require third defendant’s consent to make the improvements since it perceive</w:t>
      </w:r>
      <w:r w:rsidR="006D7C95">
        <w:rPr>
          <w:rFonts w:ascii="Times New Roman" w:hAnsi="Times New Roman" w:cs="Times New Roman"/>
          <w:sz w:val="24"/>
          <w:szCs w:val="24"/>
        </w:rPr>
        <w:t>d</w:t>
      </w:r>
      <w:r>
        <w:rPr>
          <w:rFonts w:ascii="Times New Roman" w:hAnsi="Times New Roman" w:cs="Times New Roman"/>
          <w:sz w:val="24"/>
          <w:szCs w:val="24"/>
        </w:rPr>
        <w:t xml:space="preserve"> that it had bought the property. Plaintiff would claim value for </w:t>
      </w:r>
      <w:r w:rsidR="009C0597">
        <w:rPr>
          <w:rFonts w:ascii="Times New Roman" w:hAnsi="Times New Roman" w:cs="Times New Roman"/>
          <w:sz w:val="24"/>
          <w:szCs w:val="24"/>
        </w:rPr>
        <w:t>improvements if the third defendant is declared the owner of the property in dispute. Plaintiff applied for a caveat on the title deeds and insisted it is registered.</w:t>
      </w:r>
    </w:p>
    <w:p w:rsidR="009C0597" w:rsidRDefault="009C0597" w:rsidP="003709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plaintiff’s witness</w:t>
      </w:r>
      <w:r w:rsidR="008E40E4">
        <w:rPr>
          <w:rFonts w:ascii="Times New Roman" w:hAnsi="Times New Roman" w:cs="Times New Roman"/>
          <w:sz w:val="24"/>
          <w:szCs w:val="24"/>
        </w:rPr>
        <w:t>’</w:t>
      </w:r>
      <w:r>
        <w:rPr>
          <w:rFonts w:ascii="Times New Roman" w:hAnsi="Times New Roman" w:cs="Times New Roman"/>
          <w:sz w:val="24"/>
          <w:szCs w:val="24"/>
        </w:rPr>
        <w:t xml:space="preserve"> evidence that second defendant fraudulently sold the property to the third defendant who had knowledge of the agreement of sale between plaintiff and first </w:t>
      </w:r>
      <w:r>
        <w:rPr>
          <w:rFonts w:ascii="Times New Roman" w:hAnsi="Times New Roman" w:cs="Times New Roman"/>
          <w:sz w:val="24"/>
          <w:szCs w:val="24"/>
        </w:rPr>
        <w:lastRenderedPageBreak/>
        <w:t xml:space="preserve">defendant. It was also Mr </w:t>
      </w:r>
      <w:r w:rsidR="006D7C95">
        <w:rPr>
          <w:rFonts w:ascii="Times New Roman" w:hAnsi="Times New Roman" w:cs="Times New Roman"/>
          <w:i/>
          <w:sz w:val="24"/>
          <w:szCs w:val="24"/>
        </w:rPr>
        <w:t>Thomas Sarimana</w:t>
      </w:r>
      <w:r w:rsidRPr="001F6DBC">
        <w:rPr>
          <w:rFonts w:ascii="Times New Roman" w:hAnsi="Times New Roman" w:cs="Times New Roman"/>
          <w:i/>
          <w:sz w:val="24"/>
          <w:szCs w:val="24"/>
        </w:rPr>
        <w:t>’s</w:t>
      </w:r>
      <w:r>
        <w:rPr>
          <w:rFonts w:ascii="Times New Roman" w:hAnsi="Times New Roman" w:cs="Times New Roman"/>
          <w:sz w:val="24"/>
          <w:szCs w:val="24"/>
        </w:rPr>
        <w:t xml:space="preserve"> testimony that he warned third defendant through Mr F. M. Chitsinde on 30</w:t>
      </w:r>
      <w:r w:rsidR="008E40E4">
        <w:rPr>
          <w:rFonts w:ascii="Times New Roman" w:hAnsi="Times New Roman" w:cs="Times New Roman"/>
          <w:sz w:val="24"/>
          <w:szCs w:val="24"/>
        </w:rPr>
        <w:t xml:space="preserve"> </w:t>
      </w:r>
      <w:r>
        <w:rPr>
          <w:rFonts w:ascii="Times New Roman" w:hAnsi="Times New Roman" w:cs="Times New Roman"/>
          <w:sz w:val="24"/>
          <w:szCs w:val="24"/>
        </w:rPr>
        <w:t>September 2015 that the property had been purchase by the plaintiff and paid in full. However second defendant regardless of this knowledge fraudulently effected transfer of rights from herself to the third defendant in 2017. Plaintiff prays that first and second defendants be found liable to transfer property into plaintiff’s name or alternatively pay plaintiff the refund, the compensation, the value for improvements and costs.</w:t>
      </w:r>
      <w:r w:rsidR="008E40E4">
        <w:rPr>
          <w:rFonts w:ascii="Times New Roman" w:hAnsi="Times New Roman" w:cs="Times New Roman"/>
          <w:sz w:val="24"/>
          <w:szCs w:val="24"/>
        </w:rPr>
        <w:t xml:space="preserve"> Plaintiff then closed its case.</w:t>
      </w:r>
    </w:p>
    <w:p w:rsidR="00104509" w:rsidRDefault="00104509" w:rsidP="00370944">
      <w:pPr>
        <w:spacing w:after="0" w:line="360" w:lineRule="auto"/>
        <w:ind w:firstLine="720"/>
        <w:jc w:val="both"/>
        <w:rPr>
          <w:rFonts w:ascii="Times New Roman" w:hAnsi="Times New Roman" w:cs="Times New Roman"/>
          <w:sz w:val="24"/>
          <w:szCs w:val="24"/>
        </w:rPr>
      </w:pPr>
    </w:p>
    <w:p w:rsidR="008E40E4" w:rsidRPr="008E40E4" w:rsidRDefault="008E40E4" w:rsidP="008E40E4">
      <w:pPr>
        <w:spacing w:after="0" w:line="360" w:lineRule="auto"/>
        <w:jc w:val="both"/>
        <w:rPr>
          <w:rFonts w:ascii="Times New Roman" w:hAnsi="Times New Roman" w:cs="Times New Roman"/>
          <w:sz w:val="24"/>
          <w:szCs w:val="24"/>
          <w:u w:val="single"/>
        </w:rPr>
      </w:pPr>
      <w:r w:rsidRPr="008E40E4">
        <w:rPr>
          <w:rFonts w:ascii="Times New Roman" w:hAnsi="Times New Roman" w:cs="Times New Roman"/>
          <w:sz w:val="24"/>
          <w:szCs w:val="24"/>
          <w:u w:val="single"/>
        </w:rPr>
        <w:t>First Defendant’s Case</w:t>
      </w:r>
    </w:p>
    <w:p w:rsidR="00E06E5B" w:rsidRDefault="00C975A1" w:rsidP="003709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w:t>
      </w:r>
      <w:r w:rsidR="009C0597">
        <w:rPr>
          <w:rFonts w:ascii="Times New Roman" w:hAnsi="Times New Roman" w:cs="Times New Roman"/>
          <w:sz w:val="24"/>
          <w:szCs w:val="24"/>
        </w:rPr>
        <w:t xml:space="preserve"> defendant led </w:t>
      </w:r>
      <w:r>
        <w:rPr>
          <w:rFonts w:ascii="Times New Roman" w:hAnsi="Times New Roman" w:cs="Times New Roman"/>
          <w:sz w:val="24"/>
          <w:szCs w:val="24"/>
        </w:rPr>
        <w:t>evidence</w:t>
      </w:r>
      <w:r w:rsidR="009C0597">
        <w:rPr>
          <w:rFonts w:ascii="Times New Roman" w:hAnsi="Times New Roman" w:cs="Times New Roman"/>
          <w:sz w:val="24"/>
          <w:szCs w:val="24"/>
        </w:rPr>
        <w:t xml:space="preserve"> from Ms Esther Vherenga, current Total Zimbabwe Training Manager. She gave the following evidence. She was not initial</w:t>
      </w:r>
      <w:r w:rsidR="006D7C95">
        <w:rPr>
          <w:rFonts w:ascii="Times New Roman" w:hAnsi="Times New Roman" w:cs="Times New Roman"/>
          <w:sz w:val="24"/>
          <w:szCs w:val="24"/>
        </w:rPr>
        <w:t>ly</w:t>
      </w:r>
      <w:r w:rsidR="009C0597">
        <w:rPr>
          <w:rFonts w:ascii="Times New Roman" w:hAnsi="Times New Roman" w:cs="Times New Roman"/>
          <w:sz w:val="24"/>
          <w:szCs w:val="24"/>
        </w:rPr>
        <w:t xml:space="preserve"> involved in the matter between her company and </w:t>
      </w:r>
      <w:r>
        <w:rPr>
          <w:rFonts w:ascii="Times New Roman" w:hAnsi="Times New Roman" w:cs="Times New Roman"/>
          <w:sz w:val="24"/>
          <w:szCs w:val="24"/>
        </w:rPr>
        <w:t xml:space="preserve">plaintiff. However after reading the </w:t>
      </w:r>
      <w:r w:rsidR="001F6DBC">
        <w:rPr>
          <w:rFonts w:ascii="Times New Roman" w:hAnsi="Times New Roman" w:cs="Times New Roman"/>
          <w:sz w:val="24"/>
          <w:szCs w:val="24"/>
        </w:rPr>
        <w:t>filed</w:t>
      </w:r>
      <w:r>
        <w:rPr>
          <w:rFonts w:ascii="Times New Roman" w:hAnsi="Times New Roman" w:cs="Times New Roman"/>
          <w:sz w:val="24"/>
          <w:szCs w:val="24"/>
        </w:rPr>
        <w:t xml:space="preserve"> papers she understood what the matter is all about. She understood that plaintiff and first defendant had a commercial relationship where plaintiff was a tenant at the disputed p</w:t>
      </w:r>
      <w:r w:rsidR="00977B05">
        <w:rPr>
          <w:rFonts w:ascii="Times New Roman" w:hAnsi="Times New Roman" w:cs="Times New Roman"/>
          <w:sz w:val="24"/>
          <w:szCs w:val="24"/>
        </w:rPr>
        <w:t>roperty owned by Mrs B Drury, (s</w:t>
      </w:r>
      <w:r>
        <w:rPr>
          <w:rFonts w:ascii="Times New Roman" w:hAnsi="Times New Roman" w:cs="Times New Roman"/>
          <w:sz w:val="24"/>
          <w:szCs w:val="24"/>
        </w:rPr>
        <w:t>econd defendant). She acknowledged that an agreement of sale was negotiated between first defendant and plaintiff but she does not know whether a signed copy exists. She added that from her reading of the file as well as various correspondences between plaintiff and first defendant the agreement of sale would be signed after plaintiff had paid the purchase price of US$80 000 in full. According to her</w:t>
      </w:r>
      <w:r w:rsidR="006D7C95">
        <w:rPr>
          <w:rFonts w:ascii="Times New Roman" w:hAnsi="Times New Roman" w:cs="Times New Roman"/>
          <w:sz w:val="24"/>
          <w:szCs w:val="24"/>
        </w:rPr>
        <w:t>,</w:t>
      </w:r>
      <w:r>
        <w:rPr>
          <w:rFonts w:ascii="Times New Roman" w:hAnsi="Times New Roman" w:cs="Times New Roman"/>
          <w:sz w:val="24"/>
          <w:szCs w:val="24"/>
        </w:rPr>
        <w:t xml:space="preserve"> plaintiff slackened in its payments and failed to meet the deadline</w:t>
      </w:r>
      <w:r w:rsidR="008E40E4">
        <w:rPr>
          <w:rFonts w:ascii="Times New Roman" w:hAnsi="Times New Roman" w:cs="Times New Roman"/>
          <w:sz w:val="24"/>
          <w:szCs w:val="24"/>
        </w:rPr>
        <w:t>. T</w:t>
      </w:r>
      <w:r>
        <w:rPr>
          <w:rFonts w:ascii="Times New Roman" w:hAnsi="Times New Roman" w:cs="Times New Roman"/>
          <w:sz w:val="24"/>
          <w:szCs w:val="24"/>
        </w:rPr>
        <w:t>wo more extensions were granted to plaintiff after first defendant formally consulted second defendant’s agent and legal practi</w:t>
      </w:r>
      <w:r w:rsidR="002C0702">
        <w:rPr>
          <w:rFonts w:ascii="Times New Roman" w:hAnsi="Times New Roman" w:cs="Times New Roman"/>
          <w:sz w:val="24"/>
          <w:szCs w:val="24"/>
        </w:rPr>
        <w:t>ti</w:t>
      </w:r>
      <w:r>
        <w:rPr>
          <w:rFonts w:ascii="Times New Roman" w:hAnsi="Times New Roman" w:cs="Times New Roman"/>
          <w:sz w:val="24"/>
          <w:szCs w:val="24"/>
        </w:rPr>
        <w:t xml:space="preserve">oner </w:t>
      </w:r>
      <w:r w:rsidR="002C0702">
        <w:rPr>
          <w:rFonts w:ascii="Times New Roman" w:hAnsi="Times New Roman" w:cs="Times New Roman"/>
          <w:sz w:val="24"/>
          <w:szCs w:val="24"/>
        </w:rPr>
        <w:t>Mr</w:t>
      </w:r>
      <w:r>
        <w:rPr>
          <w:rFonts w:ascii="Times New Roman" w:hAnsi="Times New Roman" w:cs="Times New Roman"/>
          <w:sz w:val="24"/>
          <w:szCs w:val="24"/>
        </w:rPr>
        <w:t xml:space="preserve"> Mark S</w:t>
      </w:r>
      <w:r w:rsidR="002C0702">
        <w:rPr>
          <w:rFonts w:ascii="Times New Roman" w:hAnsi="Times New Roman" w:cs="Times New Roman"/>
          <w:sz w:val="24"/>
          <w:szCs w:val="24"/>
        </w:rPr>
        <w:t>tonier. She alluded to various emails and co</w:t>
      </w:r>
      <w:r w:rsidR="008E40E4">
        <w:rPr>
          <w:rFonts w:ascii="Times New Roman" w:hAnsi="Times New Roman" w:cs="Times New Roman"/>
          <w:sz w:val="24"/>
          <w:szCs w:val="24"/>
        </w:rPr>
        <w:t>rrespondences captured in exh B</w:t>
      </w:r>
      <w:r w:rsidR="002C0702">
        <w:rPr>
          <w:rFonts w:ascii="Times New Roman" w:hAnsi="Times New Roman" w:cs="Times New Roman"/>
          <w:sz w:val="24"/>
          <w:szCs w:val="24"/>
        </w:rPr>
        <w:t xml:space="preserve"> </w:t>
      </w:r>
      <w:r w:rsidR="008E40E4">
        <w:rPr>
          <w:rFonts w:ascii="Times New Roman" w:hAnsi="Times New Roman" w:cs="Times New Roman"/>
          <w:sz w:val="24"/>
          <w:szCs w:val="24"/>
        </w:rPr>
        <w:t>(f</w:t>
      </w:r>
      <w:r w:rsidR="002C0702">
        <w:rPr>
          <w:rFonts w:ascii="Times New Roman" w:hAnsi="Times New Roman" w:cs="Times New Roman"/>
          <w:sz w:val="24"/>
          <w:szCs w:val="24"/>
        </w:rPr>
        <w:t>irst defendant’s bundles</w:t>
      </w:r>
      <w:r w:rsidR="008E40E4">
        <w:rPr>
          <w:rFonts w:ascii="Times New Roman" w:hAnsi="Times New Roman" w:cs="Times New Roman"/>
          <w:sz w:val="24"/>
          <w:szCs w:val="24"/>
        </w:rPr>
        <w:t>)</w:t>
      </w:r>
      <w:r w:rsidR="002C0702">
        <w:rPr>
          <w:rFonts w:ascii="Times New Roman" w:hAnsi="Times New Roman" w:cs="Times New Roman"/>
          <w:sz w:val="24"/>
          <w:szCs w:val="24"/>
        </w:rPr>
        <w:t xml:space="preserve"> relating to reminders extensions of time and cancellation of the agreement of sale. She </w:t>
      </w:r>
      <w:r w:rsidR="00802733">
        <w:rPr>
          <w:rFonts w:ascii="Times New Roman" w:hAnsi="Times New Roman" w:cs="Times New Roman"/>
          <w:sz w:val="24"/>
          <w:szCs w:val="24"/>
        </w:rPr>
        <w:t>acknowledged also that from 201</w:t>
      </w:r>
      <w:r w:rsidR="002C0702">
        <w:rPr>
          <w:rFonts w:ascii="Times New Roman" w:hAnsi="Times New Roman" w:cs="Times New Roman"/>
          <w:sz w:val="24"/>
          <w:szCs w:val="24"/>
        </w:rPr>
        <w:t>1 no summons were served on first defendant despite a letter of demand from plaintiff’s legal practitioners threatening court action. To first defendant the agreement of sale was cancelled and plaintiff was offered the refund and plaintiff rejected the money and demanded specific performance claiming that it had full</w:t>
      </w:r>
      <w:r w:rsidR="006D7C95">
        <w:rPr>
          <w:rFonts w:ascii="Times New Roman" w:hAnsi="Times New Roman" w:cs="Times New Roman"/>
          <w:sz w:val="24"/>
          <w:szCs w:val="24"/>
        </w:rPr>
        <w:t>y</w:t>
      </w:r>
      <w:r w:rsidR="002C0702">
        <w:rPr>
          <w:rFonts w:ascii="Times New Roman" w:hAnsi="Times New Roman" w:cs="Times New Roman"/>
          <w:sz w:val="24"/>
          <w:szCs w:val="24"/>
        </w:rPr>
        <w:t xml:space="preserve"> met its contractual obligations. To first </w:t>
      </w:r>
      <w:r w:rsidR="00A606BA">
        <w:rPr>
          <w:rFonts w:ascii="Times New Roman" w:hAnsi="Times New Roman" w:cs="Times New Roman"/>
          <w:sz w:val="24"/>
          <w:szCs w:val="24"/>
        </w:rPr>
        <w:t>defendant it</w:t>
      </w:r>
      <w:r w:rsidR="002C0702">
        <w:rPr>
          <w:rFonts w:ascii="Times New Roman" w:hAnsi="Times New Roman" w:cs="Times New Roman"/>
          <w:sz w:val="24"/>
          <w:szCs w:val="24"/>
        </w:rPr>
        <w:t xml:space="preserve"> advised the plaintiff that the property had been resold to an unnamed third part</w:t>
      </w:r>
      <w:r w:rsidR="00977B05">
        <w:rPr>
          <w:rFonts w:ascii="Times New Roman" w:hAnsi="Times New Roman" w:cs="Times New Roman"/>
          <w:sz w:val="24"/>
          <w:szCs w:val="24"/>
        </w:rPr>
        <w:t>y. Sometimes on 13 October 2010</w:t>
      </w:r>
      <w:r w:rsidR="002C0702">
        <w:rPr>
          <w:rFonts w:ascii="Times New Roman" w:hAnsi="Times New Roman" w:cs="Times New Roman"/>
          <w:sz w:val="24"/>
          <w:szCs w:val="24"/>
        </w:rPr>
        <w:t xml:space="preserve"> </w:t>
      </w:r>
      <w:r w:rsidR="00977B05">
        <w:rPr>
          <w:rFonts w:ascii="Times New Roman" w:hAnsi="Times New Roman" w:cs="Times New Roman"/>
          <w:sz w:val="24"/>
          <w:szCs w:val="24"/>
        </w:rPr>
        <w:t>the</w:t>
      </w:r>
      <w:r w:rsidR="002C0702">
        <w:rPr>
          <w:rFonts w:ascii="Times New Roman" w:hAnsi="Times New Roman" w:cs="Times New Roman"/>
          <w:sz w:val="24"/>
          <w:szCs w:val="24"/>
        </w:rPr>
        <w:t xml:space="preserve"> witness told the court that there is no basis for first defendant to pay damages to the plaintiff because plaintiff was well aware that the commercial arrangement was cancelled. </w:t>
      </w:r>
    </w:p>
    <w:p w:rsidR="005550B0" w:rsidRDefault="002C0702" w:rsidP="005550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by plaintiff’s counsel, the witness conceded that at all material times, stretching from the lease period, first defendant acte</w:t>
      </w:r>
      <w:r w:rsidR="006D7C95">
        <w:rPr>
          <w:rFonts w:ascii="Times New Roman" w:hAnsi="Times New Roman" w:cs="Times New Roman"/>
          <w:sz w:val="24"/>
          <w:szCs w:val="24"/>
        </w:rPr>
        <w:t>d as second defendant’s agent. S</w:t>
      </w:r>
      <w:r>
        <w:rPr>
          <w:rFonts w:ascii="Times New Roman" w:hAnsi="Times New Roman" w:cs="Times New Roman"/>
          <w:sz w:val="24"/>
          <w:szCs w:val="24"/>
        </w:rPr>
        <w:t xml:space="preserve">he </w:t>
      </w:r>
      <w:r>
        <w:rPr>
          <w:rFonts w:ascii="Times New Roman" w:hAnsi="Times New Roman" w:cs="Times New Roman"/>
          <w:sz w:val="24"/>
          <w:szCs w:val="24"/>
        </w:rPr>
        <w:lastRenderedPageBreak/>
        <w:t xml:space="preserve">also admitted </w:t>
      </w:r>
      <w:r w:rsidR="0084018D">
        <w:rPr>
          <w:rFonts w:ascii="Times New Roman" w:hAnsi="Times New Roman" w:cs="Times New Roman"/>
          <w:sz w:val="24"/>
          <w:szCs w:val="24"/>
        </w:rPr>
        <w:t xml:space="preserve">that </w:t>
      </w:r>
      <w:r>
        <w:rPr>
          <w:rFonts w:ascii="Times New Roman" w:hAnsi="Times New Roman" w:cs="Times New Roman"/>
          <w:sz w:val="24"/>
          <w:szCs w:val="24"/>
        </w:rPr>
        <w:t>rates and utility bills have be</w:t>
      </w:r>
      <w:r w:rsidR="006D7C95">
        <w:rPr>
          <w:rFonts w:ascii="Times New Roman" w:hAnsi="Times New Roman" w:cs="Times New Roman"/>
          <w:sz w:val="24"/>
          <w:szCs w:val="24"/>
        </w:rPr>
        <w:t>en in second defendant’s name. A</w:t>
      </w:r>
      <w:r>
        <w:rPr>
          <w:rFonts w:ascii="Times New Roman" w:hAnsi="Times New Roman" w:cs="Times New Roman"/>
          <w:sz w:val="24"/>
          <w:szCs w:val="24"/>
        </w:rPr>
        <w:t>t the time plaintiff entered int</w:t>
      </w:r>
      <w:r w:rsidR="00837E7A">
        <w:rPr>
          <w:rFonts w:ascii="Times New Roman" w:hAnsi="Times New Roman" w:cs="Times New Roman"/>
          <w:sz w:val="24"/>
          <w:szCs w:val="24"/>
        </w:rPr>
        <w:t>o</w:t>
      </w:r>
      <w:r>
        <w:rPr>
          <w:rFonts w:ascii="Times New Roman" w:hAnsi="Times New Roman" w:cs="Times New Roman"/>
          <w:sz w:val="24"/>
          <w:szCs w:val="24"/>
        </w:rPr>
        <w:t xml:space="preserve"> agreement of sale, it knew that second defendant was the </w:t>
      </w:r>
      <w:r w:rsidR="00837E7A">
        <w:rPr>
          <w:rFonts w:ascii="Times New Roman" w:hAnsi="Times New Roman" w:cs="Times New Roman"/>
          <w:sz w:val="24"/>
          <w:szCs w:val="24"/>
        </w:rPr>
        <w:t>registered</w:t>
      </w:r>
      <w:r>
        <w:rPr>
          <w:rFonts w:ascii="Times New Roman" w:hAnsi="Times New Roman" w:cs="Times New Roman"/>
          <w:sz w:val="24"/>
          <w:szCs w:val="24"/>
        </w:rPr>
        <w:t xml:space="preserve"> title holder and first defendant was the agent. She also agreed and admitted that from the </w:t>
      </w:r>
      <w:r w:rsidR="00837E7A">
        <w:rPr>
          <w:rFonts w:ascii="Times New Roman" w:hAnsi="Times New Roman" w:cs="Times New Roman"/>
          <w:sz w:val="24"/>
          <w:szCs w:val="24"/>
        </w:rPr>
        <w:t>correspondences</w:t>
      </w:r>
      <w:r>
        <w:rPr>
          <w:rFonts w:ascii="Times New Roman" w:hAnsi="Times New Roman" w:cs="Times New Roman"/>
          <w:sz w:val="24"/>
          <w:szCs w:val="24"/>
        </w:rPr>
        <w:t xml:space="preserve"> between plaintiff and first defendant’s agents the ag</w:t>
      </w:r>
      <w:r w:rsidR="006D7C95">
        <w:rPr>
          <w:rFonts w:ascii="Times New Roman" w:hAnsi="Times New Roman" w:cs="Times New Roman"/>
          <w:sz w:val="24"/>
          <w:szCs w:val="24"/>
        </w:rPr>
        <w:t>reement was reduced to writing. F</w:t>
      </w:r>
      <w:r>
        <w:rPr>
          <w:rFonts w:ascii="Times New Roman" w:hAnsi="Times New Roman" w:cs="Times New Roman"/>
          <w:sz w:val="24"/>
          <w:szCs w:val="24"/>
        </w:rPr>
        <w:t xml:space="preserve">irst defendant </w:t>
      </w:r>
      <w:r w:rsidR="00837E7A">
        <w:rPr>
          <w:rFonts w:ascii="Times New Roman" w:hAnsi="Times New Roman" w:cs="Times New Roman"/>
          <w:sz w:val="24"/>
          <w:szCs w:val="24"/>
        </w:rPr>
        <w:t xml:space="preserve">registered the terms and Messrs Gill, Godlonton and Gerrans, </w:t>
      </w:r>
      <w:r w:rsidR="00240A7F">
        <w:rPr>
          <w:rFonts w:ascii="Times New Roman" w:hAnsi="Times New Roman" w:cs="Times New Roman"/>
          <w:sz w:val="24"/>
          <w:szCs w:val="24"/>
        </w:rPr>
        <w:t>(</w:t>
      </w:r>
      <w:r w:rsidR="00837E7A">
        <w:rPr>
          <w:rFonts w:ascii="Times New Roman" w:hAnsi="Times New Roman" w:cs="Times New Roman"/>
          <w:sz w:val="24"/>
          <w:szCs w:val="24"/>
        </w:rPr>
        <w:t>first defendant’s legal practitioners</w:t>
      </w:r>
      <w:r w:rsidR="00240A7F">
        <w:rPr>
          <w:rFonts w:ascii="Times New Roman" w:hAnsi="Times New Roman" w:cs="Times New Roman"/>
          <w:sz w:val="24"/>
          <w:szCs w:val="24"/>
        </w:rPr>
        <w:t>)</w:t>
      </w:r>
      <w:r w:rsidR="00837E7A">
        <w:rPr>
          <w:rFonts w:ascii="Times New Roman" w:hAnsi="Times New Roman" w:cs="Times New Roman"/>
          <w:sz w:val="24"/>
          <w:szCs w:val="24"/>
        </w:rPr>
        <w:t xml:space="preserve"> prepared a written agreement</w:t>
      </w:r>
      <w:r w:rsidR="0084018D">
        <w:rPr>
          <w:rFonts w:ascii="Times New Roman" w:hAnsi="Times New Roman" w:cs="Times New Roman"/>
          <w:sz w:val="24"/>
          <w:szCs w:val="24"/>
        </w:rPr>
        <w:t>. T</w:t>
      </w:r>
      <w:r w:rsidR="00837E7A">
        <w:rPr>
          <w:rFonts w:ascii="Times New Roman" w:hAnsi="Times New Roman" w:cs="Times New Roman"/>
          <w:sz w:val="24"/>
          <w:szCs w:val="24"/>
        </w:rPr>
        <w:t>he w</w:t>
      </w:r>
      <w:r w:rsidR="0084018D">
        <w:rPr>
          <w:rFonts w:ascii="Times New Roman" w:hAnsi="Times New Roman" w:cs="Times New Roman"/>
          <w:sz w:val="24"/>
          <w:szCs w:val="24"/>
        </w:rPr>
        <w:t>itness made a further concession</w:t>
      </w:r>
      <w:r w:rsidR="00837E7A">
        <w:rPr>
          <w:rFonts w:ascii="Times New Roman" w:hAnsi="Times New Roman" w:cs="Times New Roman"/>
          <w:sz w:val="24"/>
          <w:szCs w:val="24"/>
        </w:rPr>
        <w:t xml:space="preserve"> to the effect that the transaction pertaining to the negotiation and subsequent written agreement of sale was approved by Total’s head office in Paris, France. She further conceded that she was not the custodian of the file holding document</w:t>
      </w:r>
      <w:r w:rsidR="006D7C95">
        <w:rPr>
          <w:rFonts w:ascii="Times New Roman" w:hAnsi="Times New Roman" w:cs="Times New Roman"/>
          <w:sz w:val="24"/>
          <w:szCs w:val="24"/>
        </w:rPr>
        <w:t>s relating to the transaction. F</w:t>
      </w:r>
      <w:r w:rsidR="00837E7A">
        <w:rPr>
          <w:rFonts w:ascii="Times New Roman" w:hAnsi="Times New Roman" w:cs="Times New Roman"/>
          <w:sz w:val="24"/>
          <w:szCs w:val="24"/>
        </w:rPr>
        <w:t>ile was with a le</w:t>
      </w:r>
      <w:r w:rsidR="006D7C95">
        <w:rPr>
          <w:rFonts w:ascii="Times New Roman" w:hAnsi="Times New Roman" w:cs="Times New Roman"/>
          <w:sz w:val="24"/>
          <w:szCs w:val="24"/>
        </w:rPr>
        <w:t>gal officer of first defendant. She did</w:t>
      </w:r>
      <w:r w:rsidR="00837E7A">
        <w:rPr>
          <w:rFonts w:ascii="Times New Roman" w:hAnsi="Times New Roman" w:cs="Times New Roman"/>
          <w:sz w:val="24"/>
          <w:szCs w:val="24"/>
        </w:rPr>
        <w:t xml:space="preserve"> not take o</w:t>
      </w:r>
      <w:r w:rsidR="005550B0">
        <w:rPr>
          <w:rFonts w:ascii="Times New Roman" w:hAnsi="Times New Roman" w:cs="Times New Roman"/>
          <w:sz w:val="24"/>
          <w:szCs w:val="24"/>
        </w:rPr>
        <w:t>ver duties of Mr Mudiima and Chiri</w:t>
      </w:r>
      <w:r w:rsidR="00837E7A">
        <w:rPr>
          <w:rFonts w:ascii="Times New Roman" w:hAnsi="Times New Roman" w:cs="Times New Roman"/>
          <w:sz w:val="24"/>
          <w:szCs w:val="24"/>
        </w:rPr>
        <w:t>nda who were at the helm of the negotiations</w:t>
      </w:r>
      <w:r w:rsidR="005550B0">
        <w:rPr>
          <w:rFonts w:ascii="Times New Roman" w:hAnsi="Times New Roman" w:cs="Times New Roman"/>
          <w:sz w:val="24"/>
          <w:szCs w:val="24"/>
        </w:rPr>
        <w:t>. S</w:t>
      </w:r>
      <w:r w:rsidR="00837E7A">
        <w:rPr>
          <w:rFonts w:ascii="Times New Roman" w:hAnsi="Times New Roman" w:cs="Times New Roman"/>
          <w:sz w:val="24"/>
          <w:szCs w:val="24"/>
        </w:rPr>
        <w:t xml:space="preserve">he did not </w:t>
      </w:r>
      <w:r w:rsidR="001F6DBC">
        <w:rPr>
          <w:rFonts w:ascii="Times New Roman" w:hAnsi="Times New Roman" w:cs="Times New Roman"/>
          <w:sz w:val="24"/>
          <w:szCs w:val="24"/>
        </w:rPr>
        <w:t>see a</w:t>
      </w:r>
      <w:r w:rsidR="00837E7A">
        <w:rPr>
          <w:rFonts w:ascii="Times New Roman" w:hAnsi="Times New Roman" w:cs="Times New Roman"/>
          <w:sz w:val="24"/>
          <w:szCs w:val="24"/>
        </w:rPr>
        <w:t xml:space="preserve"> letter from first defendant’s legal practitioners addressed to plaintiff or its legal practitio</w:t>
      </w:r>
      <w:r w:rsidR="006D7C95">
        <w:rPr>
          <w:rFonts w:ascii="Times New Roman" w:hAnsi="Times New Roman" w:cs="Times New Roman"/>
          <w:sz w:val="24"/>
          <w:szCs w:val="24"/>
        </w:rPr>
        <w:t xml:space="preserve">ners giving plaintiff fourteen </w:t>
      </w:r>
      <w:r w:rsidR="00837E7A">
        <w:rPr>
          <w:rFonts w:ascii="Times New Roman" w:hAnsi="Times New Roman" w:cs="Times New Roman"/>
          <w:sz w:val="24"/>
          <w:szCs w:val="24"/>
        </w:rPr>
        <w:t>or 30 days notices about rectifying the breach or termination of the agreement of sale. She could not dispute the plaintiff’s suggestion that plaintiff became aware of third defendant as the purchaser on 30 September 2015 when Mr Chitsinde visited plaintiff at the subject property in dispute.</w:t>
      </w:r>
      <w:r w:rsidR="005550B0">
        <w:rPr>
          <w:rFonts w:ascii="Times New Roman" w:hAnsi="Times New Roman" w:cs="Times New Roman"/>
          <w:sz w:val="24"/>
          <w:szCs w:val="24"/>
        </w:rPr>
        <w:t xml:space="preserve"> </w:t>
      </w:r>
      <w:r w:rsidR="00837E7A">
        <w:rPr>
          <w:rFonts w:ascii="Times New Roman" w:hAnsi="Times New Roman" w:cs="Times New Roman"/>
          <w:sz w:val="24"/>
          <w:szCs w:val="24"/>
        </w:rPr>
        <w:t>Third defendant</w:t>
      </w:r>
      <w:r w:rsidR="008A3B76">
        <w:rPr>
          <w:rFonts w:ascii="Times New Roman" w:hAnsi="Times New Roman" w:cs="Times New Roman"/>
          <w:sz w:val="24"/>
          <w:szCs w:val="24"/>
        </w:rPr>
        <w:t xml:space="preserve"> did not have questions to the witness. First defendant then closed its case. </w:t>
      </w:r>
    </w:p>
    <w:p w:rsidR="00104509" w:rsidRDefault="00104509" w:rsidP="005550B0">
      <w:pPr>
        <w:spacing w:after="0" w:line="360" w:lineRule="auto"/>
        <w:ind w:firstLine="720"/>
        <w:jc w:val="both"/>
        <w:rPr>
          <w:rFonts w:ascii="Times New Roman" w:hAnsi="Times New Roman" w:cs="Times New Roman"/>
          <w:sz w:val="24"/>
          <w:szCs w:val="24"/>
        </w:rPr>
      </w:pPr>
    </w:p>
    <w:p w:rsidR="005550B0" w:rsidRPr="005550B0" w:rsidRDefault="005550B0" w:rsidP="003A532A">
      <w:pPr>
        <w:spacing w:after="0" w:line="360" w:lineRule="auto"/>
        <w:jc w:val="both"/>
        <w:rPr>
          <w:rFonts w:ascii="Times New Roman" w:hAnsi="Times New Roman" w:cs="Times New Roman"/>
          <w:sz w:val="24"/>
          <w:szCs w:val="24"/>
          <w:u w:val="single"/>
        </w:rPr>
      </w:pPr>
      <w:r w:rsidRPr="005550B0">
        <w:rPr>
          <w:rFonts w:ascii="Times New Roman" w:hAnsi="Times New Roman" w:cs="Times New Roman"/>
          <w:sz w:val="24"/>
          <w:szCs w:val="24"/>
          <w:u w:val="single"/>
        </w:rPr>
        <w:t>Third Defendant’s Case</w:t>
      </w:r>
    </w:p>
    <w:p w:rsidR="002D6085" w:rsidRDefault="008A3B76" w:rsidP="003709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Third defendant opened its case by calling its Managing Director Mr Edmore Samson. His evidence was to the following effect. On 3 July</w:t>
      </w:r>
      <w:r w:rsidR="00373A5E">
        <w:rPr>
          <w:rFonts w:ascii="Times New Roman" w:hAnsi="Times New Roman" w:cs="Times New Roman"/>
          <w:sz w:val="24"/>
          <w:szCs w:val="24"/>
        </w:rPr>
        <w:t xml:space="preserve"> 2009 third defendant purchased the dis</w:t>
      </w:r>
      <w:r>
        <w:rPr>
          <w:rFonts w:ascii="Times New Roman" w:hAnsi="Times New Roman" w:cs="Times New Roman"/>
          <w:sz w:val="24"/>
          <w:szCs w:val="24"/>
        </w:rPr>
        <w:t xml:space="preserve">puted immovable property and paid US$60 000 to second defendant </w:t>
      </w:r>
      <w:r w:rsidR="005550B0">
        <w:rPr>
          <w:rFonts w:ascii="Times New Roman" w:hAnsi="Times New Roman" w:cs="Times New Roman"/>
          <w:sz w:val="24"/>
          <w:szCs w:val="24"/>
        </w:rPr>
        <w:t xml:space="preserve">and </w:t>
      </w:r>
      <w:r>
        <w:rPr>
          <w:rFonts w:ascii="Times New Roman" w:hAnsi="Times New Roman" w:cs="Times New Roman"/>
          <w:sz w:val="24"/>
          <w:szCs w:val="24"/>
        </w:rPr>
        <w:t>obtained title in December 2017. He explained the delay for obtaining title stating that there were both financial challenges, on third defendant</w:t>
      </w:r>
      <w:r w:rsidR="002D6085">
        <w:rPr>
          <w:rFonts w:ascii="Times New Roman" w:hAnsi="Times New Roman" w:cs="Times New Roman"/>
          <w:sz w:val="24"/>
          <w:szCs w:val="24"/>
        </w:rPr>
        <w:t xml:space="preserve">’s part and administrative drag on the part of the Zimbabwe Revenue Authority but at the Deeds Registry there were no challenges. </w:t>
      </w:r>
      <w:r w:rsidR="002D6085">
        <w:rPr>
          <w:rFonts w:ascii="Times New Roman" w:hAnsi="Times New Roman" w:cs="Times New Roman"/>
          <w:sz w:val="24"/>
          <w:szCs w:val="24"/>
        </w:rPr>
        <w:tab/>
      </w:r>
    </w:p>
    <w:p w:rsidR="002D6085" w:rsidRDefault="002D6085" w:rsidP="003709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added that third defendant was claiming US$1 000 per month rentals from plaintiff calculated from December 2017 to date on 30</w:t>
      </w:r>
      <w:r w:rsidR="001F6DBC">
        <w:rPr>
          <w:rFonts w:ascii="Times New Roman" w:hAnsi="Times New Roman" w:cs="Times New Roman"/>
          <w:sz w:val="24"/>
          <w:szCs w:val="24"/>
        </w:rPr>
        <w:t xml:space="preserve"> </w:t>
      </w:r>
      <w:r w:rsidR="00104509">
        <w:rPr>
          <w:rFonts w:ascii="Times New Roman" w:hAnsi="Times New Roman" w:cs="Times New Roman"/>
          <w:sz w:val="24"/>
          <w:szCs w:val="24"/>
        </w:rPr>
        <w:t>September</w:t>
      </w:r>
      <w:r>
        <w:rPr>
          <w:rFonts w:ascii="Times New Roman" w:hAnsi="Times New Roman" w:cs="Times New Roman"/>
          <w:sz w:val="24"/>
          <w:szCs w:val="24"/>
        </w:rPr>
        <w:t xml:space="preserve"> 2015 he admitted sending his personnel to the property, according to the witness, Mr </w:t>
      </w:r>
      <w:r w:rsidR="00373A5E">
        <w:rPr>
          <w:rFonts w:ascii="Times New Roman" w:hAnsi="Times New Roman" w:cs="Times New Roman"/>
          <w:sz w:val="24"/>
          <w:szCs w:val="24"/>
        </w:rPr>
        <w:t>C</w:t>
      </w:r>
      <w:r>
        <w:rPr>
          <w:rFonts w:ascii="Times New Roman" w:hAnsi="Times New Roman" w:cs="Times New Roman"/>
          <w:sz w:val="24"/>
          <w:szCs w:val="24"/>
        </w:rPr>
        <w:t xml:space="preserve">hitsinde passed through the place. There was no basis for third defendant to pass transfer to the plaintiff. The </w:t>
      </w:r>
      <w:r w:rsidR="00373A5E">
        <w:rPr>
          <w:rFonts w:ascii="Times New Roman" w:hAnsi="Times New Roman" w:cs="Times New Roman"/>
          <w:sz w:val="24"/>
          <w:szCs w:val="24"/>
        </w:rPr>
        <w:t>witness</w:t>
      </w:r>
      <w:r>
        <w:rPr>
          <w:rFonts w:ascii="Times New Roman" w:hAnsi="Times New Roman" w:cs="Times New Roman"/>
          <w:sz w:val="24"/>
          <w:szCs w:val="24"/>
        </w:rPr>
        <w:t xml:space="preserve"> became aware of plaintiff’s presence at the property in 2017 after third defendant got title and agreed with plaintiff tha</w:t>
      </w:r>
      <w:r w:rsidR="00373A5E">
        <w:rPr>
          <w:rFonts w:ascii="Times New Roman" w:hAnsi="Times New Roman" w:cs="Times New Roman"/>
          <w:sz w:val="24"/>
          <w:szCs w:val="24"/>
        </w:rPr>
        <w:t>t</w:t>
      </w:r>
      <w:r>
        <w:rPr>
          <w:rFonts w:ascii="Times New Roman" w:hAnsi="Times New Roman" w:cs="Times New Roman"/>
          <w:sz w:val="24"/>
          <w:szCs w:val="24"/>
        </w:rPr>
        <w:t xml:space="preserve"> the lat</w:t>
      </w:r>
      <w:r w:rsidR="004579C9">
        <w:rPr>
          <w:rFonts w:ascii="Times New Roman" w:hAnsi="Times New Roman" w:cs="Times New Roman"/>
          <w:sz w:val="24"/>
          <w:szCs w:val="24"/>
        </w:rPr>
        <w:t>t</w:t>
      </w:r>
      <w:r>
        <w:rPr>
          <w:rFonts w:ascii="Times New Roman" w:hAnsi="Times New Roman" w:cs="Times New Roman"/>
          <w:sz w:val="24"/>
          <w:szCs w:val="24"/>
        </w:rPr>
        <w:t xml:space="preserve">er will be given three months notice to vacate the premises and pay rentals to third defendant. Later third defendant got a letter from </w:t>
      </w:r>
      <w:r w:rsidR="00373A5E">
        <w:rPr>
          <w:rFonts w:ascii="Times New Roman" w:hAnsi="Times New Roman" w:cs="Times New Roman"/>
          <w:sz w:val="24"/>
          <w:szCs w:val="24"/>
        </w:rPr>
        <w:t>plaintiff’s</w:t>
      </w:r>
      <w:r>
        <w:rPr>
          <w:rFonts w:ascii="Times New Roman" w:hAnsi="Times New Roman" w:cs="Times New Roman"/>
          <w:sz w:val="24"/>
          <w:szCs w:val="24"/>
        </w:rPr>
        <w:t xml:space="preserve"> lawyers demanding US$43 </w:t>
      </w:r>
      <w:r w:rsidR="004579C9">
        <w:rPr>
          <w:rFonts w:ascii="Times New Roman" w:hAnsi="Times New Roman" w:cs="Times New Roman"/>
          <w:sz w:val="24"/>
          <w:szCs w:val="24"/>
        </w:rPr>
        <w:t>667</w:t>
      </w:r>
      <w:r>
        <w:rPr>
          <w:rFonts w:ascii="Times New Roman" w:hAnsi="Times New Roman" w:cs="Times New Roman"/>
          <w:sz w:val="24"/>
          <w:szCs w:val="24"/>
        </w:rPr>
        <w:t xml:space="preserve"> f</w:t>
      </w:r>
      <w:r w:rsidR="004579C9">
        <w:rPr>
          <w:rFonts w:ascii="Times New Roman" w:hAnsi="Times New Roman" w:cs="Times New Roman"/>
          <w:sz w:val="24"/>
          <w:szCs w:val="24"/>
        </w:rPr>
        <w:t>or the value of the improvements.</w:t>
      </w:r>
      <w:r>
        <w:rPr>
          <w:rFonts w:ascii="Times New Roman" w:hAnsi="Times New Roman" w:cs="Times New Roman"/>
          <w:sz w:val="24"/>
          <w:szCs w:val="24"/>
        </w:rPr>
        <w:t xml:space="preserve"> </w:t>
      </w:r>
      <w:r w:rsidR="004579C9">
        <w:rPr>
          <w:rFonts w:ascii="Times New Roman" w:hAnsi="Times New Roman" w:cs="Times New Roman"/>
          <w:sz w:val="24"/>
          <w:szCs w:val="24"/>
        </w:rPr>
        <w:t>According</w:t>
      </w:r>
      <w:r>
        <w:rPr>
          <w:rFonts w:ascii="Times New Roman" w:hAnsi="Times New Roman" w:cs="Times New Roman"/>
          <w:sz w:val="24"/>
          <w:szCs w:val="24"/>
        </w:rPr>
        <w:t xml:space="preserve"> to </w:t>
      </w:r>
      <w:r w:rsidR="00373A5E">
        <w:rPr>
          <w:rFonts w:ascii="Times New Roman" w:hAnsi="Times New Roman" w:cs="Times New Roman"/>
          <w:sz w:val="24"/>
          <w:szCs w:val="24"/>
        </w:rPr>
        <w:t>the witness plaintiff did not clai</w:t>
      </w:r>
      <w:r>
        <w:rPr>
          <w:rFonts w:ascii="Times New Roman" w:hAnsi="Times New Roman" w:cs="Times New Roman"/>
          <w:sz w:val="24"/>
          <w:szCs w:val="24"/>
        </w:rPr>
        <w:t>m ownership over the disputed property.</w:t>
      </w:r>
    </w:p>
    <w:p w:rsidR="00F402FC" w:rsidRDefault="002D6085" w:rsidP="003709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Under cross</w:t>
      </w:r>
      <w:r w:rsidR="004579C9">
        <w:rPr>
          <w:rFonts w:ascii="Times New Roman" w:hAnsi="Times New Roman" w:cs="Times New Roman"/>
          <w:sz w:val="24"/>
          <w:szCs w:val="24"/>
        </w:rPr>
        <w:t xml:space="preserve"> examination by first defendant</w:t>
      </w:r>
      <w:r w:rsidR="00F402FC">
        <w:rPr>
          <w:rFonts w:ascii="Times New Roman" w:hAnsi="Times New Roman" w:cs="Times New Roman"/>
          <w:sz w:val="24"/>
          <w:szCs w:val="24"/>
        </w:rPr>
        <w:t xml:space="preserve"> the witness reiterated that third defendant purchased the property in 2009 and went on to re-explain why transfer took nine years to process.</w:t>
      </w:r>
    </w:p>
    <w:p w:rsidR="00F402FC" w:rsidRDefault="00F402FC" w:rsidP="00F402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cross-examination by plaintiff’s counsel the witness admitted that before payment of the purchase price</w:t>
      </w:r>
      <w:r w:rsidR="006D7C95">
        <w:rPr>
          <w:rFonts w:ascii="Times New Roman" w:hAnsi="Times New Roman" w:cs="Times New Roman"/>
          <w:sz w:val="24"/>
          <w:szCs w:val="24"/>
        </w:rPr>
        <w:t>,</w:t>
      </w:r>
      <w:r w:rsidR="004579C9">
        <w:rPr>
          <w:rFonts w:ascii="Times New Roman" w:hAnsi="Times New Roman" w:cs="Times New Roman"/>
          <w:sz w:val="24"/>
          <w:szCs w:val="24"/>
        </w:rPr>
        <w:t xml:space="preserve"> third defendant had</w:t>
      </w:r>
      <w:r>
        <w:rPr>
          <w:rFonts w:ascii="Times New Roman" w:hAnsi="Times New Roman" w:cs="Times New Roman"/>
          <w:sz w:val="24"/>
          <w:szCs w:val="24"/>
        </w:rPr>
        <w:t xml:space="preserve"> not inspect</w:t>
      </w:r>
      <w:r w:rsidR="004579C9">
        <w:rPr>
          <w:rFonts w:ascii="Times New Roman" w:hAnsi="Times New Roman" w:cs="Times New Roman"/>
          <w:sz w:val="24"/>
          <w:szCs w:val="24"/>
        </w:rPr>
        <w:t>ed the property and mad</w:t>
      </w:r>
      <w:r>
        <w:rPr>
          <w:rFonts w:ascii="Times New Roman" w:hAnsi="Times New Roman" w:cs="Times New Roman"/>
          <w:sz w:val="24"/>
          <w:szCs w:val="24"/>
        </w:rPr>
        <w:t xml:space="preserve">e its interest known to the plaintiff. He told the court that all </w:t>
      </w:r>
      <w:r w:rsidR="004579C9">
        <w:rPr>
          <w:rFonts w:ascii="Times New Roman" w:hAnsi="Times New Roman" w:cs="Times New Roman"/>
          <w:sz w:val="24"/>
          <w:szCs w:val="24"/>
        </w:rPr>
        <w:t>t</w:t>
      </w:r>
      <w:r>
        <w:rPr>
          <w:rFonts w:ascii="Times New Roman" w:hAnsi="Times New Roman" w:cs="Times New Roman"/>
          <w:sz w:val="24"/>
          <w:szCs w:val="24"/>
        </w:rPr>
        <w:t>hat he was interested in was title regardless of what he was buying. In 2009 he never told plaintiff about the purchase of the property.</w:t>
      </w:r>
    </w:p>
    <w:p w:rsidR="00510927" w:rsidRDefault="00F402FC" w:rsidP="005109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could not dispute plaintiff’s evidence that F</w:t>
      </w:r>
      <w:r w:rsidR="006D7C95">
        <w:rPr>
          <w:rFonts w:ascii="Times New Roman" w:hAnsi="Times New Roman" w:cs="Times New Roman"/>
          <w:sz w:val="24"/>
          <w:szCs w:val="24"/>
        </w:rPr>
        <w:t>arai Chitsi</w:t>
      </w:r>
      <w:r>
        <w:rPr>
          <w:rFonts w:ascii="Times New Roman" w:hAnsi="Times New Roman" w:cs="Times New Roman"/>
          <w:sz w:val="24"/>
          <w:szCs w:val="24"/>
        </w:rPr>
        <w:t>nde his Human Resources and Administration Manager visited plaintiff on</w:t>
      </w:r>
      <w:r w:rsidR="00802733">
        <w:rPr>
          <w:rFonts w:ascii="Times New Roman" w:hAnsi="Times New Roman" w:cs="Times New Roman"/>
          <w:sz w:val="24"/>
          <w:szCs w:val="24"/>
        </w:rPr>
        <w:t xml:space="preserve"> </w:t>
      </w:r>
      <w:r>
        <w:rPr>
          <w:rFonts w:ascii="Times New Roman" w:hAnsi="Times New Roman" w:cs="Times New Roman"/>
          <w:sz w:val="24"/>
          <w:szCs w:val="24"/>
        </w:rPr>
        <w:t>30</w:t>
      </w:r>
      <w:r w:rsidR="00802733">
        <w:rPr>
          <w:rFonts w:ascii="Times New Roman" w:hAnsi="Times New Roman" w:cs="Times New Roman"/>
          <w:sz w:val="24"/>
          <w:szCs w:val="24"/>
        </w:rPr>
        <w:t xml:space="preserve"> </w:t>
      </w:r>
      <w:r>
        <w:rPr>
          <w:rFonts w:ascii="Times New Roman" w:hAnsi="Times New Roman" w:cs="Times New Roman"/>
          <w:sz w:val="24"/>
          <w:szCs w:val="24"/>
        </w:rPr>
        <w:t xml:space="preserve">September 2015 and left his </w:t>
      </w:r>
      <w:r w:rsidR="006D7C95">
        <w:rPr>
          <w:rFonts w:ascii="Times New Roman" w:hAnsi="Times New Roman" w:cs="Times New Roman"/>
          <w:sz w:val="24"/>
          <w:szCs w:val="24"/>
        </w:rPr>
        <w:t>business card with Mr Sarimana</w:t>
      </w:r>
      <w:r>
        <w:rPr>
          <w:rFonts w:ascii="Times New Roman" w:hAnsi="Times New Roman" w:cs="Times New Roman"/>
          <w:sz w:val="24"/>
          <w:szCs w:val="24"/>
        </w:rPr>
        <w:t>, plaintiff’s Managing Director. He equally could not d</w:t>
      </w:r>
      <w:r w:rsidR="006D7C95">
        <w:rPr>
          <w:rFonts w:ascii="Times New Roman" w:hAnsi="Times New Roman" w:cs="Times New Roman"/>
          <w:sz w:val="24"/>
          <w:szCs w:val="24"/>
        </w:rPr>
        <w:t>ispute the fact that Mr Sarimana</w:t>
      </w:r>
      <w:r>
        <w:rPr>
          <w:rFonts w:ascii="Times New Roman" w:hAnsi="Times New Roman" w:cs="Times New Roman"/>
          <w:sz w:val="24"/>
          <w:szCs w:val="24"/>
        </w:rPr>
        <w:t xml:space="preserve"> advised Mr Chitsinde about</w:t>
      </w:r>
      <w:r w:rsidR="00802733">
        <w:rPr>
          <w:rFonts w:ascii="Times New Roman" w:hAnsi="Times New Roman" w:cs="Times New Roman"/>
          <w:sz w:val="24"/>
          <w:szCs w:val="24"/>
        </w:rPr>
        <w:t xml:space="preserve"> </w:t>
      </w:r>
      <w:r w:rsidR="002F42D8">
        <w:rPr>
          <w:rFonts w:ascii="Times New Roman" w:hAnsi="Times New Roman" w:cs="Times New Roman"/>
          <w:sz w:val="24"/>
          <w:szCs w:val="24"/>
        </w:rPr>
        <w:t>plaintiff’s</w:t>
      </w:r>
      <w:r w:rsidR="003C3485">
        <w:rPr>
          <w:rFonts w:ascii="Times New Roman" w:hAnsi="Times New Roman" w:cs="Times New Roman"/>
          <w:sz w:val="24"/>
          <w:szCs w:val="24"/>
        </w:rPr>
        <w:t xml:space="preserve"> purchase of the s</w:t>
      </w:r>
      <w:r w:rsidR="00802733">
        <w:rPr>
          <w:rFonts w:ascii="Times New Roman" w:hAnsi="Times New Roman" w:cs="Times New Roman"/>
          <w:sz w:val="24"/>
          <w:szCs w:val="24"/>
        </w:rPr>
        <w:t xml:space="preserve">ame property. The witness later conceded that third </w:t>
      </w:r>
      <w:r w:rsidR="006D7C95">
        <w:rPr>
          <w:rFonts w:ascii="Times New Roman" w:hAnsi="Times New Roman" w:cs="Times New Roman"/>
          <w:sz w:val="24"/>
          <w:szCs w:val="24"/>
        </w:rPr>
        <w:t xml:space="preserve">defendant knew at the time it signed the </w:t>
      </w:r>
      <w:r w:rsidR="00802733">
        <w:rPr>
          <w:rFonts w:ascii="Times New Roman" w:hAnsi="Times New Roman" w:cs="Times New Roman"/>
          <w:sz w:val="24"/>
          <w:szCs w:val="24"/>
        </w:rPr>
        <w:t xml:space="preserve">agreement of sale that </w:t>
      </w:r>
      <w:r w:rsidR="002F42D8">
        <w:rPr>
          <w:rFonts w:ascii="Times New Roman" w:hAnsi="Times New Roman" w:cs="Times New Roman"/>
          <w:sz w:val="24"/>
          <w:szCs w:val="24"/>
        </w:rPr>
        <w:t>s</w:t>
      </w:r>
      <w:r w:rsidR="00802733">
        <w:rPr>
          <w:rFonts w:ascii="Times New Roman" w:hAnsi="Times New Roman" w:cs="Times New Roman"/>
          <w:sz w:val="24"/>
          <w:szCs w:val="24"/>
        </w:rPr>
        <w:t xml:space="preserve">omeone else was in occupation of the property.  He told the court that the US$1 000 rentals was pegged by third defendant and agreed to by the </w:t>
      </w:r>
      <w:r w:rsidR="002F42D8">
        <w:rPr>
          <w:rFonts w:ascii="Times New Roman" w:hAnsi="Times New Roman" w:cs="Times New Roman"/>
          <w:sz w:val="24"/>
          <w:szCs w:val="24"/>
        </w:rPr>
        <w:t>plaintiff</w:t>
      </w:r>
      <w:r w:rsidR="00802733">
        <w:rPr>
          <w:rFonts w:ascii="Times New Roman" w:hAnsi="Times New Roman" w:cs="Times New Roman"/>
          <w:sz w:val="24"/>
          <w:szCs w:val="24"/>
        </w:rPr>
        <w:t xml:space="preserve">. He stated and denied that plaintiff was the first purchaser of the disputed immovable property. He admitted that from his evidence in </w:t>
      </w:r>
      <w:r w:rsidR="002F42D8">
        <w:rPr>
          <w:rFonts w:ascii="Times New Roman" w:hAnsi="Times New Roman" w:cs="Times New Roman"/>
          <w:sz w:val="24"/>
          <w:szCs w:val="24"/>
        </w:rPr>
        <w:t>chief his</w:t>
      </w:r>
      <w:r w:rsidR="00802733">
        <w:rPr>
          <w:rFonts w:ascii="Times New Roman" w:hAnsi="Times New Roman" w:cs="Times New Roman"/>
          <w:sz w:val="24"/>
          <w:szCs w:val="24"/>
        </w:rPr>
        <w:t xml:space="preserve"> claim for rentals is not from 2009 to 2018 but from 2017 to date. The third </w:t>
      </w:r>
      <w:r w:rsidR="00510927">
        <w:rPr>
          <w:rFonts w:ascii="Times New Roman" w:hAnsi="Times New Roman" w:cs="Times New Roman"/>
          <w:sz w:val="24"/>
          <w:szCs w:val="24"/>
        </w:rPr>
        <w:t>defendant then closed its case.</w:t>
      </w:r>
    </w:p>
    <w:p w:rsidR="00A919FF" w:rsidRDefault="00802733" w:rsidP="00510927">
      <w:pPr>
        <w:spacing w:after="0" w:line="360" w:lineRule="auto"/>
        <w:ind w:firstLine="720"/>
        <w:jc w:val="both"/>
        <w:rPr>
          <w:rFonts w:ascii="Times New Roman" w:hAnsi="Times New Roman" w:cs="Times New Roman"/>
          <w:sz w:val="24"/>
          <w:szCs w:val="24"/>
        </w:rPr>
      </w:pPr>
      <w:r w:rsidRPr="00A919FF">
        <w:rPr>
          <w:rFonts w:ascii="Times New Roman" w:hAnsi="Times New Roman" w:cs="Times New Roman"/>
          <w:sz w:val="24"/>
          <w:szCs w:val="24"/>
        </w:rPr>
        <w:t>On 12 February 2021 all the parties synchronised issues for trial as follows:</w:t>
      </w:r>
    </w:p>
    <w:p w:rsidR="008D6C83" w:rsidRPr="00510927" w:rsidRDefault="00802733" w:rsidP="00510927">
      <w:pPr>
        <w:pStyle w:val="ListParagraph"/>
        <w:numPr>
          <w:ilvl w:val="0"/>
          <w:numId w:val="28"/>
        </w:numPr>
        <w:spacing w:after="0" w:line="360" w:lineRule="auto"/>
        <w:ind w:left="1080"/>
        <w:jc w:val="both"/>
        <w:rPr>
          <w:rFonts w:ascii="Times New Roman" w:hAnsi="Times New Roman" w:cs="Times New Roman"/>
          <w:b/>
          <w:sz w:val="24"/>
          <w:szCs w:val="24"/>
        </w:rPr>
      </w:pPr>
      <w:r w:rsidRPr="00510927">
        <w:rPr>
          <w:rFonts w:ascii="Times New Roman" w:hAnsi="Times New Roman" w:cs="Times New Roman"/>
          <w:b/>
          <w:sz w:val="24"/>
          <w:szCs w:val="24"/>
        </w:rPr>
        <w:t>Whether or not matter has prescribed?</w:t>
      </w:r>
    </w:p>
    <w:p w:rsidR="001D0EF6" w:rsidRPr="00510927" w:rsidRDefault="001D0EF6" w:rsidP="00510927">
      <w:pPr>
        <w:pStyle w:val="ListParagraph"/>
        <w:numPr>
          <w:ilvl w:val="0"/>
          <w:numId w:val="28"/>
        </w:numPr>
        <w:spacing w:after="0" w:line="360" w:lineRule="auto"/>
        <w:ind w:left="1080"/>
        <w:jc w:val="both"/>
        <w:rPr>
          <w:rFonts w:ascii="Times New Roman" w:hAnsi="Times New Roman" w:cs="Times New Roman"/>
          <w:b/>
          <w:sz w:val="24"/>
          <w:szCs w:val="24"/>
        </w:rPr>
      </w:pPr>
      <w:r w:rsidRPr="00510927">
        <w:rPr>
          <w:rFonts w:ascii="Times New Roman" w:hAnsi="Times New Roman" w:cs="Times New Roman"/>
          <w:b/>
          <w:sz w:val="24"/>
          <w:szCs w:val="24"/>
        </w:rPr>
        <w:t>Was there a double sale? If so was it fraudulent?</w:t>
      </w:r>
    </w:p>
    <w:p w:rsidR="001D0EF6" w:rsidRPr="00510927" w:rsidRDefault="001D0EF6" w:rsidP="00510927">
      <w:pPr>
        <w:pStyle w:val="ListParagraph"/>
        <w:numPr>
          <w:ilvl w:val="0"/>
          <w:numId w:val="28"/>
        </w:numPr>
        <w:spacing w:after="0" w:line="360" w:lineRule="auto"/>
        <w:ind w:left="1080"/>
        <w:jc w:val="both"/>
        <w:rPr>
          <w:rFonts w:ascii="Times New Roman" w:hAnsi="Times New Roman" w:cs="Times New Roman"/>
          <w:b/>
          <w:sz w:val="24"/>
          <w:szCs w:val="24"/>
        </w:rPr>
      </w:pPr>
      <w:r w:rsidRPr="00510927">
        <w:rPr>
          <w:rFonts w:ascii="Times New Roman" w:hAnsi="Times New Roman" w:cs="Times New Roman"/>
          <w:b/>
          <w:sz w:val="24"/>
          <w:szCs w:val="24"/>
        </w:rPr>
        <w:t xml:space="preserve">Was there a valid cancellation of the agreement of </w:t>
      </w:r>
      <w:r w:rsidR="00510927" w:rsidRPr="00510927">
        <w:rPr>
          <w:rFonts w:ascii="Times New Roman" w:hAnsi="Times New Roman" w:cs="Times New Roman"/>
          <w:b/>
          <w:sz w:val="24"/>
          <w:szCs w:val="24"/>
        </w:rPr>
        <w:t>sale?</w:t>
      </w:r>
      <w:r w:rsidRPr="00510927">
        <w:rPr>
          <w:rFonts w:ascii="Times New Roman" w:hAnsi="Times New Roman" w:cs="Times New Roman"/>
          <w:b/>
          <w:sz w:val="24"/>
          <w:szCs w:val="24"/>
        </w:rPr>
        <w:t xml:space="preserve"> </w:t>
      </w:r>
    </w:p>
    <w:p w:rsidR="001D0EF6" w:rsidRPr="00510927" w:rsidRDefault="001D0EF6" w:rsidP="00510927">
      <w:pPr>
        <w:pStyle w:val="ListParagraph"/>
        <w:numPr>
          <w:ilvl w:val="0"/>
          <w:numId w:val="28"/>
        </w:numPr>
        <w:spacing w:after="0" w:line="360" w:lineRule="auto"/>
        <w:ind w:left="1080"/>
        <w:jc w:val="both"/>
        <w:rPr>
          <w:rFonts w:ascii="Times New Roman" w:hAnsi="Times New Roman" w:cs="Times New Roman"/>
          <w:b/>
          <w:sz w:val="24"/>
          <w:szCs w:val="24"/>
        </w:rPr>
      </w:pPr>
      <w:r w:rsidRPr="00510927">
        <w:rPr>
          <w:rFonts w:ascii="Times New Roman" w:hAnsi="Times New Roman" w:cs="Times New Roman"/>
          <w:b/>
          <w:sz w:val="24"/>
          <w:szCs w:val="24"/>
        </w:rPr>
        <w:t xml:space="preserve">Whether or not plaintiff has a right to an improvement lien? If so what is the quantum thereof? </w:t>
      </w:r>
    </w:p>
    <w:p w:rsidR="001D0EF6" w:rsidRPr="00510927" w:rsidRDefault="001D0EF6" w:rsidP="00510927">
      <w:pPr>
        <w:pStyle w:val="ListParagraph"/>
        <w:numPr>
          <w:ilvl w:val="0"/>
          <w:numId w:val="28"/>
        </w:numPr>
        <w:spacing w:after="0" w:line="360" w:lineRule="auto"/>
        <w:ind w:left="1080"/>
        <w:jc w:val="both"/>
        <w:rPr>
          <w:rFonts w:ascii="Times New Roman" w:hAnsi="Times New Roman" w:cs="Times New Roman"/>
          <w:b/>
          <w:sz w:val="24"/>
          <w:szCs w:val="24"/>
        </w:rPr>
      </w:pPr>
      <w:r w:rsidRPr="00510927">
        <w:rPr>
          <w:rFonts w:ascii="Times New Roman" w:hAnsi="Times New Roman" w:cs="Times New Roman"/>
          <w:b/>
          <w:sz w:val="24"/>
          <w:szCs w:val="24"/>
        </w:rPr>
        <w:t>Whether or not there was a misrepresentation by the first defenda</w:t>
      </w:r>
      <w:r w:rsidR="00A919FF" w:rsidRPr="00510927">
        <w:rPr>
          <w:rFonts w:ascii="Times New Roman" w:hAnsi="Times New Roman" w:cs="Times New Roman"/>
          <w:b/>
          <w:sz w:val="24"/>
          <w:szCs w:val="24"/>
        </w:rPr>
        <w:t>n</w:t>
      </w:r>
      <w:r w:rsidRPr="00510927">
        <w:rPr>
          <w:rFonts w:ascii="Times New Roman" w:hAnsi="Times New Roman" w:cs="Times New Roman"/>
          <w:b/>
          <w:sz w:val="24"/>
          <w:szCs w:val="24"/>
        </w:rPr>
        <w:t xml:space="preserve">t to the plaintiff? If so, is plaintiff entitled to </w:t>
      </w:r>
    </w:p>
    <w:p w:rsidR="001D0EF6" w:rsidRPr="00510927" w:rsidRDefault="001D0EF6" w:rsidP="00510927">
      <w:pPr>
        <w:pStyle w:val="ListParagraph"/>
        <w:numPr>
          <w:ilvl w:val="1"/>
          <w:numId w:val="24"/>
        </w:numPr>
        <w:spacing w:after="0" w:line="360" w:lineRule="auto"/>
        <w:ind w:left="2160"/>
        <w:jc w:val="both"/>
        <w:rPr>
          <w:rFonts w:ascii="Times New Roman" w:hAnsi="Times New Roman" w:cs="Times New Roman"/>
          <w:b/>
          <w:sz w:val="24"/>
          <w:szCs w:val="24"/>
        </w:rPr>
      </w:pPr>
      <w:r w:rsidRPr="00510927">
        <w:rPr>
          <w:rFonts w:ascii="Times New Roman" w:hAnsi="Times New Roman" w:cs="Times New Roman"/>
          <w:b/>
          <w:sz w:val="24"/>
          <w:szCs w:val="24"/>
        </w:rPr>
        <w:t xml:space="preserve">US$ $80 000 </w:t>
      </w:r>
    </w:p>
    <w:p w:rsidR="001D0EF6" w:rsidRPr="00510927" w:rsidRDefault="001D0EF6" w:rsidP="00510927">
      <w:pPr>
        <w:pStyle w:val="ListParagraph"/>
        <w:numPr>
          <w:ilvl w:val="1"/>
          <w:numId w:val="24"/>
        </w:numPr>
        <w:spacing w:after="0" w:line="360" w:lineRule="auto"/>
        <w:ind w:left="2160"/>
        <w:jc w:val="both"/>
        <w:rPr>
          <w:rFonts w:ascii="Times New Roman" w:hAnsi="Times New Roman" w:cs="Times New Roman"/>
          <w:b/>
          <w:sz w:val="24"/>
          <w:szCs w:val="24"/>
        </w:rPr>
      </w:pPr>
      <w:r w:rsidRPr="00510927">
        <w:rPr>
          <w:rFonts w:ascii="Times New Roman" w:hAnsi="Times New Roman" w:cs="Times New Roman"/>
          <w:b/>
          <w:sz w:val="24"/>
          <w:szCs w:val="24"/>
        </w:rPr>
        <w:t>US $43 667 for improvement made</w:t>
      </w:r>
    </w:p>
    <w:p w:rsidR="00A919FF" w:rsidRPr="00510927" w:rsidRDefault="001D0EF6" w:rsidP="00510927">
      <w:pPr>
        <w:pStyle w:val="ListParagraph"/>
        <w:numPr>
          <w:ilvl w:val="1"/>
          <w:numId w:val="24"/>
        </w:numPr>
        <w:spacing w:after="0" w:line="360" w:lineRule="auto"/>
        <w:ind w:left="2160"/>
        <w:jc w:val="both"/>
        <w:rPr>
          <w:rFonts w:ascii="Times New Roman" w:hAnsi="Times New Roman" w:cs="Times New Roman"/>
          <w:b/>
          <w:sz w:val="24"/>
          <w:szCs w:val="24"/>
        </w:rPr>
      </w:pPr>
      <w:r w:rsidRPr="00510927">
        <w:rPr>
          <w:rFonts w:ascii="Times New Roman" w:hAnsi="Times New Roman" w:cs="Times New Roman"/>
          <w:b/>
          <w:sz w:val="24"/>
          <w:szCs w:val="24"/>
        </w:rPr>
        <w:t>Replacement value and if so the quantum thereof.</w:t>
      </w:r>
    </w:p>
    <w:p w:rsidR="00104509" w:rsidRDefault="00104509" w:rsidP="00510927">
      <w:pPr>
        <w:spacing w:after="0" w:line="360" w:lineRule="auto"/>
        <w:ind w:left="720"/>
        <w:jc w:val="both"/>
        <w:rPr>
          <w:rFonts w:ascii="Times New Roman" w:hAnsi="Times New Roman" w:cs="Times New Roman"/>
          <w:b/>
          <w:sz w:val="24"/>
          <w:szCs w:val="24"/>
        </w:rPr>
      </w:pPr>
      <w:r w:rsidRPr="00510927">
        <w:rPr>
          <w:rFonts w:ascii="Times New Roman" w:hAnsi="Times New Roman" w:cs="Times New Roman"/>
          <w:b/>
          <w:sz w:val="24"/>
          <w:szCs w:val="24"/>
        </w:rPr>
        <w:t>6. (</w:t>
      </w:r>
      <w:r w:rsidR="00A919FF" w:rsidRPr="00510927">
        <w:rPr>
          <w:rFonts w:ascii="Times New Roman" w:hAnsi="Times New Roman" w:cs="Times New Roman"/>
          <w:b/>
          <w:sz w:val="24"/>
          <w:szCs w:val="24"/>
        </w:rPr>
        <w:t xml:space="preserve">i) Whether or not third defendant is entitled to evict the plaintiff and all those </w:t>
      </w:r>
      <w:r>
        <w:rPr>
          <w:rFonts w:ascii="Times New Roman" w:hAnsi="Times New Roman" w:cs="Times New Roman"/>
          <w:b/>
          <w:sz w:val="24"/>
          <w:szCs w:val="24"/>
        </w:rPr>
        <w:t xml:space="preserve">  </w:t>
      </w:r>
    </w:p>
    <w:p w:rsidR="00A919FF" w:rsidRPr="00510927" w:rsidRDefault="00A919FF" w:rsidP="00510927">
      <w:pPr>
        <w:spacing w:after="0" w:line="360" w:lineRule="auto"/>
        <w:ind w:left="720"/>
        <w:jc w:val="both"/>
        <w:rPr>
          <w:rFonts w:ascii="Times New Roman" w:hAnsi="Times New Roman" w:cs="Times New Roman"/>
          <w:b/>
          <w:sz w:val="24"/>
          <w:szCs w:val="24"/>
        </w:rPr>
      </w:pPr>
      <w:r w:rsidRPr="00510927">
        <w:rPr>
          <w:rFonts w:ascii="Times New Roman" w:hAnsi="Times New Roman" w:cs="Times New Roman"/>
          <w:b/>
          <w:sz w:val="24"/>
          <w:szCs w:val="24"/>
        </w:rPr>
        <w:t>claiming occupation through it.</w:t>
      </w:r>
    </w:p>
    <w:p w:rsidR="00A919FF" w:rsidRPr="00510927" w:rsidRDefault="00A919FF" w:rsidP="00510927">
      <w:pPr>
        <w:spacing w:after="0" w:line="360" w:lineRule="auto"/>
        <w:ind w:firstLine="720"/>
        <w:jc w:val="both"/>
        <w:rPr>
          <w:rFonts w:ascii="Times New Roman" w:hAnsi="Times New Roman" w:cs="Times New Roman"/>
          <w:b/>
          <w:sz w:val="24"/>
          <w:szCs w:val="24"/>
        </w:rPr>
      </w:pPr>
      <w:r w:rsidRPr="00510927">
        <w:rPr>
          <w:rFonts w:ascii="Times New Roman" w:hAnsi="Times New Roman" w:cs="Times New Roman"/>
          <w:b/>
          <w:sz w:val="24"/>
          <w:szCs w:val="24"/>
        </w:rPr>
        <w:t>(ii) Whether third defendant is entitled to rentals? If so the quantum thereof.</w:t>
      </w:r>
    </w:p>
    <w:p w:rsidR="00A919FF" w:rsidRDefault="00A919FF" w:rsidP="00510927">
      <w:pPr>
        <w:spacing w:after="0" w:line="360" w:lineRule="auto"/>
        <w:ind w:left="360"/>
        <w:jc w:val="both"/>
        <w:rPr>
          <w:rFonts w:ascii="Times New Roman" w:hAnsi="Times New Roman" w:cs="Times New Roman"/>
          <w:sz w:val="24"/>
          <w:szCs w:val="24"/>
        </w:rPr>
      </w:pPr>
    </w:p>
    <w:p w:rsidR="00C670F6" w:rsidRDefault="00A919FF" w:rsidP="00A919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Is</w:t>
      </w:r>
      <w:r w:rsidR="00C670F6">
        <w:rPr>
          <w:rFonts w:ascii="Times New Roman" w:hAnsi="Times New Roman" w:cs="Times New Roman"/>
          <w:sz w:val="24"/>
          <w:szCs w:val="24"/>
        </w:rPr>
        <w:t>s</w:t>
      </w:r>
      <w:r>
        <w:rPr>
          <w:rFonts w:ascii="Times New Roman" w:hAnsi="Times New Roman" w:cs="Times New Roman"/>
          <w:sz w:val="24"/>
          <w:szCs w:val="24"/>
        </w:rPr>
        <w:t xml:space="preserve">ues 1-3 relate to the issue of the agreement of sale and prescription defence raised by the second defendant. Issues </w:t>
      </w:r>
      <w:r w:rsidR="00C670F6">
        <w:rPr>
          <w:rFonts w:ascii="Times New Roman" w:hAnsi="Times New Roman" w:cs="Times New Roman"/>
          <w:sz w:val="24"/>
          <w:szCs w:val="24"/>
        </w:rPr>
        <w:t>4-6 cent</w:t>
      </w:r>
      <w:r>
        <w:rPr>
          <w:rFonts w:ascii="Times New Roman" w:hAnsi="Times New Roman" w:cs="Times New Roman"/>
          <w:sz w:val="24"/>
          <w:szCs w:val="24"/>
        </w:rPr>
        <w:t>r</w:t>
      </w:r>
      <w:r w:rsidR="00C670F6">
        <w:rPr>
          <w:rFonts w:ascii="Times New Roman" w:hAnsi="Times New Roman" w:cs="Times New Roman"/>
          <w:sz w:val="24"/>
          <w:szCs w:val="24"/>
        </w:rPr>
        <w:t>e</w:t>
      </w:r>
      <w:r>
        <w:rPr>
          <w:rFonts w:ascii="Times New Roman" w:hAnsi="Times New Roman" w:cs="Times New Roman"/>
          <w:sz w:val="24"/>
          <w:szCs w:val="24"/>
        </w:rPr>
        <w:t>s on the alternative claims of the plaintiff as well as counter claim by third defendant. It is important to mention at this stage that if</w:t>
      </w:r>
      <w:r w:rsidR="006D7C95">
        <w:rPr>
          <w:rFonts w:ascii="Times New Roman" w:hAnsi="Times New Roman" w:cs="Times New Roman"/>
          <w:sz w:val="24"/>
          <w:szCs w:val="24"/>
        </w:rPr>
        <w:t xml:space="preserve"> the plaintiff’s main claim</w:t>
      </w:r>
      <w:r>
        <w:rPr>
          <w:rFonts w:ascii="Times New Roman" w:hAnsi="Times New Roman" w:cs="Times New Roman"/>
          <w:sz w:val="24"/>
          <w:szCs w:val="24"/>
        </w:rPr>
        <w:t xml:space="preserve"> succeeds </w:t>
      </w:r>
      <w:r w:rsidR="00C670F6">
        <w:rPr>
          <w:rFonts w:ascii="Times New Roman" w:hAnsi="Times New Roman" w:cs="Times New Roman"/>
          <w:sz w:val="24"/>
          <w:szCs w:val="24"/>
        </w:rPr>
        <w:t>issues 4-6 will not be dealt with for they largely depend on the resolution of the enforceability of the agreement of sale and specific performance in favour of the plaintiff. The court will thus address the issue of prescription first.</w:t>
      </w:r>
    </w:p>
    <w:p w:rsidR="00C670F6" w:rsidRDefault="00C670F6" w:rsidP="00A919FF">
      <w:pPr>
        <w:spacing w:after="0" w:line="360" w:lineRule="auto"/>
        <w:jc w:val="both"/>
        <w:rPr>
          <w:rFonts w:ascii="Times New Roman" w:hAnsi="Times New Roman" w:cs="Times New Roman"/>
          <w:sz w:val="24"/>
          <w:szCs w:val="24"/>
        </w:rPr>
      </w:pPr>
    </w:p>
    <w:p w:rsidR="00C670F6" w:rsidRPr="006B7217" w:rsidRDefault="00C670F6" w:rsidP="00A919FF">
      <w:pPr>
        <w:spacing w:after="0" w:line="360" w:lineRule="auto"/>
        <w:jc w:val="both"/>
        <w:rPr>
          <w:rFonts w:ascii="Times New Roman" w:hAnsi="Times New Roman" w:cs="Times New Roman"/>
          <w:sz w:val="24"/>
          <w:szCs w:val="24"/>
          <w:u w:val="single"/>
        </w:rPr>
      </w:pPr>
      <w:r w:rsidRPr="006B7217">
        <w:rPr>
          <w:rFonts w:ascii="Times New Roman" w:hAnsi="Times New Roman" w:cs="Times New Roman"/>
          <w:sz w:val="24"/>
          <w:szCs w:val="24"/>
          <w:u w:val="single"/>
        </w:rPr>
        <w:t>Whether or not matter is prescribed?</w:t>
      </w:r>
    </w:p>
    <w:p w:rsidR="00C670F6" w:rsidRDefault="00C670F6" w:rsidP="00A919FF">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The special plea of prescription is only raised by first defendant. First </w:t>
      </w:r>
      <w:r w:rsidR="002F42D8">
        <w:rPr>
          <w:rFonts w:ascii="Times New Roman" w:hAnsi="Times New Roman" w:cs="Times New Roman"/>
          <w:sz w:val="24"/>
          <w:szCs w:val="24"/>
        </w:rPr>
        <w:t>defendant contend</w:t>
      </w:r>
      <w:r>
        <w:rPr>
          <w:rFonts w:ascii="Times New Roman" w:hAnsi="Times New Roman" w:cs="Times New Roman"/>
          <w:sz w:val="24"/>
          <w:szCs w:val="24"/>
        </w:rPr>
        <w:t xml:space="preserve"> that </w:t>
      </w:r>
      <w:r w:rsidR="002F42D8">
        <w:rPr>
          <w:rFonts w:ascii="Times New Roman" w:hAnsi="Times New Roman" w:cs="Times New Roman"/>
          <w:sz w:val="24"/>
          <w:szCs w:val="24"/>
        </w:rPr>
        <w:t>plaintiff’s</w:t>
      </w:r>
      <w:r>
        <w:rPr>
          <w:rFonts w:ascii="Times New Roman" w:hAnsi="Times New Roman" w:cs="Times New Roman"/>
          <w:sz w:val="24"/>
          <w:szCs w:val="24"/>
        </w:rPr>
        <w:t xml:space="preserve"> claim is based on an agreement of sale entered with between the parties about early 2009. On 29 September 2010 plaintiff after being made aware of the termination of the agreement of Sale refuse</w:t>
      </w:r>
      <w:r w:rsidR="006D7C95">
        <w:rPr>
          <w:rFonts w:ascii="Times New Roman" w:hAnsi="Times New Roman" w:cs="Times New Roman"/>
          <w:sz w:val="24"/>
          <w:szCs w:val="24"/>
        </w:rPr>
        <w:t>d</w:t>
      </w:r>
      <w:r>
        <w:rPr>
          <w:rFonts w:ascii="Times New Roman" w:hAnsi="Times New Roman" w:cs="Times New Roman"/>
          <w:sz w:val="24"/>
          <w:szCs w:val="24"/>
        </w:rPr>
        <w:t xml:space="preserve"> to accept and returned funds paid towards the purchase price and demanded specific performance of transfer of the property. On 13 October 2010 plaintiff was informed of the</w:t>
      </w:r>
      <w:r w:rsidR="00E41127">
        <w:rPr>
          <w:rFonts w:ascii="Times New Roman" w:hAnsi="Times New Roman" w:cs="Times New Roman"/>
          <w:sz w:val="24"/>
          <w:szCs w:val="24"/>
        </w:rPr>
        <w:t xml:space="preserve"> sale of the property to a thirt</w:t>
      </w:r>
      <w:r>
        <w:rPr>
          <w:rFonts w:ascii="Times New Roman" w:hAnsi="Times New Roman" w:cs="Times New Roman"/>
          <w:sz w:val="24"/>
          <w:szCs w:val="24"/>
        </w:rPr>
        <w:t>y part</w:t>
      </w:r>
      <w:r w:rsidR="006D7C95">
        <w:rPr>
          <w:rFonts w:ascii="Times New Roman" w:hAnsi="Times New Roman" w:cs="Times New Roman"/>
          <w:sz w:val="24"/>
          <w:szCs w:val="24"/>
        </w:rPr>
        <w:t>y</w:t>
      </w:r>
      <w:r>
        <w:rPr>
          <w:rFonts w:ascii="Times New Roman" w:hAnsi="Times New Roman" w:cs="Times New Roman"/>
          <w:sz w:val="24"/>
          <w:szCs w:val="24"/>
        </w:rPr>
        <w:t xml:space="preserve"> and that it would not be possible to effect transfer into its name. </w:t>
      </w:r>
      <w:r w:rsidR="006C51BE">
        <w:rPr>
          <w:rFonts w:ascii="Times New Roman" w:hAnsi="Times New Roman" w:cs="Times New Roman"/>
          <w:sz w:val="24"/>
          <w:szCs w:val="24"/>
        </w:rPr>
        <w:t>On</w:t>
      </w:r>
      <w:r>
        <w:rPr>
          <w:rFonts w:ascii="Times New Roman" w:hAnsi="Times New Roman" w:cs="Times New Roman"/>
          <w:sz w:val="24"/>
          <w:szCs w:val="24"/>
        </w:rPr>
        <w:t xml:space="preserve"> 22 March 2011 plaintiff’s lawyers demanded transfer of the property within fourteen days alternatively payment of damages sustained arising from the terminated agreement </w:t>
      </w:r>
      <w:r w:rsidR="00E41127">
        <w:rPr>
          <w:rFonts w:ascii="Times New Roman" w:hAnsi="Times New Roman" w:cs="Times New Roman"/>
          <w:sz w:val="24"/>
          <w:szCs w:val="24"/>
        </w:rPr>
        <w:t xml:space="preserve">of </w:t>
      </w:r>
      <w:r>
        <w:rPr>
          <w:rFonts w:ascii="Times New Roman" w:hAnsi="Times New Roman" w:cs="Times New Roman"/>
          <w:sz w:val="24"/>
          <w:szCs w:val="24"/>
        </w:rPr>
        <w:t>sale</w:t>
      </w:r>
      <w:r w:rsidR="00E41127">
        <w:rPr>
          <w:rFonts w:ascii="Times New Roman" w:hAnsi="Times New Roman" w:cs="Times New Roman"/>
          <w:sz w:val="24"/>
          <w:szCs w:val="24"/>
        </w:rPr>
        <w:t xml:space="preserve">. Hence at the latest by 22 March 2011 the plaintiff </w:t>
      </w:r>
      <w:r w:rsidR="006C51BE">
        <w:rPr>
          <w:rFonts w:ascii="Times New Roman" w:hAnsi="Times New Roman" w:cs="Times New Roman"/>
          <w:sz w:val="24"/>
          <w:szCs w:val="24"/>
        </w:rPr>
        <w:t>was aware</w:t>
      </w:r>
      <w:r w:rsidR="00E41127">
        <w:rPr>
          <w:rFonts w:ascii="Times New Roman" w:hAnsi="Times New Roman" w:cs="Times New Roman"/>
          <w:sz w:val="24"/>
          <w:szCs w:val="24"/>
        </w:rPr>
        <w:t xml:space="preserve"> of the facts on which to make his claim and had placed first defendant in </w:t>
      </w:r>
      <w:r w:rsidR="006C51BE">
        <w:rPr>
          <w:rFonts w:ascii="Times New Roman" w:hAnsi="Times New Roman" w:cs="Times New Roman"/>
          <w:i/>
          <w:sz w:val="24"/>
          <w:szCs w:val="24"/>
        </w:rPr>
        <w:t>mo</w:t>
      </w:r>
      <w:r w:rsidR="00E41127" w:rsidRPr="00E41127">
        <w:rPr>
          <w:rFonts w:ascii="Times New Roman" w:hAnsi="Times New Roman" w:cs="Times New Roman"/>
          <w:i/>
          <w:sz w:val="24"/>
          <w:szCs w:val="24"/>
        </w:rPr>
        <w:t>ra</w:t>
      </w:r>
    </w:p>
    <w:p w:rsidR="00E41127" w:rsidRDefault="00E41127" w:rsidP="00A919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response to the special plea, plaintiff avers that from 2009 to date, that is </w:t>
      </w:r>
      <w:r w:rsidR="00104509">
        <w:rPr>
          <w:rFonts w:ascii="Times New Roman" w:hAnsi="Times New Roman" w:cs="Times New Roman"/>
          <w:sz w:val="24"/>
          <w:szCs w:val="24"/>
        </w:rPr>
        <w:t>up to</w:t>
      </w:r>
      <w:r>
        <w:rPr>
          <w:rFonts w:ascii="Times New Roman" w:hAnsi="Times New Roman" w:cs="Times New Roman"/>
          <w:sz w:val="24"/>
          <w:szCs w:val="24"/>
        </w:rPr>
        <w:t xml:space="preserve"> 2018, first defendant has been admitting owing plaintiff. On 14 March 2018 plaintiff wrote a letter of demand to first defendant and </w:t>
      </w:r>
      <w:r w:rsidR="00B0195F">
        <w:rPr>
          <w:rFonts w:ascii="Times New Roman" w:hAnsi="Times New Roman" w:cs="Times New Roman"/>
          <w:sz w:val="24"/>
          <w:szCs w:val="24"/>
        </w:rPr>
        <w:t>on 5 April 2018 first defendant</w:t>
      </w:r>
      <w:r>
        <w:rPr>
          <w:rFonts w:ascii="Times New Roman" w:hAnsi="Times New Roman" w:cs="Times New Roman"/>
          <w:sz w:val="24"/>
          <w:szCs w:val="24"/>
        </w:rPr>
        <w:t xml:space="preserve"> through its legal practitioners acknowledge</w:t>
      </w:r>
      <w:r w:rsidR="00B0195F">
        <w:rPr>
          <w:rFonts w:ascii="Times New Roman" w:hAnsi="Times New Roman" w:cs="Times New Roman"/>
          <w:sz w:val="24"/>
          <w:szCs w:val="24"/>
        </w:rPr>
        <w:t>d</w:t>
      </w:r>
      <w:r>
        <w:rPr>
          <w:rFonts w:ascii="Times New Roman" w:hAnsi="Times New Roman" w:cs="Times New Roman"/>
          <w:sz w:val="24"/>
          <w:szCs w:val="24"/>
        </w:rPr>
        <w:t xml:space="preserve"> owing plaintiff money. A further acknowledgment </w:t>
      </w:r>
      <w:r w:rsidR="00B0195F">
        <w:rPr>
          <w:rFonts w:ascii="Times New Roman" w:hAnsi="Times New Roman" w:cs="Times New Roman"/>
          <w:sz w:val="24"/>
          <w:szCs w:val="24"/>
        </w:rPr>
        <w:t>by email was made on 3 May 2018</w:t>
      </w:r>
      <w:r>
        <w:rPr>
          <w:rFonts w:ascii="Times New Roman" w:hAnsi="Times New Roman" w:cs="Times New Roman"/>
          <w:sz w:val="24"/>
          <w:szCs w:val="24"/>
        </w:rPr>
        <w:t>. Plaintiff added that its alternative claim for money held by first defendant’s legal practitioners to</w:t>
      </w:r>
      <w:r w:rsidR="006C51BE">
        <w:rPr>
          <w:rFonts w:ascii="Times New Roman" w:hAnsi="Times New Roman" w:cs="Times New Roman"/>
          <w:sz w:val="24"/>
          <w:szCs w:val="24"/>
        </w:rPr>
        <w:t>gether with claim for damages is</w:t>
      </w:r>
      <w:r>
        <w:rPr>
          <w:rFonts w:ascii="Times New Roman" w:hAnsi="Times New Roman" w:cs="Times New Roman"/>
          <w:sz w:val="24"/>
          <w:szCs w:val="24"/>
        </w:rPr>
        <w:t xml:space="preserve"> not affected by the special plea of prescription.</w:t>
      </w:r>
    </w:p>
    <w:p w:rsidR="00E41127" w:rsidRDefault="00E41127" w:rsidP="00A919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replication to plaintiff’s response, first defendant </w:t>
      </w:r>
      <w:r w:rsidR="00B0195F">
        <w:rPr>
          <w:rFonts w:ascii="Times New Roman" w:hAnsi="Times New Roman" w:cs="Times New Roman"/>
          <w:sz w:val="24"/>
          <w:szCs w:val="24"/>
        </w:rPr>
        <w:t xml:space="preserve">reiterated that </w:t>
      </w:r>
      <w:r w:rsidR="006C51BE">
        <w:rPr>
          <w:rFonts w:ascii="Times New Roman" w:hAnsi="Times New Roman" w:cs="Times New Roman"/>
          <w:sz w:val="24"/>
          <w:szCs w:val="24"/>
        </w:rPr>
        <w:t>prescription has</w:t>
      </w:r>
      <w:r>
        <w:rPr>
          <w:rFonts w:ascii="Times New Roman" w:hAnsi="Times New Roman" w:cs="Times New Roman"/>
          <w:sz w:val="24"/>
          <w:szCs w:val="24"/>
        </w:rPr>
        <w:t xml:space="preserve"> not been interrupted. It denies acknowledging liability in respect of plaintiff’s claim. It added that first defendant</w:t>
      </w:r>
      <w:r w:rsidR="002F42D8">
        <w:rPr>
          <w:rFonts w:ascii="Times New Roman" w:hAnsi="Times New Roman" w:cs="Times New Roman"/>
          <w:sz w:val="24"/>
          <w:szCs w:val="24"/>
        </w:rPr>
        <w:t xml:space="preserve"> had always denied liability si</w:t>
      </w:r>
      <w:r>
        <w:rPr>
          <w:rFonts w:ascii="Times New Roman" w:hAnsi="Times New Roman" w:cs="Times New Roman"/>
          <w:sz w:val="24"/>
          <w:szCs w:val="24"/>
        </w:rPr>
        <w:t>nce it has terminated the agreement of sale and tendered disbursements of the funds to the plaintiff.</w:t>
      </w:r>
    </w:p>
    <w:p w:rsidR="00E41127" w:rsidRDefault="00E41127" w:rsidP="00A919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support of its special plea first </w:t>
      </w:r>
      <w:r w:rsidR="00B0195F">
        <w:rPr>
          <w:rFonts w:ascii="Times New Roman" w:hAnsi="Times New Roman" w:cs="Times New Roman"/>
          <w:sz w:val="24"/>
          <w:szCs w:val="24"/>
        </w:rPr>
        <w:t xml:space="preserve">defendant </w:t>
      </w:r>
      <w:r w:rsidR="00100108">
        <w:rPr>
          <w:rFonts w:ascii="Times New Roman" w:hAnsi="Times New Roman" w:cs="Times New Roman"/>
          <w:sz w:val="24"/>
          <w:szCs w:val="24"/>
        </w:rPr>
        <w:t>submitted that section 15 of the Prescription Act</w:t>
      </w:r>
      <w:r w:rsidR="00100108">
        <w:rPr>
          <w:rStyle w:val="FootnoteReference"/>
          <w:rFonts w:ascii="Times New Roman" w:hAnsi="Times New Roman" w:cs="Times New Roman"/>
          <w:sz w:val="24"/>
          <w:szCs w:val="24"/>
        </w:rPr>
        <w:footnoteReference w:id="2"/>
      </w:r>
      <w:r w:rsidR="00100108">
        <w:rPr>
          <w:rFonts w:ascii="Times New Roman" w:hAnsi="Times New Roman" w:cs="Times New Roman"/>
          <w:sz w:val="24"/>
          <w:szCs w:val="24"/>
        </w:rPr>
        <w:t xml:space="preserve"> </w:t>
      </w:r>
      <w:r w:rsidR="006C51BE">
        <w:rPr>
          <w:rFonts w:ascii="Times New Roman" w:hAnsi="Times New Roman" w:cs="Times New Roman"/>
          <w:sz w:val="24"/>
          <w:szCs w:val="24"/>
        </w:rPr>
        <w:t>provides</w:t>
      </w:r>
      <w:r w:rsidR="00100108">
        <w:rPr>
          <w:rFonts w:ascii="Times New Roman" w:hAnsi="Times New Roman" w:cs="Times New Roman"/>
          <w:sz w:val="24"/>
          <w:szCs w:val="24"/>
        </w:rPr>
        <w:t xml:space="preserve"> that a debt arising out of a contract of sale prescribes after a period of 3 years and in terms of section 16(i) of the same Act prescription sta</w:t>
      </w:r>
      <w:r w:rsidR="00B0195F">
        <w:rPr>
          <w:rFonts w:ascii="Times New Roman" w:hAnsi="Times New Roman" w:cs="Times New Roman"/>
          <w:sz w:val="24"/>
          <w:szCs w:val="24"/>
        </w:rPr>
        <w:t>r</w:t>
      </w:r>
      <w:r w:rsidR="00100108">
        <w:rPr>
          <w:rFonts w:ascii="Times New Roman" w:hAnsi="Times New Roman" w:cs="Times New Roman"/>
          <w:sz w:val="24"/>
          <w:szCs w:val="24"/>
        </w:rPr>
        <w:t xml:space="preserve">ts to run as soon as the </w:t>
      </w:r>
      <w:r w:rsidR="00100108" w:rsidRPr="006C51BE">
        <w:rPr>
          <w:rFonts w:ascii="Times New Roman" w:hAnsi="Times New Roman" w:cs="Times New Roman"/>
          <w:sz w:val="24"/>
          <w:szCs w:val="24"/>
        </w:rPr>
        <w:t>debt</w:t>
      </w:r>
      <w:r w:rsidR="00100108">
        <w:rPr>
          <w:rFonts w:ascii="Times New Roman" w:hAnsi="Times New Roman" w:cs="Times New Roman"/>
          <w:sz w:val="24"/>
          <w:szCs w:val="24"/>
        </w:rPr>
        <w:t xml:space="preserve"> </w:t>
      </w:r>
      <w:r w:rsidR="00100108">
        <w:rPr>
          <w:rFonts w:ascii="Times New Roman" w:hAnsi="Times New Roman" w:cs="Times New Roman"/>
          <w:sz w:val="24"/>
          <w:szCs w:val="24"/>
        </w:rPr>
        <w:lastRenderedPageBreak/>
        <w:t xml:space="preserve">becomes due. First defendant further submitted that section 2 of the Act defines a </w:t>
      </w:r>
      <w:r w:rsidR="00100108" w:rsidRPr="006C51BE">
        <w:rPr>
          <w:rFonts w:ascii="Times New Roman" w:hAnsi="Times New Roman" w:cs="Times New Roman"/>
          <w:i/>
          <w:sz w:val="24"/>
          <w:szCs w:val="24"/>
        </w:rPr>
        <w:t>debt</w:t>
      </w:r>
      <w:r w:rsidR="00100108">
        <w:rPr>
          <w:rFonts w:ascii="Times New Roman" w:hAnsi="Times New Roman" w:cs="Times New Roman"/>
          <w:sz w:val="24"/>
          <w:szCs w:val="24"/>
        </w:rPr>
        <w:t xml:space="preserve"> as including anything which may be sued for or claimed by reasons of an obligation arising from statute, contract, delict or otherwise and referred the court to the matter of </w:t>
      </w:r>
      <w:r w:rsidR="00100108" w:rsidRPr="002F42D8">
        <w:rPr>
          <w:rFonts w:ascii="Times New Roman" w:hAnsi="Times New Roman" w:cs="Times New Roman"/>
          <w:i/>
          <w:sz w:val="24"/>
          <w:szCs w:val="24"/>
        </w:rPr>
        <w:t>Chandavengerwa and Another</w:t>
      </w:r>
      <w:r w:rsidR="00100108">
        <w:rPr>
          <w:rFonts w:ascii="Times New Roman" w:hAnsi="Times New Roman" w:cs="Times New Roman"/>
          <w:sz w:val="24"/>
          <w:szCs w:val="24"/>
        </w:rPr>
        <w:t xml:space="preserve"> v </w:t>
      </w:r>
      <w:r w:rsidR="00100108" w:rsidRPr="002F42D8">
        <w:rPr>
          <w:rFonts w:ascii="Times New Roman" w:hAnsi="Times New Roman" w:cs="Times New Roman"/>
          <w:i/>
          <w:sz w:val="24"/>
          <w:szCs w:val="24"/>
        </w:rPr>
        <w:t>Mutyada and Another</w:t>
      </w:r>
      <w:r w:rsidR="00100108">
        <w:rPr>
          <w:rStyle w:val="FootnoteReference"/>
          <w:rFonts w:ascii="Times New Roman" w:hAnsi="Times New Roman" w:cs="Times New Roman"/>
          <w:sz w:val="24"/>
          <w:szCs w:val="24"/>
        </w:rPr>
        <w:footnoteReference w:id="3"/>
      </w:r>
      <w:r w:rsidR="00100108">
        <w:rPr>
          <w:rFonts w:ascii="Times New Roman" w:hAnsi="Times New Roman" w:cs="Times New Roman"/>
          <w:sz w:val="24"/>
          <w:szCs w:val="24"/>
        </w:rPr>
        <w:t>.</w:t>
      </w:r>
    </w:p>
    <w:p w:rsidR="00100108" w:rsidRDefault="00100108" w:rsidP="00A919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First defendant went on to add that whether a debtor expressly or tacitly acknowledges a debt resulting in the running of prescription being interrupted a court applies on objective assessment of what the debtor’s conduct conveyed in </w:t>
      </w:r>
      <w:r w:rsidR="006C51BE">
        <w:rPr>
          <w:rFonts w:ascii="Times New Roman" w:hAnsi="Times New Roman" w:cs="Times New Roman"/>
          <w:sz w:val="24"/>
          <w:szCs w:val="24"/>
        </w:rPr>
        <w:t>respect of</w:t>
      </w:r>
      <w:r w:rsidR="002F42D8">
        <w:rPr>
          <w:rFonts w:ascii="Times New Roman" w:hAnsi="Times New Roman" w:cs="Times New Roman"/>
          <w:sz w:val="24"/>
          <w:szCs w:val="24"/>
        </w:rPr>
        <w:t xml:space="preserve"> whether or not </w:t>
      </w:r>
      <w:r w:rsidR="00B0195F">
        <w:rPr>
          <w:rFonts w:ascii="Times New Roman" w:hAnsi="Times New Roman" w:cs="Times New Roman"/>
          <w:sz w:val="24"/>
          <w:szCs w:val="24"/>
        </w:rPr>
        <w:t>i</w:t>
      </w:r>
      <w:r>
        <w:rPr>
          <w:rFonts w:ascii="Times New Roman" w:hAnsi="Times New Roman" w:cs="Times New Roman"/>
          <w:sz w:val="24"/>
          <w:szCs w:val="24"/>
        </w:rPr>
        <w:t>t was subjectively intended to acknowledge liability</w:t>
      </w:r>
      <w:r>
        <w:rPr>
          <w:rStyle w:val="FootnoteReference"/>
          <w:rFonts w:ascii="Times New Roman" w:hAnsi="Times New Roman" w:cs="Times New Roman"/>
          <w:sz w:val="24"/>
          <w:szCs w:val="24"/>
        </w:rPr>
        <w:footnoteReference w:id="4"/>
      </w:r>
      <w:r w:rsidR="002F42D8">
        <w:rPr>
          <w:rFonts w:ascii="Times New Roman" w:hAnsi="Times New Roman" w:cs="Times New Roman"/>
          <w:sz w:val="24"/>
          <w:szCs w:val="24"/>
        </w:rPr>
        <w:t>. First defendant has always disputed any liability or wrong doing and also denied acknowledging indebtedness to the plaintiff. First defendant urged the court not to place any probative value on the funds held in trust</w:t>
      </w:r>
      <w:r w:rsidR="00B0195F">
        <w:rPr>
          <w:rFonts w:ascii="Times New Roman" w:hAnsi="Times New Roman" w:cs="Times New Roman"/>
          <w:sz w:val="24"/>
          <w:szCs w:val="24"/>
        </w:rPr>
        <w:t xml:space="preserve"> by</w:t>
      </w:r>
      <w:r w:rsidR="002F42D8">
        <w:rPr>
          <w:rFonts w:ascii="Times New Roman" w:hAnsi="Times New Roman" w:cs="Times New Roman"/>
          <w:sz w:val="24"/>
          <w:szCs w:val="24"/>
        </w:rPr>
        <w:t xml:space="preserve"> its legal practitioners.</w:t>
      </w:r>
    </w:p>
    <w:p w:rsidR="006B7217" w:rsidRPr="006B7217" w:rsidRDefault="002F42D8" w:rsidP="006B72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submits to the </w:t>
      </w:r>
      <w:r w:rsidRPr="00B0195F">
        <w:rPr>
          <w:rFonts w:ascii="Times New Roman" w:hAnsi="Times New Roman" w:cs="Times New Roman"/>
          <w:i/>
          <w:sz w:val="24"/>
          <w:szCs w:val="24"/>
        </w:rPr>
        <w:t>contra.</w:t>
      </w:r>
      <w:r>
        <w:rPr>
          <w:rFonts w:ascii="Times New Roman" w:hAnsi="Times New Roman" w:cs="Times New Roman"/>
          <w:sz w:val="24"/>
          <w:szCs w:val="24"/>
        </w:rPr>
        <w:t xml:space="preserve"> It cites s</w:t>
      </w:r>
      <w:r w:rsidR="006C51BE">
        <w:rPr>
          <w:rFonts w:ascii="Times New Roman" w:hAnsi="Times New Roman" w:cs="Times New Roman"/>
          <w:sz w:val="24"/>
          <w:szCs w:val="24"/>
        </w:rPr>
        <w:t xml:space="preserve"> </w:t>
      </w:r>
      <w:r>
        <w:rPr>
          <w:rFonts w:ascii="Times New Roman" w:hAnsi="Times New Roman" w:cs="Times New Roman"/>
          <w:sz w:val="24"/>
          <w:szCs w:val="24"/>
        </w:rPr>
        <w:t>18(i) of the Act which deals with the interruption of Prescription by an acknowledge</w:t>
      </w:r>
      <w:r w:rsidR="006C51BE">
        <w:rPr>
          <w:rFonts w:ascii="Times New Roman" w:hAnsi="Times New Roman" w:cs="Times New Roman"/>
          <w:sz w:val="24"/>
          <w:szCs w:val="24"/>
        </w:rPr>
        <w:t>ment of liability by a debtor.</w:t>
      </w:r>
      <w:r w:rsidR="00B0195F">
        <w:rPr>
          <w:rFonts w:ascii="Times New Roman" w:hAnsi="Times New Roman" w:cs="Times New Roman"/>
          <w:sz w:val="24"/>
          <w:szCs w:val="24"/>
        </w:rPr>
        <w:t xml:space="preserve"> I</w:t>
      </w:r>
      <w:r w:rsidR="006C51BE">
        <w:rPr>
          <w:rFonts w:ascii="Times New Roman" w:hAnsi="Times New Roman" w:cs="Times New Roman"/>
          <w:sz w:val="24"/>
          <w:szCs w:val="24"/>
        </w:rPr>
        <w:t>t qualifies its claim</w:t>
      </w:r>
      <w:r>
        <w:rPr>
          <w:rFonts w:ascii="Times New Roman" w:hAnsi="Times New Roman" w:cs="Times New Roman"/>
          <w:sz w:val="24"/>
          <w:szCs w:val="24"/>
        </w:rPr>
        <w:t xml:space="preserve"> principally as hybrid comprising specific performance alternatively damages for breach and improvements done </w:t>
      </w:r>
      <w:r w:rsidR="006C51BE">
        <w:rPr>
          <w:rFonts w:ascii="Times New Roman" w:hAnsi="Times New Roman" w:cs="Times New Roman"/>
          <w:sz w:val="24"/>
          <w:szCs w:val="24"/>
        </w:rPr>
        <w:t>on the property. First defendant did not deny holding US$80 000</w:t>
      </w:r>
      <w:r>
        <w:rPr>
          <w:rFonts w:ascii="Times New Roman" w:hAnsi="Times New Roman" w:cs="Times New Roman"/>
          <w:sz w:val="24"/>
          <w:szCs w:val="24"/>
        </w:rPr>
        <w:t xml:space="preserve"> in trust. Plaintiff further submitted that first defendant’s legal practitioners on 3 May 2018 clearly confirmed that US$80 000 was held in trust ready for release and that from April and May 2018 prescription started to run afresh. Plaintiff referred the court to the matter of </w:t>
      </w:r>
      <w:r w:rsidRPr="006C5CF3">
        <w:rPr>
          <w:rFonts w:ascii="Times New Roman" w:hAnsi="Times New Roman" w:cs="Times New Roman"/>
          <w:i/>
          <w:sz w:val="24"/>
          <w:szCs w:val="24"/>
        </w:rPr>
        <w:t>Donald</w:t>
      </w:r>
      <w:r w:rsidR="006B7217">
        <w:rPr>
          <w:rFonts w:ascii="Times New Roman" w:hAnsi="Times New Roman" w:cs="Times New Roman"/>
          <w:sz w:val="24"/>
          <w:szCs w:val="24"/>
        </w:rPr>
        <w:t xml:space="preserve"> </w:t>
      </w:r>
      <w:r w:rsidR="006B7217" w:rsidRPr="006B7217">
        <w:rPr>
          <w:rFonts w:ascii="Times New Roman" w:hAnsi="Times New Roman" w:cs="Times New Roman"/>
          <w:i/>
          <w:sz w:val="24"/>
          <w:szCs w:val="24"/>
        </w:rPr>
        <w:t xml:space="preserve">Vundhla </w:t>
      </w:r>
      <w:r w:rsidR="006B7217" w:rsidRPr="006B7217">
        <w:rPr>
          <w:rFonts w:ascii="Times New Roman" w:hAnsi="Times New Roman" w:cs="Times New Roman"/>
          <w:sz w:val="24"/>
          <w:szCs w:val="24"/>
        </w:rPr>
        <w:t>v</w:t>
      </w:r>
      <w:r w:rsidR="006B7217" w:rsidRPr="006B7217">
        <w:rPr>
          <w:rFonts w:ascii="Times New Roman" w:hAnsi="Times New Roman" w:cs="Times New Roman"/>
          <w:i/>
          <w:sz w:val="24"/>
          <w:szCs w:val="24"/>
        </w:rPr>
        <w:t xml:space="preserve"> William Thabani Dube and Anor</w:t>
      </w:r>
      <w:r w:rsidR="006B7217" w:rsidRPr="006B7217">
        <w:rPr>
          <w:rFonts w:ascii="Times New Roman" w:hAnsi="Times New Roman" w:cs="Times New Roman"/>
          <w:i/>
          <w:sz w:val="24"/>
          <w:szCs w:val="24"/>
          <w:vertAlign w:val="superscript"/>
        </w:rPr>
        <w:footnoteReference w:id="5"/>
      </w:r>
      <w:r w:rsidR="006B7217" w:rsidRPr="006B7217">
        <w:rPr>
          <w:rFonts w:ascii="Times New Roman" w:hAnsi="Times New Roman" w:cs="Times New Roman"/>
          <w:sz w:val="24"/>
          <w:szCs w:val="24"/>
        </w:rPr>
        <w:t xml:space="preserve">. Further it was argued on behalf of the plaintiff that first defendant’s legal practitioners acted as its agents in acknowledging liability and cited the matter of </w:t>
      </w:r>
      <w:r w:rsidR="006B7217" w:rsidRPr="006B7217">
        <w:rPr>
          <w:rFonts w:ascii="Times New Roman" w:hAnsi="Times New Roman" w:cs="Times New Roman"/>
          <w:i/>
          <w:sz w:val="24"/>
          <w:szCs w:val="24"/>
        </w:rPr>
        <w:t xml:space="preserve">Musemwa &amp; Others </w:t>
      </w:r>
      <w:r w:rsidR="006B7217" w:rsidRPr="006B7217">
        <w:rPr>
          <w:rFonts w:ascii="Times New Roman" w:hAnsi="Times New Roman" w:cs="Times New Roman"/>
          <w:sz w:val="24"/>
          <w:szCs w:val="24"/>
        </w:rPr>
        <w:t xml:space="preserve">v </w:t>
      </w:r>
      <w:r w:rsidR="006C51BE">
        <w:rPr>
          <w:rFonts w:ascii="Times New Roman" w:hAnsi="Times New Roman" w:cs="Times New Roman"/>
          <w:i/>
          <w:sz w:val="24"/>
          <w:szCs w:val="24"/>
        </w:rPr>
        <w:t>Gwinya</w:t>
      </w:r>
      <w:r w:rsidR="006B7217" w:rsidRPr="006B7217">
        <w:rPr>
          <w:rFonts w:ascii="Times New Roman" w:hAnsi="Times New Roman" w:cs="Times New Roman"/>
          <w:i/>
          <w:sz w:val="24"/>
          <w:szCs w:val="24"/>
        </w:rPr>
        <w:t>i F</w:t>
      </w:r>
      <w:r w:rsidR="006C51BE">
        <w:rPr>
          <w:rFonts w:ascii="Times New Roman" w:hAnsi="Times New Roman" w:cs="Times New Roman"/>
          <w:i/>
          <w:sz w:val="24"/>
          <w:szCs w:val="24"/>
        </w:rPr>
        <w:t>amily Tr</w:t>
      </w:r>
      <w:r w:rsidR="006B7217" w:rsidRPr="006B7217">
        <w:rPr>
          <w:rFonts w:ascii="Times New Roman" w:hAnsi="Times New Roman" w:cs="Times New Roman"/>
          <w:i/>
          <w:sz w:val="24"/>
          <w:szCs w:val="24"/>
        </w:rPr>
        <w:t>ust &amp; Ors</w:t>
      </w:r>
      <w:r w:rsidR="006B7217" w:rsidRPr="006B7217">
        <w:rPr>
          <w:rFonts w:ascii="Times New Roman" w:hAnsi="Times New Roman" w:cs="Times New Roman"/>
          <w:i/>
          <w:sz w:val="24"/>
          <w:szCs w:val="24"/>
          <w:vertAlign w:val="superscript"/>
        </w:rPr>
        <w:footnoteReference w:id="6"/>
      </w:r>
      <w:r w:rsidR="006B7217" w:rsidRPr="006B7217">
        <w:rPr>
          <w:rFonts w:ascii="Times New Roman" w:hAnsi="Times New Roman" w:cs="Times New Roman"/>
          <w:sz w:val="24"/>
          <w:szCs w:val="24"/>
        </w:rPr>
        <w:t>. It was added that the onus to show that the claim had prescribed lay on the first defendant. It was further submitted that the date on which a debt arises is not necessarily the date on which the debt becomes due. A debt becomes due when the plaintiff becomes aware or ought reasonably to be aware of the facts from which the debt arose, it was added. A debt is due when the creditor has a complete cause of action that is when all the facts necessary to sustain the cause of ac</w:t>
      </w:r>
      <w:r w:rsidR="006C51BE">
        <w:rPr>
          <w:rFonts w:ascii="Times New Roman" w:hAnsi="Times New Roman" w:cs="Times New Roman"/>
          <w:sz w:val="24"/>
          <w:szCs w:val="24"/>
        </w:rPr>
        <w:t>tion come into existence, p</w:t>
      </w:r>
      <w:r w:rsidR="006B7217" w:rsidRPr="006B7217">
        <w:rPr>
          <w:rFonts w:ascii="Times New Roman" w:hAnsi="Times New Roman" w:cs="Times New Roman"/>
          <w:sz w:val="24"/>
          <w:szCs w:val="24"/>
        </w:rPr>
        <w:t>laintiff contended and referred the court to case law</w:t>
      </w:r>
      <w:r w:rsidR="006B7217" w:rsidRPr="006B7217">
        <w:rPr>
          <w:rFonts w:ascii="Times New Roman" w:hAnsi="Times New Roman" w:cs="Times New Roman"/>
          <w:sz w:val="24"/>
          <w:szCs w:val="24"/>
          <w:vertAlign w:val="superscript"/>
        </w:rPr>
        <w:footnoteReference w:id="7"/>
      </w:r>
      <w:r w:rsidR="006B7217" w:rsidRPr="006B7217">
        <w:rPr>
          <w:rFonts w:ascii="Times New Roman" w:hAnsi="Times New Roman" w:cs="Times New Roman"/>
          <w:sz w:val="24"/>
          <w:szCs w:val="24"/>
        </w:rPr>
        <w:t xml:space="preserve">. When plaintiff becomes </w:t>
      </w:r>
      <w:r w:rsidR="006B7217" w:rsidRPr="006B7217">
        <w:rPr>
          <w:rFonts w:ascii="Times New Roman" w:hAnsi="Times New Roman" w:cs="Times New Roman"/>
          <w:sz w:val="24"/>
          <w:szCs w:val="24"/>
        </w:rPr>
        <w:lastRenderedPageBreak/>
        <w:t xml:space="preserve">aware of all facts which he or she must prove to obtain a judgment in his or her favour, it was further contended. </w:t>
      </w:r>
      <w:r w:rsidR="006B7217" w:rsidRPr="006B7217">
        <w:rPr>
          <w:rFonts w:ascii="Times New Roman" w:hAnsi="Times New Roman" w:cs="Times New Roman"/>
          <w:i/>
          <w:sz w:val="24"/>
          <w:szCs w:val="24"/>
        </w:rPr>
        <w:t>In casu</w:t>
      </w:r>
      <w:r w:rsidR="006B7217" w:rsidRPr="006B7217">
        <w:rPr>
          <w:rFonts w:ascii="Times New Roman" w:hAnsi="Times New Roman" w:cs="Times New Roman"/>
          <w:sz w:val="24"/>
          <w:szCs w:val="24"/>
        </w:rPr>
        <w:t>, the plaintiff submitted that it never got to know the identity of third defendant as a third party purchaser. Plaintiff req</w:t>
      </w:r>
      <w:r w:rsidR="00B0195F">
        <w:rPr>
          <w:rFonts w:ascii="Times New Roman" w:hAnsi="Times New Roman" w:cs="Times New Roman"/>
          <w:sz w:val="24"/>
          <w:szCs w:val="24"/>
        </w:rPr>
        <w:t>uested a copy of the agreement o</w:t>
      </w:r>
      <w:r w:rsidR="006B7217" w:rsidRPr="006B7217">
        <w:rPr>
          <w:rFonts w:ascii="Times New Roman" w:hAnsi="Times New Roman" w:cs="Times New Roman"/>
          <w:sz w:val="24"/>
          <w:szCs w:val="24"/>
        </w:rPr>
        <w:t>f sale between second defendant and third defendant from first defendant and could not get one. Third defendant’s true identity was only unearthed on 30 September 2015 and immediately thereafter plaintiff sprang to action. Third defendant admitted to this fact, it was submitted. The third purchaser is a critical party to the litigation. It was added. It is the third defendant’s contract which plaintiff seeks to be set aside as well as the title deed passed in third defendant’s favour which is to be reversed i</w:t>
      </w:r>
      <w:r w:rsidR="006C51BE">
        <w:rPr>
          <w:rFonts w:ascii="Times New Roman" w:hAnsi="Times New Roman" w:cs="Times New Roman"/>
          <w:sz w:val="24"/>
          <w:szCs w:val="24"/>
        </w:rPr>
        <w:t>n order for plaintiff’s claim fo</w:t>
      </w:r>
      <w:r w:rsidR="006B7217" w:rsidRPr="006B7217">
        <w:rPr>
          <w:rFonts w:ascii="Times New Roman" w:hAnsi="Times New Roman" w:cs="Times New Roman"/>
          <w:sz w:val="24"/>
          <w:szCs w:val="24"/>
        </w:rPr>
        <w:t>r specific performance to become possible. As such according to plaintiff prescription alternatively ought to have sta</w:t>
      </w:r>
      <w:r w:rsidR="006C51BE">
        <w:rPr>
          <w:rFonts w:ascii="Times New Roman" w:hAnsi="Times New Roman" w:cs="Times New Roman"/>
          <w:sz w:val="24"/>
          <w:szCs w:val="24"/>
        </w:rPr>
        <w:t>r</w:t>
      </w:r>
      <w:r w:rsidR="006B7217" w:rsidRPr="006B7217">
        <w:rPr>
          <w:rFonts w:ascii="Times New Roman" w:hAnsi="Times New Roman" w:cs="Times New Roman"/>
          <w:sz w:val="24"/>
          <w:szCs w:val="24"/>
        </w:rPr>
        <w:t>ted running on 1 October 2015. Summons were issued on 1 June 2018 and served on first defendant on 8 June 2018 and as such the plaintiff’s claim against first</w:t>
      </w:r>
      <w:r w:rsidR="00B0195F">
        <w:rPr>
          <w:rFonts w:ascii="Times New Roman" w:hAnsi="Times New Roman" w:cs="Times New Roman"/>
          <w:sz w:val="24"/>
          <w:szCs w:val="24"/>
        </w:rPr>
        <w:t xml:space="preserve"> defendant had not prescribed. I</w:t>
      </w:r>
      <w:r w:rsidR="006B7217" w:rsidRPr="006B7217">
        <w:rPr>
          <w:rFonts w:ascii="Times New Roman" w:hAnsi="Times New Roman" w:cs="Times New Roman"/>
          <w:sz w:val="24"/>
          <w:szCs w:val="24"/>
        </w:rPr>
        <w:t>t was further submitted on behalf of plaintiff.</w:t>
      </w:r>
    </w:p>
    <w:p w:rsidR="006B7217" w:rsidRPr="006B7217" w:rsidRDefault="006B7217" w:rsidP="006B7217">
      <w:pPr>
        <w:spacing w:after="0" w:line="360" w:lineRule="auto"/>
        <w:jc w:val="both"/>
        <w:rPr>
          <w:rFonts w:ascii="Times New Roman" w:hAnsi="Times New Roman" w:cs="Times New Roman"/>
          <w:sz w:val="24"/>
          <w:szCs w:val="24"/>
        </w:rPr>
      </w:pPr>
      <w:r w:rsidRPr="006B7217">
        <w:rPr>
          <w:rFonts w:ascii="Times New Roman" w:hAnsi="Times New Roman" w:cs="Times New Roman"/>
          <w:sz w:val="24"/>
          <w:szCs w:val="24"/>
        </w:rPr>
        <w:tab/>
        <w:t xml:space="preserve">Plaintiff’s counsel went on to submit that the principal relief in the main </w:t>
      </w:r>
      <w:r w:rsidR="00B0195F">
        <w:rPr>
          <w:rFonts w:ascii="Times New Roman" w:hAnsi="Times New Roman" w:cs="Times New Roman"/>
          <w:sz w:val="24"/>
          <w:szCs w:val="24"/>
        </w:rPr>
        <w:t xml:space="preserve">claim </w:t>
      </w:r>
      <w:r w:rsidRPr="006B7217">
        <w:rPr>
          <w:rFonts w:ascii="Times New Roman" w:hAnsi="Times New Roman" w:cs="Times New Roman"/>
          <w:sz w:val="24"/>
          <w:szCs w:val="24"/>
        </w:rPr>
        <w:t>is against second and third defendant, in which the setting aside of title is sought against second and third defendants, yet t</w:t>
      </w:r>
      <w:r w:rsidR="006C51BE">
        <w:rPr>
          <w:rFonts w:ascii="Times New Roman" w:hAnsi="Times New Roman" w:cs="Times New Roman"/>
          <w:sz w:val="24"/>
          <w:szCs w:val="24"/>
        </w:rPr>
        <w:t>he two did not plead prescription</w:t>
      </w:r>
      <w:r w:rsidRPr="006B7217">
        <w:rPr>
          <w:rFonts w:ascii="Times New Roman" w:hAnsi="Times New Roman" w:cs="Times New Roman"/>
          <w:sz w:val="24"/>
          <w:szCs w:val="24"/>
        </w:rPr>
        <w:t xml:space="preserve">. Plaintiff added that once title is reversed by the court it revives second defendant’s rights which rights are then passed onto plaintiff and this is common cause pertaining to plaintiff’s main claim in convention. Second defendant cannot raise prescription on behalf of the second and third defendant, nor can this court </w:t>
      </w:r>
      <w:r w:rsidRPr="006B7217">
        <w:rPr>
          <w:rFonts w:ascii="Times New Roman" w:hAnsi="Times New Roman" w:cs="Times New Roman"/>
          <w:i/>
          <w:sz w:val="24"/>
          <w:szCs w:val="24"/>
        </w:rPr>
        <w:t>mero motu</w:t>
      </w:r>
      <w:r w:rsidRPr="006B7217">
        <w:rPr>
          <w:rFonts w:ascii="Times New Roman" w:hAnsi="Times New Roman" w:cs="Times New Roman"/>
          <w:sz w:val="24"/>
          <w:szCs w:val="24"/>
        </w:rPr>
        <w:t xml:space="preserve"> raise such a special plea on behalf of a litigant</w:t>
      </w:r>
      <w:r w:rsidRPr="006B7217">
        <w:rPr>
          <w:rFonts w:ascii="Times New Roman" w:hAnsi="Times New Roman" w:cs="Times New Roman"/>
          <w:sz w:val="24"/>
          <w:szCs w:val="24"/>
          <w:vertAlign w:val="superscript"/>
        </w:rPr>
        <w:footnoteReference w:id="8"/>
      </w:r>
      <w:r w:rsidRPr="006B7217">
        <w:rPr>
          <w:rFonts w:ascii="Times New Roman" w:hAnsi="Times New Roman" w:cs="Times New Roman"/>
          <w:sz w:val="24"/>
          <w:szCs w:val="24"/>
        </w:rPr>
        <w:t xml:space="preserve">. Plaintiff prayed for the dismissal of the special plea.  </w:t>
      </w:r>
    </w:p>
    <w:p w:rsidR="006B7217" w:rsidRPr="006B7217" w:rsidRDefault="006B7217" w:rsidP="006B7217">
      <w:pPr>
        <w:spacing w:after="0" w:line="360" w:lineRule="auto"/>
        <w:jc w:val="both"/>
        <w:rPr>
          <w:rFonts w:ascii="Times New Roman" w:hAnsi="Times New Roman" w:cs="Times New Roman"/>
          <w:sz w:val="24"/>
          <w:szCs w:val="24"/>
        </w:rPr>
      </w:pPr>
    </w:p>
    <w:p w:rsidR="006B7217" w:rsidRPr="006B7217" w:rsidRDefault="006B7217" w:rsidP="006B7217">
      <w:pPr>
        <w:spacing w:after="0" w:line="360" w:lineRule="auto"/>
        <w:jc w:val="both"/>
        <w:rPr>
          <w:rFonts w:ascii="Times New Roman" w:hAnsi="Times New Roman" w:cs="Times New Roman"/>
          <w:sz w:val="24"/>
          <w:szCs w:val="24"/>
          <w:u w:val="single"/>
        </w:rPr>
      </w:pPr>
      <w:r w:rsidRPr="006B7217">
        <w:rPr>
          <w:rFonts w:ascii="Times New Roman" w:hAnsi="Times New Roman" w:cs="Times New Roman"/>
          <w:sz w:val="24"/>
          <w:szCs w:val="24"/>
          <w:u w:val="single"/>
        </w:rPr>
        <w:t>Application of the law to the facts on prescription</w:t>
      </w:r>
    </w:p>
    <w:p w:rsidR="006B7217" w:rsidRPr="006B7217" w:rsidRDefault="006B7217" w:rsidP="006B7217">
      <w:pPr>
        <w:spacing w:after="0" w:line="360" w:lineRule="auto"/>
        <w:jc w:val="both"/>
        <w:rPr>
          <w:rFonts w:ascii="Times New Roman" w:hAnsi="Times New Roman" w:cs="Times New Roman"/>
          <w:sz w:val="24"/>
          <w:szCs w:val="24"/>
        </w:rPr>
      </w:pPr>
      <w:r w:rsidRPr="006B7217">
        <w:rPr>
          <w:rFonts w:ascii="Times New Roman" w:hAnsi="Times New Roman" w:cs="Times New Roman"/>
          <w:sz w:val="24"/>
          <w:szCs w:val="24"/>
        </w:rPr>
        <w:tab/>
        <w:t>In order to determine the question of prescription t</w:t>
      </w:r>
      <w:r w:rsidR="00B0195F">
        <w:rPr>
          <w:rFonts w:ascii="Times New Roman" w:hAnsi="Times New Roman" w:cs="Times New Roman"/>
          <w:sz w:val="24"/>
          <w:szCs w:val="24"/>
        </w:rPr>
        <w:t xml:space="preserve">he court had to make a finding </w:t>
      </w:r>
      <w:r w:rsidRPr="006B7217">
        <w:rPr>
          <w:rFonts w:ascii="Times New Roman" w:hAnsi="Times New Roman" w:cs="Times New Roman"/>
          <w:sz w:val="24"/>
          <w:szCs w:val="24"/>
        </w:rPr>
        <w:t xml:space="preserve">on the cause of action upon which the plaintiff’s action was premised and when specifically the cause of action arose. What constitutes a cause of action was crisply described in </w:t>
      </w:r>
      <w:r w:rsidRPr="006B7217">
        <w:rPr>
          <w:rFonts w:ascii="Times New Roman" w:hAnsi="Times New Roman" w:cs="Times New Roman"/>
          <w:i/>
          <w:sz w:val="24"/>
          <w:szCs w:val="24"/>
        </w:rPr>
        <w:t xml:space="preserve">Abrahams &amp; Sons </w:t>
      </w:r>
      <w:r w:rsidRPr="006B7217">
        <w:rPr>
          <w:rFonts w:ascii="Times New Roman" w:hAnsi="Times New Roman" w:cs="Times New Roman"/>
          <w:sz w:val="24"/>
          <w:szCs w:val="24"/>
        </w:rPr>
        <w:t>v</w:t>
      </w:r>
      <w:r w:rsidRPr="006B7217">
        <w:rPr>
          <w:rFonts w:ascii="Times New Roman" w:hAnsi="Times New Roman" w:cs="Times New Roman"/>
          <w:i/>
          <w:sz w:val="24"/>
          <w:szCs w:val="24"/>
        </w:rPr>
        <w:t xml:space="preserve"> SA Railways and Harbours</w:t>
      </w:r>
      <w:r w:rsidRPr="006B7217">
        <w:rPr>
          <w:rFonts w:ascii="Times New Roman" w:hAnsi="Times New Roman" w:cs="Times New Roman"/>
          <w:i/>
          <w:sz w:val="24"/>
          <w:szCs w:val="24"/>
          <w:vertAlign w:val="superscript"/>
        </w:rPr>
        <w:footnoteReference w:id="9"/>
      </w:r>
      <w:r w:rsidRPr="006B7217">
        <w:rPr>
          <w:rFonts w:ascii="Times New Roman" w:hAnsi="Times New Roman" w:cs="Times New Roman"/>
          <w:sz w:val="24"/>
          <w:szCs w:val="24"/>
        </w:rPr>
        <w:t xml:space="preserve"> as follows:</w:t>
      </w:r>
    </w:p>
    <w:p w:rsidR="006B7217" w:rsidRPr="006B7217" w:rsidRDefault="006B7217" w:rsidP="006B7217">
      <w:pPr>
        <w:spacing w:after="0" w:line="240" w:lineRule="auto"/>
        <w:ind w:left="720"/>
        <w:jc w:val="both"/>
        <w:rPr>
          <w:rFonts w:ascii="Times New Roman" w:hAnsi="Times New Roman" w:cs="Times New Roman"/>
          <w:szCs w:val="24"/>
        </w:rPr>
      </w:pPr>
      <w:r w:rsidRPr="006B7217">
        <w:rPr>
          <w:rFonts w:ascii="Times New Roman" w:hAnsi="Times New Roman" w:cs="Times New Roman"/>
          <w:szCs w:val="24"/>
        </w:rPr>
        <w:t>“The proper meaning of the expression “cause of action” is the entire set of facts which gives rise to an enforceable claim and includes every act which is natural to be proved to entitle plaintiff to succeed in his claim. It includes all that a plaintiff must set out in his declaration in order to disclose a cause of action.”</w:t>
      </w:r>
    </w:p>
    <w:p w:rsidR="006B7217" w:rsidRPr="006B7217" w:rsidRDefault="006B7217" w:rsidP="006B7217">
      <w:pPr>
        <w:spacing w:after="0" w:line="240" w:lineRule="auto"/>
        <w:jc w:val="both"/>
        <w:rPr>
          <w:rFonts w:ascii="Times New Roman" w:hAnsi="Times New Roman" w:cs="Times New Roman"/>
          <w:szCs w:val="24"/>
        </w:rPr>
      </w:pPr>
    </w:p>
    <w:p w:rsidR="006B7217" w:rsidRPr="006B7217" w:rsidRDefault="006B7217" w:rsidP="006B7217">
      <w:pPr>
        <w:spacing w:after="0" w:line="360" w:lineRule="auto"/>
        <w:jc w:val="both"/>
        <w:rPr>
          <w:rFonts w:ascii="Times New Roman" w:hAnsi="Times New Roman" w:cs="Times New Roman"/>
          <w:sz w:val="24"/>
          <w:szCs w:val="24"/>
        </w:rPr>
      </w:pPr>
      <w:r w:rsidRPr="006B7217">
        <w:rPr>
          <w:rFonts w:ascii="Times New Roman" w:hAnsi="Times New Roman" w:cs="Times New Roman"/>
          <w:szCs w:val="24"/>
        </w:rPr>
        <w:lastRenderedPageBreak/>
        <w:tab/>
      </w:r>
      <w:r w:rsidRPr="006B7217">
        <w:rPr>
          <w:rFonts w:ascii="Times New Roman" w:hAnsi="Times New Roman" w:cs="Times New Roman"/>
          <w:sz w:val="24"/>
          <w:szCs w:val="24"/>
        </w:rPr>
        <w:t xml:space="preserve">Section B of plaintiff’s declaration titled: “Claim based on specific performance is crafted as follows: </w:t>
      </w:r>
    </w:p>
    <w:p w:rsidR="006B7217" w:rsidRPr="006B7217" w:rsidRDefault="006B7217" w:rsidP="006B7217">
      <w:pPr>
        <w:spacing w:after="0" w:line="240" w:lineRule="auto"/>
        <w:ind w:left="1440" w:hanging="720"/>
        <w:jc w:val="both"/>
        <w:rPr>
          <w:rFonts w:ascii="Times New Roman" w:hAnsi="Times New Roman" w:cs="Times New Roman"/>
          <w:szCs w:val="24"/>
        </w:rPr>
      </w:pPr>
      <w:r w:rsidRPr="006B7217">
        <w:rPr>
          <w:rFonts w:ascii="Times New Roman" w:hAnsi="Times New Roman" w:cs="Times New Roman"/>
          <w:szCs w:val="24"/>
        </w:rPr>
        <w:t>“9.</w:t>
      </w:r>
      <w:r w:rsidRPr="006B7217">
        <w:rPr>
          <w:rFonts w:ascii="Times New Roman" w:hAnsi="Times New Roman" w:cs="Times New Roman"/>
          <w:szCs w:val="24"/>
        </w:rPr>
        <w:tab/>
        <w:t xml:space="preserve">Sometime </w:t>
      </w:r>
      <w:r w:rsidR="006C51BE">
        <w:rPr>
          <w:rFonts w:ascii="Times New Roman" w:hAnsi="Times New Roman" w:cs="Times New Roman"/>
          <w:szCs w:val="24"/>
        </w:rPr>
        <w:t xml:space="preserve">in </w:t>
      </w:r>
      <w:r w:rsidRPr="006B7217">
        <w:rPr>
          <w:rFonts w:ascii="Times New Roman" w:hAnsi="Times New Roman" w:cs="Times New Roman"/>
          <w:szCs w:val="24"/>
        </w:rPr>
        <w:t>early 2009, the first defendant sold to plaintiff the said certain piece of immovable property being Stand 2427A Umtali Township measuring 1364 metres commonly known</w:t>
      </w:r>
      <w:r w:rsidR="00B0195F">
        <w:rPr>
          <w:rFonts w:ascii="Times New Roman" w:hAnsi="Times New Roman" w:cs="Times New Roman"/>
          <w:szCs w:val="24"/>
        </w:rPr>
        <w:t xml:space="preserve"> as 17 Aerodrome Road Mutare. First </w:t>
      </w:r>
      <w:r w:rsidRPr="006B7217">
        <w:rPr>
          <w:rFonts w:ascii="Times New Roman" w:hAnsi="Times New Roman" w:cs="Times New Roman"/>
          <w:szCs w:val="24"/>
        </w:rPr>
        <w:t>d</w:t>
      </w:r>
      <w:r w:rsidR="007A2F04">
        <w:rPr>
          <w:rFonts w:ascii="Times New Roman" w:hAnsi="Times New Roman" w:cs="Times New Roman"/>
          <w:szCs w:val="24"/>
        </w:rPr>
        <w:t>efendant acted as agent of the second</w:t>
      </w:r>
      <w:r w:rsidRPr="006B7217">
        <w:rPr>
          <w:rFonts w:ascii="Times New Roman" w:hAnsi="Times New Roman" w:cs="Times New Roman"/>
          <w:szCs w:val="24"/>
        </w:rPr>
        <w:t xml:space="preserve"> defendant. </w:t>
      </w:r>
    </w:p>
    <w:p w:rsidR="006B7217" w:rsidRPr="006B7217" w:rsidRDefault="006B7217" w:rsidP="006B7217">
      <w:pPr>
        <w:spacing w:after="0" w:line="240" w:lineRule="auto"/>
        <w:ind w:left="1440" w:hanging="720"/>
        <w:jc w:val="both"/>
        <w:rPr>
          <w:rFonts w:ascii="Times New Roman" w:hAnsi="Times New Roman" w:cs="Times New Roman"/>
          <w:szCs w:val="24"/>
        </w:rPr>
      </w:pPr>
    </w:p>
    <w:p w:rsidR="006B7217" w:rsidRPr="006B7217" w:rsidRDefault="006B7217" w:rsidP="006B7217">
      <w:pPr>
        <w:spacing w:after="0" w:line="240" w:lineRule="auto"/>
        <w:ind w:left="1440" w:hanging="720"/>
        <w:jc w:val="both"/>
        <w:rPr>
          <w:rFonts w:ascii="Times New Roman" w:hAnsi="Times New Roman" w:cs="Times New Roman"/>
          <w:szCs w:val="24"/>
        </w:rPr>
      </w:pPr>
      <w:r w:rsidRPr="006B7217">
        <w:rPr>
          <w:rFonts w:ascii="Times New Roman" w:hAnsi="Times New Roman" w:cs="Times New Roman"/>
          <w:szCs w:val="24"/>
        </w:rPr>
        <w:t>12.</w:t>
      </w:r>
      <w:r w:rsidRPr="006B7217">
        <w:rPr>
          <w:rFonts w:ascii="Times New Roman" w:hAnsi="Times New Roman" w:cs="Times New Roman"/>
          <w:szCs w:val="24"/>
        </w:rPr>
        <w:tab/>
        <w:t>In pursuance of the said agreement of sale, plaintiff paid the whole purchase price in 2009 and stoppe</w:t>
      </w:r>
      <w:r w:rsidR="007A2F04">
        <w:rPr>
          <w:rFonts w:ascii="Times New Roman" w:hAnsi="Times New Roman" w:cs="Times New Roman"/>
          <w:szCs w:val="24"/>
        </w:rPr>
        <w:t>d paying rentals to first</w:t>
      </w:r>
      <w:r w:rsidRPr="006B7217">
        <w:rPr>
          <w:rFonts w:ascii="Times New Roman" w:hAnsi="Times New Roman" w:cs="Times New Roman"/>
          <w:szCs w:val="24"/>
        </w:rPr>
        <w:t xml:space="preserve"> defendant. </w:t>
      </w:r>
    </w:p>
    <w:p w:rsidR="006B7217" w:rsidRPr="006B7217" w:rsidRDefault="006B7217" w:rsidP="006B7217">
      <w:pPr>
        <w:spacing w:after="0" w:line="240" w:lineRule="auto"/>
        <w:ind w:left="1440" w:hanging="720"/>
        <w:jc w:val="both"/>
        <w:rPr>
          <w:rFonts w:ascii="Times New Roman" w:hAnsi="Times New Roman" w:cs="Times New Roman"/>
          <w:szCs w:val="24"/>
        </w:rPr>
      </w:pPr>
    </w:p>
    <w:p w:rsidR="006B7217" w:rsidRPr="006B7217" w:rsidRDefault="006B7217" w:rsidP="006B7217">
      <w:pPr>
        <w:spacing w:after="0" w:line="240" w:lineRule="auto"/>
        <w:ind w:left="1440" w:hanging="720"/>
        <w:jc w:val="both"/>
        <w:rPr>
          <w:rFonts w:ascii="Times New Roman" w:hAnsi="Times New Roman" w:cs="Times New Roman"/>
          <w:szCs w:val="24"/>
        </w:rPr>
      </w:pPr>
      <w:r w:rsidRPr="006B7217">
        <w:rPr>
          <w:rFonts w:ascii="Times New Roman" w:hAnsi="Times New Roman" w:cs="Times New Roman"/>
          <w:szCs w:val="24"/>
        </w:rPr>
        <w:t>13.</w:t>
      </w:r>
      <w:r w:rsidRPr="006B7217">
        <w:rPr>
          <w:rFonts w:ascii="Times New Roman" w:hAnsi="Times New Roman" w:cs="Times New Roman"/>
          <w:szCs w:val="24"/>
        </w:rPr>
        <w:tab/>
        <w:t>Plaintiff demanded transfer of the property in q</w:t>
      </w:r>
      <w:r w:rsidR="007A2F04">
        <w:rPr>
          <w:rFonts w:ascii="Times New Roman" w:hAnsi="Times New Roman" w:cs="Times New Roman"/>
          <w:szCs w:val="24"/>
        </w:rPr>
        <w:t>uestion into its name but both first and second</w:t>
      </w:r>
      <w:r w:rsidRPr="006B7217">
        <w:rPr>
          <w:rFonts w:ascii="Times New Roman" w:hAnsi="Times New Roman" w:cs="Times New Roman"/>
          <w:szCs w:val="24"/>
        </w:rPr>
        <w:t xml:space="preserve"> defendant have neglected or refused to do so. </w:t>
      </w:r>
    </w:p>
    <w:p w:rsidR="006B7217" w:rsidRPr="006B7217" w:rsidRDefault="006B7217" w:rsidP="006B7217">
      <w:pPr>
        <w:spacing w:after="0" w:line="240" w:lineRule="auto"/>
        <w:ind w:left="1440" w:hanging="720"/>
        <w:jc w:val="both"/>
        <w:rPr>
          <w:rFonts w:ascii="Times New Roman" w:hAnsi="Times New Roman" w:cs="Times New Roman"/>
          <w:szCs w:val="24"/>
        </w:rPr>
      </w:pPr>
    </w:p>
    <w:p w:rsidR="006B7217" w:rsidRPr="006B7217" w:rsidRDefault="006B7217" w:rsidP="006B7217">
      <w:pPr>
        <w:spacing w:after="0" w:line="240" w:lineRule="auto"/>
        <w:ind w:left="1440" w:hanging="720"/>
        <w:jc w:val="both"/>
        <w:rPr>
          <w:rFonts w:ascii="Times New Roman" w:hAnsi="Times New Roman" w:cs="Times New Roman"/>
          <w:szCs w:val="24"/>
        </w:rPr>
      </w:pPr>
      <w:r w:rsidRPr="006B7217">
        <w:rPr>
          <w:rFonts w:ascii="Times New Roman" w:hAnsi="Times New Roman" w:cs="Times New Roman"/>
          <w:szCs w:val="24"/>
        </w:rPr>
        <w:t>14.</w:t>
      </w:r>
      <w:r w:rsidRPr="006B7217">
        <w:rPr>
          <w:rFonts w:ascii="Times New Roman" w:hAnsi="Times New Roman" w:cs="Times New Roman"/>
          <w:szCs w:val="24"/>
        </w:rPr>
        <w:tab/>
        <w:t>In breach of the said agreement of sa</w:t>
      </w:r>
      <w:r w:rsidR="007A2F04">
        <w:rPr>
          <w:rFonts w:ascii="Times New Roman" w:hAnsi="Times New Roman" w:cs="Times New Roman"/>
          <w:szCs w:val="24"/>
        </w:rPr>
        <w:t>le entered between the parties second</w:t>
      </w:r>
      <w:r w:rsidRPr="006B7217">
        <w:rPr>
          <w:rFonts w:ascii="Times New Roman" w:hAnsi="Times New Roman" w:cs="Times New Roman"/>
          <w:szCs w:val="24"/>
        </w:rPr>
        <w:t xml:space="preserve"> defendant fraudulently sold t</w:t>
      </w:r>
      <w:r w:rsidR="007A2F04">
        <w:rPr>
          <w:rFonts w:ascii="Times New Roman" w:hAnsi="Times New Roman" w:cs="Times New Roman"/>
          <w:szCs w:val="24"/>
        </w:rPr>
        <w:t>he property in question to the third</w:t>
      </w:r>
      <w:r w:rsidRPr="006B7217">
        <w:rPr>
          <w:rFonts w:ascii="Times New Roman" w:hAnsi="Times New Roman" w:cs="Times New Roman"/>
          <w:szCs w:val="24"/>
        </w:rPr>
        <w:t xml:space="preserve"> defendant who had knowledge of the agreement</w:t>
      </w:r>
      <w:r w:rsidR="007A2F04">
        <w:rPr>
          <w:rFonts w:ascii="Times New Roman" w:hAnsi="Times New Roman" w:cs="Times New Roman"/>
          <w:szCs w:val="24"/>
        </w:rPr>
        <w:t xml:space="preserve"> of sale between plaintiff and first</w:t>
      </w:r>
      <w:r w:rsidRPr="006B7217">
        <w:rPr>
          <w:rFonts w:ascii="Times New Roman" w:hAnsi="Times New Roman" w:cs="Times New Roman"/>
          <w:szCs w:val="24"/>
        </w:rPr>
        <w:t xml:space="preserve"> defendant. </w:t>
      </w:r>
    </w:p>
    <w:p w:rsidR="006B7217" w:rsidRPr="006B7217" w:rsidRDefault="006B7217" w:rsidP="006B7217">
      <w:pPr>
        <w:spacing w:after="0" w:line="240" w:lineRule="auto"/>
        <w:ind w:left="1440" w:hanging="720"/>
        <w:jc w:val="both"/>
        <w:rPr>
          <w:rFonts w:ascii="Times New Roman" w:hAnsi="Times New Roman" w:cs="Times New Roman"/>
          <w:szCs w:val="24"/>
        </w:rPr>
      </w:pPr>
    </w:p>
    <w:p w:rsidR="006B7217" w:rsidRPr="006B7217" w:rsidRDefault="006B7217" w:rsidP="006B7217">
      <w:pPr>
        <w:spacing w:after="0" w:line="240" w:lineRule="auto"/>
        <w:ind w:left="1440" w:hanging="720"/>
        <w:jc w:val="both"/>
        <w:rPr>
          <w:rFonts w:ascii="Times New Roman" w:hAnsi="Times New Roman" w:cs="Times New Roman"/>
          <w:szCs w:val="24"/>
        </w:rPr>
      </w:pPr>
      <w:r w:rsidRPr="006B7217">
        <w:rPr>
          <w:rFonts w:ascii="Times New Roman" w:hAnsi="Times New Roman" w:cs="Times New Roman"/>
          <w:szCs w:val="24"/>
        </w:rPr>
        <w:t>15.</w:t>
      </w:r>
      <w:r w:rsidRPr="006B7217">
        <w:rPr>
          <w:rFonts w:ascii="Times New Roman" w:hAnsi="Times New Roman" w:cs="Times New Roman"/>
          <w:szCs w:val="24"/>
        </w:rPr>
        <w:tab/>
        <w:t>Second defendant fraudulently effected transfer of owners</w:t>
      </w:r>
      <w:r w:rsidR="007A2F04">
        <w:rPr>
          <w:rFonts w:ascii="Times New Roman" w:hAnsi="Times New Roman" w:cs="Times New Roman"/>
          <w:szCs w:val="24"/>
        </w:rPr>
        <w:t>hip rights from herself to the third</w:t>
      </w:r>
      <w:r w:rsidR="006C51BE">
        <w:rPr>
          <w:rFonts w:ascii="Times New Roman" w:hAnsi="Times New Roman" w:cs="Times New Roman"/>
          <w:szCs w:val="24"/>
        </w:rPr>
        <w:t xml:space="preserve"> defendant in </w:t>
      </w:r>
      <w:r w:rsidRPr="006B7217">
        <w:rPr>
          <w:rFonts w:ascii="Times New Roman" w:hAnsi="Times New Roman" w:cs="Times New Roman"/>
          <w:szCs w:val="24"/>
        </w:rPr>
        <w:t>2017, under de</w:t>
      </w:r>
      <w:r w:rsidR="007A2F04">
        <w:rPr>
          <w:rFonts w:ascii="Times New Roman" w:hAnsi="Times New Roman" w:cs="Times New Roman"/>
          <w:szCs w:val="24"/>
        </w:rPr>
        <w:t xml:space="preserve">ed of transfer No 4777/17 on </w:t>
      </w:r>
      <w:r w:rsidR="007A2F04" w:rsidRPr="006B7217">
        <w:rPr>
          <w:rFonts w:ascii="Times New Roman" w:hAnsi="Times New Roman" w:cs="Times New Roman"/>
          <w:szCs w:val="24"/>
        </w:rPr>
        <w:t>6</w:t>
      </w:r>
      <w:r w:rsidRPr="006B7217">
        <w:rPr>
          <w:rFonts w:ascii="Times New Roman" w:hAnsi="Times New Roman" w:cs="Times New Roman"/>
          <w:szCs w:val="24"/>
        </w:rPr>
        <w:t xml:space="preserve"> December 2017. </w:t>
      </w:r>
    </w:p>
    <w:p w:rsidR="006B7217" w:rsidRPr="006B7217" w:rsidRDefault="006B7217" w:rsidP="006B7217">
      <w:pPr>
        <w:spacing w:after="0" w:line="240" w:lineRule="auto"/>
        <w:ind w:left="1440" w:hanging="720"/>
        <w:jc w:val="both"/>
        <w:rPr>
          <w:rFonts w:ascii="Times New Roman" w:hAnsi="Times New Roman" w:cs="Times New Roman"/>
          <w:szCs w:val="24"/>
        </w:rPr>
      </w:pPr>
    </w:p>
    <w:p w:rsidR="006B7217" w:rsidRPr="006B7217" w:rsidRDefault="007A2F04" w:rsidP="006B7217">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t>17.</w:t>
      </w:r>
      <w:r>
        <w:rPr>
          <w:rFonts w:ascii="Times New Roman" w:hAnsi="Times New Roman" w:cs="Times New Roman"/>
          <w:szCs w:val="24"/>
        </w:rPr>
        <w:tab/>
        <w:t>First and second</w:t>
      </w:r>
      <w:r w:rsidR="006B7217" w:rsidRPr="006B7217">
        <w:rPr>
          <w:rFonts w:ascii="Times New Roman" w:hAnsi="Times New Roman" w:cs="Times New Roman"/>
          <w:szCs w:val="24"/>
        </w:rPr>
        <w:t xml:space="preserve"> defendants are still holding on to the purchase price and therefore liable to transfer into plaintiff’s name title of the property in question.”</w:t>
      </w:r>
    </w:p>
    <w:p w:rsidR="006B7217" w:rsidRPr="006B7217" w:rsidRDefault="006B7217" w:rsidP="006B7217">
      <w:pPr>
        <w:spacing w:after="0" w:line="240" w:lineRule="auto"/>
        <w:jc w:val="both"/>
        <w:rPr>
          <w:rFonts w:ascii="Times New Roman" w:hAnsi="Times New Roman" w:cs="Times New Roman"/>
          <w:szCs w:val="24"/>
        </w:rPr>
      </w:pPr>
    </w:p>
    <w:p w:rsidR="006B7217" w:rsidRPr="006B7217" w:rsidRDefault="006B7217" w:rsidP="006B7217">
      <w:pPr>
        <w:spacing w:after="0" w:line="360" w:lineRule="auto"/>
        <w:jc w:val="both"/>
        <w:rPr>
          <w:rFonts w:ascii="Times New Roman" w:hAnsi="Times New Roman" w:cs="Times New Roman"/>
          <w:sz w:val="24"/>
          <w:szCs w:val="24"/>
        </w:rPr>
      </w:pPr>
      <w:r w:rsidRPr="006B7217">
        <w:rPr>
          <w:rFonts w:ascii="Times New Roman" w:hAnsi="Times New Roman" w:cs="Times New Roman"/>
          <w:sz w:val="24"/>
          <w:szCs w:val="24"/>
        </w:rPr>
        <w:tab/>
        <w:t xml:space="preserve">It is apparent that the cause of action of the plaintiff is the right to transfer the property in terms of the alleged agreement of sale. The clause relating to transfer in the alleged agreement of sale reads: </w:t>
      </w:r>
    </w:p>
    <w:p w:rsidR="006B7217" w:rsidRPr="006B7217" w:rsidRDefault="006B7217" w:rsidP="006B7217">
      <w:pPr>
        <w:spacing w:after="0" w:line="240" w:lineRule="auto"/>
        <w:jc w:val="both"/>
        <w:rPr>
          <w:rFonts w:ascii="Times New Roman" w:hAnsi="Times New Roman" w:cs="Times New Roman"/>
          <w:szCs w:val="24"/>
        </w:rPr>
      </w:pPr>
      <w:r w:rsidRPr="006B7217">
        <w:rPr>
          <w:rFonts w:ascii="Times New Roman" w:hAnsi="Times New Roman" w:cs="Times New Roman"/>
          <w:sz w:val="24"/>
          <w:szCs w:val="24"/>
        </w:rPr>
        <w:tab/>
      </w:r>
      <w:r w:rsidRPr="006B7217">
        <w:rPr>
          <w:rFonts w:ascii="Times New Roman" w:hAnsi="Times New Roman" w:cs="Times New Roman"/>
          <w:szCs w:val="24"/>
        </w:rPr>
        <w:t>“TRANSFER AND COSTS</w:t>
      </w:r>
    </w:p>
    <w:p w:rsidR="006B7217" w:rsidRPr="006B7217" w:rsidRDefault="006B7217" w:rsidP="006B7217">
      <w:pPr>
        <w:spacing w:after="0" w:line="240" w:lineRule="auto"/>
        <w:jc w:val="both"/>
        <w:rPr>
          <w:rFonts w:ascii="Times New Roman" w:hAnsi="Times New Roman" w:cs="Times New Roman"/>
          <w:szCs w:val="24"/>
        </w:rPr>
      </w:pPr>
    </w:p>
    <w:p w:rsidR="006B7217" w:rsidRPr="006B7217" w:rsidRDefault="006B7217" w:rsidP="006B7217">
      <w:pPr>
        <w:spacing w:after="0" w:line="240" w:lineRule="auto"/>
        <w:ind w:left="720"/>
        <w:jc w:val="both"/>
        <w:rPr>
          <w:rFonts w:ascii="Times New Roman" w:hAnsi="Times New Roman" w:cs="Times New Roman"/>
          <w:szCs w:val="24"/>
        </w:rPr>
      </w:pPr>
      <w:r w:rsidRPr="006B7217">
        <w:rPr>
          <w:rFonts w:ascii="Times New Roman" w:hAnsi="Times New Roman" w:cs="Times New Roman"/>
          <w:szCs w:val="24"/>
        </w:rPr>
        <w:t xml:space="preserve">(a) transfer shall, be registered by Messrs Gill, Godlonton and </w:t>
      </w:r>
      <w:r w:rsidR="009D768A">
        <w:rPr>
          <w:rFonts w:ascii="Times New Roman" w:hAnsi="Times New Roman" w:cs="Times New Roman"/>
          <w:szCs w:val="24"/>
        </w:rPr>
        <w:t>Gerrans Conveyancers of Harare s</w:t>
      </w:r>
      <w:r w:rsidRPr="006B7217">
        <w:rPr>
          <w:rFonts w:ascii="Times New Roman" w:hAnsi="Times New Roman" w:cs="Times New Roman"/>
          <w:szCs w:val="24"/>
        </w:rPr>
        <w:t xml:space="preserve">ubject to due compliance by both parties with their obligations hereunder.” </w:t>
      </w:r>
    </w:p>
    <w:p w:rsidR="00333E84" w:rsidRDefault="006B7217" w:rsidP="006B7217">
      <w:pPr>
        <w:spacing w:after="0" w:line="360" w:lineRule="auto"/>
        <w:jc w:val="both"/>
        <w:rPr>
          <w:rFonts w:ascii="Times New Roman" w:hAnsi="Times New Roman" w:cs="Times New Roman"/>
          <w:szCs w:val="24"/>
        </w:rPr>
      </w:pPr>
      <w:r w:rsidRPr="006B7217">
        <w:rPr>
          <w:rFonts w:ascii="Times New Roman" w:hAnsi="Times New Roman" w:cs="Times New Roman"/>
          <w:szCs w:val="24"/>
        </w:rPr>
        <w:tab/>
      </w:r>
    </w:p>
    <w:p w:rsidR="006B7217" w:rsidRPr="006B7217" w:rsidRDefault="006B7217" w:rsidP="00333E84">
      <w:pPr>
        <w:spacing w:after="0" w:line="360" w:lineRule="auto"/>
        <w:ind w:firstLine="720"/>
        <w:jc w:val="both"/>
        <w:rPr>
          <w:rFonts w:ascii="Times New Roman" w:hAnsi="Times New Roman" w:cs="Times New Roman"/>
          <w:sz w:val="24"/>
          <w:szCs w:val="24"/>
        </w:rPr>
      </w:pPr>
      <w:r w:rsidRPr="006B7217">
        <w:rPr>
          <w:rFonts w:ascii="Times New Roman" w:hAnsi="Times New Roman" w:cs="Times New Roman"/>
          <w:sz w:val="24"/>
          <w:szCs w:val="24"/>
        </w:rPr>
        <w:t>Prescription begins to run when the debt is due, and the creditor becomes or ought to have become aware of the identity of the debtor and of the facts from which the debt arose.</w:t>
      </w:r>
      <w:r w:rsidRPr="006B7217">
        <w:rPr>
          <w:rFonts w:ascii="Times New Roman" w:hAnsi="Times New Roman" w:cs="Times New Roman"/>
          <w:sz w:val="24"/>
          <w:szCs w:val="24"/>
          <w:vertAlign w:val="superscript"/>
        </w:rPr>
        <w:footnoteReference w:id="10"/>
      </w:r>
      <w:r w:rsidR="00333E84">
        <w:rPr>
          <w:rFonts w:ascii="Times New Roman" w:hAnsi="Times New Roman" w:cs="Times New Roman"/>
          <w:sz w:val="24"/>
          <w:szCs w:val="24"/>
        </w:rPr>
        <w:t xml:space="preserve"> </w:t>
      </w:r>
      <w:r w:rsidRPr="006B7217">
        <w:rPr>
          <w:rFonts w:ascii="Times New Roman" w:hAnsi="Times New Roman" w:cs="Times New Roman"/>
          <w:sz w:val="24"/>
          <w:szCs w:val="24"/>
        </w:rPr>
        <w:t>The learned author adds:</w:t>
      </w:r>
    </w:p>
    <w:p w:rsidR="006B7217" w:rsidRPr="006B7217" w:rsidRDefault="006B7217" w:rsidP="006B7217">
      <w:pPr>
        <w:spacing w:after="0" w:line="240" w:lineRule="auto"/>
        <w:ind w:left="720"/>
        <w:jc w:val="both"/>
        <w:rPr>
          <w:rFonts w:ascii="Times New Roman" w:hAnsi="Times New Roman" w:cs="Times New Roman"/>
          <w:szCs w:val="24"/>
        </w:rPr>
      </w:pPr>
      <w:r w:rsidRPr="006B7217">
        <w:rPr>
          <w:rFonts w:ascii="Times New Roman" w:hAnsi="Times New Roman" w:cs="Times New Roman"/>
          <w:szCs w:val="24"/>
        </w:rPr>
        <w:t>“Unless the debtor wilfully conceals the existence of the debt in which case S 16(2) (of the Prescription Act) provides that it shall not begin to run until the creditor becomes aware of the existence of the debt. To ascertain</w:t>
      </w:r>
      <w:r w:rsidR="00333E84">
        <w:rPr>
          <w:rFonts w:ascii="Times New Roman" w:hAnsi="Times New Roman" w:cs="Times New Roman"/>
          <w:szCs w:val="24"/>
        </w:rPr>
        <w:t xml:space="preserve"> when a contractual debt first </w:t>
      </w:r>
      <w:r w:rsidRPr="006B7217">
        <w:rPr>
          <w:rFonts w:ascii="Times New Roman" w:hAnsi="Times New Roman" w:cs="Times New Roman"/>
          <w:szCs w:val="24"/>
        </w:rPr>
        <w:t>becomes due regard must be had to the terms of the contract.”</w:t>
      </w:r>
      <w:r w:rsidRPr="006B7217">
        <w:rPr>
          <w:rFonts w:ascii="Times New Roman" w:hAnsi="Times New Roman" w:cs="Times New Roman"/>
          <w:szCs w:val="24"/>
          <w:vertAlign w:val="superscript"/>
        </w:rPr>
        <w:footnoteReference w:id="11"/>
      </w:r>
    </w:p>
    <w:p w:rsidR="006B7217" w:rsidRPr="006B7217" w:rsidRDefault="006B7217" w:rsidP="006B7217">
      <w:pPr>
        <w:spacing w:after="0" w:line="240" w:lineRule="auto"/>
        <w:jc w:val="both"/>
        <w:rPr>
          <w:rFonts w:ascii="Times New Roman" w:hAnsi="Times New Roman" w:cs="Times New Roman"/>
          <w:szCs w:val="24"/>
        </w:rPr>
      </w:pPr>
    </w:p>
    <w:p w:rsidR="006B7217" w:rsidRPr="006B7217" w:rsidRDefault="006B7217" w:rsidP="006B7217">
      <w:pPr>
        <w:spacing w:after="0" w:line="360" w:lineRule="auto"/>
        <w:jc w:val="both"/>
        <w:rPr>
          <w:rFonts w:ascii="Times New Roman" w:hAnsi="Times New Roman" w:cs="Times New Roman"/>
          <w:sz w:val="24"/>
          <w:szCs w:val="24"/>
        </w:rPr>
      </w:pPr>
      <w:r w:rsidRPr="006B7217">
        <w:rPr>
          <w:rFonts w:ascii="Times New Roman" w:hAnsi="Times New Roman" w:cs="Times New Roman"/>
          <w:szCs w:val="24"/>
        </w:rPr>
        <w:tab/>
      </w:r>
      <w:r w:rsidRPr="006B7217">
        <w:rPr>
          <w:rFonts w:ascii="Times New Roman" w:hAnsi="Times New Roman" w:cs="Times New Roman"/>
          <w:sz w:val="24"/>
          <w:szCs w:val="24"/>
        </w:rPr>
        <w:t xml:space="preserve">It is now trite that the period of prescription of a debt in terms of s 15(d) of the Act is 3 years. The interpretation section of the same Act defines “debt” to include anything which may be saved for nor claimed by reason of an arising from statute, contract, delict or otherwise. </w:t>
      </w:r>
      <w:r w:rsidRPr="006B7217">
        <w:rPr>
          <w:rFonts w:ascii="Times New Roman" w:hAnsi="Times New Roman" w:cs="Times New Roman"/>
          <w:sz w:val="24"/>
          <w:szCs w:val="24"/>
        </w:rPr>
        <w:lastRenderedPageBreak/>
        <w:t xml:space="preserve">Going by the definition of “debt” as contained in the Prescription Act the right of the purchaser to place a seller in </w:t>
      </w:r>
      <w:r w:rsidRPr="006B7217">
        <w:rPr>
          <w:rFonts w:ascii="Times New Roman" w:hAnsi="Times New Roman" w:cs="Times New Roman"/>
          <w:i/>
          <w:sz w:val="24"/>
          <w:szCs w:val="24"/>
        </w:rPr>
        <w:t>mora</w:t>
      </w:r>
      <w:r w:rsidRPr="006B7217">
        <w:rPr>
          <w:rFonts w:ascii="Times New Roman" w:hAnsi="Times New Roman" w:cs="Times New Roman"/>
          <w:sz w:val="24"/>
          <w:szCs w:val="24"/>
        </w:rPr>
        <w:t xml:space="preserve"> is itself a debt in favour of the purchaser which debt would constitute the right to have tra</w:t>
      </w:r>
      <w:r w:rsidR="00333E84">
        <w:rPr>
          <w:rFonts w:ascii="Times New Roman" w:hAnsi="Times New Roman" w:cs="Times New Roman"/>
          <w:sz w:val="24"/>
          <w:szCs w:val="24"/>
        </w:rPr>
        <w:t>nsfer into the plaintiff’s name.</w:t>
      </w:r>
      <w:r w:rsidRPr="006B7217">
        <w:rPr>
          <w:rFonts w:ascii="Times New Roman" w:hAnsi="Times New Roman" w:cs="Times New Roman"/>
          <w:sz w:val="24"/>
          <w:szCs w:val="24"/>
        </w:rPr>
        <w:t xml:space="preserve"> </w:t>
      </w:r>
      <w:r w:rsidR="00333E84" w:rsidRPr="006B7217">
        <w:rPr>
          <w:rFonts w:ascii="Times New Roman" w:hAnsi="Times New Roman" w:cs="Times New Roman"/>
          <w:sz w:val="24"/>
          <w:szCs w:val="24"/>
        </w:rPr>
        <w:t>In</w:t>
      </w:r>
      <w:r w:rsidRPr="006B7217">
        <w:rPr>
          <w:rFonts w:ascii="Times New Roman" w:hAnsi="Times New Roman" w:cs="Times New Roman"/>
          <w:sz w:val="24"/>
          <w:szCs w:val="24"/>
        </w:rPr>
        <w:t xml:space="preserve"> the case before me the plaintiff enquired from first defendant for the </w:t>
      </w:r>
      <w:r w:rsidR="00333E84">
        <w:rPr>
          <w:rFonts w:ascii="Times New Roman" w:hAnsi="Times New Roman" w:cs="Times New Roman"/>
          <w:sz w:val="24"/>
          <w:szCs w:val="24"/>
        </w:rPr>
        <w:t>identity</w:t>
      </w:r>
      <w:r w:rsidRPr="006B7217">
        <w:rPr>
          <w:rFonts w:ascii="Times New Roman" w:hAnsi="Times New Roman" w:cs="Times New Roman"/>
          <w:sz w:val="24"/>
          <w:szCs w:val="24"/>
        </w:rPr>
        <w:t xml:space="preserve"> of third defendant and first defendant deliberately concealed that information. Plaintiff fortuitously discovered third defendant’s details on 30 September 2015 when an employee of third defendant left a business car</w:t>
      </w:r>
      <w:r w:rsidR="00333E84">
        <w:rPr>
          <w:rFonts w:ascii="Times New Roman" w:hAnsi="Times New Roman" w:cs="Times New Roman"/>
          <w:sz w:val="24"/>
          <w:szCs w:val="24"/>
        </w:rPr>
        <w:t>d to Mr Sa</w:t>
      </w:r>
      <w:r w:rsidRPr="006B7217">
        <w:rPr>
          <w:rFonts w:ascii="Times New Roman" w:hAnsi="Times New Roman" w:cs="Times New Roman"/>
          <w:sz w:val="24"/>
          <w:szCs w:val="24"/>
        </w:rPr>
        <w:t>r</w:t>
      </w:r>
      <w:r w:rsidR="00333E84">
        <w:rPr>
          <w:rFonts w:ascii="Times New Roman" w:hAnsi="Times New Roman" w:cs="Times New Roman"/>
          <w:sz w:val="24"/>
          <w:szCs w:val="24"/>
        </w:rPr>
        <w:t>i</w:t>
      </w:r>
      <w:r w:rsidRPr="006B7217">
        <w:rPr>
          <w:rFonts w:ascii="Times New Roman" w:hAnsi="Times New Roman" w:cs="Times New Roman"/>
          <w:sz w:val="24"/>
          <w:szCs w:val="24"/>
        </w:rPr>
        <w:t>man</w:t>
      </w:r>
      <w:r w:rsidR="00333E84">
        <w:rPr>
          <w:rFonts w:ascii="Times New Roman" w:hAnsi="Times New Roman" w:cs="Times New Roman"/>
          <w:sz w:val="24"/>
          <w:szCs w:val="24"/>
        </w:rPr>
        <w:t>a</w:t>
      </w:r>
      <w:r w:rsidRPr="006B7217">
        <w:rPr>
          <w:rFonts w:ascii="Times New Roman" w:hAnsi="Times New Roman" w:cs="Times New Roman"/>
          <w:sz w:val="24"/>
          <w:szCs w:val="24"/>
        </w:rPr>
        <w:t xml:space="preserve"> and incidentally learning that third defendant was the second purchaser of the property in dispute. Plaintiff immediately took action by writing to defendants about its intended legal action as per the current claim before the court. I am persuaded by plaintiff’s counsel’s submission that given the nature of plaintiff’s claim which heavily hangs on the cancellation of the agreement of sale between second defendant and third defendant, prescription began to run from 1 October 2015, a day after plaintiff knew about the identity and particulars of   third defendant. </w:t>
      </w:r>
    </w:p>
    <w:p w:rsidR="006B7217" w:rsidRPr="006B7217" w:rsidRDefault="006B7217" w:rsidP="006B7217">
      <w:pPr>
        <w:spacing w:after="0" w:line="360" w:lineRule="auto"/>
        <w:jc w:val="both"/>
        <w:rPr>
          <w:rFonts w:ascii="Times New Roman" w:hAnsi="Times New Roman" w:cs="Times New Roman"/>
          <w:sz w:val="24"/>
          <w:szCs w:val="24"/>
        </w:rPr>
      </w:pPr>
      <w:r w:rsidRPr="006B7217">
        <w:rPr>
          <w:rFonts w:ascii="Times New Roman" w:hAnsi="Times New Roman" w:cs="Times New Roman"/>
          <w:sz w:val="24"/>
          <w:szCs w:val="24"/>
        </w:rPr>
        <w:tab/>
        <w:t xml:space="preserve">In the matter of </w:t>
      </w:r>
      <w:r w:rsidRPr="006B7217">
        <w:rPr>
          <w:rFonts w:ascii="Times New Roman" w:hAnsi="Times New Roman" w:cs="Times New Roman"/>
          <w:i/>
          <w:sz w:val="24"/>
          <w:szCs w:val="24"/>
        </w:rPr>
        <w:t xml:space="preserve">Makgatho </w:t>
      </w:r>
      <w:r w:rsidRPr="006B7217">
        <w:rPr>
          <w:rFonts w:ascii="Times New Roman" w:hAnsi="Times New Roman" w:cs="Times New Roman"/>
          <w:sz w:val="24"/>
          <w:szCs w:val="24"/>
        </w:rPr>
        <w:t>v</w:t>
      </w:r>
      <w:r w:rsidRPr="006B7217">
        <w:rPr>
          <w:rFonts w:ascii="Times New Roman" w:hAnsi="Times New Roman" w:cs="Times New Roman"/>
          <w:i/>
          <w:sz w:val="24"/>
          <w:szCs w:val="24"/>
        </w:rPr>
        <w:t xml:space="preserve"> Old Mutual Life Assurance Co. Zimbabwe Ltd</w:t>
      </w:r>
      <w:r w:rsidRPr="006B7217">
        <w:rPr>
          <w:rFonts w:ascii="Times New Roman" w:hAnsi="Times New Roman" w:cs="Times New Roman"/>
          <w:i/>
          <w:sz w:val="24"/>
          <w:szCs w:val="24"/>
          <w:vertAlign w:val="superscript"/>
        </w:rPr>
        <w:footnoteReference w:id="12"/>
      </w:r>
      <w:r w:rsidRPr="006B7217">
        <w:rPr>
          <w:rFonts w:ascii="Times New Roman" w:hAnsi="Times New Roman" w:cs="Times New Roman"/>
          <w:i/>
          <w:sz w:val="24"/>
          <w:szCs w:val="24"/>
        </w:rPr>
        <w:t xml:space="preserve"> </w:t>
      </w:r>
      <w:r w:rsidRPr="006B7217">
        <w:rPr>
          <w:rFonts w:ascii="Times New Roman" w:hAnsi="Times New Roman" w:cs="Times New Roman"/>
          <w:sz w:val="24"/>
          <w:szCs w:val="24"/>
        </w:rPr>
        <w:t>it was held:</w:t>
      </w:r>
    </w:p>
    <w:p w:rsidR="006B7217" w:rsidRPr="006B7217" w:rsidRDefault="006B7217" w:rsidP="006B7217">
      <w:pPr>
        <w:spacing w:after="0" w:line="240" w:lineRule="auto"/>
        <w:ind w:left="720"/>
        <w:jc w:val="both"/>
        <w:rPr>
          <w:rFonts w:ascii="Times New Roman" w:hAnsi="Times New Roman" w:cs="Times New Roman"/>
          <w:szCs w:val="24"/>
        </w:rPr>
      </w:pPr>
      <w:r w:rsidRPr="006B7217">
        <w:rPr>
          <w:rFonts w:ascii="Times New Roman" w:hAnsi="Times New Roman" w:cs="Times New Roman"/>
          <w:szCs w:val="24"/>
        </w:rPr>
        <w:t xml:space="preserve">“There may be need for the other party to explain the reasons for the delay and prove when the debt as defined, became due. Prescription may be interrupted by an acknowledgement of liability, which on the facts of this case occurred on 12 December 2000 when the principal debtor sent an e-mail to the respondent.”  </w:t>
      </w:r>
    </w:p>
    <w:p w:rsidR="006B7217" w:rsidRPr="006B7217" w:rsidRDefault="006B7217" w:rsidP="006B7217">
      <w:pPr>
        <w:spacing w:after="0" w:line="240" w:lineRule="auto"/>
        <w:jc w:val="both"/>
        <w:rPr>
          <w:rFonts w:ascii="Times New Roman" w:hAnsi="Times New Roman" w:cs="Times New Roman"/>
          <w:szCs w:val="24"/>
        </w:rPr>
      </w:pPr>
    </w:p>
    <w:p w:rsidR="006B7217" w:rsidRPr="006B7217" w:rsidRDefault="006B7217" w:rsidP="006B7217">
      <w:pPr>
        <w:spacing w:after="0" w:line="360" w:lineRule="auto"/>
        <w:jc w:val="both"/>
        <w:rPr>
          <w:rFonts w:ascii="Times New Roman" w:hAnsi="Times New Roman" w:cs="Times New Roman"/>
          <w:sz w:val="24"/>
          <w:szCs w:val="24"/>
        </w:rPr>
      </w:pPr>
      <w:r w:rsidRPr="006B7217">
        <w:rPr>
          <w:rFonts w:ascii="Times New Roman" w:hAnsi="Times New Roman" w:cs="Times New Roman"/>
          <w:szCs w:val="24"/>
        </w:rPr>
        <w:tab/>
      </w:r>
      <w:r w:rsidRPr="006B7217">
        <w:rPr>
          <w:rFonts w:ascii="Times New Roman" w:hAnsi="Times New Roman" w:cs="Times New Roman"/>
          <w:sz w:val="24"/>
          <w:szCs w:val="24"/>
        </w:rPr>
        <w:t xml:space="preserve">Plaintiff’s summons clearly shows that plaintiff’s principal claim is for the cancellation of an agreement of sale entered between second and third defendants and that title be transferred to it. Plaintiff could not have proceeded to claim against third defendant in 2009 for cancelation of the subject agreement of sale without knowing the third defendant in my view. Even if plaintiff threatened civil action from 2009 against first defendant its relief based on the current form could not have been feasible since it was not aware of third defendant. As already concluded hereinabove that information only availed to plaintiff from 30 September 2015. I therefore come to a conclusion that prescription commenced to run from 1 October 2015. </w:t>
      </w:r>
    </w:p>
    <w:p w:rsidR="006B7217" w:rsidRPr="006B7217" w:rsidRDefault="006B7217" w:rsidP="006B7217">
      <w:pPr>
        <w:spacing w:after="0" w:line="360" w:lineRule="auto"/>
        <w:jc w:val="both"/>
        <w:rPr>
          <w:rFonts w:ascii="Times New Roman" w:hAnsi="Times New Roman" w:cs="Times New Roman"/>
          <w:sz w:val="24"/>
          <w:szCs w:val="24"/>
        </w:rPr>
      </w:pPr>
      <w:r w:rsidRPr="006B7217">
        <w:rPr>
          <w:rFonts w:ascii="Times New Roman" w:hAnsi="Times New Roman" w:cs="Times New Roman"/>
          <w:sz w:val="24"/>
          <w:szCs w:val="24"/>
        </w:rPr>
        <w:tab/>
        <w:t>I am  further fortified on this conclusion by the bonus fact that has not been strongly denied by the first defendant that on 3 May 2018 first defendant acknowledged holding plaintiff’s US$80 000-00 in its lawyers trust account.</w:t>
      </w:r>
      <w:r w:rsidRPr="006B7217">
        <w:rPr>
          <w:rFonts w:ascii="Times New Roman" w:hAnsi="Times New Roman" w:cs="Times New Roman"/>
          <w:sz w:val="24"/>
          <w:szCs w:val="24"/>
          <w:vertAlign w:val="superscript"/>
        </w:rPr>
        <w:footnoteReference w:id="13"/>
      </w:r>
      <w:r w:rsidRPr="006B7217">
        <w:rPr>
          <w:rFonts w:ascii="Times New Roman" w:hAnsi="Times New Roman" w:cs="Times New Roman"/>
          <w:sz w:val="24"/>
          <w:szCs w:val="24"/>
        </w:rPr>
        <w:t xml:space="preserve"> </w:t>
      </w:r>
    </w:p>
    <w:p w:rsidR="006B7217" w:rsidRPr="006B7217" w:rsidRDefault="006B7217" w:rsidP="006B7217">
      <w:pPr>
        <w:spacing w:after="0" w:line="360" w:lineRule="auto"/>
        <w:jc w:val="both"/>
        <w:rPr>
          <w:rFonts w:ascii="Times New Roman" w:hAnsi="Times New Roman" w:cs="Times New Roman"/>
          <w:sz w:val="24"/>
          <w:szCs w:val="24"/>
        </w:rPr>
      </w:pPr>
      <w:r w:rsidRPr="006B7217">
        <w:rPr>
          <w:rFonts w:ascii="Times New Roman" w:hAnsi="Times New Roman" w:cs="Times New Roman"/>
          <w:sz w:val="24"/>
          <w:szCs w:val="24"/>
        </w:rPr>
        <w:lastRenderedPageBreak/>
        <w:tab/>
        <w:t xml:space="preserve">The tacit acknowledgement of liability interpreted the period of prescription. In a plea of prescription the onus is on the defendant to show that the claim is prescribed. </w:t>
      </w:r>
      <w:r w:rsidRPr="006B7217">
        <w:rPr>
          <w:rFonts w:ascii="Times New Roman" w:hAnsi="Times New Roman" w:cs="Times New Roman"/>
          <w:sz w:val="24"/>
          <w:szCs w:val="24"/>
          <w:vertAlign w:val="superscript"/>
        </w:rPr>
        <w:footnoteReference w:id="14"/>
      </w:r>
      <w:r w:rsidRPr="006B7217">
        <w:rPr>
          <w:rFonts w:ascii="Times New Roman" w:hAnsi="Times New Roman" w:cs="Times New Roman"/>
          <w:sz w:val="24"/>
          <w:szCs w:val="24"/>
        </w:rPr>
        <w:t xml:space="preserve"> </w:t>
      </w:r>
      <w:r w:rsidR="008D6254" w:rsidRPr="006B7217">
        <w:rPr>
          <w:rFonts w:ascii="Times New Roman" w:hAnsi="Times New Roman" w:cs="Times New Roman"/>
          <w:sz w:val="24"/>
          <w:szCs w:val="24"/>
        </w:rPr>
        <w:t>A</w:t>
      </w:r>
      <w:r w:rsidRPr="006B7217">
        <w:rPr>
          <w:rFonts w:ascii="Times New Roman" w:hAnsi="Times New Roman" w:cs="Times New Roman"/>
          <w:sz w:val="24"/>
          <w:szCs w:val="24"/>
        </w:rPr>
        <w:t xml:space="preserve"> special plea of prescription is often referred to as a peremptory ex</w:t>
      </w:r>
      <w:r w:rsidR="008D6254">
        <w:rPr>
          <w:rFonts w:ascii="Times New Roman" w:hAnsi="Times New Roman" w:cs="Times New Roman"/>
          <w:sz w:val="24"/>
          <w:szCs w:val="24"/>
        </w:rPr>
        <w:t xml:space="preserve">ception in the sense that if it is </w:t>
      </w:r>
      <w:r w:rsidR="008D6254" w:rsidRPr="006B7217">
        <w:rPr>
          <w:rFonts w:ascii="Times New Roman" w:hAnsi="Times New Roman" w:cs="Times New Roman"/>
          <w:sz w:val="24"/>
          <w:szCs w:val="24"/>
        </w:rPr>
        <w:t>established</w:t>
      </w:r>
      <w:r w:rsidRPr="006B7217">
        <w:rPr>
          <w:rFonts w:ascii="Times New Roman" w:hAnsi="Times New Roman" w:cs="Times New Roman"/>
          <w:sz w:val="24"/>
          <w:szCs w:val="24"/>
        </w:rPr>
        <w:t xml:space="preserve"> it renders claim permanently unenforceable and can be raised by special plea at any stage of the proceedings but a party raising it ought to lead evidence either through an affidavit or orally during trial. In this case the defendant failed to</w:t>
      </w:r>
      <w:r w:rsidR="008D6254">
        <w:rPr>
          <w:rFonts w:ascii="Times New Roman" w:hAnsi="Times New Roman" w:cs="Times New Roman"/>
          <w:sz w:val="24"/>
          <w:szCs w:val="24"/>
        </w:rPr>
        <w:t xml:space="preserve"> prove that plaintiff’s claim has</w:t>
      </w:r>
      <w:r w:rsidRPr="006B7217">
        <w:rPr>
          <w:rFonts w:ascii="Times New Roman" w:hAnsi="Times New Roman" w:cs="Times New Roman"/>
          <w:sz w:val="24"/>
          <w:szCs w:val="24"/>
        </w:rPr>
        <w:t xml:space="preserve"> prescribed. P</w:t>
      </w:r>
      <w:r w:rsidR="008D6254">
        <w:rPr>
          <w:rFonts w:ascii="Times New Roman" w:hAnsi="Times New Roman" w:cs="Times New Roman"/>
          <w:sz w:val="24"/>
          <w:szCs w:val="24"/>
        </w:rPr>
        <w:t>laintiff managed to pass the hur</w:t>
      </w:r>
      <w:r w:rsidRPr="006B7217">
        <w:rPr>
          <w:rFonts w:ascii="Times New Roman" w:hAnsi="Times New Roman" w:cs="Times New Roman"/>
          <w:sz w:val="24"/>
          <w:szCs w:val="24"/>
        </w:rPr>
        <w:t xml:space="preserve">dle as to why it waited from 2009 to 2018 to issue summons against defendant more particularly that the identity of third defendant had been concealed by first defendant regardless of request made about that information. </w:t>
      </w:r>
    </w:p>
    <w:p w:rsidR="006B7217" w:rsidRPr="006B7217" w:rsidRDefault="006B7217" w:rsidP="006B7217">
      <w:pPr>
        <w:spacing w:after="0" w:line="360" w:lineRule="auto"/>
        <w:jc w:val="both"/>
        <w:rPr>
          <w:rFonts w:ascii="Times New Roman" w:hAnsi="Times New Roman" w:cs="Times New Roman"/>
          <w:sz w:val="24"/>
          <w:szCs w:val="24"/>
        </w:rPr>
      </w:pPr>
      <w:r w:rsidRPr="006B7217">
        <w:rPr>
          <w:rFonts w:ascii="Times New Roman" w:hAnsi="Times New Roman" w:cs="Times New Roman"/>
          <w:sz w:val="24"/>
          <w:szCs w:val="24"/>
        </w:rPr>
        <w:tab/>
        <w:t xml:space="preserve">Further plaintiff’s claim is for cancellation of an agreement of sale between second defendant and third defendant and transfer of the title to plaintiff from second defendant. In practical and procedural norms </w:t>
      </w:r>
      <w:r w:rsidR="002B1FD1">
        <w:rPr>
          <w:rFonts w:ascii="Times New Roman" w:hAnsi="Times New Roman" w:cs="Times New Roman"/>
          <w:sz w:val="24"/>
          <w:szCs w:val="24"/>
        </w:rPr>
        <w:t>involving</w:t>
      </w:r>
      <w:r w:rsidRPr="006B7217">
        <w:rPr>
          <w:rFonts w:ascii="Times New Roman" w:hAnsi="Times New Roman" w:cs="Times New Roman"/>
          <w:sz w:val="24"/>
          <w:szCs w:val="24"/>
        </w:rPr>
        <w:t xml:space="preserve"> transfer of ownership of title from second defendant to plaintiff, first defendant has absolutely no role. Its second and third defendant who are directly affected, yet the two did not raise the special plea of prescription. The special plea raised by the first defendant cannot be raised by first defendant for the benefit of second and third defendant and given the nature of plaintiff’s claim first defendant is not in a position to raise such a plea, which benefits second and third defendants. I come to a conclusion that the special plea of prescription is misplaced and was not proved by the first defendant, and it is accordingly dismissed.</w:t>
      </w:r>
    </w:p>
    <w:p w:rsidR="006B7217" w:rsidRPr="006B7217" w:rsidRDefault="006B7217" w:rsidP="006B7217">
      <w:pPr>
        <w:spacing w:after="0" w:line="360" w:lineRule="auto"/>
        <w:jc w:val="both"/>
        <w:rPr>
          <w:rFonts w:ascii="Times New Roman" w:hAnsi="Times New Roman" w:cs="Times New Roman"/>
          <w:sz w:val="24"/>
          <w:szCs w:val="24"/>
        </w:rPr>
      </w:pPr>
    </w:p>
    <w:p w:rsidR="006B7217" w:rsidRPr="003C419F" w:rsidRDefault="006B7217" w:rsidP="006B7217">
      <w:pPr>
        <w:spacing w:after="0" w:line="360" w:lineRule="auto"/>
        <w:jc w:val="both"/>
        <w:rPr>
          <w:rFonts w:ascii="Times New Roman" w:hAnsi="Times New Roman" w:cs="Times New Roman"/>
          <w:b/>
          <w:i/>
          <w:sz w:val="24"/>
          <w:szCs w:val="24"/>
        </w:rPr>
      </w:pPr>
      <w:r w:rsidRPr="003C419F">
        <w:rPr>
          <w:rFonts w:ascii="Times New Roman" w:hAnsi="Times New Roman" w:cs="Times New Roman"/>
          <w:b/>
          <w:i/>
          <w:sz w:val="24"/>
          <w:szCs w:val="24"/>
          <w:u w:val="single"/>
        </w:rPr>
        <w:t xml:space="preserve">Was there an Agreement of Sale between first defendant and </w:t>
      </w:r>
      <w:r w:rsidR="003C419F" w:rsidRPr="003C419F">
        <w:rPr>
          <w:rFonts w:ascii="Times New Roman" w:hAnsi="Times New Roman" w:cs="Times New Roman"/>
          <w:b/>
          <w:i/>
          <w:sz w:val="24"/>
          <w:szCs w:val="24"/>
          <w:u w:val="single"/>
        </w:rPr>
        <w:t>plaintiff?</w:t>
      </w:r>
      <w:r w:rsidRPr="003C419F">
        <w:rPr>
          <w:rFonts w:ascii="Times New Roman" w:hAnsi="Times New Roman" w:cs="Times New Roman"/>
          <w:b/>
          <w:i/>
          <w:sz w:val="24"/>
          <w:szCs w:val="24"/>
          <w:u w:val="single"/>
        </w:rPr>
        <w:t xml:space="preserve"> Was there a double sale and was the second agreement of sale tainted with fraud?</w:t>
      </w:r>
    </w:p>
    <w:p w:rsidR="006B7217" w:rsidRPr="006B7217" w:rsidRDefault="006B7217" w:rsidP="006B7217">
      <w:pPr>
        <w:spacing w:after="0" w:line="360" w:lineRule="auto"/>
        <w:jc w:val="both"/>
        <w:rPr>
          <w:rFonts w:ascii="Times New Roman" w:hAnsi="Times New Roman" w:cs="Times New Roman"/>
          <w:sz w:val="24"/>
          <w:szCs w:val="24"/>
        </w:rPr>
      </w:pPr>
      <w:r w:rsidRPr="006B7217">
        <w:rPr>
          <w:rFonts w:ascii="Times New Roman" w:hAnsi="Times New Roman" w:cs="Times New Roman"/>
          <w:sz w:val="24"/>
          <w:szCs w:val="24"/>
        </w:rPr>
        <w:tab/>
        <w:t xml:space="preserve">The plaintiff’s pleadings on this aspect of the agreement of sale are very clear and after looking at the totality of all the </w:t>
      </w:r>
      <w:r w:rsidR="003C419F" w:rsidRPr="006B7217">
        <w:rPr>
          <w:rFonts w:ascii="Times New Roman" w:hAnsi="Times New Roman" w:cs="Times New Roman"/>
          <w:sz w:val="24"/>
          <w:szCs w:val="24"/>
        </w:rPr>
        <w:t>parties’</w:t>
      </w:r>
      <w:r w:rsidRPr="006B7217">
        <w:rPr>
          <w:rFonts w:ascii="Times New Roman" w:hAnsi="Times New Roman" w:cs="Times New Roman"/>
          <w:sz w:val="24"/>
          <w:szCs w:val="24"/>
        </w:rPr>
        <w:t xml:space="preserve"> evidence it is abundantly clear that there was an agreement of sale entered between plaintiff and second defendant’s agent first defendant in 2009. In first defendant’s special plea of prescription it equally alludes to this contract which the court should accept as being uncontroverted. What is in dispute however is that first defendant in its plea on the merits</w:t>
      </w:r>
      <w:r w:rsidRPr="006B7217">
        <w:rPr>
          <w:rFonts w:ascii="Times New Roman" w:hAnsi="Times New Roman" w:cs="Times New Roman"/>
          <w:sz w:val="24"/>
          <w:szCs w:val="24"/>
          <w:vertAlign w:val="superscript"/>
        </w:rPr>
        <w:footnoteReference w:id="15"/>
      </w:r>
      <w:r w:rsidRPr="006B7217">
        <w:rPr>
          <w:rFonts w:ascii="Times New Roman" w:hAnsi="Times New Roman" w:cs="Times New Roman"/>
          <w:sz w:val="24"/>
          <w:szCs w:val="24"/>
        </w:rPr>
        <w:t xml:space="preserve"> denied ever acting as second defendant’s agent? What came out of the agreement between first defendant and plaintiff was a “business arrangement” where plaintiff was going to pay second defendant’s property. A comparison of first defendant’s plea on merits and oral evidence adduced in court reflects a glaring total </w:t>
      </w:r>
      <w:r w:rsidRPr="006B7217">
        <w:rPr>
          <w:rFonts w:ascii="Times New Roman" w:hAnsi="Times New Roman" w:cs="Times New Roman"/>
          <w:sz w:val="24"/>
          <w:szCs w:val="24"/>
        </w:rPr>
        <w:lastRenderedPageBreak/>
        <w:t xml:space="preserve">transformation of first defendant’s trajectory in the whole matter, oral evidence led on </w:t>
      </w:r>
      <w:r w:rsidR="003C419F">
        <w:rPr>
          <w:rFonts w:ascii="Times New Roman" w:hAnsi="Times New Roman" w:cs="Times New Roman"/>
          <w:sz w:val="24"/>
          <w:szCs w:val="24"/>
        </w:rPr>
        <w:t xml:space="preserve">its </w:t>
      </w:r>
      <w:r w:rsidRPr="006B7217">
        <w:rPr>
          <w:rFonts w:ascii="Times New Roman" w:hAnsi="Times New Roman" w:cs="Times New Roman"/>
          <w:sz w:val="24"/>
          <w:szCs w:val="24"/>
        </w:rPr>
        <w:t>behalf fits chameleonic changing of colou</w:t>
      </w:r>
      <w:r w:rsidR="003C419F">
        <w:rPr>
          <w:rFonts w:ascii="Times New Roman" w:hAnsi="Times New Roman" w:cs="Times New Roman"/>
          <w:sz w:val="24"/>
          <w:szCs w:val="24"/>
        </w:rPr>
        <w:t>r where the first defendant makes</w:t>
      </w:r>
      <w:r w:rsidRPr="006B7217">
        <w:rPr>
          <w:rFonts w:ascii="Times New Roman" w:hAnsi="Times New Roman" w:cs="Times New Roman"/>
          <w:sz w:val="24"/>
          <w:szCs w:val="24"/>
        </w:rPr>
        <w:t xml:space="preserve"> a total detour of testimony</w:t>
      </w:r>
      <w:r w:rsidR="003C419F">
        <w:rPr>
          <w:rFonts w:ascii="Times New Roman" w:hAnsi="Times New Roman" w:cs="Times New Roman"/>
          <w:sz w:val="24"/>
          <w:szCs w:val="24"/>
        </w:rPr>
        <w:t xml:space="preserve"> parallel and totally divorced</w:t>
      </w:r>
      <w:r w:rsidRPr="006B7217">
        <w:rPr>
          <w:rFonts w:ascii="Times New Roman" w:hAnsi="Times New Roman" w:cs="Times New Roman"/>
          <w:sz w:val="24"/>
          <w:szCs w:val="24"/>
        </w:rPr>
        <w:t xml:space="preserve"> from the ple</w:t>
      </w:r>
      <w:r w:rsidR="003C419F">
        <w:rPr>
          <w:rFonts w:ascii="Times New Roman" w:hAnsi="Times New Roman" w:cs="Times New Roman"/>
          <w:sz w:val="24"/>
          <w:szCs w:val="24"/>
        </w:rPr>
        <w:t>adings. First defendant made a u</w:t>
      </w:r>
      <w:r w:rsidRPr="006B7217">
        <w:rPr>
          <w:rFonts w:ascii="Times New Roman" w:hAnsi="Times New Roman" w:cs="Times New Roman"/>
          <w:sz w:val="24"/>
          <w:szCs w:val="24"/>
        </w:rPr>
        <w:t xml:space="preserve">-turn and then admitted that all that its agents did in the negotiations of the agreement of sale, receipt of payment of the purchase price and drafting of all letters, mails and copies of the written agreement of sale, first defendant did so in its capacity as second defendant’s agent. The ultimate conclusion by the second defendant to its role as an agent buttressed and solidified plaintiff’s declaration and cause in the sense that </w:t>
      </w:r>
      <w:r w:rsidR="003C419F">
        <w:rPr>
          <w:rFonts w:ascii="Times New Roman" w:hAnsi="Times New Roman" w:cs="Times New Roman"/>
          <w:sz w:val="24"/>
          <w:szCs w:val="24"/>
        </w:rPr>
        <w:t xml:space="preserve">the </w:t>
      </w:r>
      <w:r w:rsidRPr="006B7217">
        <w:rPr>
          <w:rFonts w:ascii="Times New Roman" w:hAnsi="Times New Roman" w:cs="Times New Roman"/>
          <w:sz w:val="24"/>
          <w:szCs w:val="24"/>
        </w:rPr>
        <w:t>followi</w:t>
      </w:r>
      <w:r w:rsidR="000D7608">
        <w:rPr>
          <w:rFonts w:ascii="Times New Roman" w:hAnsi="Times New Roman" w:cs="Times New Roman"/>
          <w:sz w:val="24"/>
          <w:szCs w:val="24"/>
        </w:rPr>
        <w:t>ng crystallised as common cause:-</w:t>
      </w:r>
      <w:r w:rsidRPr="006B7217">
        <w:rPr>
          <w:rFonts w:ascii="Times New Roman" w:hAnsi="Times New Roman" w:cs="Times New Roman"/>
          <w:sz w:val="24"/>
          <w:szCs w:val="24"/>
        </w:rPr>
        <w:t xml:space="preserve">  </w:t>
      </w:r>
    </w:p>
    <w:p w:rsidR="006B7217" w:rsidRPr="006B7217" w:rsidRDefault="006B7217" w:rsidP="006B7217">
      <w:pPr>
        <w:spacing w:after="0" w:line="360" w:lineRule="auto"/>
        <w:jc w:val="both"/>
        <w:rPr>
          <w:rFonts w:ascii="Times New Roman" w:hAnsi="Times New Roman" w:cs="Times New Roman"/>
          <w:sz w:val="24"/>
          <w:szCs w:val="24"/>
        </w:rPr>
      </w:pPr>
    </w:p>
    <w:p w:rsidR="006B7217" w:rsidRPr="006B7217" w:rsidRDefault="006B7217" w:rsidP="006B7217">
      <w:pPr>
        <w:numPr>
          <w:ilvl w:val="0"/>
          <w:numId w:val="29"/>
        </w:numPr>
        <w:spacing w:after="0" w:line="360" w:lineRule="auto"/>
        <w:contextualSpacing/>
        <w:jc w:val="both"/>
        <w:rPr>
          <w:rFonts w:ascii="Times New Roman" w:hAnsi="Times New Roman" w:cs="Times New Roman"/>
          <w:sz w:val="24"/>
          <w:szCs w:val="24"/>
        </w:rPr>
      </w:pPr>
      <w:r w:rsidRPr="006B7217">
        <w:rPr>
          <w:rFonts w:ascii="Times New Roman" w:hAnsi="Times New Roman" w:cs="Times New Roman"/>
          <w:sz w:val="24"/>
          <w:szCs w:val="24"/>
        </w:rPr>
        <w:t>Messrs Gill Godlonton and Gerrans Legal Practitioners representing first defendant prepared an agreement of sale between first defendant and plaintiff.</w:t>
      </w:r>
    </w:p>
    <w:p w:rsidR="006B7217" w:rsidRPr="006B7217" w:rsidRDefault="006B7217" w:rsidP="006B7217">
      <w:pPr>
        <w:numPr>
          <w:ilvl w:val="0"/>
          <w:numId w:val="29"/>
        </w:numPr>
        <w:spacing w:after="0" w:line="360" w:lineRule="auto"/>
        <w:contextualSpacing/>
        <w:jc w:val="both"/>
        <w:rPr>
          <w:rFonts w:ascii="Times New Roman" w:hAnsi="Times New Roman" w:cs="Times New Roman"/>
          <w:sz w:val="24"/>
          <w:szCs w:val="24"/>
        </w:rPr>
      </w:pPr>
      <w:r w:rsidRPr="006B7217">
        <w:rPr>
          <w:rFonts w:ascii="Times New Roman" w:hAnsi="Times New Roman" w:cs="Times New Roman"/>
          <w:sz w:val="24"/>
          <w:szCs w:val="24"/>
        </w:rPr>
        <w:t>The agreement of sale relates to a definite immovable property being stand 2427A Umtali Township measuring 1364m</w:t>
      </w:r>
      <w:r w:rsidRPr="006B7217">
        <w:rPr>
          <w:rFonts w:ascii="Times New Roman" w:hAnsi="Times New Roman" w:cs="Times New Roman"/>
          <w:sz w:val="24"/>
          <w:szCs w:val="24"/>
          <w:vertAlign w:val="superscript"/>
        </w:rPr>
        <w:t>2</w:t>
      </w:r>
      <w:r w:rsidRPr="006B7217">
        <w:rPr>
          <w:rFonts w:ascii="Times New Roman" w:hAnsi="Times New Roman" w:cs="Times New Roman"/>
          <w:sz w:val="24"/>
          <w:szCs w:val="24"/>
          <w:vertAlign w:val="subscript"/>
        </w:rPr>
        <w:t xml:space="preserve"> </w:t>
      </w:r>
      <w:r w:rsidRPr="006B7217">
        <w:rPr>
          <w:rFonts w:ascii="Times New Roman" w:hAnsi="Times New Roman" w:cs="Times New Roman"/>
          <w:sz w:val="24"/>
          <w:szCs w:val="24"/>
        </w:rPr>
        <w:t xml:space="preserve">and of a specific purchase price expressed in money being US$80 000 payable within a specified period of time. </w:t>
      </w:r>
    </w:p>
    <w:p w:rsidR="006B7217" w:rsidRPr="006B7217" w:rsidRDefault="006B7217" w:rsidP="006B7217">
      <w:pPr>
        <w:numPr>
          <w:ilvl w:val="0"/>
          <w:numId w:val="29"/>
        </w:numPr>
        <w:spacing w:after="0" w:line="360" w:lineRule="auto"/>
        <w:contextualSpacing/>
        <w:jc w:val="both"/>
        <w:rPr>
          <w:rFonts w:ascii="Times New Roman" w:hAnsi="Times New Roman" w:cs="Times New Roman"/>
          <w:sz w:val="24"/>
          <w:szCs w:val="24"/>
        </w:rPr>
      </w:pPr>
      <w:r w:rsidRPr="006B7217">
        <w:rPr>
          <w:rFonts w:ascii="Times New Roman" w:hAnsi="Times New Roman" w:cs="Times New Roman"/>
          <w:sz w:val="24"/>
          <w:szCs w:val="24"/>
        </w:rPr>
        <w:t xml:space="preserve">In </w:t>
      </w:r>
      <w:r w:rsidRPr="003C419F">
        <w:rPr>
          <w:rFonts w:ascii="Times New Roman" w:hAnsi="Times New Roman" w:cs="Times New Roman"/>
          <w:i/>
          <w:sz w:val="24"/>
          <w:szCs w:val="24"/>
        </w:rPr>
        <w:t>lieu</w:t>
      </w:r>
      <w:r w:rsidRPr="006B7217">
        <w:rPr>
          <w:rFonts w:ascii="Times New Roman" w:hAnsi="Times New Roman" w:cs="Times New Roman"/>
          <w:sz w:val="24"/>
          <w:szCs w:val="24"/>
        </w:rPr>
        <w:t xml:space="preserve"> of the agreement of sale, plaintiff made payments through the seller’s lawyers albeit in staggering instalments.</w:t>
      </w:r>
    </w:p>
    <w:p w:rsidR="006B7217" w:rsidRPr="006B7217" w:rsidRDefault="003C419F" w:rsidP="006B7217">
      <w:pPr>
        <w:numPr>
          <w:ilvl w:val="0"/>
          <w:numId w:val="29"/>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During the </w:t>
      </w:r>
      <w:r w:rsidR="000D7608">
        <w:rPr>
          <w:rFonts w:ascii="Times New Roman" w:hAnsi="Times New Roman" w:cs="Times New Roman"/>
          <w:sz w:val="24"/>
          <w:szCs w:val="24"/>
        </w:rPr>
        <w:t>tenancy</w:t>
      </w:r>
      <w:r w:rsidR="006B7217" w:rsidRPr="006B7217">
        <w:rPr>
          <w:rFonts w:ascii="Times New Roman" w:hAnsi="Times New Roman" w:cs="Times New Roman"/>
          <w:sz w:val="24"/>
          <w:szCs w:val="24"/>
        </w:rPr>
        <w:t xml:space="preserve"> of payment plaintiff experienced some financial challenges and engaged first and second defendants for extension of time for payment and was granted till plaintiff fully paid the purchase price in 2009 and immediately stopped paying rentals. </w:t>
      </w:r>
    </w:p>
    <w:p w:rsidR="006B7217" w:rsidRDefault="006B7217" w:rsidP="006B7217">
      <w:pPr>
        <w:spacing w:after="0" w:line="360" w:lineRule="auto"/>
        <w:ind w:firstLine="720"/>
        <w:jc w:val="both"/>
        <w:rPr>
          <w:rFonts w:ascii="Times New Roman" w:hAnsi="Times New Roman" w:cs="Times New Roman"/>
          <w:sz w:val="24"/>
          <w:szCs w:val="24"/>
        </w:rPr>
      </w:pPr>
      <w:r w:rsidRPr="006B7217">
        <w:rPr>
          <w:rFonts w:ascii="Times New Roman" w:hAnsi="Times New Roman" w:cs="Times New Roman"/>
          <w:sz w:val="24"/>
          <w:szCs w:val="24"/>
        </w:rPr>
        <w:t xml:space="preserve">The evidence and facts on record show that the agreement of sale was prepared by first defendant </w:t>
      </w:r>
      <w:r w:rsidR="0056036F">
        <w:rPr>
          <w:rFonts w:ascii="Times New Roman" w:hAnsi="Times New Roman" w:cs="Times New Roman"/>
          <w:sz w:val="24"/>
          <w:szCs w:val="24"/>
        </w:rPr>
        <w:t xml:space="preserve">and </w:t>
      </w:r>
      <w:r w:rsidRPr="006B7217">
        <w:rPr>
          <w:rFonts w:ascii="Times New Roman" w:hAnsi="Times New Roman" w:cs="Times New Roman"/>
          <w:sz w:val="24"/>
          <w:szCs w:val="24"/>
        </w:rPr>
        <w:t>based on it payments were made and first defendant regularly alluded to the “agreed terms for payment in its evidence which agreed terms dates were spelt out in the written  agreement of sale. This is the same agreement of sale which first defendant repeatedly refers to as cancelled.” A party cannot allude to cancellation of an agreement of sale which never existed. The written agreement of sale provided and captured the clear description of the prope</w:t>
      </w:r>
      <w:r w:rsidR="0056036F">
        <w:rPr>
          <w:rFonts w:ascii="Times New Roman" w:hAnsi="Times New Roman" w:cs="Times New Roman"/>
          <w:sz w:val="24"/>
          <w:szCs w:val="24"/>
        </w:rPr>
        <w:t>rty and its loca</w:t>
      </w:r>
      <w:r w:rsidRPr="006B7217">
        <w:rPr>
          <w:rFonts w:ascii="Times New Roman" w:hAnsi="Times New Roman" w:cs="Times New Roman"/>
          <w:sz w:val="24"/>
          <w:szCs w:val="24"/>
        </w:rPr>
        <w:t xml:space="preserve">tion, the agreement identified the parties, the purchase price and methods of payment and place of payment. The same agreement provided the issues of notices, passing of risk, date of </w:t>
      </w:r>
      <w:r w:rsidR="0056036F">
        <w:rPr>
          <w:rFonts w:ascii="Times New Roman" w:hAnsi="Times New Roman" w:cs="Times New Roman"/>
          <w:sz w:val="24"/>
          <w:szCs w:val="24"/>
        </w:rPr>
        <w:t xml:space="preserve">occupation, transfer and costs </w:t>
      </w:r>
      <w:r w:rsidRPr="006B7217">
        <w:rPr>
          <w:rFonts w:ascii="Times New Roman" w:hAnsi="Times New Roman" w:cs="Times New Roman"/>
          <w:sz w:val="24"/>
          <w:szCs w:val="24"/>
        </w:rPr>
        <w:t xml:space="preserve">as well as breach and rights of the parties in the event of such breach. Correspondences between first defendant and plaintiff patently alluded to the agreement of sale and terms specified therein. In carrying out its obligations plaintiff requested for extensions of deadline dates provided from the terms of the agreement of sale. The allegations of breach by the first defendant are based on dates deadline agreed upon by the </w:t>
      </w:r>
      <w:r w:rsidRPr="006B7217">
        <w:rPr>
          <w:rFonts w:ascii="Times New Roman" w:hAnsi="Times New Roman" w:cs="Times New Roman"/>
          <w:sz w:val="24"/>
          <w:szCs w:val="24"/>
        </w:rPr>
        <w:lastRenderedPageBreak/>
        <w:t>parties and recorded in that agreement. The extensions were laid on the foundations of dates agreed upon by the parties privy to the agreement of sale. For first defendant to submit that there was never an agreement of sal</w:t>
      </w:r>
      <w:r w:rsidR="0056036F">
        <w:rPr>
          <w:rFonts w:ascii="Times New Roman" w:hAnsi="Times New Roman" w:cs="Times New Roman"/>
          <w:sz w:val="24"/>
          <w:szCs w:val="24"/>
        </w:rPr>
        <w:t>e is but to say the least absurd</w:t>
      </w:r>
      <w:r w:rsidRPr="006B7217">
        <w:rPr>
          <w:rFonts w:ascii="Times New Roman" w:hAnsi="Times New Roman" w:cs="Times New Roman"/>
          <w:sz w:val="24"/>
          <w:szCs w:val="24"/>
        </w:rPr>
        <w:t xml:space="preserve"> given the facts of this matter. I come to a conclusion that given the sudden changes of the course of first defendant’s defence in its evidence in chief where it unreservedly conceded and presented in its oral evidence that it was second defendant’s agent, a valid agreement of sale was concluded where second defendant represented by first defendant sold stand 2427A Umtali Township Mutare to the plaintiff for US$80 000. Later the agreement was varied from a cash sale agreement to become an instalment sale. In pursuance of the varied agreement of sale plaintiff paid the whole purchase price in 2009 and stopped paying rentals. After payment of the full purchase price, plaintiff demanded transfer. Hence from the foregoing I have come to a conclusion that there was a valid agreement of sale.</w:t>
      </w:r>
    </w:p>
    <w:p w:rsidR="003A532A" w:rsidRPr="006B7217" w:rsidRDefault="003A532A" w:rsidP="006B7217">
      <w:pPr>
        <w:spacing w:after="0" w:line="360" w:lineRule="auto"/>
        <w:ind w:firstLine="720"/>
        <w:jc w:val="both"/>
        <w:rPr>
          <w:rFonts w:ascii="Times New Roman" w:hAnsi="Times New Roman" w:cs="Times New Roman"/>
          <w:sz w:val="24"/>
          <w:szCs w:val="24"/>
        </w:rPr>
      </w:pPr>
    </w:p>
    <w:p w:rsidR="006B7217" w:rsidRPr="00846DF9" w:rsidRDefault="006B7217" w:rsidP="003A532A">
      <w:pPr>
        <w:spacing w:after="0" w:line="360" w:lineRule="auto"/>
        <w:jc w:val="both"/>
        <w:rPr>
          <w:rFonts w:ascii="Times New Roman" w:hAnsi="Times New Roman" w:cs="Times New Roman"/>
          <w:b/>
          <w:i/>
          <w:sz w:val="24"/>
          <w:szCs w:val="24"/>
          <w:u w:val="single"/>
        </w:rPr>
      </w:pPr>
      <w:r w:rsidRPr="00846DF9">
        <w:rPr>
          <w:rFonts w:ascii="Times New Roman" w:hAnsi="Times New Roman" w:cs="Times New Roman"/>
          <w:b/>
          <w:i/>
          <w:sz w:val="24"/>
          <w:szCs w:val="24"/>
          <w:u w:val="single"/>
        </w:rPr>
        <w:t>The next question is whether the agreement of sale between second defendant and third defendant was tainted with fraud?</w:t>
      </w:r>
    </w:p>
    <w:p w:rsidR="006B7217" w:rsidRPr="006B7217" w:rsidRDefault="006B7217" w:rsidP="006B7217">
      <w:pPr>
        <w:spacing w:after="0" w:line="360" w:lineRule="auto"/>
        <w:ind w:firstLine="720"/>
        <w:jc w:val="both"/>
        <w:rPr>
          <w:rFonts w:ascii="Times New Roman" w:hAnsi="Times New Roman" w:cs="Times New Roman"/>
          <w:sz w:val="24"/>
          <w:szCs w:val="24"/>
        </w:rPr>
      </w:pPr>
      <w:r w:rsidRPr="006B7217">
        <w:rPr>
          <w:rFonts w:ascii="Times New Roman" w:hAnsi="Times New Roman" w:cs="Times New Roman"/>
          <w:sz w:val="24"/>
          <w:szCs w:val="24"/>
        </w:rPr>
        <w:t>On 3 July 2009 Mrs Beryl Howie Drury (second defend</w:t>
      </w:r>
      <w:r w:rsidR="006C5CF3">
        <w:rPr>
          <w:rFonts w:ascii="Times New Roman" w:hAnsi="Times New Roman" w:cs="Times New Roman"/>
          <w:sz w:val="24"/>
          <w:szCs w:val="24"/>
        </w:rPr>
        <w:t xml:space="preserve">ant) represented by Mr </w:t>
      </w:r>
      <w:r w:rsidR="006C5CF3" w:rsidRPr="006C5CF3">
        <w:rPr>
          <w:rFonts w:ascii="Times New Roman" w:hAnsi="Times New Roman" w:cs="Times New Roman"/>
          <w:i/>
          <w:sz w:val="24"/>
          <w:szCs w:val="24"/>
        </w:rPr>
        <w:t>R. D Stoni</w:t>
      </w:r>
      <w:r w:rsidRPr="006C5CF3">
        <w:rPr>
          <w:rFonts w:ascii="Times New Roman" w:hAnsi="Times New Roman" w:cs="Times New Roman"/>
          <w:i/>
          <w:sz w:val="24"/>
          <w:szCs w:val="24"/>
        </w:rPr>
        <w:t>er</w:t>
      </w:r>
      <w:r w:rsidRPr="006B7217">
        <w:rPr>
          <w:rFonts w:ascii="Times New Roman" w:hAnsi="Times New Roman" w:cs="Times New Roman"/>
          <w:sz w:val="24"/>
          <w:szCs w:val="24"/>
        </w:rPr>
        <w:t xml:space="preserve"> entered an agreement of sale with third defendant represented by Mr Edm</w:t>
      </w:r>
      <w:r w:rsidR="006C5CF3">
        <w:rPr>
          <w:rFonts w:ascii="Times New Roman" w:hAnsi="Times New Roman" w:cs="Times New Roman"/>
          <w:sz w:val="24"/>
          <w:szCs w:val="24"/>
        </w:rPr>
        <w:t>o</w:t>
      </w:r>
      <w:r w:rsidR="0056036F">
        <w:rPr>
          <w:rFonts w:ascii="Times New Roman" w:hAnsi="Times New Roman" w:cs="Times New Roman"/>
          <w:sz w:val="24"/>
          <w:szCs w:val="24"/>
        </w:rPr>
        <w:t>re Samson</w:t>
      </w:r>
      <w:r w:rsidRPr="006B7217">
        <w:rPr>
          <w:rFonts w:ascii="Times New Roman" w:hAnsi="Times New Roman" w:cs="Times New Roman"/>
          <w:sz w:val="24"/>
          <w:szCs w:val="24"/>
        </w:rPr>
        <w:t xml:space="preserve">, which agreement relates to the property in dispute ( pp 8-11 of third defendant’s bundles) exh C. the first agreement of sale was between first defendant and plaintiff. It is common cause that neither </w:t>
      </w:r>
      <w:r w:rsidR="006C5CF3">
        <w:rPr>
          <w:rFonts w:ascii="Times New Roman" w:hAnsi="Times New Roman" w:cs="Times New Roman"/>
          <w:sz w:val="24"/>
          <w:szCs w:val="24"/>
        </w:rPr>
        <w:t xml:space="preserve">second defendant nor Mr </w:t>
      </w:r>
      <w:r w:rsidR="006C5CF3" w:rsidRPr="006C5CF3">
        <w:rPr>
          <w:rFonts w:ascii="Times New Roman" w:hAnsi="Times New Roman" w:cs="Times New Roman"/>
          <w:i/>
          <w:sz w:val="24"/>
          <w:szCs w:val="24"/>
        </w:rPr>
        <w:t>R D Stoni</w:t>
      </w:r>
      <w:r w:rsidRPr="006C5CF3">
        <w:rPr>
          <w:rFonts w:ascii="Times New Roman" w:hAnsi="Times New Roman" w:cs="Times New Roman"/>
          <w:i/>
          <w:sz w:val="24"/>
          <w:szCs w:val="24"/>
        </w:rPr>
        <w:t>er</w:t>
      </w:r>
      <w:r w:rsidRPr="006B7217">
        <w:rPr>
          <w:rFonts w:ascii="Times New Roman" w:hAnsi="Times New Roman" w:cs="Times New Roman"/>
          <w:sz w:val="24"/>
          <w:szCs w:val="24"/>
        </w:rPr>
        <w:t xml:space="preserve"> was part of the original agreement. Second defendant besides being first defendant’s principal </w:t>
      </w:r>
      <w:r w:rsidRPr="006B7217">
        <w:rPr>
          <w:rFonts w:ascii="Times New Roman" w:hAnsi="Times New Roman" w:cs="Times New Roman"/>
          <w:i/>
          <w:sz w:val="24"/>
          <w:szCs w:val="24"/>
        </w:rPr>
        <w:t>vis-à-vis</w:t>
      </w:r>
      <w:r w:rsidRPr="006B7217">
        <w:rPr>
          <w:rFonts w:ascii="Times New Roman" w:hAnsi="Times New Roman" w:cs="Times New Roman"/>
          <w:sz w:val="24"/>
          <w:szCs w:val="24"/>
        </w:rPr>
        <w:t xml:space="preserve"> the first agreement of sale, did not personally mak</w:t>
      </w:r>
      <w:r w:rsidR="0056036F">
        <w:rPr>
          <w:rFonts w:ascii="Times New Roman" w:hAnsi="Times New Roman" w:cs="Times New Roman"/>
          <w:sz w:val="24"/>
          <w:szCs w:val="24"/>
        </w:rPr>
        <w:t>e any representations which culmina</w:t>
      </w:r>
      <w:r w:rsidRPr="006B7217">
        <w:rPr>
          <w:rFonts w:ascii="Times New Roman" w:hAnsi="Times New Roman" w:cs="Times New Roman"/>
          <w:sz w:val="24"/>
          <w:szCs w:val="24"/>
        </w:rPr>
        <w:t>ted in the formation of the contract between first defendant and plaintiff. The second agreement was made after first defendant had advised second defendant’s legal practitioners that plaintiff had breached terms of the first agreement and that that agreement of sale had been terminated. That representation by the first defendant cannot be visited upon the second defendant nor her legal practitioner. I do not see any elements of misrepresentation made by the sell</w:t>
      </w:r>
      <w:r w:rsidR="0056036F">
        <w:rPr>
          <w:rFonts w:ascii="Times New Roman" w:hAnsi="Times New Roman" w:cs="Times New Roman"/>
          <w:sz w:val="24"/>
          <w:szCs w:val="24"/>
        </w:rPr>
        <w:t>er to the third defendant and am</w:t>
      </w:r>
      <w:r w:rsidRPr="006B7217">
        <w:rPr>
          <w:rFonts w:ascii="Times New Roman" w:hAnsi="Times New Roman" w:cs="Times New Roman"/>
          <w:sz w:val="24"/>
          <w:szCs w:val="24"/>
        </w:rPr>
        <w:t xml:space="preserve"> unable </w:t>
      </w:r>
      <w:r w:rsidR="0056036F" w:rsidRPr="006B7217">
        <w:rPr>
          <w:rFonts w:ascii="Times New Roman" w:hAnsi="Times New Roman" w:cs="Times New Roman"/>
          <w:sz w:val="24"/>
          <w:szCs w:val="24"/>
        </w:rPr>
        <w:t>to even</w:t>
      </w:r>
      <w:r w:rsidRPr="006B7217">
        <w:rPr>
          <w:rFonts w:ascii="Times New Roman" w:hAnsi="Times New Roman" w:cs="Times New Roman"/>
          <w:sz w:val="24"/>
          <w:szCs w:val="24"/>
        </w:rPr>
        <w:t xml:space="preserve"> </w:t>
      </w:r>
      <w:r w:rsidR="0056036F">
        <w:rPr>
          <w:rFonts w:ascii="Times New Roman" w:hAnsi="Times New Roman" w:cs="Times New Roman"/>
          <w:sz w:val="24"/>
          <w:szCs w:val="24"/>
        </w:rPr>
        <w:t xml:space="preserve">find </w:t>
      </w:r>
      <w:r w:rsidRPr="006B7217">
        <w:rPr>
          <w:rFonts w:ascii="Times New Roman" w:hAnsi="Times New Roman" w:cs="Times New Roman"/>
          <w:sz w:val="24"/>
          <w:szCs w:val="24"/>
        </w:rPr>
        <w:t>the second agreement of sale between second and third defendant fraudulent. The best that can be said about that agreement is that it was a second sale. As a result I have come to a conclusion that the cou</w:t>
      </w:r>
      <w:r w:rsidR="0056036F">
        <w:rPr>
          <w:rFonts w:ascii="Times New Roman" w:hAnsi="Times New Roman" w:cs="Times New Roman"/>
          <w:sz w:val="24"/>
          <w:szCs w:val="24"/>
        </w:rPr>
        <w:t>rt is dealing with a typical ca</w:t>
      </w:r>
      <w:r w:rsidRPr="006B7217">
        <w:rPr>
          <w:rFonts w:ascii="Times New Roman" w:hAnsi="Times New Roman" w:cs="Times New Roman"/>
          <w:sz w:val="24"/>
          <w:szCs w:val="24"/>
        </w:rPr>
        <w:t>se of a double sale.</w:t>
      </w:r>
    </w:p>
    <w:p w:rsidR="006B7217" w:rsidRDefault="006B7217" w:rsidP="006B7217">
      <w:pPr>
        <w:spacing w:after="0" w:line="360" w:lineRule="auto"/>
        <w:jc w:val="both"/>
        <w:rPr>
          <w:rFonts w:ascii="Times New Roman" w:hAnsi="Times New Roman" w:cs="Times New Roman"/>
          <w:sz w:val="24"/>
          <w:szCs w:val="24"/>
        </w:rPr>
      </w:pPr>
    </w:p>
    <w:p w:rsidR="003A532A" w:rsidRDefault="003A532A" w:rsidP="006B7217">
      <w:pPr>
        <w:spacing w:after="0" w:line="360" w:lineRule="auto"/>
        <w:jc w:val="both"/>
        <w:rPr>
          <w:rFonts w:ascii="Times New Roman" w:hAnsi="Times New Roman" w:cs="Times New Roman"/>
          <w:sz w:val="24"/>
          <w:szCs w:val="24"/>
        </w:rPr>
      </w:pPr>
    </w:p>
    <w:p w:rsidR="003A532A" w:rsidRPr="006B7217" w:rsidRDefault="003A532A" w:rsidP="006B7217">
      <w:pPr>
        <w:spacing w:after="0" w:line="360" w:lineRule="auto"/>
        <w:jc w:val="both"/>
        <w:rPr>
          <w:rFonts w:ascii="Times New Roman" w:hAnsi="Times New Roman" w:cs="Times New Roman"/>
          <w:sz w:val="24"/>
          <w:szCs w:val="24"/>
        </w:rPr>
      </w:pPr>
    </w:p>
    <w:p w:rsidR="006B7217" w:rsidRPr="00846DF9" w:rsidRDefault="006B7217" w:rsidP="006B7217">
      <w:pPr>
        <w:spacing w:after="0" w:line="360" w:lineRule="auto"/>
        <w:jc w:val="both"/>
        <w:rPr>
          <w:rFonts w:ascii="Times New Roman" w:hAnsi="Times New Roman" w:cs="Times New Roman"/>
          <w:b/>
          <w:i/>
          <w:sz w:val="24"/>
          <w:szCs w:val="24"/>
          <w:u w:val="single"/>
        </w:rPr>
      </w:pPr>
      <w:r w:rsidRPr="00846DF9">
        <w:rPr>
          <w:rFonts w:ascii="Times New Roman" w:hAnsi="Times New Roman" w:cs="Times New Roman"/>
          <w:b/>
          <w:i/>
          <w:sz w:val="24"/>
          <w:szCs w:val="24"/>
          <w:u w:val="single"/>
        </w:rPr>
        <w:lastRenderedPageBreak/>
        <w:t xml:space="preserve">Was there a valid cancelation of the first agreement of sale? </w:t>
      </w:r>
    </w:p>
    <w:p w:rsidR="006B7217" w:rsidRPr="006B7217" w:rsidRDefault="006B7217" w:rsidP="006B7217">
      <w:pPr>
        <w:spacing w:after="0" w:line="360" w:lineRule="auto"/>
        <w:jc w:val="both"/>
        <w:rPr>
          <w:rFonts w:ascii="Times New Roman" w:hAnsi="Times New Roman" w:cs="Times New Roman"/>
          <w:sz w:val="24"/>
          <w:szCs w:val="24"/>
        </w:rPr>
      </w:pPr>
      <w:r w:rsidRPr="006B7217">
        <w:rPr>
          <w:rFonts w:ascii="Times New Roman" w:hAnsi="Times New Roman" w:cs="Times New Roman"/>
          <w:sz w:val="24"/>
          <w:szCs w:val="24"/>
        </w:rPr>
        <w:tab/>
        <w:t>First defendant in its pleadings contend and submit that after plaintiff tottered in its payments of the purchase price, first defendant allegedly in consultation with second defendant notified plaintiff about the cancellation of the agreement of sale. First defendant alluded to e-mails written to Mr Samson about the cancelation. On the other hand plaintiff to the contrary contended that no notice for cancelation was brought to it</w:t>
      </w:r>
      <w:r w:rsidR="00697515">
        <w:rPr>
          <w:rFonts w:ascii="Times New Roman" w:hAnsi="Times New Roman" w:cs="Times New Roman"/>
          <w:sz w:val="24"/>
          <w:szCs w:val="24"/>
        </w:rPr>
        <w:t>s</w:t>
      </w:r>
      <w:r w:rsidRPr="006B7217">
        <w:rPr>
          <w:rFonts w:ascii="Times New Roman" w:hAnsi="Times New Roman" w:cs="Times New Roman"/>
          <w:sz w:val="24"/>
          <w:szCs w:val="24"/>
        </w:rPr>
        <w:t xml:space="preserve"> attention. It was never informed to stop making payments in fulfilment of the purchase price. It is trite that cancelation is governed by the written agreement between first defendant and plaintiff. First defendant’s witness conceded during cross-examination by plaintiff’s counsel that the agreement of sale binds the parties and clause 10 of that agreement of sale reads as follows: </w:t>
      </w:r>
    </w:p>
    <w:p w:rsidR="006B7217" w:rsidRPr="006B7217" w:rsidRDefault="006B7217" w:rsidP="006B7217">
      <w:pPr>
        <w:spacing w:after="0" w:line="240" w:lineRule="auto"/>
        <w:jc w:val="both"/>
        <w:rPr>
          <w:rFonts w:ascii="Times New Roman" w:hAnsi="Times New Roman" w:cs="Times New Roman"/>
          <w:szCs w:val="24"/>
        </w:rPr>
      </w:pPr>
      <w:r w:rsidRPr="006B7217">
        <w:rPr>
          <w:rFonts w:ascii="Times New Roman" w:hAnsi="Times New Roman" w:cs="Times New Roman"/>
          <w:sz w:val="24"/>
          <w:szCs w:val="24"/>
        </w:rPr>
        <w:tab/>
      </w:r>
      <w:r w:rsidRPr="006B7217">
        <w:rPr>
          <w:rFonts w:ascii="Times New Roman" w:hAnsi="Times New Roman" w:cs="Times New Roman"/>
          <w:szCs w:val="24"/>
        </w:rPr>
        <w:t>“10. DEFAULT OF PARTIES</w:t>
      </w:r>
    </w:p>
    <w:p w:rsidR="006B7217" w:rsidRPr="006B7217" w:rsidRDefault="006B7217" w:rsidP="006B7217">
      <w:pPr>
        <w:spacing w:after="0" w:line="240" w:lineRule="auto"/>
        <w:jc w:val="both"/>
        <w:rPr>
          <w:rFonts w:ascii="Times New Roman" w:hAnsi="Times New Roman" w:cs="Times New Roman"/>
          <w:szCs w:val="24"/>
        </w:rPr>
      </w:pPr>
      <w:r w:rsidRPr="006B7217">
        <w:rPr>
          <w:rFonts w:ascii="Times New Roman" w:hAnsi="Times New Roman" w:cs="Times New Roman"/>
          <w:szCs w:val="24"/>
        </w:rPr>
        <w:tab/>
      </w:r>
    </w:p>
    <w:p w:rsidR="006B7217" w:rsidRPr="006B7217" w:rsidRDefault="00094436" w:rsidP="006B7217">
      <w:pPr>
        <w:spacing w:after="0" w:line="240" w:lineRule="auto"/>
        <w:ind w:left="720"/>
        <w:jc w:val="both"/>
        <w:rPr>
          <w:rFonts w:ascii="Times New Roman" w:hAnsi="Times New Roman" w:cs="Times New Roman"/>
          <w:sz w:val="24"/>
          <w:szCs w:val="24"/>
        </w:rPr>
      </w:pPr>
      <w:r>
        <w:rPr>
          <w:rFonts w:ascii="Times New Roman" w:hAnsi="Times New Roman" w:cs="Times New Roman"/>
          <w:szCs w:val="24"/>
        </w:rPr>
        <w:t>In the event of ei</w:t>
      </w:r>
      <w:r w:rsidR="006B7217" w:rsidRPr="006B7217">
        <w:rPr>
          <w:rFonts w:ascii="Times New Roman" w:hAnsi="Times New Roman" w:cs="Times New Roman"/>
          <w:szCs w:val="24"/>
        </w:rPr>
        <w:t>ther party failing to sign any document or fulfil any other of its obligations under this agreemen</w:t>
      </w:r>
      <w:r>
        <w:rPr>
          <w:rFonts w:ascii="Times New Roman" w:hAnsi="Times New Roman" w:cs="Times New Roman"/>
          <w:szCs w:val="24"/>
        </w:rPr>
        <w:t>t within 14 (fourteen</w:t>
      </w:r>
      <w:r w:rsidR="00846DF9">
        <w:rPr>
          <w:rFonts w:ascii="Times New Roman" w:hAnsi="Times New Roman" w:cs="Times New Roman"/>
          <w:szCs w:val="24"/>
        </w:rPr>
        <w:t>)</w:t>
      </w:r>
      <w:r>
        <w:rPr>
          <w:rFonts w:ascii="Times New Roman" w:hAnsi="Times New Roman" w:cs="Times New Roman"/>
          <w:szCs w:val="24"/>
        </w:rPr>
        <w:t xml:space="preserve"> days of </w:t>
      </w:r>
      <w:r w:rsidR="006B7217" w:rsidRPr="006B7217">
        <w:rPr>
          <w:rFonts w:ascii="Times New Roman" w:hAnsi="Times New Roman" w:cs="Times New Roman"/>
          <w:szCs w:val="24"/>
        </w:rPr>
        <w:t xml:space="preserve">being required so to do by the said conveyancers then such party shall automatically and without receipt of any other notice become liable to pay the other party </w:t>
      </w:r>
      <w:r w:rsidR="006B7217" w:rsidRPr="006B7217">
        <w:rPr>
          <w:rFonts w:ascii="Times New Roman" w:hAnsi="Times New Roman" w:cs="Times New Roman"/>
          <w:i/>
          <w:szCs w:val="24"/>
        </w:rPr>
        <w:t>mora</w:t>
      </w:r>
      <w:r w:rsidR="006B7217" w:rsidRPr="006B7217">
        <w:rPr>
          <w:rFonts w:ascii="Times New Roman" w:hAnsi="Times New Roman" w:cs="Times New Roman"/>
          <w:szCs w:val="24"/>
        </w:rPr>
        <w:t xml:space="preserve"> interest at the rate of 5 per cent per annum on the United States Dollar equivalent of the purchase price from the expiry of the said period of 14 (fourteen) days until the rectification of such default and, in addition such other party shall, during such period have the </w:t>
      </w:r>
      <w:r w:rsidR="006B7217" w:rsidRPr="006B7217">
        <w:rPr>
          <w:rFonts w:ascii="Times New Roman" w:hAnsi="Times New Roman" w:cs="Times New Roman"/>
          <w:szCs w:val="24"/>
          <w:u w:val="single"/>
        </w:rPr>
        <w:t>right exercisable by giving 7(seven) days notice of the intention so to do</w:t>
      </w:r>
      <w:r w:rsidR="006B7217" w:rsidRPr="006B7217">
        <w:rPr>
          <w:rFonts w:ascii="Times New Roman" w:hAnsi="Times New Roman" w:cs="Times New Roman"/>
          <w:szCs w:val="24"/>
        </w:rPr>
        <w:t xml:space="preserve"> unless such default shall be rectified d</w:t>
      </w:r>
      <w:r>
        <w:rPr>
          <w:rFonts w:ascii="Times New Roman" w:hAnsi="Times New Roman" w:cs="Times New Roman"/>
          <w:szCs w:val="24"/>
        </w:rPr>
        <w:t xml:space="preserve">uring the said period of 7days, </w:t>
      </w:r>
      <w:r w:rsidRPr="00094436">
        <w:rPr>
          <w:rFonts w:ascii="Times New Roman" w:hAnsi="Times New Roman" w:cs="Times New Roman"/>
          <w:szCs w:val="24"/>
          <w:u w:val="single"/>
        </w:rPr>
        <w:t>s</w:t>
      </w:r>
      <w:r w:rsidR="006B7217" w:rsidRPr="00094436">
        <w:rPr>
          <w:rFonts w:ascii="Times New Roman" w:hAnsi="Times New Roman" w:cs="Times New Roman"/>
          <w:szCs w:val="24"/>
          <w:u w:val="single"/>
        </w:rPr>
        <w:t>u</w:t>
      </w:r>
      <w:r w:rsidR="006B7217" w:rsidRPr="006B7217">
        <w:rPr>
          <w:rFonts w:ascii="Times New Roman" w:hAnsi="Times New Roman" w:cs="Times New Roman"/>
          <w:szCs w:val="24"/>
          <w:u w:val="single"/>
        </w:rPr>
        <w:t>mmarily to terminate this agreement</w:t>
      </w:r>
      <w:r w:rsidR="006B7217" w:rsidRPr="006B7217">
        <w:rPr>
          <w:rFonts w:ascii="Times New Roman" w:hAnsi="Times New Roman" w:cs="Times New Roman"/>
          <w:szCs w:val="24"/>
        </w:rPr>
        <w:t xml:space="preserve"> and claim for </w:t>
      </w:r>
      <w:r w:rsidR="006B7217" w:rsidRPr="006B7217">
        <w:rPr>
          <w:rFonts w:ascii="Times New Roman" w:hAnsi="Times New Roman" w:cs="Times New Roman"/>
          <w:i/>
          <w:szCs w:val="24"/>
        </w:rPr>
        <w:t>mora</w:t>
      </w:r>
      <w:r w:rsidR="006B7217" w:rsidRPr="006B7217">
        <w:rPr>
          <w:rFonts w:ascii="Times New Roman" w:hAnsi="Times New Roman" w:cs="Times New Roman"/>
          <w:szCs w:val="24"/>
        </w:rPr>
        <w:t xml:space="preserve"> interest, already accrued up to date of such termination. (my emphasis)  </w:t>
      </w:r>
      <w:r w:rsidR="006B7217" w:rsidRPr="006B7217">
        <w:rPr>
          <w:rFonts w:ascii="Times New Roman" w:hAnsi="Times New Roman" w:cs="Times New Roman"/>
          <w:sz w:val="24"/>
          <w:szCs w:val="24"/>
        </w:rPr>
        <w:t xml:space="preserve"> </w:t>
      </w:r>
    </w:p>
    <w:p w:rsidR="006B7217" w:rsidRPr="006B7217" w:rsidRDefault="006B7217" w:rsidP="006B7217">
      <w:pPr>
        <w:spacing w:after="0" w:line="360" w:lineRule="auto"/>
        <w:jc w:val="both"/>
        <w:rPr>
          <w:rFonts w:ascii="Times New Roman" w:hAnsi="Times New Roman" w:cs="Times New Roman"/>
          <w:sz w:val="24"/>
          <w:szCs w:val="24"/>
        </w:rPr>
      </w:pPr>
    </w:p>
    <w:p w:rsidR="006B7217" w:rsidRDefault="006B7217" w:rsidP="006B7217">
      <w:pPr>
        <w:spacing w:after="0" w:line="360" w:lineRule="auto"/>
        <w:jc w:val="both"/>
        <w:rPr>
          <w:rFonts w:ascii="Times New Roman" w:hAnsi="Times New Roman" w:cs="Times New Roman"/>
          <w:sz w:val="24"/>
          <w:szCs w:val="24"/>
        </w:rPr>
      </w:pPr>
      <w:r w:rsidRPr="006B7217">
        <w:rPr>
          <w:rFonts w:ascii="Times New Roman" w:hAnsi="Times New Roman" w:cs="Times New Roman"/>
          <w:sz w:val="24"/>
          <w:szCs w:val="24"/>
        </w:rPr>
        <w:tab/>
        <w:t xml:space="preserve">First defendant’s witness admitted during cross-examination by plaintiff’s counsel that she did not have any document either from first defendant or its legal practitioners </w:t>
      </w:r>
      <w:r w:rsidR="00094436">
        <w:rPr>
          <w:rFonts w:ascii="Times New Roman" w:hAnsi="Times New Roman" w:cs="Times New Roman"/>
          <w:sz w:val="24"/>
          <w:szCs w:val="24"/>
        </w:rPr>
        <w:t>showing</w:t>
      </w:r>
      <w:r w:rsidRPr="006B7217">
        <w:rPr>
          <w:rFonts w:ascii="Times New Roman" w:hAnsi="Times New Roman" w:cs="Times New Roman"/>
          <w:sz w:val="24"/>
          <w:szCs w:val="24"/>
        </w:rPr>
        <w:t xml:space="preserve"> a seven (7) days notice was given to the plain</w:t>
      </w:r>
      <w:r w:rsidR="00094436">
        <w:rPr>
          <w:rFonts w:ascii="Times New Roman" w:hAnsi="Times New Roman" w:cs="Times New Roman"/>
          <w:sz w:val="24"/>
          <w:szCs w:val="24"/>
        </w:rPr>
        <w:t xml:space="preserve">tiff expressing first defendant’s </w:t>
      </w:r>
      <w:r w:rsidRPr="006B7217">
        <w:rPr>
          <w:rFonts w:ascii="Times New Roman" w:hAnsi="Times New Roman" w:cs="Times New Roman"/>
          <w:sz w:val="24"/>
          <w:szCs w:val="24"/>
        </w:rPr>
        <w:t>or second defendant’s intention to terminate the agr</w:t>
      </w:r>
      <w:r w:rsidR="00094436">
        <w:rPr>
          <w:rFonts w:ascii="Times New Roman" w:hAnsi="Times New Roman" w:cs="Times New Roman"/>
          <w:sz w:val="24"/>
          <w:szCs w:val="24"/>
        </w:rPr>
        <w:t>eement of sale. As already ruled</w:t>
      </w:r>
      <w:r w:rsidRPr="006B7217">
        <w:rPr>
          <w:rFonts w:ascii="Times New Roman" w:hAnsi="Times New Roman" w:cs="Times New Roman"/>
          <w:sz w:val="24"/>
          <w:szCs w:val="24"/>
        </w:rPr>
        <w:t xml:space="preserve"> above herein once first defendant granted plaintiff </w:t>
      </w:r>
      <w:r w:rsidR="00094436">
        <w:rPr>
          <w:rFonts w:ascii="Times New Roman" w:hAnsi="Times New Roman" w:cs="Times New Roman"/>
          <w:sz w:val="24"/>
          <w:szCs w:val="24"/>
        </w:rPr>
        <w:t xml:space="preserve">extension </w:t>
      </w:r>
      <w:r w:rsidRPr="006B7217">
        <w:rPr>
          <w:rFonts w:ascii="Times New Roman" w:hAnsi="Times New Roman" w:cs="Times New Roman"/>
          <w:sz w:val="24"/>
          <w:szCs w:val="24"/>
        </w:rPr>
        <w:t>to offset the purchase price in staggered instalments the agreement transformed into an instalment sale as defined in s 2 of the Contractual Penalties Act.</w:t>
      </w:r>
      <w:r w:rsidRPr="006B7217">
        <w:rPr>
          <w:rFonts w:ascii="Times New Roman" w:hAnsi="Times New Roman" w:cs="Times New Roman"/>
          <w:sz w:val="24"/>
          <w:szCs w:val="24"/>
          <w:vertAlign w:val="superscript"/>
        </w:rPr>
        <w:footnoteReference w:id="16"/>
      </w:r>
      <w:r w:rsidRPr="006B7217">
        <w:rPr>
          <w:rFonts w:ascii="Times New Roman" w:hAnsi="Times New Roman" w:cs="Times New Roman"/>
          <w:sz w:val="24"/>
          <w:szCs w:val="24"/>
        </w:rPr>
        <w:t xml:space="preserve"> </w:t>
      </w:r>
      <w:r w:rsidR="00094436" w:rsidRPr="006B7217">
        <w:rPr>
          <w:rFonts w:ascii="Times New Roman" w:hAnsi="Times New Roman" w:cs="Times New Roman"/>
          <w:sz w:val="24"/>
          <w:szCs w:val="24"/>
        </w:rPr>
        <w:t>If</w:t>
      </w:r>
      <w:r w:rsidRPr="006B7217">
        <w:rPr>
          <w:rFonts w:ascii="Times New Roman" w:hAnsi="Times New Roman" w:cs="Times New Roman"/>
          <w:sz w:val="24"/>
          <w:szCs w:val="24"/>
        </w:rPr>
        <w:t xml:space="preserve"> the buyer is in breach the seller cannot proceed against it or him without first giving 30 days notice of its intention to cancel</w:t>
      </w:r>
      <w:r w:rsidRPr="006B7217">
        <w:rPr>
          <w:rFonts w:ascii="Times New Roman" w:hAnsi="Times New Roman" w:cs="Times New Roman"/>
          <w:sz w:val="24"/>
          <w:szCs w:val="24"/>
          <w:vertAlign w:val="superscript"/>
        </w:rPr>
        <w:footnoteReference w:id="17"/>
      </w:r>
      <w:r w:rsidRPr="006B7217">
        <w:rPr>
          <w:rFonts w:ascii="Times New Roman" w:hAnsi="Times New Roman" w:cs="Times New Roman"/>
          <w:sz w:val="24"/>
          <w:szCs w:val="24"/>
        </w:rPr>
        <w:t xml:space="preserve"> and thereafter proceed to cancel. Neither first defendant nor second defendant showed on their papers that either gave plaintiff such a notice of 30 days. As clear from clause 10 of the agreement of sale </w:t>
      </w:r>
      <w:r w:rsidR="00094436" w:rsidRPr="006B7217">
        <w:rPr>
          <w:rFonts w:ascii="Times New Roman" w:hAnsi="Times New Roman" w:cs="Times New Roman"/>
          <w:sz w:val="24"/>
          <w:szCs w:val="24"/>
        </w:rPr>
        <w:t xml:space="preserve">cited </w:t>
      </w:r>
      <w:r w:rsidR="00094436" w:rsidRPr="006B7217">
        <w:rPr>
          <w:rFonts w:ascii="Times New Roman" w:hAnsi="Times New Roman" w:cs="Times New Roman"/>
          <w:i/>
          <w:sz w:val="24"/>
          <w:szCs w:val="24"/>
        </w:rPr>
        <w:t>in</w:t>
      </w:r>
      <w:r w:rsidRPr="006B7217">
        <w:rPr>
          <w:rFonts w:ascii="Times New Roman" w:hAnsi="Times New Roman" w:cs="Times New Roman"/>
          <w:i/>
          <w:sz w:val="24"/>
          <w:szCs w:val="24"/>
        </w:rPr>
        <w:t xml:space="preserve"> extensor</w:t>
      </w:r>
      <w:r w:rsidRPr="006B7217">
        <w:rPr>
          <w:rFonts w:ascii="Times New Roman" w:hAnsi="Times New Roman" w:cs="Times New Roman"/>
          <w:sz w:val="24"/>
          <w:szCs w:val="24"/>
        </w:rPr>
        <w:t xml:space="preserve"> above, the remedy open to first or second defendant in the event of a breach is to “claim damages without prejudice to any claim for </w:t>
      </w:r>
      <w:r w:rsidRPr="006B7217">
        <w:rPr>
          <w:rFonts w:ascii="Times New Roman" w:hAnsi="Times New Roman" w:cs="Times New Roman"/>
          <w:i/>
          <w:sz w:val="24"/>
          <w:szCs w:val="24"/>
        </w:rPr>
        <w:t xml:space="preserve">mora </w:t>
      </w:r>
      <w:r w:rsidRPr="006B7217">
        <w:rPr>
          <w:rFonts w:ascii="Times New Roman" w:hAnsi="Times New Roman" w:cs="Times New Roman"/>
          <w:sz w:val="24"/>
          <w:szCs w:val="24"/>
        </w:rPr>
        <w:t xml:space="preserve">interest already accrued up to the date of such termination.” The breach </w:t>
      </w:r>
      <w:r w:rsidRPr="006B7217">
        <w:rPr>
          <w:rFonts w:ascii="Times New Roman" w:hAnsi="Times New Roman" w:cs="Times New Roman"/>
          <w:sz w:val="24"/>
          <w:szCs w:val="24"/>
        </w:rPr>
        <w:lastRenderedPageBreak/>
        <w:t>clause does not talk of the seller terminating the sale and resell the property in my view. I am satisfied from the foregoing that the terminatio</w:t>
      </w:r>
      <w:r w:rsidR="00094436">
        <w:rPr>
          <w:rFonts w:ascii="Times New Roman" w:hAnsi="Times New Roman" w:cs="Times New Roman"/>
          <w:sz w:val="24"/>
          <w:szCs w:val="24"/>
        </w:rPr>
        <w:t>n of the agreement was neither in</w:t>
      </w:r>
      <w:r w:rsidRPr="006B7217">
        <w:rPr>
          <w:rFonts w:ascii="Times New Roman" w:hAnsi="Times New Roman" w:cs="Times New Roman"/>
          <w:sz w:val="24"/>
          <w:szCs w:val="24"/>
        </w:rPr>
        <w:t xml:space="preserve"> terms of the agreement of sale nor in term</w:t>
      </w:r>
      <w:r w:rsidR="00094436">
        <w:rPr>
          <w:rFonts w:ascii="Times New Roman" w:hAnsi="Times New Roman" w:cs="Times New Roman"/>
          <w:sz w:val="24"/>
          <w:szCs w:val="24"/>
        </w:rPr>
        <w:t>s</w:t>
      </w:r>
      <w:r w:rsidRPr="006B7217">
        <w:rPr>
          <w:rFonts w:ascii="Times New Roman" w:hAnsi="Times New Roman" w:cs="Times New Roman"/>
          <w:sz w:val="24"/>
          <w:szCs w:val="24"/>
        </w:rPr>
        <w:t xml:space="preserve"> of the Contractual Penalties Act. The agreement of sale between plaintiff and second defendant represented by first defendant was extant as at July 2009 when second defendant entered into an agreement with the third defendant.  </w:t>
      </w:r>
    </w:p>
    <w:p w:rsidR="003A532A" w:rsidRPr="006B7217" w:rsidRDefault="003A532A" w:rsidP="006B7217">
      <w:pPr>
        <w:spacing w:after="0" w:line="360" w:lineRule="auto"/>
        <w:jc w:val="both"/>
        <w:rPr>
          <w:rFonts w:ascii="Times New Roman" w:hAnsi="Times New Roman" w:cs="Times New Roman"/>
          <w:sz w:val="24"/>
          <w:szCs w:val="24"/>
        </w:rPr>
      </w:pPr>
    </w:p>
    <w:p w:rsidR="006B7217" w:rsidRPr="00DF625D" w:rsidRDefault="006B7217" w:rsidP="006B7217">
      <w:pPr>
        <w:spacing w:after="0" w:line="360" w:lineRule="auto"/>
        <w:jc w:val="both"/>
        <w:rPr>
          <w:rFonts w:ascii="Times New Roman" w:hAnsi="Times New Roman" w:cs="Times New Roman"/>
          <w:b/>
          <w:i/>
          <w:sz w:val="24"/>
          <w:szCs w:val="24"/>
          <w:u w:val="single"/>
        </w:rPr>
      </w:pPr>
      <w:r w:rsidRPr="00DF625D">
        <w:rPr>
          <w:rFonts w:ascii="Times New Roman" w:hAnsi="Times New Roman" w:cs="Times New Roman"/>
          <w:b/>
          <w:i/>
          <w:sz w:val="24"/>
          <w:szCs w:val="24"/>
          <w:u w:val="single"/>
        </w:rPr>
        <w:t>The next sequential question is did third defendant know about the sale between plaintiff and second defendant?</w:t>
      </w:r>
    </w:p>
    <w:p w:rsidR="006B7217" w:rsidRPr="006B7217" w:rsidRDefault="006B7217" w:rsidP="006B7217">
      <w:pPr>
        <w:spacing w:after="0" w:line="360" w:lineRule="auto"/>
        <w:jc w:val="both"/>
        <w:rPr>
          <w:rFonts w:ascii="Times New Roman" w:hAnsi="Times New Roman" w:cs="Times New Roman"/>
          <w:sz w:val="24"/>
          <w:szCs w:val="24"/>
        </w:rPr>
      </w:pPr>
      <w:r w:rsidRPr="006B7217">
        <w:rPr>
          <w:rFonts w:ascii="Times New Roman" w:hAnsi="Times New Roman" w:cs="Times New Roman"/>
          <w:sz w:val="24"/>
          <w:szCs w:val="24"/>
        </w:rPr>
        <w:tab/>
        <w:t>Mr Edson Samson who testified o</w:t>
      </w:r>
      <w:r w:rsidR="00A32A82">
        <w:rPr>
          <w:rFonts w:ascii="Times New Roman" w:hAnsi="Times New Roman" w:cs="Times New Roman"/>
          <w:sz w:val="24"/>
          <w:szCs w:val="24"/>
        </w:rPr>
        <w:t>n</w:t>
      </w:r>
      <w:r w:rsidRPr="006B7217">
        <w:rPr>
          <w:rFonts w:ascii="Times New Roman" w:hAnsi="Times New Roman" w:cs="Times New Roman"/>
          <w:sz w:val="24"/>
          <w:szCs w:val="24"/>
        </w:rPr>
        <w:t xml:space="preserve"> behalf of third defendant told the court that he did not know until transfer was done, that is sometime after 6 D</w:t>
      </w:r>
      <w:r w:rsidR="006C5CF3">
        <w:rPr>
          <w:rFonts w:ascii="Times New Roman" w:hAnsi="Times New Roman" w:cs="Times New Roman"/>
          <w:sz w:val="24"/>
          <w:szCs w:val="24"/>
        </w:rPr>
        <w:t xml:space="preserve">ecember 2017. He admitted that </w:t>
      </w:r>
      <w:r w:rsidRPr="006B7217">
        <w:rPr>
          <w:rFonts w:ascii="Times New Roman" w:hAnsi="Times New Roman" w:cs="Times New Roman"/>
          <w:sz w:val="24"/>
          <w:szCs w:val="24"/>
        </w:rPr>
        <w:t>he did not inspect the p</w:t>
      </w:r>
      <w:r w:rsidR="00A32A82">
        <w:rPr>
          <w:rFonts w:ascii="Times New Roman" w:hAnsi="Times New Roman" w:cs="Times New Roman"/>
          <w:sz w:val="24"/>
          <w:szCs w:val="24"/>
        </w:rPr>
        <w:t>roperty nor did third defendant</w:t>
      </w:r>
      <w:r w:rsidRPr="006B7217">
        <w:rPr>
          <w:rFonts w:ascii="Times New Roman" w:hAnsi="Times New Roman" w:cs="Times New Roman"/>
          <w:sz w:val="24"/>
          <w:szCs w:val="24"/>
        </w:rPr>
        <w:t xml:space="preserve"> inform pl</w:t>
      </w:r>
      <w:r w:rsidR="006C5CF3">
        <w:rPr>
          <w:rFonts w:ascii="Times New Roman" w:hAnsi="Times New Roman" w:cs="Times New Roman"/>
          <w:sz w:val="24"/>
          <w:szCs w:val="24"/>
        </w:rPr>
        <w:t>aintiff about third defendants’</w:t>
      </w:r>
      <w:r w:rsidRPr="006B7217">
        <w:rPr>
          <w:rFonts w:ascii="Times New Roman" w:hAnsi="Times New Roman" w:cs="Times New Roman"/>
          <w:sz w:val="24"/>
          <w:szCs w:val="24"/>
        </w:rPr>
        <w:t xml:space="preserve"> int</w:t>
      </w:r>
      <w:r w:rsidR="006C5CF3">
        <w:rPr>
          <w:rFonts w:ascii="Times New Roman" w:hAnsi="Times New Roman" w:cs="Times New Roman"/>
          <w:sz w:val="24"/>
          <w:szCs w:val="24"/>
        </w:rPr>
        <w:t xml:space="preserve">erest in the property. Further </w:t>
      </w:r>
      <w:r w:rsidRPr="006B7217">
        <w:rPr>
          <w:rFonts w:ascii="Times New Roman" w:hAnsi="Times New Roman" w:cs="Times New Roman"/>
          <w:sz w:val="24"/>
          <w:szCs w:val="24"/>
        </w:rPr>
        <w:t>under cross-examination Mr Samson admitted that third defend</w:t>
      </w:r>
      <w:r w:rsidR="006C5CF3">
        <w:rPr>
          <w:rFonts w:ascii="Times New Roman" w:hAnsi="Times New Roman" w:cs="Times New Roman"/>
          <w:sz w:val="24"/>
          <w:szCs w:val="24"/>
        </w:rPr>
        <w:t xml:space="preserve">ant knew that plaintiff was in </w:t>
      </w:r>
      <w:r w:rsidRPr="006B7217">
        <w:rPr>
          <w:rFonts w:ascii="Times New Roman" w:hAnsi="Times New Roman" w:cs="Times New Roman"/>
          <w:sz w:val="24"/>
          <w:szCs w:val="24"/>
        </w:rPr>
        <w:t>occupation. However Mr Samson told the court that al</w:t>
      </w:r>
      <w:r w:rsidR="00A32A82">
        <w:rPr>
          <w:rFonts w:ascii="Times New Roman" w:hAnsi="Times New Roman" w:cs="Times New Roman"/>
          <w:sz w:val="24"/>
          <w:szCs w:val="24"/>
        </w:rPr>
        <w:t>l</w:t>
      </w:r>
      <w:r w:rsidRPr="006B7217">
        <w:rPr>
          <w:rFonts w:ascii="Times New Roman" w:hAnsi="Times New Roman" w:cs="Times New Roman"/>
          <w:sz w:val="24"/>
          <w:szCs w:val="24"/>
        </w:rPr>
        <w:t xml:space="preserve"> what he was inte</w:t>
      </w:r>
      <w:r w:rsidR="00A32A82">
        <w:rPr>
          <w:rFonts w:ascii="Times New Roman" w:hAnsi="Times New Roman" w:cs="Times New Roman"/>
          <w:sz w:val="24"/>
          <w:szCs w:val="24"/>
        </w:rPr>
        <w:t xml:space="preserve">rested in was the title of the </w:t>
      </w:r>
      <w:r w:rsidR="00A32A82" w:rsidRPr="006B7217">
        <w:rPr>
          <w:rFonts w:ascii="Times New Roman" w:hAnsi="Times New Roman" w:cs="Times New Roman"/>
          <w:sz w:val="24"/>
          <w:szCs w:val="24"/>
        </w:rPr>
        <w:t>property</w:t>
      </w:r>
      <w:r w:rsidRPr="006B7217">
        <w:rPr>
          <w:rFonts w:ascii="Times New Roman" w:hAnsi="Times New Roman" w:cs="Times New Roman"/>
          <w:sz w:val="24"/>
          <w:szCs w:val="24"/>
        </w:rPr>
        <w:t xml:space="preserve"> regardless of what he was buying. He would think of ejecting an occupant upon transfer.</w:t>
      </w:r>
    </w:p>
    <w:p w:rsidR="006B7217" w:rsidRPr="006B7217" w:rsidRDefault="006B7217" w:rsidP="006B7217">
      <w:pPr>
        <w:spacing w:after="0" w:line="360" w:lineRule="auto"/>
        <w:jc w:val="both"/>
        <w:rPr>
          <w:rFonts w:ascii="Times New Roman" w:hAnsi="Times New Roman" w:cs="Times New Roman"/>
          <w:sz w:val="24"/>
          <w:szCs w:val="24"/>
        </w:rPr>
      </w:pPr>
      <w:r w:rsidRPr="006B7217">
        <w:rPr>
          <w:rFonts w:ascii="Times New Roman" w:hAnsi="Times New Roman" w:cs="Times New Roman"/>
          <w:sz w:val="24"/>
          <w:szCs w:val="24"/>
        </w:rPr>
        <w:tab/>
        <w:t>The sta</w:t>
      </w:r>
      <w:r w:rsidR="0093576D">
        <w:rPr>
          <w:rFonts w:ascii="Times New Roman" w:hAnsi="Times New Roman" w:cs="Times New Roman"/>
          <w:sz w:val="24"/>
          <w:szCs w:val="24"/>
        </w:rPr>
        <w:t>nce given by Mr Samson exudes an</w:t>
      </w:r>
      <w:r w:rsidRPr="006B7217">
        <w:rPr>
          <w:rFonts w:ascii="Times New Roman" w:hAnsi="Times New Roman" w:cs="Times New Roman"/>
          <w:sz w:val="24"/>
          <w:szCs w:val="24"/>
        </w:rPr>
        <w:t xml:space="preserve"> evasive attitude and as correctly observed and submitted by plaintiff’s counsel, the body conduct of the third defendant’s main witness did not augur well with seriousness and audacity. Mr Samson indeed avoided ey</w:t>
      </w:r>
      <w:r w:rsidR="0093576D">
        <w:rPr>
          <w:rFonts w:ascii="Times New Roman" w:hAnsi="Times New Roman" w:cs="Times New Roman"/>
          <w:sz w:val="24"/>
          <w:szCs w:val="24"/>
        </w:rPr>
        <w:t>e conduct with any of the</w:t>
      </w:r>
      <w:r w:rsidRPr="006B7217">
        <w:rPr>
          <w:rFonts w:ascii="Times New Roman" w:hAnsi="Times New Roman" w:cs="Times New Roman"/>
          <w:sz w:val="24"/>
          <w:szCs w:val="24"/>
        </w:rPr>
        <w:t xml:space="preserve"> court officials, he gave his testimony fidgeting with papers and looking down, he lacked confidence in what he was saying. H</w:t>
      </w:r>
      <w:r w:rsidR="0093576D">
        <w:rPr>
          <w:rFonts w:ascii="Times New Roman" w:hAnsi="Times New Roman" w:cs="Times New Roman"/>
          <w:sz w:val="24"/>
          <w:szCs w:val="24"/>
        </w:rPr>
        <w:t>e was not sure whether Mr Chitsi</w:t>
      </w:r>
      <w:r w:rsidRPr="006B7217">
        <w:rPr>
          <w:rFonts w:ascii="Times New Roman" w:hAnsi="Times New Roman" w:cs="Times New Roman"/>
          <w:sz w:val="24"/>
          <w:szCs w:val="24"/>
        </w:rPr>
        <w:t>nde inspected the property or simply passed by. However as apparent from the facts established in court, third defendant from 3 July 2009 the date the agreement of sale</w:t>
      </w:r>
      <w:r w:rsidR="0093576D">
        <w:rPr>
          <w:rFonts w:ascii="Times New Roman" w:hAnsi="Times New Roman" w:cs="Times New Roman"/>
          <w:sz w:val="24"/>
          <w:szCs w:val="24"/>
        </w:rPr>
        <w:t>,</w:t>
      </w:r>
      <w:r w:rsidRPr="006B7217">
        <w:rPr>
          <w:rFonts w:ascii="Times New Roman" w:hAnsi="Times New Roman" w:cs="Times New Roman"/>
          <w:sz w:val="24"/>
          <w:szCs w:val="24"/>
        </w:rPr>
        <w:t xml:space="preserve"> knew about plaintiff occupying the property. In its counterclaim against plaintiff third defendant computed its rentals from July 2009 up to 2018 </w:t>
      </w:r>
      <w:r w:rsidR="0093576D">
        <w:rPr>
          <w:rFonts w:ascii="Times New Roman" w:hAnsi="Times New Roman" w:cs="Times New Roman"/>
          <w:sz w:val="24"/>
          <w:szCs w:val="24"/>
        </w:rPr>
        <w:t>although Mr Samson later altered</w:t>
      </w:r>
      <w:r w:rsidRPr="006B7217">
        <w:rPr>
          <w:rFonts w:ascii="Times New Roman" w:hAnsi="Times New Roman" w:cs="Times New Roman"/>
          <w:sz w:val="24"/>
          <w:szCs w:val="24"/>
        </w:rPr>
        <w:t xml:space="preserve"> the claim to be determined from 2018 to the date of judgment. In any case further the third defendant was aware of plaintiff from 30 September 2015 when Mr Farai Chitsinde paid a visit to the property and left his business card with Mr Samson. Transfer took effect on 6 December 2017, roughly 2 years 3 months after the third defendant’s employee met Mr Sar</w:t>
      </w:r>
      <w:r w:rsidR="0093576D">
        <w:rPr>
          <w:rFonts w:ascii="Times New Roman" w:hAnsi="Times New Roman" w:cs="Times New Roman"/>
          <w:sz w:val="24"/>
          <w:szCs w:val="24"/>
        </w:rPr>
        <w:t>imana</w:t>
      </w:r>
      <w:r w:rsidRPr="006B7217">
        <w:rPr>
          <w:rFonts w:ascii="Times New Roman" w:hAnsi="Times New Roman" w:cs="Times New Roman"/>
          <w:sz w:val="24"/>
          <w:szCs w:val="24"/>
        </w:rPr>
        <w:t>. Transfer of the property from second defendant to third defendant was done when third defendant was well aware of plaintiff’s interest in the property and thi</w:t>
      </w:r>
      <w:r w:rsidR="0093576D">
        <w:rPr>
          <w:rFonts w:ascii="Times New Roman" w:hAnsi="Times New Roman" w:cs="Times New Roman"/>
          <w:sz w:val="24"/>
          <w:szCs w:val="24"/>
        </w:rPr>
        <w:t>rd defendant did not take any</w:t>
      </w:r>
      <w:r w:rsidRPr="006B7217">
        <w:rPr>
          <w:rFonts w:ascii="Times New Roman" w:hAnsi="Times New Roman" w:cs="Times New Roman"/>
          <w:sz w:val="24"/>
          <w:szCs w:val="24"/>
        </w:rPr>
        <w:t xml:space="preserve"> remedial action to settle the matter with second defendant nor with plaintiff until it was served with summons in</w:t>
      </w:r>
      <w:r w:rsidR="0093576D">
        <w:rPr>
          <w:rFonts w:ascii="Times New Roman" w:hAnsi="Times New Roman" w:cs="Times New Roman"/>
          <w:sz w:val="24"/>
          <w:szCs w:val="24"/>
        </w:rPr>
        <w:t xml:space="preserve"> 2018. Mr Drury nor Mr R. D Stoni</w:t>
      </w:r>
      <w:r w:rsidRPr="006B7217">
        <w:rPr>
          <w:rFonts w:ascii="Times New Roman" w:hAnsi="Times New Roman" w:cs="Times New Roman"/>
          <w:sz w:val="24"/>
          <w:szCs w:val="24"/>
        </w:rPr>
        <w:t xml:space="preserve">er were called by third defendant to refute that third defendant knew about the first sale between first defendant and plaintiff. The court’s view is that Mr Samson was generally not </w:t>
      </w:r>
      <w:r w:rsidRPr="006B7217">
        <w:rPr>
          <w:rFonts w:ascii="Times New Roman" w:hAnsi="Times New Roman" w:cs="Times New Roman"/>
          <w:sz w:val="24"/>
          <w:szCs w:val="24"/>
        </w:rPr>
        <w:lastRenderedPageBreak/>
        <w:t xml:space="preserve">credible and sometimes lied and contradicted himself moreso when it came to inspection of the property and knowledge of the plaintiff’s occupation. </w:t>
      </w:r>
    </w:p>
    <w:p w:rsidR="006B7217" w:rsidRPr="00007201" w:rsidRDefault="006B7217" w:rsidP="006B7217">
      <w:pPr>
        <w:spacing w:after="0" w:line="240" w:lineRule="auto"/>
        <w:ind w:left="720"/>
        <w:jc w:val="both"/>
        <w:rPr>
          <w:rFonts w:ascii="Times New Roman" w:hAnsi="Times New Roman" w:cs="Times New Roman"/>
          <w:i/>
          <w:szCs w:val="24"/>
        </w:rPr>
      </w:pPr>
      <w:r w:rsidRPr="00007201">
        <w:rPr>
          <w:rFonts w:ascii="Times New Roman" w:hAnsi="Times New Roman" w:cs="Times New Roman"/>
          <w:i/>
          <w:szCs w:val="24"/>
        </w:rPr>
        <w:t>“It is trite that if a litigant gives false evidence, his story will be discredited, and the same adverse inferences may be drawn as if he had not given ev</w:t>
      </w:r>
      <w:r w:rsidR="0093576D" w:rsidRPr="00007201">
        <w:rPr>
          <w:rFonts w:ascii="Times New Roman" w:hAnsi="Times New Roman" w:cs="Times New Roman"/>
          <w:i/>
          <w:szCs w:val="24"/>
        </w:rPr>
        <w:t>idence at all. If a litigant lies</w:t>
      </w:r>
      <w:r w:rsidRPr="00007201">
        <w:rPr>
          <w:rFonts w:ascii="Times New Roman" w:hAnsi="Times New Roman" w:cs="Times New Roman"/>
          <w:i/>
          <w:szCs w:val="24"/>
        </w:rPr>
        <w:t xml:space="preserve"> about a particular incident, </w:t>
      </w:r>
      <w:r w:rsidR="0093576D" w:rsidRPr="00007201">
        <w:rPr>
          <w:rFonts w:ascii="Times New Roman" w:hAnsi="Times New Roman" w:cs="Times New Roman"/>
          <w:i/>
          <w:szCs w:val="24"/>
        </w:rPr>
        <w:t>t</w:t>
      </w:r>
      <w:r w:rsidRPr="00007201">
        <w:rPr>
          <w:rFonts w:ascii="Times New Roman" w:hAnsi="Times New Roman" w:cs="Times New Roman"/>
          <w:i/>
          <w:szCs w:val="24"/>
        </w:rPr>
        <w:t>he court may infer that there is something about it which he wishes to hide.”</w:t>
      </w:r>
      <w:r w:rsidRPr="00007201">
        <w:rPr>
          <w:rFonts w:ascii="Times New Roman" w:hAnsi="Times New Roman" w:cs="Times New Roman"/>
          <w:i/>
          <w:szCs w:val="24"/>
          <w:vertAlign w:val="superscript"/>
        </w:rPr>
        <w:footnoteReference w:id="18"/>
      </w:r>
    </w:p>
    <w:p w:rsidR="006B7217" w:rsidRPr="006B7217" w:rsidRDefault="006B7217" w:rsidP="006B7217">
      <w:pPr>
        <w:spacing w:after="0" w:line="360" w:lineRule="auto"/>
        <w:jc w:val="both"/>
        <w:rPr>
          <w:rFonts w:ascii="Times New Roman" w:hAnsi="Times New Roman" w:cs="Times New Roman"/>
          <w:sz w:val="24"/>
          <w:szCs w:val="24"/>
        </w:rPr>
      </w:pPr>
    </w:p>
    <w:p w:rsidR="006B7217" w:rsidRDefault="006B7217" w:rsidP="006B7217">
      <w:pPr>
        <w:spacing w:after="0" w:line="360" w:lineRule="auto"/>
        <w:jc w:val="both"/>
        <w:rPr>
          <w:rFonts w:ascii="Times New Roman" w:hAnsi="Times New Roman" w:cs="Times New Roman"/>
          <w:sz w:val="24"/>
          <w:szCs w:val="24"/>
        </w:rPr>
      </w:pPr>
      <w:r w:rsidRPr="006B7217">
        <w:rPr>
          <w:rFonts w:ascii="Times New Roman" w:hAnsi="Times New Roman" w:cs="Times New Roman"/>
          <w:sz w:val="24"/>
          <w:szCs w:val="24"/>
        </w:rPr>
        <w:tab/>
        <w:t xml:space="preserve">The third defendant was investing US$60 000 into the property which was being </w:t>
      </w:r>
      <w:r w:rsidR="0093576D">
        <w:rPr>
          <w:rFonts w:ascii="Times New Roman" w:hAnsi="Times New Roman" w:cs="Times New Roman"/>
          <w:sz w:val="24"/>
          <w:szCs w:val="24"/>
        </w:rPr>
        <w:t xml:space="preserve">sold </w:t>
      </w:r>
      <w:r w:rsidRPr="006B7217">
        <w:rPr>
          <w:rFonts w:ascii="Times New Roman" w:hAnsi="Times New Roman" w:cs="Times New Roman"/>
          <w:sz w:val="24"/>
          <w:szCs w:val="24"/>
        </w:rPr>
        <w:t xml:space="preserve">as it </w:t>
      </w:r>
      <w:r w:rsidR="0093576D">
        <w:rPr>
          <w:rFonts w:ascii="Times New Roman" w:hAnsi="Times New Roman" w:cs="Times New Roman"/>
          <w:sz w:val="24"/>
          <w:szCs w:val="24"/>
        </w:rPr>
        <w:t xml:space="preserve">was, it </w:t>
      </w:r>
      <w:r w:rsidRPr="006B7217">
        <w:rPr>
          <w:rFonts w:ascii="Times New Roman" w:hAnsi="Times New Roman" w:cs="Times New Roman"/>
          <w:sz w:val="24"/>
          <w:szCs w:val="24"/>
        </w:rPr>
        <w:t>will be totally absurd for Mr Samson to forgo inspection of the building and proceed to ignore it totally from July 2009 till December 2017 when he got title. I am convinced that third defendant is not an innocent purchaser as it was aware of the dispute between plaintiff and first and second defendant</w:t>
      </w:r>
      <w:r w:rsidR="00CA0BC0">
        <w:rPr>
          <w:rFonts w:ascii="Times New Roman" w:hAnsi="Times New Roman" w:cs="Times New Roman"/>
          <w:sz w:val="24"/>
          <w:szCs w:val="24"/>
        </w:rPr>
        <w:t>s</w:t>
      </w:r>
      <w:r w:rsidRPr="006B7217">
        <w:rPr>
          <w:rFonts w:ascii="Times New Roman" w:hAnsi="Times New Roman" w:cs="Times New Roman"/>
          <w:sz w:val="24"/>
          <w:szCs w:val="24"/>
        </w:rPr>
        <w:t xml:space="preserve"> and presumably played a wait and see attitude so that if the dust settles third defendant would take steps. Third defendant was also fully aware that the first agreement of sale between plaintiff and second defendant was extant before it took transfer, this it did in 2009 and further reconfirmed on 30 September 2015. </w:t>
      </w:r>
    </w:p>
    <w:p w:rsidR="003A532A" w:rsidRPr="006B7217" w:rsidRDefault="003A532A" w:rsidP="006B7217">
      <w:pPr>
        <w:spacing w:after="0" w:line="360" w:lineRule="auto"/>
        <w:jc w:val="both"/>
        <w:rPr>
          <w:rFonts w:ascii="Times New Roman" w:hAnsi="Times New Roman" w:cs="Times New Roman"/>
          <w:sz w:val="24"/>
          <w:szCs w:val="24"/>
        </w:rPr>
      </w:pPr>
    </w:p>
    <w:p w:rsidR="006B7217" w:rsidRPr="00CA0BC0" w:rsidRDefault="006B7217" w:rsidP="003A532A">
      <w:pPr>
        <w:spacing w:after="0" w:line="360" w:lineRule="auto"/>
        <w:jc w:val="both"/>
        <w:rPr>
          <w:rFonts w:ascii="Times New Roman" w:hAnsi="Times New Roman" w:cs="Times New Roman"/>
          <w:b/>
          <w:i/>
          <w:sz w:val="24"/>
          <w:szCs w:val="24"/>
          <w:u w:val="single"/>
        </w:rPr>
      </w:pPr>
      <w:r w:rsidRPr="00CA0BC0">
        <w:rPr>
          <w:rFonts w:ascii="Times New Roman" w:hAnsi="Times New Roman" w:cs="Times New Roman"/>
          <w:b/>
          <w:i/>
          <w:sz w:val="24"/>
          <w:szCs w:val="24"/>
          <w:u w:val="single"/>
        </w:rPr>
        <w:t>Whether plaintiff is entitled to an order of specific performance?</w:t>
      </w:r>
    </w:p>
    <w:p w:rsidR="006B7217" w:rsidRPr="006B7217" w:rsidRDefault="006B7217" w:rsidP="006B7217">
      <w:pPr>
        <w:spacing w:after="0" w:line="360" w:lineRule="auto"/>
        <w:jc w:val="both"/>
        <w:rPr>
          <w:rFonts w:ascii="Times New Roman" w:hAnsi="Times New Roman" w:cs="Times New Roman"/>
          <w:sz w:val="24"/>
          <w:szCs w:val="24"/>
        </w:rPr>
      </w:pPr>
      <w:r w:rsidRPr="006B7217">
        <w:rPr>
          <w:rFonts w:ascii="Times New Roman" w:hAnsi="Times New Roman" w:cs="Times New Roman"/>
          <w:sz w:val="24"/>
          <w:szCs w:val="24"/>
        </w:rPr>
        <w:tab/>
        <w:t>Looking at the totality and plausibility of the evidenc</w:t>
      </w:r>
      <w:r w:rsidR="00BC384B">
        <w:rPr>
          <w:rFonts w:ascii="Times New Roman" w:hAnsi="Times New Roman" w:cs="Times New Roman"/>
          <w:sz w:val="24"/>
          <w:szCs w:val="24"/>
        </w:rPr>
        <w:t>e adduced before the court one i</w:t>
      </w:r>
      <w:r w:rsidRPr="006B7217">
        <w:rPr>
          <w:rFonts w:ascii="Times New Roman" w:hAnsi="Times New Roman" w:cs="Times New Roman"/>
          <w:sz w:val="24"/>
          <w:szCs w:val="24"/>
        </w:rPr>
        <w:t xml:space="preserve">nescapable conclusion is that there existed an agreement of sale between plaintiff, first and second defendant that caused plaintiff to send payments to first and second defendant’s legal practitioners in lieu of payment for the property. Whether the agreement was written or oral, it is binding all the three parties, plaintiff, first and second defendants. First defendant submitted that there is no signed written agreement but the court did not hear first defendant utterly denying an agreement between the parties. As clearly stated in the matter of </w:t>
      </w:r>
      <w:r w:rsidRPr="006B7217">
        <w:rPr>
          <w:rFonts w:ascii="Times New Roman" w:hAnsi="Times New Roman" w:cs="Times New Roman"/>
          <w:i/>
          <w:sz w:val="24"/>
          <w:szCs w:val="24"/>
        </w:rPr>
        <w:t>Guoxing Gong</w:t>
      </w:r>
      <w:r w:rsidRPr="006B7217">
        <w:rPr>
          <w:rFonts w:ascii="Times New Roman" w:hAnsi="Times New Roman" w:cs="Times New Roman"/>
          <w:sz w:val="24"/>
          <w:szCs w:val="24"/>
        </w:rPr>
        <w:t xml:space="preserve"> v </w:t>
      </w:r>
      <w:r w:rsidRPr="006B7217">
        <w:rPr>
          <w:rFonts w:ascii="Times New Roman" w:hAnsi="Times New Roman" w:cs="Times New Roman"/>
          <w:i/>
          <w:sz w:val="24"/>
          <w:szCs w:val="24"/>
        </w:rPr>
        <w:t>Mayer Logistics (Pvt) Ltd Anor</w:t>
      </w:r>
      <w:r w:rsidRPr="006B7217">
        <w:rPr>
          <w:rFonts w:ascii="Times New Roman" w:hAnsi="Times New Roman" w:cs="Times New Roman"/>
          <w:sz w:val="24"/>
          <w:szCs w:val="24"/>
        </w:rPr>
        <w:t xml:space="preserve"> </w:t>
      </w:r>
      <w:r w:rsidRPr="006B7217">
        <w:rPr>
          <w:rFonts w:ascii="Times New Roman" w:hAnsi="Times New Roman" w:cs="Times New Roman"/>
          <w:sz w:val="24"/>
          <w:szCs w:val="24"/>
          <w:vertAlign w:val="superscript"/>
        </w:rPr>
        <w:footnoteReference w:id="19"/>
      </w:r>
      <w:r w:rsidRPr="006B7217">
        <w:rPr>
          <w:rFonts w:ascii="Times New Roman" w:hAnsi="Times New Roman" w:cs="Times New Roman"/>
          <w:sz w:val="24"/>
          <w:szCs w:val="24"/>
        </w:rPr>
        <w:t>.</w:t>
      </w:r>
    </w:p>
    <w:p w:rsidR="006B7217" w:rsidRPr="00BC384B" w:rsidRDefault="006B7217" w:rsidP="006B7217">
      <w:pPr>
        <w:spacing w:after="0" w:line="240" w:lineRule="auto"/>
        <w:ind w:left="720"/>
        <w:jc w:val="both"/>
        <w:rPr>
          <w:rFonts w:ascii="Times New Roman" w:hAnsi="Times New Roman" w:cs="Times New Roman"/>
          <w:i/>
          <w:szCs w:val="24"/>
        </w:rPr>
      </w:pPr>
      <w:r w:rsidRPr="00BC384B">
        <w:rPr>
          <w:rFonts w:ascii="Times New Roman" w:hAnsi="Times New Roman" w:cs="Times New Roman"/>
          <w:i/>
          <w:szCs w:val="24"/>
        </w:rPr>
        <w:t>“It is plain that the verbal agreement was lawful and binding. This intended reduction of the verbal agreement to writing was a mere formality not forming part of the contractual agreement. I</w:t>
      </w:r>
      <w:r w:rsidR="00BC384B" w:rsidRPr="00BC384B">
        <w:rPr>
          <w:rFonts w:ascii="Times New Roman" w:hAnsi="Times New Roman" w:cs="Times New Roman"/>
          <w:i/>
          <w:szCs w:val="24"/>
        </w:rPr>
        <w:t>t</w:t>
      </w:r>
      <w:r w:rsidRPr="00BC384B">
        <w:rPr>
          <w:rFonts w:ascii="Times New Roman" w:hAnsi="Times New Roman" w:cs="Times New Roman"/>
          <w:i/>
          <w:szCs w:val="24"/>
        </w:rPr>
        <w:t xml:space="preserve"> is rite that in the circumstances of any prohibition or agreement to the contrary, a verbal agreement is lawful and binding. This explains why by far the majority of contractual agreements are verbal. There is no legal requirement in our jurisdiction that every contractual agreement be reduced to writing.” </w:t>
      </w:r>
    </w:p>
    <w:p w:rsidR="006B7217" w:rsidRPr="006B7217" w:rsidRDefault="006B7217" w:rsidP="006B7217">
      <w:pPr>
        <w:spacing w:after="0" w:line="360" w:lineRule="auto"/>
        <w:jc w:val="both"/>
        <w:rPr>
          <w:rFonts w:ascii="Times New Roman" w:hAnsi="Times New Roman" w:cs="Times New Roman"/>
          <w:sz w:val="24"/>
          <w:szCs w:val="24"/>
        </w:rPr>
      </w:pPr>
    </w:p>
    <w:p w:rsidR="006B7217" w:rsidRPr="006B7217" w:rsidRDefault="006B7217" w:rsidP="006B7217">
      <w:pPr>
        <w:spacing w:after="0" w:line="360" w:lineRule="auto"/>
        <w:jc w:val="both"/>
        <w:rPr>
          <w:rFonts w:ascii="Times New Roman" w:hAnsi="Times New Roman" w:cs="Times New Roman"/>
          <w:sz w:val="24"/>
          <w:szCs w:val="24"/>
        </w:rPr>
      </w:pPr>
      <w:r w:rsidRPr="006B7217">
        <w:rPr>
          <w:rFonts w:ascii="Times New Roman" w:hAnsi="Times New Roman" w:cs="Times New Roman"/>
          <w:sz w:val="24"/>
          <w:szCs w:val="24"/>
        </w:rPr>
        <w:lastRenderedPageBreak/>
        <w:tab/>
        <w:t>The circumstances of this matter given the oral evidence as well as the unsigned document alluded to and admitted by first defendant as binding on them</w:t>
      </w:r>
      <w:r w:rsidR="00E01DD1">
        <w:rPr>
          <w:rFonts w:ascii="Times New Roman" w:hAnsi="Times New Roman" w:cs="Times New Roman"/>
          <w:sz w:val="24"/>
          <w:szCs w:val="24"/>
        </w:rPr>
        <w:t>,</w:t>
      </w:r>
      <w:r w:rsidRPr="006B7217">
        <w:rPr>
          <w:rFonts w:ascii="Times New Roman" w:hAnsi="Times New Roman" w:cs="Times New Roman"/>
          <w:sz w:val="24"/>
          <w:szCs w:val="24"/>
        </w:rPr>
        <w:t xml:space="preserve"> shows</w:t>
      </w:r>
      <w:r w:rsidR="00E01DD1">
        <w:rPr>
          <w:rFonts w:ascii="Times New Roman" w:hAnsi="Times New Roman" w:cs="Times New Roman"/>
          <w:sz w:val="24"/>
          <w:szCs w:val="24"/>
        </w:rPr>
        <w:t xml:space="preserve"> </w:t>
      </w:r>
      <w:r w:rsidRPr="006B7217">
        <w:rPr>
          <w:rFonts w:ascii="Times New Roman" w:hAnsi="Times New Roman" w:cs="Times New Roman"/>
          <w:sz w:val="24"/>
          <w:szCs w:val="24"/>
        </w:rPr>
        <w:t xml:space="preserve">that plaintiff had proved the existence of a valid agreement of sale. </w:t>
      </w:r>
    </w:p>
    <w:p w:rsidR="006B7217" w:rsidRPr="006B7217" w:rsidRDefault="006B7217" w:rsidP="006B7217">
      <w:pPr>
        <w:spacing w:after="0" w:line="240" w:lineRule="auto"/>
        <w:ind w:left="720"/>
        <w:jc w:val="both"/>
        <w:rPr>
          <w:rFonts w:ascii="Times New Roman" w:hAnsi="Times New Roman" w:cs="Times New Roman"/>
          <w:sz w:val="24"/>
          <w:szCs w:val="24"/>
        </w:rPr>
      </w:pPr>
    </w:p>
    <w:p w:rsidR="006B7217" w:rsidRPr="006B7217" w:rsidRDefault="006B7217" w:rsidP="006B7217">
      <w:pPr>
        <w:spacing w:after="0" w:line="240" w:lineRule="auto"/>
        <w:ind w:left="720"/>
        <w:jc w:val="both"/>
        <w:rPr>
          <w:rFonts w:ascii="Times New Roman" w:hAnsi="Times New Roman" w:cs="Times New Roman"/>
          <w:szCs w:val="24"/>
        </w:rPr>
      </w:pPr>
      <w:r w:rsidRPr="006B7217">
        <w:rPr>
          <w:rFonts w:ascii="Times New Roman" w:hAnsi="Times New Roman" w:cs="Times New Roman"/>
          <w:szCs w:val="24"/>
        </w:rPr>
        <w:t>“</w:t>
      </w:r>
      <w:r w:rsidRPr="00523B94">
        <w:rPr>
          <w:rFonts w:ascii="Times New Roman" w:hAnsi="Times New Roman" w:cs="Times New Roman"/>
          <w:i/>
          <w:szCs w:val="24"/>
        </w:rPr>
        <w:t>In a civil case, where the court seeks to draw inferences fro</w:t>
      </w:r>
      <w:r w:rsidR="00523B94" w:rsidRPr="00523B94">
        <w:rPr>
          <w:rFonts w:ascii="Times New Roman" w:hAnsi="Times New Roman" w:cs="Times New Roman"/>
          <w:i/>
          <w:szCs w:val="24"/>
        </w:rPr>
        <w:t>m the facts, it may by</w:t>
      </w:r>
      <w:r w:rsidRPr="00523B94">
        <w:rPr>
          <w:rFonts w:ascii="Times New Roman" w:hAnsi="Times New Roman" w:cs="Times New Roman"/>
          <w:i/>
          <w:szCs w:val="24"/>
        </w:rPr>
        <w:t xml:space="preserve"> balancing probability, select a </w:t>
      </w:r>
      <w:r w:rsidR="00523B94" w:rsidRPr="00523B94">
        <w:rPr>
          <w:rFonts w:ascii="Times New Roman" w:hAnsi="Times New Roman" w:cs="Times New Roman"/>
          <w:i/>
          <w:szCs w:val="24"/>
        </w:rPr>
        <w:t>conclusion which seems to the mo</w:t>
      </w:r>
      <w:r w:rsidRPr="00523B94">
        <w:rPr>
          <w:rFonts w:ascii="Times New Roman" w:hAnsi="Times New Roman" w:cs="Times New Roman"/>
          <w:i/>
          <w:szCs w:val="24"/>
        </w:rPr>
        <w:t>re natural or plausible (in the sense of credible) conclusion from among several conceivable ones, though that conclusion is not the only reasonable one.”</w:t>
      </w:r>
      <w:r w:rsidRPr="00523B94">
        <w:rPr>
          <w:rFonts w:ascii="Times New Roman" w:hAnsi="Times New Roman" w:cs="Times New Roman"/>
          <w:i/>
          <w:szCs w:val="24"/>
          <w:vertAlign w:val="superscript"/>
        </w:rPr>
        <w:footnoteReference w:id="20"/>
      </w:r>
    </w:p>
    <w:p w:rsidR="006B7217" w:rsidRPr="006B7217" w:rsidRDefault="006B7217" w:rsidP="006B7217">
      <w:pPr>
        <w:spacing w:after="0" w:line="240" w:lineRule="auto"/>
        <w:ind w:left="720"/>
        <w:jc w:val="both"/>
        <w:rPr>
          <w:rFonts w:ascii="Times New Roman" w:hAnsi="Times New Roman" w:cs="Times New Roman"/>
          <w:szCs w:val="24"/>
        </w:rPr>
      </w:pPr>
    </w:p>
    <w:p w:rsidR="006B7217" w:rsidRPr="006B7217" w:rsidRDefault="006B7217" w:rsidP="006B7217">
      <w:pPr>
        <w:spacing w:after="0" w:line="360" w:lineRule="auto"/>
        <w:jc w:val="both"/>
        <w:rPr>
          <w:rFonts w:ascii="Times New Roman" w:hAnsi="Times New Roman" w:cs="Times New Roman"/>
          <w:sz w:val="24"/>
          <w:szCs w:val="24"/>
        </w:rPr>
      </w:pPr>
      <w:r w:rsidRPr="006B7217">
        <w:rPr>
          <w:rFonts w:ascii="Times New Roman" w:hAnsi="Times New Roman" w:cs="Times New Roman"/>
          <w:sz w:val="24"/>
          <w:szCs w:val="24"/>
        </w:rPr>
        <w:tab/>
        <w:t xml:space="preserve">As already alluded to herein the first defendant in his evidence in chief unequivocally admitted that at all relevant times it was acting as an agent of second defendant. In the case of </w:t>
      </w:r>
      <w:r w:rsidRPr="006B7217">
        <w:rPr>
          <w:rFonts w:ascii="Times New Roman" w:hAnsi="Times New Roman" w:cs="Times New Roman"/>
          <w:i/>
          <w:sz w:val="24"/>
          <w:szCs w:val="24"/>
        </w:rPr>
        <w:t xml:space="preserve">Mining Industry Pension Fund </w:t>
      </w:r>
      <w:r w:rsidRPr="006B7217">
        <w:rPr>
          <w:rFonts w:ascii="Times New Roman" w:hAnsi="Times New Roman" w:cs="Times New Roman"/>
          <w:sz w:val="24"/>
          <w:szCs w:val="24"/>
        </w:rPr>
        <w:t>v</w:t>
      </w:r>
      <w:r w:rsidRPr="006B7217">
        <w:rPr>
          <w:rFonts w:ascii="Times New Roman" w:hAnsi="Times New Roman" w:cs="Times New Roman"/>
          <w:i/>
          <w:sz w:val="24"/>
          <w:szCs w:val="24"/>
        </w:rPr>
        <w:t xml:space="preserve"> DAB Marketing (Pvt) Ltd</w:t>
      </w:r>
      <w:r w:rsidRPr="006B7217">
        <w:rPr>
          <w:rFonts w:ascii="Times New Roman" w:hAnsi="Times New Roman" w:cs="Times New Roman"/>
          <w:i/>
          <w:sz w:val="24"/>
          <w:szCs w:val="24"/>
          <w:vertAlign w:val="superscript"/>
        </w:rPr>
        <w:footnoteReference w:id="21"/>
      </w:r>
      <w:r w:rsidRPr="006B7217">
        <w:rPr>
          <w:rFonts w:ascii="Times New Roman" w:hAnsi="Times New Roman" w:cs="Times New Roman"/>
          <w:sz w:val="24"/>
          <w:szCs w:val="24"/>
        </w:rPr>
        <w:t xml:space="preserve"> it was stated:</w:t>
      </w:r>
    </w:p>
    <w:p w:rsidR="006B7217" w:rsidRPr="00523B94" w:rsidRDefault="00523B94" w:rsidP="006B7217">
      <w:pPr>
        <w:spacing w:after="0" w:line="240" w:lineRule="auto"/>
        <w:ind w:left="720"/>
        <w:jc w:val="both"/>
        <w:rPr>
          <w:rFonts w:ascii="Times New Roman" w:hAnsi="Times New Roman" w:cs="Times New Roman"/>
          <w:i/>
          <w:szCs w:val="24"/>
        </w:rPr>
      </w:pPr>
      <w:r w:rsidRPr="00523B94">
        <w:rPr>
          <w:rFonts w:ascii="Times New Roman" w:hAnsi="Times New Roman" w:cs="Times New Roman"/>
          <w:i/>
          <w:szCs w:val="24"/>
        </w:rPr>
        <w:t>“</w:t>
      </w:r>
      <w:r w:rsidR="006B7217" w:rsidRPr="00523B94">
        <w:rPr>
          <w:rFonts w:ascii="Times New Roman" w:hAnsi="Times New Roman" w:cs="Times New Roman"/>
          <w:i/>
          <w:szCs w:val="24"/>
        </w:rPr>
        <w:t xml:space="preserve">The importance of the admission is that it is </w:t>
      </w:r>
      <w:r w:rsidRPr="00523B94">
        <w:rPr>
          <w:rFonts w:ascii="Times New Roman" w:hAnsi="Times New Roman" w:cs="Times New Roman"/>
          <w:i/>
          <w:szCs w:val="24"/>
        </w:rPr>
        <w:t>thus seen as limiting or curtail</w:t>
      </w:r>
      <w:r w:rsidR="006B7217" w:rsidRPr="00523B94">
        <w:rPr>
          <w:rFonts w:ascii="Times New Roman" w:hAnsi="Times New Roman" w:cs="Times New Roman"/>
          <w:i/>
          <w:szCs w:val="24"/>
        </w:rPr>
        <w:t>ing the procedures before the court in that where</w:t>
      </w:r>
      <w:r w:rsidRPr="00523B94">
        <w:rPr>
          <w:rFonts w:ascii="Times New Roman" w:hAnsi="Times New Roman" w:cs="Times New Roman"/>
          <w:i/>
          <w:szCs w:val="24"/>
        </w:rPr>
        <w:t xml:space="preserve"> it</w:t>
      </w:r>
      <w:r w:rsidR="006B7217" w:rsidRPr="00523B94">
        <w:rPr>
          <w:rFonts w:ascii="Times New Roman" w:hAnsi="Times New Roman" w:cs="Times New Roman"/>
          <w:i/>
          <w:szCs w:val="24"/>
        </w:rPr>
        <w:t xml:space="preserve"> is not withdrawn, it is binding on the court and in its face the court cannot allow any party to lead or call for evidence to prove the facts that have been admitted.” </w:t>
      </w:r>
    </w:p>
    <w:p w:rsidR="006B7217" w:rsidRPr="006B7217" w:rsidRDefault="006B7217" w:rsidP="006B7217">
      <w:pPr>
        <w:spacing w:after="0" w:line="240" w:lineRule="auto"/>
        <w:jc w:val="both"/>
        <w:rPr>
          <w:rFonts w:ascii="Times New Roman" w:hAnsi="Times New Roman" w:cs="Times New Roman"/>
          <w:szCs w:val="24"/>
        </w:rPr>
      </w:pPr>
    </w:p>
    <w:p w:rsidR="006B7217" w:rsidRPr="006B7217" w:rsidRDefault="006B7217" w:rsidP="006B7217">
      <w:pPr>
        <w:spacing w:after="0" w:line="360" w:lineRule="auto"/>
        <w:jc w:val="both"/>
        <w:rPr>
          <w:rFonts w:ascii="Times New Roman" w:hAnsi="Times New Roman" w:cs="Times New Roman"/>
          <w:szCs w:val="24"/>
        </w:rPr>
      </w:pPr>
      <w:r w:rsidRPr="006B7217">
        <w:rPr>
          <w:rFonts w:ascii="Times New Roman" w:hAnsi="Times New Roman" w:cs="Times New Roman"/>
          <w:szCs w:val="24"/>
        </w:rPr>
        <w:tab/>
        <w:t>Hence in my view first defendant agrees and acknowledges the facts that it entered into an agreement of sale representing second defendant and that agreement binds both plaintiff and second defendant. The only caveat posed by first defendant relating to that agreement is that plain</w:t>
      </w:r>
      <w:r w:rsidR="00523B94">
        <w:rPr>
          <w:rFonts w:ascii="Times New Roman" w:hAnsi="Times New Roman" w:cs="Times New Roman"/>
          <w:szCs w:val="24"/>
        </w:rPr>
        <w:t>tiff breached it. This argument</w:t>
      </w:r>
      <w:r w:rsidRPr="006B7217">
        <w:rPr>
          <w:rFonts w:ascii="Times New Roman" w:hAnsi="Times New Roman" w:cs="Times New Roman"/>
          <w:szCs w:val="24"/>
        </w:rPr>
        <w:t xml:space="preserve"> by first defendant has already been dispensed with above and serve to add that first defendant agreed to extend the period for payment. The agreement of sale binds second defendant. “The vast majority of contracts are terminated by the performance for reciprocal obligations of the parties. In the case of sale, e.g. the contract is terminated once the seller had performed by making delivery and the buyer by paying the purchase price.”</w:t>
      </w:r>
      <w:r w:rsidRPr="006B7217">
        <w:rPr>
          <w:rFonts w:ascii="Times New Roman" w:hAnsi="Times New Roman" w:cs="Times New Roman"/>
          <w:szCs w:val="24"/>
          <w:vertAlign w:val="superscript"/>
        </w:rPr>
        <w:footnoteReference w:id="22"/>
      </w:r>
      <w:r w:rsidRPr="006B7217">
        <w:rPr>
          <w:rFonts w:ascii="Times New Roman" w:hAnsi="Times New Roman" w:cs="Times New Roman"/>
          <w:szCs w:val="24"/>
        </w:rPr>
        <w:t xml:space="preserve"> This is precisely the scenario of this matter. </w:t>
      </w:r>
    </w:p>
    <w:p w:rsidR="006B7217" w:rsidRPr="006B7217" w:rsidRDefault="006B7217" w:rsidP="006B7217">
      <w:pPr>
        <w:spacing w:after="0" w:line="360" w:lineRule="auto"/>
        <w:jc w:val="both"/>
        <w:rPr>
          <w:rFonts w:ascii="Times New Roman" w:hAnsi="Times New Roman" w:cs="Times New Roman"/>
          <w:i/>
          <w:szCs w:val="24"/>
        </w:rPr>
      </w:pPr>
      <w:r w:rsidRPr="006B7217">
        <w:rPr>
          <w:rFonts w:ascii="Times New Roman" w:hAnsi="Times New Roman" w:cs="Times New Roman"/>
          <w:szCs w:val="24"/>
        </w:rPr>
        <w:tab/>
        <w:t>Having made a finding that the matter is typical of a double sale, the next question that ensues is whether plaintiff is entitled to specific performance. Specific performance is available only to a party</w:t>
      </w:r>
      <w:r w:rsidR="00523B94">
        <w:rPr>
          <w:rFonts w:ascii="Times New Roman" w:hAnsi="Times New Roman" w:cs="Times New Roman"/>
          <w:szCs w:val="24"/>
        </w:rPr>
        <w:t xml:space="preserve"> that is liable to perform on its</w:t>
      </w:r>
      <w:r w:rsidRPr="006B7217">
        <w:rPr>
          <w:rFonts w:ascii="Times New Roman" w:hAnsi="Times New Roman" w:cs="Times New Roman"/>
          <w:szCs w:val="24"/>
        </w:rPr>
        <w:t xml:space="preserve"> tendering performance of its obligations.  As clearly emphasised in the case of </w:t>
      </w:r>
      <w:r w:rsidRPr="006B7217">
        <w:rPr>
          <w:rFonts w:ascii="Times New Roman" w:hAnsi="Times New Roman" w:cs="Times New Roman"/>
          <w:i/>
          <w:szCs w:val="24"/>
        </w:rPr>
        <w:t xml:space="preserve">International Trading (Pvt) Ltd </w:t>
      </w:r>
      <w:r w:rsidRPr="006B7217">
        <w:rPr>
          <w:rFonts w:ascii="Times New Roman" w:hAnsi="Times New Roman" w:cs="Times New Roman"/>
          <w:szCs w:val="24"/>
        </w:rPr>
        <w:t xml:space="preserve">v </w:t>
      </w:r>
      <w:r w:rsidRPr="006B7217">
        <w:rPr>
          <w:rFonts w:ascii="Times New Roman" w:hAnsi="Times New Roman" w:cs="Times New Roman"/>
          <w:i/>
          <w:szCs w:val="24"/>
        </w:rPr>
        <w:t>Nestle Zimbabwe (Pvt) Ltd</w:t>
      </w:r>
      <w:r w:rsidRPr="006B7217">
        <w:rPr>
          <w:rFonts w:ascii="Times New Roman" w:hAnsi="Times New Roman" w:cs="Times New Roman"/>
          <w:i/>
          <w:szCs w:val="24"/>
          <w:vertAlign w:val="superscript"/>
        </w:rPr>
        <w:footnoteReference w:id="23"/>
      </w:r>
      <w:r w:rsidRPr="006B7217">
        <w:rPr>
          <w:rFonts w:ascii="Times New Roman" w:hAnsi="Times New Roman" w:cs="Times New Roman"/>
          <w:i/>
          <w:szCs w:val="24"/>
        </w:rPr>
        <w:t>.</w:t>
      </w:r>
    </w:p>
    <w:p w:rsidR="006B7217" w:rsidRPr="006B7217" w:rsidRDefault="006B7217" w:rsidP="006B7217">
      <w:pPr>
        <w:spacing w:after="0" w:line="240" w:lineRule="auto"/>
        <w:ind w:left="720"/>
        <w:jc w:val="both"/>
        <w:rPr>
          <w:rFonts w:ascii="Times New Roman" w:hAnsi="Times New Roman" w:cs="Times New Roman"/>
          <w:sz w:val="24"/>
          <w:szCs w:val="24"/>
        </w:rPr>
      </w:pPr>
      <w:r w:rsidRPr="006B7217">
        <w:rPr>
          <w:rFonts w:ascii="Times New Roman" w:hAnsi="Times New Roman" w:cs="Times New Roman"/>
          <w:szCs w:val="24"/>
        </w:rPr>
        <w:t>“</w:t>
      </w:r>
      <w:r w:rsidRPr="00523B94">
        <w:rPr>
          <w:rFonts w:ascii="Times New Roman" w:hAnsi="Times New Roman" w:cs="Times New Roman"/>
          <w:i/>
          <w:szCs w:val="24"/>
        </w:rPr>
        <w:t>Prima facie every party to a binding agreement which is ready to carry out his own obligation under it has a right to demand from the other party so far as it is possible, a performance of his undertaking in terms of the contract, the right of a plaintiff to the specific performance of a contract where the defendant is in position to do so is beyond all doubt.”</w:t>
      </w:r>
      <w:r w:rsidRPr="006B7217">
        <w:rPr>
          <w:rFonts w:ascii="Times New Roman" w:hAnsi="Times New Roman" w:cs="Times New Roman"/>
          <w:szCs w:val="24"/>
        </w:rPr>
        <w:t xml:space="preserve"> </w:t>
      </w:r>
    </w:p>
    <w:p w:rsidR="006B7217" w:rsidRPr="006B7217" w:rsidRDefault="006B7217" w:rsidP="006B7217">
      <w:pPr>
        <w:spacing w:after="0" w:line="360" w:lineRule="auto"/>
        <w:jc w:val="both"/>
        <w:rPr>
          <w:rFonts w:ascii="Times New Roman" w:hAnsi="Times New Roman" w:cs="Times New Roman"/>
          <w:sz w:val="24"/>
          <w:szCs w:val="24"/>
        </w:rPr>
      </w:pPr>
    </w:p>
    <w:p w:rsidR="006B7217" w:rsidRPr="006B7217" w:rsidRDefault="006B7217" w:rsidP="006B7217">
      <w:pPr>
        <w:spacing w:after="0" w:line="360" w:lineRule="auto"/>
        <w:jc w:val="both"/>
        <w:rPr>
          <w:rFonts w:ascii="Times New Roman" w:hAnsi="Times New Roman" w:cs="Times New Roman"/>
          <w:sz w:val="24"/>
          <w:szCs w:val="24"/>
        </w:rPr>
      </w:pPr>
      <w:r w:rsidRPr="006B7217">
        <w:rPr>
          <w:rFonts w:ascii="Times New Roman" w:hAnsi="Times New Roman" w:cs="Times New Roman"/>
          <w:sz w:val="24"/>
          <w:szCs w:val="24"/>
        </w:rPr>
        <w:tab/>
        <w:t xml:space="preserve">All the three </w:t>
      </w:r>
      <w:r w:rsidR="00523B94" w:rsidRPr="006B7217">
        <w:rPr>
          <w:rFonts w:ascii="Times New Roman" w:hAnsi="Times New Roman" w:cs="Times New Roman"/>
          <w:sz w:val="24"/>
          <w:szCs w:val="24"/>
        </w:rPr>
        <w:t>parties</w:t>
      </w:r>
      <w:r w:rsidRPr="006B7217">
        <w:rPr>
          <w:rFonts w:ascii="Times New Roman" w:hAnsi="Times New Roman" w:cs="Times New Roman"/>
          <w:sz w:val="24"/>
          <w:szCs w:val="24"/>
        </w:rPr>
        <w:t xml:space="preserve"> addressed the court on the law relating to double sales and th</w:t>
      </w:r>
      <w:r w:rsidR="003A532A">
        <w:rPr>
          <w:rFonts w:ascii="Times New Roman" w:hAnsi="Times New Roman" w:cs="Times New Roman"/>
          <w:sz w:val="24"/>
          <w:szCs w:val="24"/>
        </w:rPr>
        <w:t>e</w:t>
      </w:r>
      <w:r w:rsidRPr="006B7217">
        <w:rPr>
          <w:rFonts w:ascii="Times New Roman" w:hAnsi="Times New Roman" w:cs="Times New Roman"/>
          <w:sz w:val="24"/>
          <w:szCs w:val="24"/>
        </w:rPr>
        <w:t xml:space="preserve"> leg</w:t>
      </w:r>
      <w:r w:rsidR="00523B94">
        <w:rPr>
          <w:rFonts w:ascii="Times New Roman" w:hAnsi="Times New Roman" w:cs="Times New Roman"/>
          <w:sz w:val="24"/>
          <w:szCs w:val="24"/>
        </w:rPr>
        <w:t xml:space="preserve">al aspect on the subject seems </w:t>
      </w:r>
      <w:r w:rsidRPr="006B7217">
        <w:rPr>
          <w:rFonts w:ascii="Times New Roman" w:hAnsi="Times New Roman" w:cs="Times New Roman"/>
          <w:sz w:val="24"/>
          <w:szCs w:val="24"/>
        </w:rPr>
        <w:t xml:space="preserve">to be common cause. In the matter of (1) </w:t>
      </w:r>
      <w:r w:rsidRPr="006B7217">
        <w:rPr>
          <w:rFonts w:ascii="Times New Roman" w:hAnsi="Times New Roman" w:cs="Times New Roman"/>
          <w:i/>
          <w:sz w:val="24"/>
          <w:szCs w:val="24"/>
        </w:rPr>
        <w:t>Betty Felicity Barros</w:t>
      </w:r>
      <w:r w:rsidRPr="006B7217">
        <w:rPr>
          <w:rFonts w:ascii="Times New Roman" w:hAnsi="Times New Roman" w:cs="Times New Roman"/>
          <w:sz w:val="24"/>
          <w:szCs w:val="24"/>
        </w:rPr>
        <w:t xml:space="preserve"> (2) </w:t>
      </w:r>
      <w:r w:rsidRPr="006B7217">
        <w:rPr>
          <w:rFonts w:ascii="Times New Roman" w:hAnsi="Times New Roman" w:cs="Times New Roman"/>
          <w:i/>
          <w:sz w:val="24"/>
          <w:szCs w:val="24"/>
        </w:rPr>
        <w:lastRenderedPageBreak/>
        <w:t>Prompt Bulders Company (Pvt) Ltd</w:t>
      </w:r>
      <w:r w:rsidRPr="006B7217">
        <w:rPr>
          <w:rFonts w:ascii="Times New Roman" w:hAnsi="Times New Roman" w:cs="Times New Roman"/>
          <w:sz w:val="24"/>
          <w:szCs w:val="24"/>
        </w:rPr>
        <w:t xml:space="preserve"> v</w:t>
      </w:r>
      <w:r w:rsidRPr="006B7217">
        <w:rPr>
          <w:rFonts w:ascii="Times New Roman" w:hAnsi="Times New Roman" w:cs="Times New Roman"/>
          <w:i/>
          <w:sz w:val="24"/>
          <w:szCs w:val="24"/>
        </w:rPr>
        <w:t xml:space="preserve"> Gideon Justas Chimphonda</w:t>
      </w:r>
      <w:r w:rsidRPr="006B7217">
        <w:rPr>
          <w:rFonts w:ascii="Times New Roman" w:hAnsi="Times New Roman" w:cs="Times New Roman"/>
          <w:i/>
          <w:sz w:val="24"/>
          <w:szCs w:val="24"/>
          <w:vertAlign w:val="superscript"/>
        </w:rPr>
        <w:footnoteReference w:id="24"/>
      </w:r>
      <w:r w:rsidRPr="006B7217">
        <w:rPr>
          <w:rFonts w:ascii="Times New Roman" w:hAnsi="Times New Roman" w:cs="Times New Roman"/>
          <w:i/>
          <w:sz w:val="24"/>
          <w:szCs w:val="24"/>
        </w:rPr>
        <w:t xml:space="preserve"> </w:t>
      </w:r>
      <w:r w:rsidRPr="006B7217">
        <w:rPr>
          <w:rFonts w:ascii="Times New Roman" w:hAnsi="Times New Roman" w:cs="Times New Roman"/>
          <w:sz w:val="24"/>
          <w:szCs w:val="24"/>
        </w:rPr>
        <w:t>the Supreme Court stated the approach in double sales as follows:</w:t>
      </w:r>
    </w:p>
    <w:p w:rsidR="006B7217" w:rsidRPr="00523B94" w:rsidRDefault="006B7217" w:rsidP="006B7217">
      <w:pPr>
        <w:spacing w:after="0" w:line="240" w:lineRule="auto"/>
        <w:ind w:left="720"/>
        <w:jc w:val="both"/>
        <w:rPr>
          <w:rFonts w:ascii="Times New Roman" w:hAnsi="Times New Roman" w:cs="Times New Roman"/>
          <w:i/>
        </w:rPr>
      </w:pPr>
      <w:r w:rsidRPr="00523B94">
        <w:rPr>
          <w:rFonts w:ascii="Times New Roman" w:hAnsi="Times New Roman" w:cs="Times New Roman"/>
          <w:i/>
        </w:rPr>
        <w:t>“Years ago courts</w:t>
      </w:r>
      <w:r w:rsidR="00523B94" w:rsidRPr="00523B94">
        <w:rPr>
          <w:rFonts w:ascii="Times New Roman" w:hAnsi="Times New Roman" w:cs="Times New Roman"/>
          <w:i/>
        </w:rPr>
        <w:t>’</w:t>
      </w:r>
      <w:r w:rsidRPr="00523B94">
        <w:rPr>
          <w:rFonts w:ascii="Times New Roman" w:hAnsi="Times New Roman" w:cs="Times New Roman"/>
          <w:i/>
        </w:rPr>
        <w:t xml:space="preserve"> approach to the question of a double sale of an immovable property was to hold that because the first nor second purchaser had a better right than the other, specific performance would not be granted to either, or would be granted only with an alternative of damages.</w:t>
      </w:r>
    </w:p>
    <w:p w:rsidR="006B7217" w:rsidRPr="00523B94" w:rsidRDefault="006B7217" w:rsidP="006B7217">
      <w:pPr>
        <w:spacing w:after="0" w:line="240" w:lineRule="auto"/>
        <w:ind w:left="720"/>
        <w:jc w:val="both"/>
        <w:rPr>
          <w:rFonts w:ascii="Times New Roman" w:hAnsi="Times New Roman" w:cs="Times New Roman"/>
          <w:i/>
        </w:rPr>
      </w:pPr>
      <w:r w:rsidRPr="00523B94">
        <w:rPr>
          <w:rFonts w:ascii="Times New Roman" w:hAnsi="Times New Roman" w:cs="Times New Roman"/>
          <w:i/>
        </w:rPr>
        <w:t>So it was appreciated that this solution was unsatisfactory because it left the choice to the seller who had caused the problem, more often than not by bad faith, an</w:t>
      </w:r>
      <w:r w:rsidR="00523B94" w:rsidRPr="00523B94">
        <w:rPr>
          <w:rFonts w:ascii="Times New Roman" w:hAnsi="Times New Roman" w:cs="Times New Roman"/>
          <w:i/>
        </w:rPr>
        <w:t xml:space="preserve">d </w:t>
      </w:r>
      <w:r w:rsidRPr="00523B94">
        <w:rPr>
          <w:rFonts w:ascii="Times New Roman" w:hAnsi="Times New Roman" w:cs="Times New Roman"/>
          <w:i/>
        </w:rPr>
        <w:t xml:space="preserve">additionally it paid insufficient regard to the principle enshrined in the maximum </w:t>
      </w:r>
      <w:r w:rsidRPr="00FB437C">
        <w:rPr>
          <w:rFonts w:ascii="Times New Roman" w:hAnsi="Times New Roman" w:cs="Times New Roman"/>
          <w:i/>
          <w:u w:val="single"/>
        </w:rPr>
        <w:t>qin prior est temporae potior est</w:t>
      </w:r>
      <w:r w:rsidRPr="00523B94">
        <w:rPr>
          <w:rFonts w:ascii="Times New Roman" w:hAnsi="Times New Roman" w:cs="Times New Roman"/>
          <w:i/>
        </w:rPr>
        <w:t xml:space="preserve"> </w:t>
      </w:r>
      <w:r w:rsidRPr="00FB437C">
        <w:rPr>
          <w:rFonts w:ascii="Times New Roman" w:hAnsi="Times New Roman" w:cs="Times New Roman"/>
          <w:i/>
          <w:u w:val="single"/>
        </w:rPr>
        <w:t>jure</w:t>
      </w:r>
      <w:r w:rsidRPr="00523B94">
        <w:rPr>
          <w:rFonts w:ascii="Times New Roman" w:hAnsi="Times New Roman" w:cs="Times New Roman"/>
          <w:i/>
        </w:rPr>
        <w:t>”</w:t>
      </w:r>
    </w:p>
    <w:p w:rsidR="006B7217" w:rsidRPr="006B7217" w:rsidRDefault="006B7217" w:rsidP="006B7217">
      <w:pPr>
        <w:spacing w:after="0" w:line="240" w:lineRule="auto"/>
        <w:ind w:left="720"/>
        <w:jc w:val="both"/>
        <w:rPr>
          <w:rFonts w:ascii="Times New Roman" w:hAnsi="Times New Roman" w:cs="Times New Roman"/>
        </w:rPr>
      </w:pPr>
    </w:p>
    <w:p w:rsidR="006B7217" w:rsidRPr="00523B94" w:rsidRDefault="00FB437C" w:rsidP="00523B94">
      <w:pPr>
        <w:spacing w:after="0" w:line="360" w:lineRule="auto"/>
        <w:ind w:left="720"/>
        <w:jc w:val="both"/>
        <w:rPr>
          <w:rFonts w:ascii="Times New Roman" w:hAnsi="Times New Roman" w:cs="Times New Roman"/>
          <w:i/>
        </w:rPr>
      </w:pPr>
      <w:r>
        <w:rPr>
          <w:rFonts w:ascii="Times New Roman" w:hAnsi="Times New Roman" w:cs="Times New Roman"/>
          <w:i/>
        </w:rPr>
        <w:t xml:space="preserve">Another principle </w:t>
      </w:r>
      <w:r w:rsidR="006B7217" w:rsidRPr="00523B94">
        <w:rPr>
          <w:rFonts w:ascii="Times New Roman" w:hAnsi="Times New Roman" w:cs="Times New Roman"/>
          <w:i/>
        </w:rPr>
        <w:t>apparently conflicting was applied in Hofguard v Registrar of Mining Rights</w:t>
      </w:r>
      <w:r w:rsidR="006B7217" w:rsidRPr="00523B94">
        <w:rPr>
          <w:rFonts w:ascii="Times New Roman" w:hAnsi="Times New Roman" w:cs="Times New Roman"/>
          <w:i/>
          <w:vertAlign w:val="superscript"/>
        </w:rPr>
        <w:footnoteReference w:id="25"/>
      </w:r>
      <w:r w:rsidR="006B7217" w:rsidRPr="00523B94">
        <w:rPr>
          <w:rFonts w:ascii="Times New Roman" w:hAnsi="Times New Roman" w:cs="Times New Roman"/>
          <w:i/>
        </w:rPr>
        <w:t xml:space="preserve"> and Miller v Spaner</w:t>
      </w:r>
      <w:r w:rsidR="006B7217" w:rsidRPr="00523B94">
        <w:rPr>
          <w:rFonts w:ascii="Times New Roman" w:hAnsi="Times New Roman" w:cs="Times New Roman"/>
          <w:i/>
          <w:vertAlign w:val="superscript"/>
        </w:rPr>
        <w:footnoteReference w:id="26"/>
      </w:r>
      <w:r w:rsidR="006B7217" w:rsidRPr="00523B94">
        <w:rPr>
          <w:rFonts w:ascii="Times New Roman" w:hAnsi="Times New Roman" w:cs="Times New Roman"/>
          <w:i/>
        </w:rPr>
        <w:t xml:space="preserve"> namely, that specific performance should be granted to the purchaser who can show a balance of equities in his favour. But in Le Roux v Odendaal &amp; Ors</w:t>
      </w:r>
      <w:r w:rsidR="006B7217" w:rsidRPr="00523B94">
        <w:rPr>
          <w:rFonts w:ascii="Times New Roman" w:hAnsi="Times New Roman" w:cs="Times New Roman"/>
          <w:i/>
          <w:vertAlign w:val="superscript"/>
        </w:rPr>
        <w:footnoteReference w:id="27"/>
      </w:r>
      <w:r w:rsidR="006B7217" w:rsidRPr="00523B94">
        <w:rPr>
          <w:rFonts w:ascii="Times New Roman" w:hAnsi="Times New Roman" w:cs="Times New Roman"/>
          <w:i/>
        </w:rPr>
        <w:t xml:space="preserve"> a compelling persuasive combination of these principles was </w:t>
      </w:r>
      <w:r w:rsidR="003A532A" w:rsidRPr="00523B94">
        <w:rPr>
          <w:rFonts w:ascii="Times New Roman" w:hAnsi="Times New Roman" w:cs="Times New Roman"/>
          <w:i/>
        </w:rPr>
        <w:t>another</w:t>
      </w:r>
      <w:r w:rsidR="00523B94" w:rsidRPr="00523B94">
        <w:rPr>
          <w:rFonts w:ascii="Times New Roman" w:hAnsi="Times New Roman" w:cs="Times New Roman"/>
          <w:i/>
        </w:rPr>
        <w:t xml:space="preserve"> principle </w:t>
      </w:r>
      <w:r w:rsidR="006B7217" w:rsidRPr="00523B94">
        <w:rPr>
          <w:rFonts w:ascii="Times New Roman" w:hAnsi="Times New Roman" w:cs="Times New Roman"/>
          <w:i/>
        </w:rPr>
        <w:t xml:space="preserve">suggested by </w:t>
      </w:r>
      <w:r w:rsidR="006B7217" w:rsidRPr="00523B94">
        <w:rPr>
          <w:rFonts w:ascii="Times New Roman" w:hAnsi="Times New Roman" w:cs="Times New Roman"/>
          <w:i/>
          <w:smallCaps/>
        </w:rPr>
        <w:t>Brco</w:t>
      </w:r>
      <w:r w:rsidR="00523B94">
        <w:rPr>
          <w:rFonts w:ascii="Times New Roman" w:hAnsi="Times New Roman" w:cs="Times New Roman"/>
          <w:i/>
          <w:smallCaps/>
        </w:rPr>
        <w:t>o</w:t>
      </w:r>
      <w:r w:rsidR="006B7217" w:rsidRPr="00523B94">
        <w:rPr>
          <w:rFonts w:ascii="Times New Roman" w:hAnsi="Times New Roman" w:cs="Times New Roman"/>
          <w:i/>
          <w:smallCaps/>
        </w:rPr>
        <w:t>me</w:t>
      </w:r>
      <w:r w:rsidR="006B7217" w:rsidRPr="00523B94">
        <w:rPr>
          <w:rFonts w:ascii="Times New Roman" w:hAnsi="Times New Roman" w:cs="Times New Roman"/>
          <w:i/>
        </w:rPr>
        <w:t xml:space="preserve"> JP, it is the approach which has been applied by the courts of this </w:t>
      </w:r>
      <w:r w:rsidR="00523B94" w:rsidRPr="00523B94">
        <w:rPr>
          <w:rFonts w:ascii="Times New Roman" w:hAnsi="Times New Roman" w:cs="Times New Roman"/>
          <w:i/>
        </w:rPr>
        <w:t>country</w:t>
      </w:r>
      <w:r w:rsidR="00523B94">
        <w:rPr>
          <w:rFonts w:ascii="Times New Roman" w:hAnsi="Times New Roman" w:cs="Times New Roman"/>
          <w:i/>
        </w:rPr>
        <w:t>.”</w:t>
      </w:r>
    </w:p>
    <w:p w:rsidR="006B7217" w:rsidRPr="006B7217" w:rsidRDefault="006B7217" w:rsidP="006B7217">
      <w:pPr>
        <w:spacing w:after="0" w:line="360" w:lineRule="auto"/>
        <w:ind w:firstLine="720"/>
        <w:jc w:val="both"/>
        <w:rPr>
          <w:rFonts w:ascii="Times New Roman" w:hAnsi="Times New Roman" w:cs="Times New Roman"/>
          <w:sz w:val="24"/>
          <w:szCs w:val="24"/>
        </w:rPr>
      </w:pPr>
      <w:r w:rsidRPr="006B7217">
        <w:rPr>
          <w:rFonts w:ascii="Times New Roman" w:hAnsi="Times New Roman" w:cs="Times New Roman"/>
          <w:sz w:val="24"/>
          <w:szCs w:val="24"/>
        </w:rPr>
        <w:t>The learned Chief Justice went on to say</w:t>
      </w:r>
      <w:r w:rsidRPr="006B7217">
        <w:rPr>
          <w:rFonts w:ascii="Times New Roman" w:hAnsi="Times New Roman" w:cs="Times New Roman"/>
          <w:sz w:val="24"/>
          <w:szCs w:val="24"/>
          <w:vertAlign w:val="superscript"/>
        </w:rPr>
        <w:footnoteReference w:id="28"/>
      </w:r>
    </w:p>
    <w:p w:rsidR="006B7217" w:rsidRPr="00523B94" w:rsidRDefault="006B7217" w:rsidP="006B7217">
      <w:pPr>
        <w:spacing w:after="0" w:line="240" w:lineRule="auto"/>
        <w:ind w:left="720"/>
        <w:jc w:val="both"/>
        <w:rPr>
          <w:rFonts w:ascii="Times New Roman" w:hAnsi="Times New Roman" w:cs="Times New Roman"/>
          <w:i/>
          <w:szCs w:val="24"/>
        </w:rPr>
      </w:pPr>
      <w:r w:rsidRPr="006B7217">
        <w:rPr>
          <w:rFonts w:ascii="Times New Roman" w:hAnsi="Times New Roman" w:cs="Times New Roman"/>
          <w:szCs w:val="24"/>
        </w:rPr>
        <w:t>“</w:t>
      </w:r>
      <w:r w:rsidRPr="00523B94">
        <w:rPr>
          <w:rFonts w:ascii="Times New Roman" w:hAnsi="Times New Roman" w:cs="Times New Roman"/>
          <w:i/>
          <w:smallCaps/>
          <w:szCs w:val="24"/>
        </w:rPr>
        <w:t>Robinson</w:t>
      </w:r>
      <w:r w:rsidRPr="00523B94">
        <w:rPr>
          <w:rFonts w:ascii="Times New Roman" w:hAnsi="Times New Roman" w:cs="Times New Roman"/>
          <w:i/>
          <w:szCs w:val="24"/>
        </w:rPr>
        <w:t xml:space="preserve"> J correctly applied the principle that the second appellant had knowledge at the time it took transfer of the prior sale the respondent had a right to specific performance (which was </w:t>
      </w:r>
      <w:r w:rsidR="00523B94" w:rsidRPr="00523B94">
        <w:rPr>
          <w:rFonts w:ascii="Times New Roman" w:hAnsi="Times New Roman" w:cs="Times New Roman"/>
          <w:i/>
          <w:szCs w:val="24"/>
        </w:rPr>
        <w:t>t</w:t>
      </w:r>
      <w:r w:rsidRPr="00523B94">
        <w:rPr>
          <w:rFonts w:ascii="Times New Roman" w:hAnsi="Times New Roman" w:cs="Times New Roman"/>
          <w:i/>
          <w:szCs w:val="24"/>
        </w:rPr>
        <w:t xml:space="preserve">he remedy claimed) unless there were special circumstances affecting the balance of equities. The determination of the learned judge that there were no special circumstances for preferring the second purchaser above first one which clearly involved the exercise of a judicial discretion.” </w:t>
      </w:r>
    </w:p>
    <w:p w:rsidR="006B7217" w:rsidRPr="00523B94" w:rsidRDefault="006B7217" w:rsidP="006B7217">
      <w:pPr>
        <w:spacing w:after="0" w:line="240" w:lineRule="auto"/>
        <w:ind w:left="720"/>
        <w:jc w:val="both"/>
        <w:rPr>
          <w:rFonts w:ascii="Times New Roman" w:hAnsi="Times New Roman" w:cs="Times New Roman"/>
          <w:i/>
          <w:szCs w:val="24"/>
        </w:rPr>
      </w:pPr>
    </w:p>
    <w:p w:rsidR="006B7217" w:rsidRPr="00523B94" w:rsidRDefault="006B7217" w:rsidP="006B7217">
      <w:pPr>
        <w:spacing w:after="0" w:line="240" w:lineRule="auto"/>
        <w:ind w:left="720"/>
        <w:jc w:val="both"/>
        <w:rPr>
          <w:rFonts w:ascii="Times New Roman" w:hAnsi="Times New Roman" w:cs="Times New Roman"/>
          <w:i/>
          <w:szCs w:val="24"/>
        </w:rPr>
      </w:pPr>
      <w:r w:rsidRPr="00523B94">
        <w:rPr>
          <w:rFonts w:ascii="Times New Roman" w:hAnsi="Times New Roman" w:cs="Times New Roman"/>
          <w:i/>
          <w:szCs w:val="24"/>
        </w:rPr>
        <w:t>“In my view, the policy of the law will best be served in the ordinary run of the cases giving effect to the first and leaving the second purchaser to pursue his claim for damages for breach of contract. I do not suggest that this should be the invariable rule but I agree with the view expres</w:t>
      </w:r>
      <w:r w:rsidR="00523B94" w:rsidRPr="00523B94">
        <w:rPr>
          <w:rFonts w:ascii="Times New Roman" w:hAnsi="Times New Roman" w:cs="Times New Roman"/>
          <w:i/>
          <w:szCs w:val="24"/>
        </w:rPr>
        <w:t>sed by Professor M</w:t>
      </w:r>
      <w:r w:rsidRPr="00523B94">
        <w:rPr>
          <w:rFonts w:ascii="Times New Roman" w:hAnsi="Times New Roman" w:cs="Times New Roman"/>
          <w:i/>
          <w:szCs w:val="24"/>
        </w:rPr>
        <w:t>ckerron that save in “special circumstances” the first purchaser is to be preferred, the broad principle, as set above was acknowledged in our law in Barros &amp; Anor v Chimphonda</w:t>
      </w:r>
      <w:r w:rsidRPr="00523B94">
        <w:rPr>
          <w:rFonts w:ascii="Times New Roman" w:hAnsi="Times New Roman" w:cs="Times New Roman"/>
          <w:i/>
          <w:szCs w:val="24"/>
          <w:vertAlign w:val="superscript"/>
        </w:rPr>
        <w:footnoteReference w:id="29"/>
      </w:r>
      <w:r w:rsidRPr="00523B94">
        <w:rPr>
          <w:rFonts w:ascii="Times New Roman" w:hAnsi="Times New Roman" w:cs="Times New Roman"/>
          <w:i/>
          <w:szCs w:val="24"/>
        </w:rPr>
        <w:t xml:space="preserve"> and similarly in Charima Blasting and Earthmoving Services (Pvt) Ltd v </w:t>
      </w:r>
      <w:r w:rsidR="00523B94" w:rsidRPr="00523B94">
        <w:rPr>
          <w:rFonts w:ascii="Times New Roman" w:hAnsi="Times New Roman" w:cs="Times New Roman"/>
          <w:i/>
          <w:szCs w:val="24"/>
        </w:rPr>
        <w:t>Nyany</w:t>
      </w:r>
      <w:r w:rsidRPr="00523B94">
        <w:rPr>
          <w:rFonts w:ascii="Times New Roman" w:hAnsi="Times New Roman" w:cs="Times New Roman"/>
          <w:i/>
          <w:szCs w:val="24"/>
        </w:rPr>
        <w:t>a</w:t>
      </w:r>
      <w:r w:rsidR="00523B94" w:rsidRPr="00523B94">
        <w:rPr>
          <w:rFonts w:ascii="Times New Roman" w:hAnsi="Times New Roman" w:cs="Times New Roman"/>
          <w:i/>
          <w:szCs w:val="24"/>
        </w:rPr>
        <w:t>i</w:t>
      </w:r>
      <w:r w:rsidRPr="00523B94">
        <w:rPr>
          <w:rFonts w:ascii="Times New Roman" w:hAnsi="Times New Roman" w:cs="Times New Roman"/>
          <w:i/>
          <w:szCs w:val="24"/>
        </w:rPr>
        <w:t xml:space="preserve"> &amp; Ors</w:t>
      </w:r>
      <w:r w:rsidRPr="00523B94">
        <w:rPr>
          <w:rFonts w:ascii="Times New Roman" w:hAnsi="Times New Roman" w:cs="Times New Roman"/>
          <w:i/>
          <w:szCs w:val="24"/>
          <w:vertAlign w:val="superscript"/>
        </w:rPr>
        <w:footnoteReference w:id="30"/>
      </w:r>
      <w:r w:rsidRPr="00523B94">
        <w:rPr>
          <w:rFonts w:ascii="Times New Roman" w:hAnsi="Times New Roman" w:cs="Times New Roman"/>
          <w:i/>
          <w:szCs w:val="24"/>
        </w:rPr>
        <w:t xml:space="preserve">.” </w:t>
      </w:r>
    </w:p>
    <w:p w:rsidR="006B7217" w:rsidRPr="006B7217" w:rsidRDefault="006B7217" w:rsidP="006B7217">
      <w:pPr>
        <w:spacing w:after="0" w:line="240" w:lineRule="auto"/>
        <w:jc w:val="both"/>
        <w:rPr>
          <w:rFonts w:ascii="Times New Roman" w:hAnsi="Times New Roman" w:cs="Times New Roman"/>
          <w:szCs w:val="24"/>
        </w:rPr>
      </w:pPr>
    </w:p>
    <w:p w:rsidR="006B7217" w:rsidRPr="006B7217" w:rsidRDefault="006B7217" w:rsidP="006B7217">
      <w:pPr>
        <w:spacing w:after="0" w:line="360" w:lineRule="auto"/>
        <w:jc w:val="both"/>
        <w:rPr>
          <w:rFonts w:ascii="Times New Roman" w:hAnsi="Times New Roman" w:cs="Times New Roman"/>
          <w:sz w:val="24"/>
          <w:szCs w:val="24"/>
        </w:rPr>
      </w:pPr>
      <w:r w:rsidRPr="006B7217">
        <w:rPr>
          <w:rFonts w:ascii="Times New Roman" w:hAnsi="Times New Roman" w:cs="Times New Roman"/>
          <w:sz w:val="24"/>
          <w:szCs w:val="24"/>
        </w:rPr>
        <w:tab/>
        <w:t>The onus is on the purchaser to prove the special circumstances tilting the balance of equities in his or its favour.</w:t>
      </w:r>
      <w:r w:rsidRPr="006B7217">
        <w:rPr>
          <w:rFonts w:ascii="Times New Roman" w:hAnsi="Times New Roman" w:cs="Times New Roman"/>
          <w:sz w:val="24"/>
          <w:szCs w:val="24"/>
          <w:vertAlign w:val="superscript"/>
        </w:rPr>
        <w:footnoteReference w:id="31"/>
      </w:r>
      <w:r w:rsidRPr="006B7217">
        <w:rPr>
          <w:rFonts w:ascii="Times New Roman" w:hAnsi="Times New Roman" w:cs="Times New Roman"/>
          <w:sz w:val="24"/>
          <w:szCs w:val="24"/>
        </w:rPr>
        <w:t xml:space="preserve"> However the balance of convenience always predominantly favour</w:t>
      </w:r>
      <w:r w:rsidR="00523B94">
        <w:rPr>
          <w:rFonts w:ascii="Times New Roman" w:hAnsi="Times New Roman" w:cs="Times New Roman"/>
          <w:sz w:val="24"/>
          <w:szCs w:val="24"/>
        </w:rPr>
        <w:t>s</w:t>
      </w:r>
      <w:r w:rsidRPr="006B7217">
        <w:rPr>
          <w:rFonts w:ascii="Times New Roman" w:hAnsi="Times New Roman" w:cs="Times New Roman"/>
          <w:sz w:val="24"/>
          <w:szCs w:val="24"/>
        </w:rPr>
        <w:t xml:space="preserve"> the first buyer in the absence of special circumstances. The first purchaser is treated as </w:t>
      </w:r>
      <w:r w:rsidRPr="006B7217">
        <w:rPr>
          <w:rFonts w:ascii="Times New Roman" w:hAnsi="Times New Roman" w:cs="Times New Roman"/>
          <w:sz w:val="24"/>
          <w:szCs w:val="24"/>
        </w:rPr>
        <w:lastRenderedPageBreak/>
        <w:t>having the stronger claim and the second purchaser is left with a claim for damages against the seller.</w:t>
      </w:r>
    </w:p>
    <w:p w:rsidR="006B7217" w:rsidRPr="006B7217" w:rsidRDefault="006B7217" w:rsidP="006B7217">
      <w:pPr>
        <w:spacing w:after="0" w:line="360" w:lineRule="auto"/>
        <w:jc w:val="both"/>
        <w:rPr>
          <w:rFonts w:ascii="Times New Roman" w:hAnsi="Times New Roman" w:cs="Times New Roman"/>
          <w:sz w:val="24"/>
          <w:szCs w:val="24"/>
        </w:rPr>
      </w:pPr>
      <w:r w:rsidRPr="006B7217">
        <w:rPr>
          <w:rFonts w:ascii="Times New Roman" w:hAnsi="Times New Roman" w:cs="Times New Roman"/>
          <w:sz w:val="24"/>
          <w:szCs w:val="24"/>
        </w:rPr>
        <w:tab/>
      </w:r>
      <w:r w:rsidRPr="006B7217">
        <w:rPr>
          <w:rFonts w:ascii="Times New Roman" w:hAnsi="Times New Roman" w:cs="Times New Roman"/>
          <w:i/>
          <w:sz w:val="24"/>
          <w:szCs w:val="24"/>
        </w:rPr>
        <w:t xml:space="preserve">In </w:t>
      </w:r>
      <w:r w:rsidR="003A532A" w:rsidRPr="006B7217">
        <w:rPr>
          <w:rFonts w:ascii="Times New Roman" w:hAnsi="Times New Roman" w:cs="Times New Roman"/>
          <w:i/>
          <w:sz w:val="24"/>
          <w:szCs w:val="24"/>
        </w:rPr>
        <w:t>casu</w:t>
      </w:r>
      <w:r w:rsidR="003A532A">
        <w:rPr>
          <w:rFonts w:ascii="Times New Roman" w:hAnsi="Times New Roman" w:cs="Times New Roman"/>
          <w:i/>
          <w:sz w:val="24"/>
          <w:szCs w:val="24"/>
        </w:rPr>
        <w:t xml:space="preserve"> </w:t>
      </w:r>
      <w:r w:rsidR="003A532A" w:rsidRPr="006B7217">
        <w:rPr>
          <w:rFonts w:ascii="Times New Roman" w:hAnsi="Times New Roman" w:cs="Times New Roman"/>
          <w:sz w:val="24"/>
          <w:szCs w:val="24"/>
        </w:rPr>
        <w:t>third</w:t>
      </w:r>
      <w:r w:rsidRPr="006B7217">
        <w:rPr>
          <w:rFonts w:ascii="Times New Roman" w:hAnsi="Times New Roman" w:cs="Times New Roman"/>
          <w:sz w:val="24"/>
          <w:szCs w:val="24"/>
        </w:rPr>
        <w:t xml:space="preserve"> defendant submitted that it is a transfer </w:t>
      </w:r>
      <w:r w:rsidR="00523B94">
        <w:rPr>
          <w:rFonts w:ascii="Times New Roman" w:hAnsi="Times New Roman" w:cs="Times New Roman"/>
          <w:sz w:val="24"/>
          <w:szCs w:val="24"/>
        </w:rPr>
        <w:t xml:space="preserve">or </w:t>
      </w:r>
      <w:r w:rsidRPr="006B7217">
        <w:rPr>
          <w:rFonts w:ascii="Times New Roman" w:hAnsi="Times New Roman" w:cs="Times New Roman"/>
          <w:sz w:val="24"/>
          <w:szCs w:val="24"/>
        </w:rPr>
        <w:t xml:space="preserve">in good faith and did the transfer for value. It also added further that the balances of equity are in its favour in that second defendant told plaintiff that first defendant had no authority to sell the property; that second and third defendants </w:t>
      </w:r>
      <w:r w:rsidR="000872C0">
        <w:rPr>
          <w:rFonts w:ascii="Times New Roman" w:hAnsi="Times New Roman" w:cs="Times New Roman"/>
          <w:sz w:val="24"/>
          <w:szCs w:val="24"/>
        </w:rPr>
        <w:t>did not collu</w:t>
      </w:r>
      <w:r w:rsidRPr="006B7217">
        <w:rPr>
          <w:rFonts w:ascii="Times New Roman" w:hAnsi="Times New Roman" w:cs="Times New Roman"/>
          <w:sz w:val="24"/>
          <w:szCs w:val="24"/>
        </w:rPr>
        <w:t xml:space="preserve">de in bad faith against the plaintiff. It was also argued on third defendant’s behalf that the refund of the purchase price was tendered to plaintiff and the latter refused to accept it, and that the purchase price was held in a trust account of first defendant’s coffers. Third defendant would be exposed to a double loss of both the property and the purchase price since second defendant had already left Zimbabwe.  </w:t>
      </w:r>
    </w:p>
    <w:p w:rsidR="006B7217" w:rsidRPr="006B7217" w:rsidRDefault="006B7217" w:rsidP="006B7217">
      <w:pPr>
        <w:spacing w:after="0" w:line="360" w:lineRule="auto"/>
        <w:jc w:val="both"/>
        <w:rPr>
          <w:rFonts w:ascii="Times New Roman" w:hAnsi="Times New Roman" w:cs="Times New Roman"/>
          <w:sz w:val="24"/>
          <w:szCs w:val="24"/>
        </w:rPr>
      </w:pPr>
      <w:r w:rsidRPr="006B7217">
        <w:rPr>
          <w:rFonts w:ascii="Times New Roman" w:hAnsi="Times New Roman" w:cs="Times New Roman"/>
          <w:sz w:val="24"/>
          <w:szCs w:val="24"/>
        </w:rPr>
        <w:tab/>
        <w:t>It has already been ruled above that the firs defendant acted improperly by cancelling the agreement of sale without due notice to plaintiff and that third defendant’s conduct left a lot to be desired in the way it failed to warn plaintiff about its interest over the property from July 2009 to the date of transfer, and the court has already concluded that third defendant cannot be regarded as an innocent purchase</w:t>
      </w:r>
      <w:r w:rsidR="000872C0">
        <w:rPr>
          <w:rFonts w:ascii="Times New Roman" w:hAnsi="Times New Roman" w:cs="Times New Roman"/>
          <w:sz w:val="24"/>
          <w:szCs w:val="24"/>
        </w:rPr>
        <w:t>r</w:t>
      </w:r>
      <w:r w:rsidRPr="006B7217">
        <w:rPr>
          <w:rFonts w:ascii="Times New Roman" w:hAnsi="Times New Roman" w:cs="Times New Roman"/>
          <w:sz w:val="24"/>
          <w:szCs w:val="24"/>
        </w:rPr>
        <w:t xml:space="preserve"> in the circumstances and facts presented herein. To the contrary plaintiff paid a comparatively larger sum of US$80 000 to second defendant </w:t>
      </w:r>
      <w:r w:rsidR="000872C0">
        <w:rPr>
          <w:rFonts w:ascii="Times New Roman" w:hAnsi="Times New Roman" w:cs="Times New Roman"/>
          <w:sz w:val="24"/>
          <w:szCs w:val="24"/>
        </w:rPr>
        <w:t>(</w:t>
      </w:r>
      <w:r w:rsidRPr="006B7217">
        <w:rPr>
          <w:rFonts w:ascii="Times New Roman" w:hAnsi="Times New Roman" w:cs="Times New Roman"/>
          <w:sz w:val="24"/>
          <w:szCs w:val="24"/>
        </w:rPr>
        <w:t>the seller</w:t>
      </w:r>
      <w:r w:rsidR="000872C0">
        <w:rPr>
          <w:rFonts w:ascii="Times New Roman" w:hAnsi="Times New Roman" w:cs="Times New Roman"/>
          <w:sz w:val="24"/>
          <w:szCs w:val="24"/>
        </w:rPr>
        <w:t>)</w:t>
      </w:r>
      <w:r w:rsidRPr="006B7217">
        <w:rPr>
          <w:rFonts w:ascii="Times New Roman" w:hAnsi="Times New Roman" w:cs="Times New Roman"/>
          <w:sz w:val="24"/>
          <w:szCs w:val="24"/>
        </w:rPr>
        <w:t xml:space="preserve"> th</w:t>
      </w:r>
      <w:r w:rsidR="000872C0">
        <w:rPr>
          <w:rFonts w:ascii="Times New Roman" w:hAnsi="Times New Roman" w:cs="Times New Roman"/>
          <w:sz w:val="24"/>
          <w:szCs w:val="24"/>
        </w:rPr>
        <w:t>r</w:t>
      </w:r>
      <w:r w:rsidRPr="006B7217">
        <w:rPr>
          <w:rFonts w:ascii="Times New Roman" w:hAnsi="Times New Roman" w:cs="Times New Roman"/>
          <w:sz w:val="24"/>
          <w:szCs w:val="24"/>
        </w:rPr>
        <w:t>ough the latter’s agent, and third defendant paid US$60 000. From 2009 plaintiff ceased to pay rentals legitimately expecting subsequent transfer of ownership, it also paid rates to the local authority and effected improvements on the property. Plaintiff had been in occupation ever since 2001 to date and me</w:t>
      </w:r>
      <w:r w:rsidR="000872C0">
        <w:rPr>
          <w:rFonts w:ascii="Times New Roman" w:hAnsi="Times New Roman" w:cs="Times New Roman"/>
          <w:sz w:val="24"/>
          <w:szCs w:val="24"/>
        </w:rPr>
        <w:t>t</w:t>
      </w:r>
      <w:r w:rsidRPr="006B7217">
        <w:rPr>
          <w:rFonts w:ascii="Times New Roman" w:hAnsi="Times New Roman" w:cs="Times New Roman"/>
          <w:sz w:val="24"/>
          <w:szCs w:val="24"/>
        </w:rPr>
        <w:t xml:space="preserve"> its obligations in terms of the agreement of sale. </w:t>
      </w:r>
    </w:p>
    <w:p w:rsidR="006B7217" w:rsidRPr="006B7217" w:rsidRDefault="006B7217" w:rsidP="006B7217">
      <w:pPr>
        <w:spacing w:after="0" w:line="360" w:lineRule="auto"/>
        <w:jc w:val="both"/>
        <w:rPr>
          <w:rFonts w:ascii="Times New Roman" w:hAnsi="Times New Roman" w:cs="Times New Roman"/>
          <w:sz w:val="24"/>
          <w:szCs w:val="24"/>
        </w:rPr>
      </w:pPr>
      <w:r w:rsidRPr="006B7217">
        <w:rPr>
          <w:rFonts w:ascii="Times New Roman" w:hAnsi="Times New Roman" w:cs="Times New Roman"/>
          <w:sz w:val="24"/>
          <w:szCs w:val="24"/>
        </w:rPr>
        <w:tab/>
        <w:t>Third defendant did not take occupation from 3 July 2009 up to date. It did not take action to assert its rights but only reacted to plaintiff’s action after the plaintiff issued summons. In my view the third defendant did not establish special reasons or circumstances to formulate the balance of equities in its favour. The balance of equities preponderantly weigh heavily o</w:t>
      </w:r>
      <w:r w:rsidR="006B07BA">
        <w:rPr>
          <w:rFonts w:ascii="Times New Roman" w:hAnsi="Times New Roman" w:cs="Times New Roman"/>
          <w:sz w:val="24"/>
          <w:szCs w:val="24"/>
        </w:rPr>
        <w:t>n</w:t>
      </w:r>
      <w:r w:rsidRPr="006B7217">
        <w:rPr>
          <w:rFonts w:ascii="Times New Roman" w:hAnsi="Times New Roman" w:cs="Times New Roman"/>
          <w:sz w:val="24"/>
          <w:szCs w:val="24"/>
        </w:rPr>
        <w:t xml:space="preserve"> the part of plaintiff. In the result it is my finding that plaintiff had established </w:t>
      </w:r>
      <w:r w:rsidR="006B07BA">
        <w:rPr>
          <w:rFonts w:ascii="Times New Roman" w:hAnsi="Times New Roman" w:cs="Times New Roman"/>
          <w:sz w:val="24"/>
          <w:szCs w:val="24"/>
        </w:rPr>
        <w:t>all the requirements for specific</w:t>
      </w:r>
      <w:r w:rsidRPr="006B7217">
        <w:rPr>
          <w:rFonts w:ascii="Times New Roman" w:hAnsi="Times New Roman" w:cs="Times New Roman"/>
          <w:sz w:val="24"/>
          <w:szCs w:val="24"/>
        </w:rPr>
        <w:t xml:space="preserve"> performance and it ought to succeed on the main claim. Having said that there is no point to delve into the alternative claim for the reimbursement of $80 000 damages for $100 000 and value for improvements in the sum of $43 667. There is equally no basis to deal with third defendants claim for arrear rentals, serve to mention that in the light of plaintiff’s success on specific performance third defendant’s counterclaim has no legal basis and it is dismissed with costs. </w:t>
      </w:r>
    </w:p>
    <w:p w:rsidR="006B7217" w:rsidRDefault="006B7217" w:rsidP="006B7217">
      <w:pPr>
        <w:spacing w:after="0" w:line="360" w:lineRule="auto"/>
        <w:jc w:val="both"/>
        <w:rPr>
          <w:rFonts w:ascii="Times New Roman" w:hAnsi="Times New Roman" w:cs="Times New Roman"/>
          <w:sz w:val="24"/>
          <w:szCs w:val="24"/>
        </w:rPr>
      </w:pPr>
    </w:p>
    <w:p w:rsidR="003A532A" w:rsidRPr="006B7217" w:rsidRDefault="003A532A" w:rsidP="006B7217">
      <w:pPr>
        <w:spacing w:after="0" w:line="360" w:lineRule="auto"/>
        <w:jc w:val="both"/>
        <w:rPr>
          <w:rFonts w:ascii="Times New Roman" w:hAnsi="Times New Roman" w:cs="Times New Roman"/>
          <w:sz w:val="24"/>
          <w:szCs w:val="24"/>
        </w:rPr>
      </w:pPr>
    </w:p>
    <w:p w:rsidR="006B7217" w:rsidRPr="00F073EF" w:rsidRDefault="006B7217" w:rsidP="006B7217">
      <w:pPr>
        <w:spacing w:after="0" w:line="360" w:lineRule="auto"/>
        <w:jc w:val="both"/>
        <w:rPr>
          <w:rFonts w:ascii="Times New Roman" w:hAnsi="Times New Roman" w:cs="Times New Roman"/>
          <w:b/>
          <w:i/>
          <w:sz w:val="24"/>
          <w:szCs w:val="24"/>
          <w:u w:val="single"/>
        </w:rPr>
      </w:pPr>
      <w:r w:rsidRPr="00F073EF">
        <w:rPr>
          <w:rFonts w:ascii="Times New Roman" w:hAnsi="Times New Roman" w:cs="Times New Roman"/>
          <w:b/>
          <w:i/>
          <w:sz w:val="24"/>
          <w:szCs w:val="24"/>
          <w:u w:val="single"/>
        </w:rPr>
        <w:lastRenderedPageBreak/>
        <w:t xml:space="preserve">Disposition </w:t>
      </w:r>
    </w:p>
    <w:p w:rsidR="006B7217" w:rsidRPr="006B7217" w:rsidRDefault="006B7217" w:rsidP="006B7217">
      <w:pPr>
        <w:spacing w:after="0" w:line="360" w:lineRule="auto"/>
        <w:jc w:val="both"/>
        <w:rPr>
          <w:rFonts w:ascii="Times New Roman" w:hAnsi="Times New Roman" w:cs="Times New Roman"/>
          <w:sz w:val="24"/>
          <w:szCs w:val="24"/>
        </w:rPr>
      </w:pPr>
      <w:r w:rsidRPr="006B7217">
        <w:rPr>
          <w:rFonts w:ascii="Times New Roman" w:hAnsi="Times New Roman" w:cs="Times New Roman"/>
          <w:sz w:val="24"/>
          <w:szCs w:val="24"/>
        </w:rPr>
        <w:tab/>
        <w:t>The following order is granted.</w:t>
      </w:r>
    </w:p>
    <w:p w:rsidR="006B7217" w:rsidRPr="00F073EF" w:rsidRDefault="006B7217" w:rsidP="006B7217">
      <w:pPr>
        <w:spacing w:after="0" w:line="360" w:lineRule="auto"/>
        <w:ind w:left="720" w:hanging="720"/>
        <w:jc w:val="both"/>
        <w:rPr>
          <w:rFonts w:ascii="Times New Roman" w:hAnsi="Times New Roman" w:cs="Times New Roman"/>
          <w:b/>
          <w:sz w:val="24"/>
          <w:szCs w:val="24"/>
        </w:rPr>
      </w:pPr>
      <w:r w:rsidRPr="006B7217">
        <w:rPr>
          <w:rFonts w:ascii="Times New Roman" w:hAnsi="Times New Roman" w:cs="Times New Roman"/>
          <w:sz w:val="24"/>
          <w:szCs w:val="24"/>
        </w:rPr>
        <w:t>1</w:t>
      </w:r>
      <w:r w:rsidRPr="00F073EF">
        <w:rPr>
          <w:rFonts w:ascii="Times New Roman" w:hAnsi="Times New Roman" w:cs="Times New Roman"/>
          <w:b/>
          <w:sz w:val="24"/>
          <w:szCs w:val="24"/>
        </w:rPr>
        <w:t>.  a)</w:t>
      </w:r>
      <w:r w:rsidRPr="00F073EF">
        <w:rPr>
          <w:rFonts w:ascii="Times New Roman" w:hAnsi="Times New Roman" w:cs="Times New Roman"/>
          <w:b/>
          <w:sz w:val="24"/>
          <w:szCs w:val="24"/>
        </w:rPr>
        <w:tab/>
        <w:t>The agr</w:t>
      </w:r>
      <w:r w:rsidR="007A2F04" w:rsidRPr="00F073EF">
        <w:rPr>
          <w:rFonts w:ascii="Times New Roman" w:hAnsi="Times New Roman" w:cs="Times New Roman"/>
          <w:b/>
          <w:sz w:val="24"/>
          <w:szCs w:val="24"/>
        </w:rPr>
        <w:t>eement of sale entered between second and third</w:t>
      </w:r>
      <w:r w:rsidRPr="00F073EF">
        <w:rPr>
          <w:rFonts w:ascii="Times New Roman" w:hAnsi="Times New Roman" w:cs="Times New Roman"/>
          <w:b/>
          <w:sz w:val="24"/>
          <w:szCs w:val="24"/>
        </w:rPr>
        <w:t xml:space="preserve"> defendants on 3 July 2019 pertaining to Sand 2427 Umtali Township, Mutare measuring 1364 square metres be and is hereby cancelled. </w:t>
      </w:r>
    </w:p>
    <w:p w:rsidR="006B7217" w:rsidRPr="00F073EF" w:rsidRDefault="006B7217" w:rsidP="006B7217">
      <w:pPr>
        <w:tabs>
          <w:tab w:val="left" w:pos="284"/>
          <w:tab w:val="left" w:pos="567"/>
        </w:tabs>
        <w:spacing w:after="0" w:line="360" w:lineRule="auto"/>
        <w:ind w:left="720" w:hanging="720"/>
        <w:jc w:val="both"/>
        <w:rPr>
          <w:rFonts w:ascii="Times New Roman" w:hAnsi="Times New Roman" w:cs="Times New Roman"/>
          <w:b/>
          <w:sz w:val="24"/>
          <w:szCs w:val="24"/>
        </w:rPr>
      </w:pPr>
      <w:r w:rsidRPr="00F073EF">
        <w:rPr>
          <w:rFonts w:ascii="Times New Roman" w:hAnsi="Times New Roman" w:cs="Times New Roman"/>
          <w:b/>
          <w:sz w:val="24"/>
          <w:szCs w:val="24"/>
        </w:rPr>
        <w:t xml:space="preserve">     </w:t>
      </w:r>
      <w:r w:rsidR="001F363F">
        <w:rPr>
          <w:rFonts w:ascii="Times New Roman" w:hAnsi="Times New Roman" w:cs="Times New Roman"/>
          <w:b/>
          <w:sz w:val="24"/>
          <w:szCs w:val="24"/>
        </w:rPr>
        <w:t xml:space="preserve">b) </w:t>
      </w:r>
      <w:r w:rsidR="001F363F">
        <w:rPr>
          <w:rFonts w:ascii="Times New Roman" w:hAnsi="Times New Roman" w:cs="Times New Roman"/>
          <w:b/>
          <w:sz w:val="24"/>
          <w:szCs w:val="24"/>
        </w:rPr>
        <w:tab/>
      </w:r>
      <w:r w:rsidRPr="00F073EF">
        <w:rPr>
          <w:rFonts w:ascii="Times New Roman" w:hAnsi="Times New Roman" w:cs="Times New Roman"/>
          <w:b/>
          <w:sz w:val="24"/>
          <w:szCs w:val="24"/>
        </w:rPr>
        <w:t>The Deed of Transfer</w:t>
      </w:r>
      <w:r w:rsidR="007A2F04" w:rsidRPr="00F073EF">
        <w:rPr>
          <w:rFonts w:ascii="Times New Roman" w:hAnsi="Times New Roman" w:cs="Times New Roman"/>
          <w:b/>
          <w:sz w:val="24"/>
          <w:szCs w:val="24"/>
        </w:rPr>
        <w:t xml:space="preserve"> Number 4777/2017 in favour of third</w:t>
      </w:r>
      <w:r w:rsidRPr="00F073EF">
        <w:rPr>
          <w:rFonts w:ascii="Times New Roman" w:hAnsi="Times New Roman" w:cs="Times New Roman"/>
          <w:b/>
          <w:sz w:val="24"/>
          <w:szCs w:val="24"/>
        </w:rPr>
        <w:t xml:space="preserve"> defendant be and is hereby cancelled.</w:t>
      </w:r>
    </w:p>
    <w:p w:rsidR="006B7217" w:rsidRPr="00F073EF" w:rsidRDefault="006B7217" w:rsidP="006B7217">
      <w:pPr>
        <w:tabs>
          <w:tab w:val="left" w:pos="142"/>
          <w:tab w:val="left" w:pos="284"/>
          <w:tab w:val="left" w:pos="567"/>
        </w:tabs>
        <w:spacing w:after="0" w:line="360" w:lineRule="auto"/>
        <w:ind w:left="720" w:hanging="720"/>
        <w:jc w:val="both"/>
        <w:rPr>
          <w:rFonts w:ascii="Times New Roman" w:hAnsi="Times New Roman" w:cs="Times New Roman"/>
          <w:b/>
          <w:sz w:val="24"/>
          <w:szCs w:val="24"/>
        </w:rPr>
      </w:pPr>
      <w:r w:rsidRPr="00F073EF">
        <w:rPr>
          <w:rFonts w:ascii="Times New Roman" w:hAnsi="Times New Roman" w:cs="Times New Roman"/>
          <w:b/>
          <w:sz w:val="24"/>
          <w:szCs w:val="24"/>
        </w:rPr>
        <w:t xml:space="preserve">     c)</w:t>
      </w:r>
      <w:r w:rsidRPr="00F073EF">
        <w:rPr>
          <w:rFonts w:ascii="Times New Roman" w:hAnsi="Times New Roman" w:cs="Times New Roman"/>
          <w:b/>
          <w:sz w:val="24"/>
          <w:szCs w:val="24"/>
        </w:rPr>
        <w:tab/>
      </w:r>
      <w:r w:rsidRPr="00F073EF">
        <w:rPr>
          <w:rFonts w:ascii="Times New Roman" w:hAnsi="Times New Roman" w:cs="Times New Roman"/>
          <w:b/>
          <w:sz w:val="24"/>
          <w:szCs w:val="24"/>
        </w:rPr>
        <w:tab/>
      </w:r>
      <w:r w:rsidR="001F363F">
        <w:rPr>
          <w:rFonts w:ascii="Times New Roman" w:hAnsi="Times New Roman" w:cs="Times New Roman"/>
          <w:b/>
          <w:sz w:val="24"/>
          <w:szCs w:val="24"/>
        </w:rPr>
        <w:t>S</w:t>
      </w:r>
      <w:r w:rsidR="007A2F04" w:rsidRPr="00F073EF">
        <w:rPr>
          <w:rFonts w:ascii="Times New Roman" w:hAnsi="Times New Roman" w:cs="Times New Roman"/>
          <w:b/>
          <w:sz w:val="24"/>
          <w:szCs w:val="24"/>
        </w:rPr>
        <w:t>econd and third</w:t>
      </w:r>
      <w:r w:rsidRPr="00F073EF">
        <w:rPr>
          <w:rFonts w:ascii="Times New Roman" w:hAnsi="Times New Roman" w:cs="Times New Roman"/>
          <w:b/>
          <w:sz w:val="24"/>
          <w:szCs w:val="24"/>
        </w:rPr>
        <w:t xml:space="preserve"> defendants, or their lawful assignees, representatives or agents be and are hereby ordered to take all necessary steps to</w:t>
      </w:r>
      <w:r w:rsidR="007A2F04" w:rsidRPr="00F073EF">
        <w:rPr>
          <w:rFonts w:ascii="Times New Roman" w:hAnsi="Times New Roman" w:cs="Times New Roman"/>
          <w:b/>
          <w:sz w:val="24"/>
          <w:szCs w:val="24"/>
        </w:rPr>
        <w:t xml:space="preserve"> pass transfer of Stand 2427A Um</w:t>
      </w:r>
      <w:r w:rsidR="00F073EF">
        <w:rPr>
          <w:rFonts w:ascii="Times New Roman" w:hAnsi="Times New Roman" w:cs="Times New Roman"/>
          <w:b/>
          <w:sz w:val="24"/>
          <w:szCs w:val="24"/>
        </w:rPr>
        <w:t>tali Township, Mutare from third</w:t>
      </w:r>
      <w:r w:rsidRPr="00F073EF">
        <w:rPr>
          <w:rFonts w:ascii="Times New Roman" w:hAnsi="Times New Roman" w:cs="Times New Roman"/>
          <w:b/>
          <w:sz w:val="24"/>
          <w:szCs w:val="24"/>
        </w:rPr>
        <w:t xml:space="preserve"> defendants name to  that of the plaintiff. </w:t>
      </w:r>
    </w:p>
    <w:p w:rsidR="006B7217" w:rsidRPr="00F073EF" w:rsidRDefault="006B7217" w:rsidP="006B7217">
      <w:pPr>
        <w:tabs>
          <w:tab w:val="left" w:pos="142"/>
          <w:tab w:val="left" w:pos="284"/>
          <w:tab w:val="left" w:pos="567"/>
        </w:tabs>
        <w:spacing w:after="0" w:line="360" w:lineRule="auto"/>
        <w:ind w:left="720" w:hanging="720"/>
        <w:jc w:val="both"/>
        <w:rPr>
          <w:rFonts w:ascii="Times New Roman" w:hAnsi="Times New Roman" w:cs="Times New Roman"/>
          <w:b/>
          <w:sz w:val="24"/>
          <w:szCs w:val="24"/>
        </w:rPr>
      </w:pPr>
      <w:r w:rsidRPr="00F073EF">
        <w:rPr>
          <w:rFonts w:ascii="Times New Roman" w:hAnsi="Times New Roman" w:cs="Times New Roman"/>
          <w:b/>
          <w:sz w:val="24"/>
          <w:szCs w:val="24"/>
        </w:rPr>
        <w:tab/>
      </w:r>
      <w:r w:rsidRPr="00F073EF">
        <w:rPr>
          <w:rFonts w:ascii="Times New Roman" w:hAnsi="Times New Roman" w:cs="Times New Roman"/>
          <w:b/>
          <w:sz w:val="24"/>
          <w:szCs w:val="24"/>
        </w:rPr>
        <w:tab/>
      </w:r>
      <w:r w:rsidR="007A2F04" w:rsidRPr="00F073EF">
        <w:rPr>
          <w:rFonts w:ascii="Times New Roman" w:hAnsi="Times New Roman" w:cs="Times New Roman"/>
          <w:b/>
          <w:sz w:val="24"/>
          <w:szCs w:val="24"/>
        </w:rPr>
        <w:t>d)</w:t>
      </w:r>
      <w:r w:rsidR="007A2F04" w:rsidRPr="00F073EF">
        <w:rPr>
          <w:rFonts w:ascii="Times New Roman" w:hAnsi="Times New Roman" w:cs="Times New Roman"/>
          <w:b/>
          <w:sz w:val="24"/>
          <w:szCs w:val="24"/>
        </w:rPr>
        <w:tab/>
      </w:r>
      <w:r w:rsidR="007A2F04" w:rsidRPr="00F073EF">
        <w:rPr>
          <w:rFonts w:ascii="Times New Roman" w:hAnsi="Times New Roman" w:cs="Times New Roman"/>
          <w:b/>
          <w:sz w:val="24"/>
          <w:szCs w:val="24"/>
        </w:rPr>
        <w:tab/>
        <w:t>If second and third</w:t>
      </w:r>
      <w:r w:rsidRPr="00F073EF">
        <w:rPr>
          <w:rFonts w:ascii="Times New Roman" w:hAnsi="Times New Roman" w:cs="Times New Roman"/>
          <w:b/>
          <w:sz w:val="24"/>
          <w:szCs w:val="24"/>
        </w:rPr>
        <w:t xml:space="preserve"> defendant, their agents, </w:t>
      </w:r>
      <w:r w:rsidR="006B07BA" w:rsidRPr="00F073EF">
        <w:rPr>
          <w:rFonts w:ascii="Times New Roman" w:hAnsi="Times New Roman" w:cs="Times New Roman"/>
          <w:b/>
          <w:sz w:val="24"/>
          <w:szCs w:val="24"/>
        </w:rPr>
        <w:t>assignees or representative fail</w:t>
      </w:r>
      <w:r w:rsidRPr="00F073EF">
        <w:rPr>
          <w:rFonts w:ascii="Times New Roman" w:hAnsi="Times New Roman" w:cs="Times New Roman"/>
          <w:b/>
          <w:sz w:val="24"/>
          <w:szCs w:val="24"/>
        </w:rPr>
        <w:t xml:space="preserve"> within fourteen (14) days from the date of issue of this court’s order to take necessary steps, the Sheriff of the High Court of Zimbabwe or his lawful Deputy be and is hereby ord</w:t>
      </w:r>
      <w:r w:rsidR="007A2F04" w:rsidRPr="00F073EF">
        <w:rPr>
          <w:rFonts w:ascii="Times New Roman" w:hAnsi="Times New Roman" w:cs="Times New Roman"/>
          <w:b/>
          <w:sz w:val="24"/>
          <w:szCs w:val="24"/>
        </w:rPr>
        <w:t>ered to take such steps on the second and third</w:t>
      </w:r>
      <w:r w:rsidRPr="00F073EF">
        <w:rPr>
          <w:rFonts w:ascii="Times New Roman" w:hAnsi="Times New Roman" w:cs="Times New Roman"/>
          <w:b/>
          <w:sz w:val="24"/>
          <w:szCs w:val="24"/>
        </w:rPr>
        <w:t xml:space="preserve"> defendants’ behalf. </w:t>
      </w:r>
    </w:p>
    <w:p w:rsidR="006B7217" w:rsidRPr="00F073EF" w:rsidRDefault="006B7217" w:rsidP="006B7217">
      <w:pPr>
        <w:tabs>
          <w:tab w:val="left" w:pos="142"/>
          <w:tab w:val="left" w:pos="284"/>
          <w:tab w:val="left" w:pos="567"/>
        </w:tabs>
        <w:spacing w:after="0" w:line="360" w:lineRule="auto"/>
        <w:ind w:left="720" w:hanging="720"/>
        <w:jc w:val="both"/>
        <w:rPr>
          <w:rFonts w:ascii="Times New Roman" w:hAnsi="Times New Roman" w:cs="Times New Roman"/>
          <w:b/>
          <w:sz w:val="24"/>
          <w:szCs w:val="24"/>
        </w:rPr>
      </w:pPr>
      <w:r w:rsidRPr="00F073EF">
        <w:rPr>
          <w:rFonts w:ascii="Times New Roman" w:hAnsi="Times New Roman" w:cs="Times New Roman"/>
          <w:b/>
          <w:sz w:val="24"/>
          <w:szCs w:val="24"/>
        </w:rPr>
        <w:tab/>
      </w:r>
      <w:r w:rsidRPr="00F073EF">
        <w:rPr>
          <w:rFonts w:ascii="Times New Roman" w:hAnsi="Times New Roman" w:cs="Times New Roman"/>
          <w:b/>
          <w:sz w:val="24"/>
          <w:szCs w:val="24"/>
        </w:rPr>
        <w:tab/>
      </w:r>
      <w:r w:rsidR="007A2F04" w:rsidRPr="00F073EF">
        <w:rPr>
          <w:rFonts w:ascii="Times New Roman" w:hAnsi="Times New Roman" w:cs="Times New Roman"/>
          <w:b/>
          <w:sz w:val="24"/>
          <w:szCs w:val="24"/>
        </w:rPr>
        <w:t>e)</w:t>
      </w:r>
      <w:r w:rsidR="007A2F04" w:rsidRPr="00F073EF">
        <w:rPr>
          <w:rFonts w:ascii="Times New Roman" w:hAnsi="Times New Roman" w:cs="Times New Roman"/>
          <w:b/>
          <w:sz w:val="24"/>
          <w:szCs w:val="24"/>
        </w:rPr>
        <w:tab/>
      </w:r>
      <w:r w:rsidR="007A2F04" w:rsidRPr="00F073EF">
        <w:rPr>
          <w:rFonts w:ascii="Times New Roman" w:hAnsi="Times New Roman" w:cs="Times New Roman"/>
          <w:b/>
          <w:sz w:val="24"/>
          <w:szCs w:val="24"/>
        </w:rPr>
        <w:tab/>
        <w:t>The fourth</w:t>
      </w:r>
      <w:r w:rsidRPr="00F073EF">
        <w:rPr>
          <w:rFonts w:ascii="Times New Roman" w:hAnsi="Times New Roman" w:cs="Times New Roman"/>
          <w:b/>
          <w:sz w:val="24"/>
          <w:szCs w:val="24"/>
        </w:rPr>
        <w:t xml:space="preserve"> defendant be and is hereby ordered to </w:t>
      </w:r>
      <w:r w:rsidR="004664E5" w:rsidRPr="00F073EF">
        <w:rPr>
          <w:rFonts w:ascii="Times New Roman" w:hAnsi="Times New Roman" w:cs="Times New Roman"/>
          <w:b/>
          <w:sz w:val="24"/>
          <w:szCs w:val="24"/>
        </w:rPr>
        <w:t>comply with</w:t>
      </w:r>
      <w:r w:rsidRPr="00F073EF">
        <w:rPr>
          <w:rFonts w:ascii="Times New Roman" w:hAnsi="Times New Roman" w:cs="Times New Roman"/>
          <w:b/>
          <w:sz w:val="24"/>
          <w:szCs w:val="24"/>
        </w:rPr>
        <w:t xml:space="preserve"> this court’s order and ensure that transfer of </w:t>
      </w:r>
      <w:r w:rsidR="006B07BA" w:rsidRPr="00F073EF">
        <w:rPr>
          <w:rFonts w:ascii="Times New Roman" w:hAnsi="Times New Roman" w:cs="Times New Roman"/>
          <w:b/>
          <w:sz w:val="24"/>
          <w:szCs w:val="24"/>
        </w:rPr>
        <w:t>the property described herein is</w:t>
      </w:r>
      <w:r w:rsidR="007A2F04" w:rsidRPr="00F073EF">
        <w:rPr>
          <w:rFonts w:ascii="Times New Roman" w:hAnsi="Times New Roman" w:cs="Times New Roman"/>
          <w:b/>
          <w:sz w:val="24"/>
          <w:szCs w:val="24"/>
        </w:rPr>
        <w:t xml:space="preserve"> effected from third</w:t>
      </w:r>
      <w:r w:rsidRPr="00F073EF">
        <w:rPr>
          <w:rFonts w:ascii="Times New Roman" w:hAnsi="Times New Roman" w:cs="Times New Roman"/>
          <w:b/>
          <w:sz w:val="24"/>
          <w:szCs w:val="24"/>
        </w:rPr>
        <w:t xml:space="preserve"> defendant’s name to that of the plaintiff.</w:t>
      </w:r>
    </w:p>
    <w:p w:rsidR="006B7217" w:rsidRPr="00F073EF" w:rsidRDefault="007A2F04" w:rsidP="006B7217">
      <w:pPr>
        <w:tabs>
          <w:tab w:val="left" w:pos="142"/>
          <w:tab w:val="left" w:pos="284"/>
          <w:tab w:val="left" w:pos="567"/>
        </w:tabs>
        <w:spacing w:after="0" w:line="360" w:lineRule="auto"/>
        <w:ind w:left="720" w:hanging="720"/>
        <w:jc w:val="both"/>
        <w:rPr>
          <w:rFonts w:ascii="Times New Roman" w:hAnsi="Times New Roman" w:cs="Times New Roman"/>
          <w:b/>
          <w:sz w:val="24"/>
          <w:szCs w:val="24"/>
        </w:rPr>
      </w:pPr>
      <w:r w:rsidRPr="00F073EF">
        <w:rPr>
          <w:rFonts w:ascii="Times New Roman" w:hAnsi="Times New Roman" w:cs="Times New Roman"/>
          <w:b/>
          <w:sz w:val="24"/>
          <w:szCs w:val="24"/>
        </w:rPr>
        <w:tab/>
      </w:r>
      <w:r w:rsidRPr="00F073EF">
        <w:rPr>
          <w:rFonts w:ascii="Times New Roman" w:hAnsi="Times New Roman" w:cs="Times New Roman"/>
          <w:b/>
          <w:sz w:val="24"/>
          <w:szCs w:val="24"/>
        </w:rPr>
        <w:tab/>
        <w:t xml:space="preserve">f) </w:t>
      </w:r>
      <w:r w:rsidRPr="00F073EF">
        <w:rPr>
          <w:rFonts w:ascii="Times New Roman" w:hAnsi="Times New Roman" w:cs="Times New Roman"/>
          <w:b/>
          <w:sz w:val="24"/>
          <w:szCs w:val="24"/>
        </w:rPr>
        <w:tab/>
      </w:r>
      <w:r w:rsidRPr="00F073EF">
        <w:rPr>
          <w:rFonts w:ascii="Times New Roman" w:hAnsi="Times New Roman" w:cs="Times New Roman"/>
          <w:b/>
          <w:sz w:val="24"/>
          <w:szCs w:val="24"/>
        </w:rPr>
        <w:tab/>
        <w:t>First to third</w:t>
      </w:r>
      <w:r w:rsidR="006B7217" w:rsidRPr="00F073EF">
        <w:rPr>
          <w:rFonts w:ascii="Times New Roman" w:hAnsi="Times New Roman" w:cs="Times New Roman"/>
          <w:b/>
          <w:sz w:val="24"/>
          <w:szCs w:val="24"/>
        </w:rPr>
        <w:t xml:space="preserve"> defendants to pay the costs, one paying to absolve the others. </w:t>
      </w:r>
    </w:p>
    <w:p w:rsidR="006B7217" w:rsidRPr="00F073EF" w:rsidRDefault="007A2F04" w:rsidP="006B7217">
      <w:pPr>
        <w:tabs>
          <w:tab w:val="left" w:pos="142"/>
          <w:tab w:val="left" w:pos="284"/>
          <w:tab w:val="left" w:pos="567"/>
        </w:tabs>
        <w:spacing w:after="0" w:line="360" w:lineRule="auto"/>
        <w:ind w:left="720" w:hanging="720"/>
        <w:jc w:val="both"/>
        <w:rPr>
          <w:rFonts w:ascii="Times New Roman" w:hAnsi="Times New Roman" w:cs="Times New Roman"/>
          <w:b/>
          <w:sz w:val="24"/>
          <w:szCs w:val="24"/>
        </w:rPr>
      </w:pPr>
      <w:r w:rsidRPr="00F073EF">
        <w:rPr>
          <w:rFonts w:ascii="Times New Roman" w:hAnsi="Times New Roman" w:cs="Times New Roman"/>
          <w:b/>
          <w:sz w:val="24"/>
          <w:szCs w:val="24"/>
        </w:rPr>
        <w:t xml:space="preserve">2. </w:t>
      </w:r>
      <w:r w:rsidRPr="00F073EF">
        <w:rPr>
          <w:rFonts w:ascii="Times New Roman" w:hAnsi="Times New Roman" w:cs="Times New Roman"/>
          <w:b/>
          <w:sz w:val="24"/>
          <w:szCs w:val="24"/>
        </w:rPr>
        <w:tab/>
      </w:r>
      <w:r w:rsidRPr="00F073EF">
        <w:rPr>
          <w:rFonts w:ascii="Times New Roman" w:hAnsi="Times New Roman" w:cs="Times New Roman"/>
          <w:b/>
          <w:sz w:val="24"/>
          <w:szCs w:val="24"/>
        </w:rPr>
        <w:tab/>
        <w:t>Third</w:t>
      </w:r>
      <w:r w:rsidR="006B7217" w:rsidRPr="00F073EF">
        <w:rPr>
          <w:rFonts w:ascii="Times New Roman" w:hAnsi="Times New Roman" w:cs="Times New Roman"/>
          <w:b/>
          <w:sz w:val="24"/>
          <w:szCs w:val="24"/>
        </w:rPr>
        <w:t xml:space="preserve"> defendant’s counter-claim is dismissed with costs. </w:t>
      </w:r>
    </w:p>
    <w:p w:rsidR="006B7217" w:rsidRPr="006B7217" w:rsidRDefault="006B7217" w:rsidP="006B7217">
      <w:pPr>
        <w:tabs>
          <w:tab w:val="left" w:pos="142"/>
          <w:tab w:val="left" w:pos="284"/>
          <w:tab w:val="left" w:pos="567"/>
        </w:tabs>
        <w:spacing w:after="0" w:line="360" w:lineRule="auto"/>
        <w:ind w:left="720" w:hanging="720"/>
        <w:jc w:val="both"/>
        <w:rPr>
          <w:rFonts w:ascii="Times New Roman" w:hAnsi="Times New Roman" w:cs="Times New Roman"/>
          <w:sz w:val="24"/>
          <w:szCs w:val="24"/>
        </w:rPr>
      </w:pPr>
    </w:p>
    <w:p w:rsidR="006B7217" w:rsidRPr="006B7217" w:rsidRDefault="006B7217" w:rsidP="006B7217">
      <w:pPr>
        <w:tabs>
          <w:tab w:val="left" w:pos="142"/>
          <w:tab w:val="left" w:pos="284"/>
          <w:tab w:val="left" w:pos="567"/>
        </w:tabs>
        <w:spacing w:after="0" w:line="360" w:lineRule="auto"/>
        <w:ind w:left="720" w:hanging="720"/>
        <w:jc w:val="both"/>
        <w:rPr>
          <w:rFonts w:ascii="Times New Roman" w:hAnsi="Times New Roman" w:cs="Times New Roman"/>
          <w:sz w:val="24"/>
          <w:szCs w:val="24"/>
        </w:rPr>
      </w:pPr>
    </w:p>
    <w:p w:rsidR="006B7217" w:rsidRDefault="006B7217" w:rsidP="006B7217">
      <w:pPr>
        <w:tabs>
          <w:tab w:val="left" w:pos="142"/>
          <w:tab w:val="left" w:pos="284"/>
          <w:tab w:val="left" w:pos="567"/>
        </w:tabs>
        <w:spacing w:after="0" w:line="360" w:lineRule="auto"/>
        <w:ind w:left="720" w:hanging="720"/>
        <w:jc w:val="both"/>
        <w:rPr>
          <w:rFonts w:ascii="Times New Roman" w:hAnsi="Times New Roman" w:cs="Times New Roman"/>
          <w:sz w:val="24"/>
          <w:szCs w:val="24"/>
        </w:rPr>
      </w:pPr>
    </w:p>
    <w:p w:rsidR="003A532A" w:rsidRPr="006B7217" w:rsidRDefault="003A532A" w:rsidP="006B7217">
      <w:pPr>
        <w:tabs>
          <w:tab w:val="left" w:pos="142"/>
          <w:tab w:val="left" w:pos="284"/>
          <w:tab w:val="left" w:pos="567"/>
        </w:tabs>
        <w:spacing w:after="0" w:line="360" w:lineRule="auto"/>
        <w:ind w:left="720" w:hanging="720"/>
        <w:jc w:val="both"/>
        <w:rPr>
          <w:rFonts w:ascii="Times New Roman" w:hAnsi="Times New Roman" w:cs="Times New Roman"/>
          <w:sz w:val="24"/>
          <w:szCs w:val="24"/>
        </w:rPr>
      </w:pPr>
    </w:p>
    <w:p w:rsidR="006B7217" w:rsidRPr="006B7217" w:rsidRDefault="006B7217" w:rsidP="006B7217">
      <w:pPr>
        <w:tabs>
          <w:tab w:val="left" w:pos="142"/>
          <w:tab w:val="left" w:pos="284"/>
          <w:tab w:val="left" w:pos="567"/>
        </w:tabs>
        <w:spacing w:after="0" w:line="240" w:lineRule="auto"/>
        <w:ind w:left="720" w:hanging="720"/>
        <w:jc w:val="both"/>
        <w:rPr>
          <w:rFonts w:ascii="Times New Roman" w:hAnsi="Times New Roman" w:cs="Times New Roman"/>
          <w:sz w:val="24"/>
          <w:szCs w:val="24"/>
        </w:rPr>
      </w:pPr>
      <w:r w:rsidRPr="006B7217">
        <w:rPr>
          <w:rFonts w:ascii="Times New Roman" w:hAnsi="Times New Roman" w:cs="Times New Roman"/>
          <w:i/>
          <w:sz w:val="24"/>
          <w:szCs w:val="24"/>
        </w:rPr>
        <w:t>Makombe and Associates</w:t>
      </w:r>
      <w:r w:rsidRPr="006B7217">
        <w:rPr>
          <w:rFonts w:ascii="Times New Roman" w:hAnsi="Times New Roman" w:cs="Times New Roman"/>
          <w:sz w:val="24"/>
          <w:szCs w:val="24"/>
        </w:rPr>
        <w:t xml:space="preserve">, plaintiff’s legal practitioners </w:t>
      </w:r>
    </w:p>
    <w:p w:rsidR="006B7217" w:rsidRPr="006B7217" w:rsidRDefault="006B7217" w:rsidP="006B7217">
      <w:pPr>
        <w:tabs>
          <w:tab w:val="left" w:pos="142"/>
          <w:tab w:val="left" w:pos="284"/>
          <w:tab w:val="left" w:pos="567"/>
        </w:tabs>
        <w:spacing w:after="0" w:line="240" w:lineRule="auto"/>
        <w:ind w:left="720" w:hanging="720"/>
        <w:jc w:val="both"/>
        <w:rPr>
          <w:rFonts w:ascii="Times New Roman" w:hAnsi="Times New Roman" w:cs="Times New Roman"/>
          <w:sz w:val="24"/>
          <w:szCs w:val="24"/>
        </w:rPr>
      </w:pPr>
      <w:r w:rsidRPr="006B7217">
        <w:rPr>
          <w:rFonts w:ascii="Times New Roman" w:hAnsi="Times New Roman" w:cs="Times New Roman"/>
          <w:i/>
          <w:sz w:val="24"/>
          <w:szCs w:val="24"/>
        </w:rPr>
        <w:t>Gill, Godlonton &amp; Gerrans</w:t>
      </w:r>
      <w:r w:rsidRPr="006B7217">
        <w:rPr>
          <w:rFonts w:ascii="Times New Roman" w:hAnsi="Times New Roman" w:cs="Times New Roman"/>
          <w:sz w:val="24"/>
          <w:szCs w:val="24"/>
        </w:rPr>
        <w:t>, 1</w:t>
      </w:r>
      <w:r w:rsidRPr="006B7217">
        <w:rPr>
          <w:rFonts w:ascii="Times New Roman" w:hAnsi="Times New Roman" w:cs="Times New Roman"/>
          <w:sz w:val="24"/>
          <w:szCs w:val="24"/>
          <w:vertAlign w:val="superscript"/>
        </w:rPr>
        <w:t>st</w:t>
      </w:r>
      <w:r w:rsidRPr="006B7217">
        <w:rPr>
          <w:rFonts w:ascii="Times New Roman" w:hAnsi="Times New Roman" w:cs="Times New Roman"/>
          <w:sz w:val="24"/>
          <w:szCs w:val="24"/>
        </w:rPr>
        <w:t xml:space="preserve"> defendant’s legal practitioners </w:t>
      </w:r>
    </w:p>
    <w:p w:rsidR="006B7217" w:rsidRPr="006B7217" w:rsidRDefault="006B7217" w:rsidP="006B7217">
      <w:pPr>
        <w:tabs>
          <w:tab w:val="left" w:pos="142"/>
          <w:tab w:val="left" w:pos="284"/>
          <w:tab w:val="left" w:pos="567"/>
        </w:tabs>
        <w:spacing w:after="0" w:line="240" w:lineRule="auto"/>
        <w:ind w:left="720" w:hanging="720"/>
        <w:jc w:val="both"/>
        <w:rPr>
          <w:rFonts w:ascii="Times New Roman" w:hAnsi="Times New Roman" w:cs="Times New Roman"/>
          <w:sz w:val="24"/>
          <w:szCs w:val="24"/>
        </w:rPr>
      </w:pPr>
      <w:r w:rsidRPr="006B7217">
        <w:rPr>
          <w:rFonts w:ascii="Times New Roman" w:hAnsi="Times New Roman" w:cs="Times New Roman"/>
          <w:i/>
          <w:sz w:val="24"/>
          <w:szCs w:val="24"/>
        </w:rPr>
        <w:t>Thompson Stevenson &amp; Associates</w:t>
      </w:r>
      <w:r w:rsidRPr="006B7217">
        <w:rPr>
          <w:rFonts w:ascii="Times New Roman" w:hAnsi="Times New Roman" w:cs="Times New Roman"/>
          <w:sz w:val="24"/>
          <w:szCs w:val="24"/>
        </w:rPr>
        <w:t>, 3</w:t>
      </w:r>
      <w:r w:rsidRPr="006B7217">
        <w:rPr>
          <w:rFonts w:ascii="Times New Roman" w:hAnsi="Times New Roman" w:cs="Times New Roman"/>
          <w:sz w:val="24"/>
          <w:szCs w:val="24"/>
          <w:vertAlign w:val="superscript"/>
        </w:rPr>
        <w:t>rd</w:t>
      </w:r>
      <w:r w:rsidRPr="006B7217">
        <w:rPr>
          <w:rFonts w:ascii="Times New Roman" w:hAnsi="Times New Roman" w:cs="Times New Roman"/>
          <w:sz w:val="24"/>
          <w:szCs w:val="24"/>
        </w:rPr>
        <w:t xml:space="preserve"> defendant’s legal practitioners </w:t>
      </w:r>
    </w:p>
    <w:p w:rsidR="002F42D8" w:rsidRPr="00E41127" w:rsidRDefault="002F42D8" w:rsidP="00A919FF">
      <w:pPr>
        <w:spacing w:after="0" w:line="360" w:lineRule="auto"/>
        <w:jc w:val="both"/>
        <w:rPr>
          <w:rFonts w:ascii="Times New Roman" w:hAnsi="Times New Roman" w:cs="Times New Roman"/>
          <w:sz w:val="24"/>
          <w:szCs w:val="24"/>
        </w:rPr>
      </w:pPr>
    </w:p>
    <w:p w:rsidR="00C670F6" w:rsidRPr="00A919FF" w:rsidRDefault="00C670F6" w:rsidP="00A919FF">
      <w:pPr>
        <w:spacing w:after="0" w:line="360" w:lineRule="auto"/>
        <w:jc w:val="both"/>
        <w:rPr>
          <w:rFonts w:ascii="Times New Roman" w:hAnsi="Times New Roman" w:cs="Times New Roman"/>
          <w:sz w:val="24"/>
          <w:szCs w:val="24"/>
        </w:rPr>
      </w:pPr>
    </w:p>
    <w:p w:rsidR="00A919FF" w:rsidRPr="00A919FF" w:rsidRDefault="00A919FF" w:rsidP="00A919FF">
      <w:pPr>
        <w:pStyle w:val="ListParagraph"/>
        <w:spacing w:after="0" w:line="360" w:lineRule="auto"/>
        <w:jc w:val="both"/>
        <w:rPr>
          <w:rFonts w:ascii="Times New Roman" w:hAnsi="Times New Roman" w:cs="Times New Roman"/>
          <w:sz w:val="24"/>
          <w:szCs w:val="24"/>
        </w:rPr>
      </w:pPr>
    </w:p>
    <w:p w:rsidR="001D0EF6" w:rsidRPr="001D0EF6" w:rsidRDefault="001D0EF6" w:rsidP="001D0EF6">
      <w:pPr>
        <w:spacing w:after="0" w:line="360" w:lineRule="auto"/>
        <w:ind w:left="720"/>
        <w:jc w:val="both"/>
        <w:rPr>
          <w:rFonts w:ascii="Times New Roman" w:hAnsi="Times New Roman" w:cs="Times New Roman"/>
          <w:sz w:val="24"/>
          <w:szCs w:val="24"/>
        </w:rPr>
      </w:pPr>
    </w:p>
    <w:p w:rsidR="001D0EF6" w:rsidRPr="001D0EF6" w:rsidRDefault="001D0EF6" w:rsidP="001D0EF6">
      <w:pPr>
        <w:spacing w:after="0" w:line="360" w:lineRule="auto"/>
        <w:jc w:val="both"/>
        <w:rPr>
          <w:rFonts w:ascii="Times New Roman" w:hAnsi="Times New Roman" w:cs="Times New Roman"/>
          <w:sz w:val="24"/>
          <w:szCs w:val="24"/>
        </w:rPr>
      </w:pPr>
    </w:p>
    <w:p w:rsidR="00802733" w:rsidRPr="00802733" w:rsidRDefault="00802733" w:rsidP="00802733">
      <w:pPr>
        <w:pStyle w:val="ListParagraph"/>
        <w:spacing w:after="0" w:line="360" w:lineRule="auto"/>
        <w:ind w:left="360"/>
        <w:jc w:val="both"/>
        <w:rPr>
          <w:rFonts w:ascii="Times New Roman" w:hAnsi="Times New Roman" w:cs="Times New Roman"/>
          <w:sz w:val="24"/>
          <w:szCs w:val="24"/>
        </w:rPr>
      </w:pPr>
    </w:p>
    <w:sectPr w:rsidR="00802733" w:rsidRPr="0080273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341" w:rsidRDefault="00853341" w:rsidP="003E5395">
      <w:pPr>
        <w:spacing w:after="0" w:line="240" w:lineRule="auto"/>
      </w:pPr>
      <w:r>
        <w:separator/>
      </w:r>
    </w:p>
  </w:endnote>
  <w:endnote w:type="continuationSeparator" w:id="0">
    <w:p w:rsidR="00853341" w:rsidRDefault="00853341" w:rsidP="003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341" w:rsidRDefault="00853341" w:rsidP="003E5395">
      <w:pPr>
        <w:spacing w:after="0" w:line="240" w:lineRule="auto"/>
      </w:pPr>
      <w:r>
        <w:separator/>
      </w:r>
    </w:p>
  </w:footnote>
  <w:footnote w:type="continuationSeparator" w:id="0">
    <w:p w:rsidR="00853341" w:rsidRDefault="00853341" w:rsidP="003E5395">
      <w:pPr>
        <w:spacing w:after="0" w:line="240" w:lineRule="auto"/>
      </w:pPr>
      <w:r>
        <w:continuationSeparator/>
      </w:r>
    </w:p>
  </w:footnote>
  <w:footnote w:id="1">
    <w:p w:rsidR="00523B94" w:rsidRDefault="00523B94">
      <w:pPr>
        <w:pStyle w:val="FootnoteText"/>
      </w:pPr>
      <w:r>
        <w:rPr>
          <w:rStyle w:val="FootnoteReference"/>
        </w:rPr>
        <w:footnoteRef/>
      </w:r>
      <w:r>
        <w:t xml:space="preserve"> 2018 (1) ZLR 33(s) per </w:t>
      </w:r>
      <w:r w:rsidRPr="00612499">
        <w:rPr>
          <w:smallCaps/>
        </w:rPr>
        <w:t>Gowera</w:t>
      </w:r>
      <w:r>
        <w:t xml:space="preserve"> JA (as she then was) </w:t>
      </w:r>
    </w:p>
  </w:footnote>
  <w:footnote w:id="2">
    <w:p w:rsidR="00523B94" w:rsidRPr="00100108" w:rsidRDefault="00523B94">
      <w:pPr>
        <w:pStyle w:val="FootnoteText"/>
        <w:rPr>
          <w:i/>
        </w:rPr>
      </w:pPr>
      <w:r w:rsidRPr="00100108">
        <w:rPr>
          <w:rStyle w:val="FootnoteReference"/>
          <w:i/>
        </w:rPr>
        <w:footnoteRef/>
      </w:r>
      <w:r w:rsidRPr="00100108">
        <w:rPr>
          <w:i/>
        </w:rPr>
        <w:t xml:space="preserve"> Chapter 8:11</w:t>
      </w:r>
    </w:p>
  </w:footnote>
  <w:footnote w:id="3">
    <w:p w:rsidR="00523B94" w:rsidRDefault="00523B94">
      <w:pPr>
        <w:pStyle w:val="FootnoteText"/>
      </w:pPr>
      <w:r>
        <w:rPr>
          <w:rStyle w:val="FootnoteReference"/>
        </w:rPr>
        <w:footnoteRef/>
      </w:r>
      <w:r>
        <w:t xml:space="preserve"> HH 54/10. Ad also Catherine Chiwawa v Apostolos Mutzuri + 4 Others HH7/2009.</w:t>
      </w:r>
    </w:p>
  </w:footnote>
  <w:footnote w:id="4">
    <w:p w:rsidR="00523B94" w:rsidRDefault="00523B94">
      <w:pPr>
        <w:pStyle w:val="FootnoteText"/>
      </w:pPr>
      <w:r>
        <w:rPr>
          <w:rStyle w:val="FootnoteReference"/>
        </w:rPr>
        <w:footnoteRef/>
      </w:r>
      <w:r>
        <w:t xml:space="preserve"> First defendant referred the court to the matter of Jovena Energy services (Pvt) Ltd v Pickglo Trading (Pvt) Ltd HH544/15</w:t>
      </w:r>
    </w:p>
  </w:footnote>
  <w:footnote w:id="5">
    <w:p w:rsidR="00523B94" w:rsidRDefault="00523B94" w:rsidP="006B7217">
      <w:pPr>
        <w:pStyle w:val="FootnoteText"/>
      </w:pPr>
      <w:r>
        <w:rPr>
          <w:rStyle w:val="FootnoteReference"/>
        </w:rPr>
        <w:footnoteRef/>
      </w:r>
      <w:r>
        <w:t xml:space="preserve"> HC 1663/05</w:t>
      </w:r>
    </w:p>
  </w:footnote>
  <w:footnote w:id="6">
    <w:p w:rsidR="00523B94" w:rsidRDefault="00523B94" w:rsidP="006B7217">
      <w:pPr>
        <w:pStyle w:val="FootnoteText"/>
      </w:pPr>
      <w:r>
        <w:rPr>
          <w:rStyle w:val="FootnoteReference"/>
        </w:rPr>
        <w:footnoteRef/>
      </w:r>
      <w:r>
        <w:t xml:space="preserve"> HH 136/16</w:t>
      </w:r>
    </w:p>
  </w:footnote>
  <w:footnote w:id="7">
    <w:p w:rsidR="00523B94" w:rsidRDefault="00523B94" w:rsidP="006B7217">
      <w:pPr>
        <w:pStyle w:val="FootnoteText"/>
      </w:pPr>
      <w:r>
        <w:rPr>
          <w:rStyle w:val="FootnoteReference"/>
        </w:rPr>
        <w:footnoteRef/>
      </w:r>
      <w:r>
        <w:t xml:space="preserve"> Syfan Holdings Ltd v Pickering 1998 (1) ZLR 10 (S) at 19-20,</w:t>
      </w:r>
    </w:p>
    <w:p w:rsidR="00523B94" w:rsidRDefault="00523B94" w:rsidP="006B7217">
      <w:pPr>
        <w:pStyle w:val="FootnoteText"/>
      </w:pPr>
      <w:r>
        <w:t xml:space="preserve">Dube V Banana 1998 (2) ZLR (HC) at 95-96, </w:t>
      </w:r>
    </w:p>
    <w:p w:rsidR="00523B94" w:rsidRDefault="00523B94" w:rsidP="006B7217">
      <w:pPr>
        <w:pStyle w:val="FootnoteText"/>
      </w:pPr>
      <w:r>
        <w:t>Pables v Dairy Board Zimbabwe (Pvt) Ltd 1999 41 at 45-46</w:t>
      </w:r>
    </w:p>
  </w:footnote>
  <w:footnote w:id="8">
    <w:p w:rsidR="00523B94" w:rsidRDefault="00523B94" w:rsidP="006B7217">
      <w:pPr>
        <w:pStyle w:val="FootnoteText"/>
      </w:pPr>
      <w:r>
        <w:rPr>
          <w:rStyle w:val="FootnoteReference"/>
        </w:rPr>
        <w:footnoteRef/>
      </w:r>
      <w:r>
        <w:t xml:space="preserve"> Section 20 of th Prescriptio Act, Chapter 8:11</w:t>
      </w:r>
    </w:p>
  </w:footnote>
  <w:footnote w:id="9">
    <w:p w:rsidR="00523B94" w:rsidRDefault="00523B94" w:rsidP="006B7217">
      <w:pPr>
        <w:pStyle w:val="FootnoteText"/>
      </w:pPr>
      <w:r>
        <w:rPr>
          <w:rStyle w:val="FootnoteReference"/>
        </w:rPr>
        <w:footnoteRef/>
      </w:r>
      <w:r>
        <w:t xml:space="preserve"> 1933 CPD 626 at 637 per </w:t>
      </w:r>
      <w:r w:rsidRPr="00B524E7">
        <w:rPr>
          <w:smallCaps/>
        </w:rPr>
        <w:t>Watermeyer</w:t>
      </w:r>
      <w:r>
        <w:t xml:space="preserve"> J</w:t>
      </w:r>
    </w:p>
  </w:footnote>
  <w:footnote w:id="10">
    <w:p w:rsidR="00523B94" w:rsidRDefault="00523B94" w:rsidP="006B7217">
      <w:pPr>
        <w:pStyle w:val="FootnoteText"/>
      </w:pPr>
      <w:r>
        <w:rPr>
          <w:rStyle w:val="FootnoteReference"/>
        </w:rPr>
        <w:footnoteRef/>
      </w:r>
      <w:r>
        <w:t xml:space="preserve"> Professor RH Christe. Business law in Zimbabwe, Juta &amp; Co Lts 1998 ed at p 114.</w:t>
      </w:r>
    </w:p>
  </w:footnote>
  <w:footnote w:id="11">
    <w:p w:rsidR="00523B94" w:rsidRDefault="00523B94" w:rsidP="006B7217">
      <w:pPr>
        <w:pStyle w:val="FootnoteText"/>
      </w:pPr>
      <w:r>
        <w:rPr>
          <w:rStyle w:val="FootnoteReference"/>
        </w:rPr>
        <w:footnoteRef/>
      </w:r>
      <w:r>
        <w:t xml:space="preserve"> Ibid, at p 114</w:t>
      </w:r>
    </w:p>
  </w:footnote>
  <w:footnote w:id="12">
    <w:p w:rsidR="00523B94" w:rsidRDefault="00523B94" w:rsidP="006B7217">
      <w:pPr>
        <w:pStyle w:val="FootnoteText"/>
      </w:pPr>
      <w:r>
        <w:rPr>
          <w:rStyle w:val="FootnoteReference"/>
        </w:rPr>
        <w:footnoteRef/>
      </w:r>
      <w:r>
        <w:t xml:space="preserve"> 2015 (2) ZLR 5 (S) per </w:t>
      </w:r>
      <w:r w:rsidRPr="009C0890">
        <w:rPr>
          <w:smallCaps/>
        </w:rPr>
        <w:t>Garne</w:t>
      </w:r>
      <w:r>
        <w:t xml:space="preserve"> JA (as he then was) at p 12B</w:t>
      </w:r>
    </w:p>
  </w:footnote>
  <w:footnote w:id="13">
    <w:p w:rsidR="00523B94" w:rsidRDefault="00523B94" w:rsidP="006B7217">
      <w:pPr>
        <w:pStyle w:val="FootnoteText"/>
      </w:pPr>
      <w:r>
        <w:rPr>
          <w:rStyle w:val="FootnoteReference"/>
        </w:rPr>
        <w:footnoteRef/>
      </w:r>
      <w:r>
        <w:t xml:space="preserve"> See the matter of Barrel Engineering &amp; Founders (Pvt) Ltd v Bitumen Construction Services (Pvt) Ltd 2016 (2) ZLR 582 (H) at 582 F-G</w:t>
      </w:r>
    </w:p>
  </w:footnote>
  <w:footnote w:id="14">
    <w:p w:rsidR="00523B94" w:rsidRDefault="00523B94" w:rsidP="006B7217">
      <w:pPr>
        <w:pStyle w:val="FootnoteText"/>
      </w:pPr>
      <w:r>
        <w:rPr>
          <w:rStyle w:val="FootnoteReference"/>
        </w:rPr>
        <w:footnoteRef/>
      </w:r>
      <w:r>
        <w:t xml:space="preserve"> Brooker v Mudhanda &amp; Anor (supra), per </w:t>
      </w:r>
      <w:r w:rsidRPr="006F3827">
        <w:rPr>
          <w:smallCaps/>
        </w:rPr>
        <w:t xml:space="preserve">Gowora </w:t>
      </w:r>
      <w:r>
        <w:t xml:space="preserve">JA (as she then was) at 133 G </w:t>
      </w:r>
    </w:p>
  </w:footnote>
  <w:footnote w:id="15">
    <w:p w:rsidR="00523B94" w:rsidRDefault="00523B94" w:rsidP="006B7217">
      <w:pPr>
        <w:pStyle w:val="FootnoteText"/>
      </w:pPr>
      <w:r>
        <w:rPr>
          <w:rStyle w:val="FootnoteReference"/>
        </w:rPr>
        <w:footnoteRef/>
      </w:r>
      <w:r>
        <w:t xml:space="preserve"> P 90-94 of the record. </w:t>
      </w:r>
    </w:p>
  </w:footnote>
  <w:footnote w:id="16">
    <w:p w:rsidR="00523B94" w:rsidRDefault="00523B94" w:rsidP="006B7217">
      <w:pPr>
        <w:pStyle w:val="FootnoteText"/>
      </w:pPr>
      <w:r>
        <w:rPr>
          <w:rStyle w:val="FootnoteReference"/>
        </w:rPr>
        <w:footnoteRef/>
      </w:r>
      <w:r>
        <w:t xml:space="preserve"> Chapter 8:04</w:t>
      </w:r>
    </w:p>
  </w:footnote>
  <w:footnote w:id="17">
    <w:p w:rsidR="00523B94" w:rsidRDefault="00523B94" w:rsidP="006B7217">
      <w:pPr>
        <w:pStyle w:val="FootnoteText"/>
      </w:pPr>
      <w:r>
        <w:rPr>
          <w:rStyle w:val="FootnoteReference"/>
        </w:rPr>
        <w:footnoteRef/>
      </w:r>
      <w:r>
        <w:t xml:space="preserve"> Section 8 of the Act</w:t>
      </w:r>
    </w:p>
  </w:footnote>
  <w:footnote w:id="18">
    <w:p w:rsidR="00523B94" w:rsidRDefault="00523B94" w:rsidP="006B7217">
      <w:pPr>
        <w:pStyle w:val="FootnoteText"/>
      </w:pPr>
      <w:r>
        <w:rPr>
          <w:rStyle w:val="FootnoteReference"/>
        </w:rPr>
        <w:footnoteRef/>
      </w:r>
      <w:r>
        <w:t xml:space="preserve"> Leader Tread Zimbabwe (Private) Limited v Smith HH 131/03</w:t>
      </w:r>
    </w:p>
  </w:footnote>
  <w:footnote w:id="19">
    <w:p w:rsidR="00523B94" w:rsidRDefault="00523B94" w:rsidP="006B7217">
      <w:pPr>
        <w:pStyle w:val="FootnoteText"/>
      </w:pPr>
      <w:r>
        <w:rPr>
          <w:rStyle w:val="FootnoteReference"/>
        </w:rPr>
        <w:footnoteRef/>
      </w:r>
      <w:r>
        <w:t xml:space="preserve"> SC 2/17 at p 3 of the cyclostyled judgment </w:t>
      </w:r>
    </w:p>
  </w:footnote>
  <w:footnote w:id="20">
    <w:p w:rsidR="00523B94" w:rsidRDefault="00523B94" w:rsidP="006B7217">
      <w:pPr>
        <w:pStyle w:val="FootnoteText"/>
      </w:pPr>
      <w:r>
        <w:rPr>
          <w:rStyle w:val="FootnoteReference"/>
        </w:rPr>
        <w:footnoteRef/>
      </w:r>
      <w:r>
        <w:t xml:space="preserve"> Samuel Mukozho v Standard Chartered Bank of Zimbabwe Ltd. SC 73/20 per </w:t>
      </w:r>
      <w:r w:rsidRPr="009A0E93">
        <w:rPr>
          <w:smallCaps/>
        </w:rPr>
        <w:t xml:space="preserve">Makoni </w:t>
      </w:r>
      <w:r>
        <w:t>JA</w:t>
      </w:r>
    </w:p>
  </w:footnote>
  <w:footnote w:id="21">
    <w:p w:rsidR="00523B94" w:rsidRDefault="00523B94" w:rsidP="006B7217">
      <w:pPr>
        <w:pStyle w:val="FootnoteText"/>
      </w:pPr>
      <w:r>
        <w:rPr>
          <w:rStyle w:val="FootnoteReference"/>
        </w:rPr>
        <w:footnoteRef/>
      </w:r>
      <w:r>
        <w:t xml:space="preserve"> SC 25/12 per </w:t>
      </w:r>
      <w:r w:rsidRPr="008E619C">
        <w:rPr>
          <w:smallCaps/>
        </w:rPr>
        <w:t>Makarau</w:t>
      </w:r>
      <w:r>
        <w:t xml:space="preserve"> JA (as she then was) at p 8 of the cyclostyles judgment</w:t>
      </w:r>
    </w:p>
  </w:footnote>
  <w:footnote w:id="22">
    <w:p w:rsidR="00523B94" w:rsidRDefault="00523B94" w:rsidP="006B7217">
      <w:pPr>
        <w:pStyle w:val="FootnoteText"/>
      </w:pPr>
      <w:r>
        <w:rPr>
          <w:rStyle w:val="FootnoteReference"/>
        </w:rPr>
        <w:footnoteRef/>
      </w:r>
      <w:r>
        <w:t xml:space="preserve"> Johnson Ngirima &amp; Simikwe Ngorima v Admire Chemhere HH 93/21 per </w:t>
      </w:r>
      <w:r w:rsidRPr="00D6483D">
        <w:rPr>
          <w:smallCaps/>
        </w:rPr>
        <w:t>Mangota</w:t>
      </w:r>
      <w:r>
        <w:t xml:space="preserve"> J</w:t>
      </w:r>
    </w:p>
  </w:footnote>
  <w:footnote w:id="23">
    <w:p w:rsidR="00523B94" w:rsidRDefault="00523B94" w:rsidP="006B7217">
      <w:pPr>
        <w:pStyle w:val="FootnoteText"/>
      </w:pPr>
      <w:r>
        <w:rPr>
          <w:rStyle w:val="FootnoteReference"/>
        </w:rPr>
        <w:footnoteRef/>
      </w:r>
      <w:r>
        <w:t xml:space="preserve"> 1993 (1) ZLR 21 (H) at p 25</w:t>
      </w:r>
    </w:p>
  </w:footnote>
  <w:footnote w:id="24">
    <w:p w:rsidR="00523B94" w:rsidRDefault="00523B94" w:rsidP="006B7217">
      <w:pPr>
        <w:pStyle w:val="FootnoteText"/>
      </w:pPr>
      <w:r>
        <w:rPr>
          <w:rStyle w:val="FootnoteReference"/>
        </w:rPr>
        <w:footnoteRef/>
      </w:r>
      <w:r>
        <w:t xml:space="preserve"> SC 11/99 per </w:t>
      </w:r>
      <w:r w:rsidRPr="00352A2F">
        <w:rPr>
          <w:smallCaps/>
        </w:rPr>
        <w:t>Gubbay</w:t>
      </w:r>
      <w:r>
        <w:t xml:space="preserve"> CJ on p 5 of the cyclostyled judgment </w:t>
      </w:r>
    </w:p>
  </w:footnote>
  <w:footnote w:id="25">
    <w:p w:rsidR="00523B94" w:rsidRDefault="00523B94" w:rsidP="006B7217">
      <w:pPr>
        <w:pStyle w:val="FootnoteText"/>
      </w:pPr>
      <w:r>
        <w:rPr>
          <w:rStyle w:val="FootnoteReference"/>
        </w:rPr>
        <w:footnoteRef/>
      </w:r>
      <w:r>
        <w:t xml:space="preserve"> 1908 TTS 650 at 654</w:t>
      </w:r>
    </w:p>
  </w:footnote>
  <w:footnote w:id="26">
    <w:p w:rsidR="00523B94" w:rsidRDefault="00523B94" w:rsidP="006B7217">
      <w:pPr>
        <w:pStyle w:val="FootnoteText"/>
      </w:pPr>
      <w:r>
        <w:rPr>
          <w:rStyle w:val="FootnoteReference"/>
        </w:rPr>
        <w:footnoteRef/>
      </w:r>
      <w:r>
        <w:t xml:space="preserve"> 1948 (3) SA 772 (C) at 779</w:t>
      </w:r>
    </w:p>
  </w:footnote>
  <w:footnote w:id="27">
    <w:p w:rsidR="00523B94" w:rsidRDefault="00523B94" w:rsidP="006B7217">
      <w:pPr>
        <w:pStyle w:val="FootnoteText"/>
      </w:pPr>
      <w:r>
        <w:rPr>
          <w:rStyle w:val="FootnoteReference"/>
        </w:rPr>
        <w:footnoteRef/>
      </w:r>
      <w:r>
        <w:t xml:space="preserve"> 1954 (4) SA 432 (N) at 443 B-F</w:t>
      </w:r>
    </w:p>
  </w:footnote>
  <w:footnote w:id="28">
    <w:p w:rsidR="00523B94" w:rsidRDefault="00523B94" w:rsidP="006B7217">
      <w:pPr>
        <w:pStyle w:val="FootnoteText"/>
      </w:pPr>
      <w:r>
        <w:rPr>
          <w:rStyle w:val="FootnoteReference"/>
        </w:rPr>
        <w:footnoteRef/>
      </w:r>
      <w:r>
        <w:t xml:space="preserve"> Ibid on p 7 of the cyclostyled judgment</w:t>
      </w:r>
    </w:p>
  </w:footnote>
  <w:footnote w:id="29">
    <w:p w:rsidR="00523B94" w:rsidRDefault="00523B94" w:rsidP="006B7217">
      <w:pPr>
        <w:pStyle w:val="FootnoteText"/>
      </w:pPr>
      <w:r>
        <w:rPr>
          <w:rStyle w:val="FootnoteReference"/>
        </w:rPr>
        <w:footnoteRef/>
      </w:r>
      <w:r>
        <w:t xml:space="preserve"> 1999 (1) ZLR</w:t>
      </w:r>
    </w:p>
  </w:footnote>
  <w:footnote w:id="30">
    <w:p w:rsidR="00523B94" w:rsidRDefault="00523B94" w:rsidP="006B7217">
      <w:pPr>
        <w:pStyle w:val="FootnoteText"/>
      </w:pPr>
      <w:r>
        <w:rPr>
          <w:rStyle w:val="FootnoteReference"/>
        </w:rPr>
        <w:footnoteRef/>
      </w:r>
      <w:r>
        <w:t xml:space="preserve"> 2000 (1) ZLR 85 (5), See also Grandall Bros (Pvt) Ltd v Lazarus N. O &amp; Anor 1991 (2) 125 (S) </w:t>
      </w:r>
    </w:p>
  </w:footnote>
  <w:footnote w:id="31">
    <w:p w:rsidR="00523B94" w:rsidRDefault="00523B94" w:rsidP="006B7217">
      <w:pPr>
        <w:pStyle w:val="FootnoteText"/>
      </w:pPr>
      <w:r>
        <w:rPr>
          <w:rStyle w:val="FootnoteReference"/>
        </w:rPr>
        <w:footnoteRef/>
      </w:r>
      <w:r>
        <w:t xml:space="preserve"> Proline Nkomo (1) S Dzongera (2) Municipality of Bulawayo (3) E Mbudzi SC 51/2012 per </w:t>
      </w:r>
      <w:r w:rsidRPr="00D56C1C">
        <w:rPr>
          <w:smallCaps/>
        </w:rPr>
        <w:t xml:space="preserve">Malaba </w:t>
      </w:r>
      <w:r>
        <w:t>DCJ (as he then was)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560895"/>
      <w:docPartObj>
        <w:docPartGallery w:val="Page Numbers (Top of Page)"/>
        <w:docPartUnique/>
      </w:docPartObj>
    </w:sdtPr>
    <w:sdtEndPr>
      <w:rPr>
        <w:noProof/>
      </w:rPr>
    </w:sdtEndPr>
    <w:sdtContent>
      <w:p w:rsidR="00523B94" w:rsidRDefault="00523B94">
        <w:pPr>
          <w:pStyle w:val="Header"/>
          <w:jc w:val="right"/>
          <w:rPr>
            <w:noProof/>
          </w:rPr>
        </w:pPr>
        <w:r>
          <w:fldChar w:fldCharType="begin"/>
        </w:r>
        <w:r>
          <w:instrText xml:space="preserve"> PAGE   \* MERGEFORMAT </w:instrText>
        </w:r>
        <w:r>
          <w:fldChar w:fldCharType="separate"/>
        </w:r>
        <w:r w:rsidR="00E3076D">
          <w:rPr>
            <w:noProof/>
          </w:rPr>
          <w:t>1</w:t>
        </w:r>
        <w:r>
          <w:rPr>
            <w:noProof/>
          </w:rPr>
          <w:fldChar w:fldCharType="end"/>
        </w:r>
      </w:p>
      <w:p w:rsidR="00523B94" w:rsidRDefault="00523B94" w:rsidP="00855787">
        <w:pPr>
          <w:pStyle w:val="Header"/>
          <w:jc w:val="center"/>
          <w:rPr>
            <w:noProof/>
          </w:rPr>
        </w:pPr>
        <w:r>
          <w:rPr>
            <w:noProof/>
          </w:rPr>
          <w:tab/>
          <w:t xml:space="preserve">                                                                                                                                                                 HMT </w:t>
        </w:r>
        <w:r w:rsidR="00BA1E68">
          <w:rPr>
            <w:noProof/>
          </w:rPr>
          <w:t>46-</w:t>
        </w:r>
        <w:r>
          <w:rPr>
            <w:noProof/>
          </w:rPr>
          <w:t>21</w:t>
        </w:r>
      </w:p>
      <w:p w:rsidR="00523B94" w:rsidRDefault="00523B94">
        <w:pPr>
          <w:pStyle w:val="Header"/>
          <w:jc w:val="right"/>
        </w:pPr>
        <w:r>
          <w:rPr>
            <w:noProof/>
          </w:rPr>
          <w:t>HC 27/18</w:t>
        </w:r>
      </w:p>
    </w:sdtContent>
  </w:sdt>
  <w:p w:rsidR="00523B94" w:rsidRDefault="00523B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164CB"/>
    <w:multiLevelType w:val="hybridMultilevel"/>
    <w:tmpl w:val="858E1E58"/>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BD352C8"/>
    <w:multiLevelType w:val="hybridMultilevel"/>
    <w:tmpl w:val="6BDAE7F6"/>
    <w:lvl w:ilvl="0" w:tplc="8DCE799A">
      <w:start w:val="1"/>
      <w:numFmt w:val="lowerRoman"/>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 w15:restartNumberingAfterBreak="0">
    <w:nsid w:val="114F2B56"/>
    <w:multiLevelType w:val="hybridMultilevel"/>
    <w:tmpl w:val="463A7B88"/>
    <w:lvl w:ilvl="0" w:tplc="30090019">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9F449E5"/>
    <w:multiLevelType w:val="hybridMultilevel"/>
    <w:tmpl w:val="033681B2"/>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43252EE"/>
    <w:multiLevelType w:val="hybridMultilevel"/>
    <w:tmpl w:val="EF7CF156"/>
    <w:lvl w:ilvl="0" w:tplc="AF7473E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31C80D4E"/>
    <w:multiLevelType w:val="hybridMultilevel"/>
    <w:tmpl w:val="411AEAF4"/>
    <w:lvl w:ilvl="0" w:tplc="DA349CCE">
      <w:start w:val="1"/>
      <w:numFmt w:val="lowerRoman"/>
      <w:lvlText w:val="(%1)"/>
      <w:lvlJc w:val="left"/>
      <w:pPr>
        <w:ind w:left="144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2093F7F"/>
    <w:multiLevelType w:val="hybridMultilevel"/>
    <w:tmpl w:val="9DFE8A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4B70006"/>
    <w:multiLevelType w:val="hybridMultilevel"/>
    <w:tmpl w:val="1E54F8C4"/>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8DF0253"/>
    <w:multiLevelType w:val="hybridMultilevel"/>
    <w:tmpl w:val="8C46F2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91D3D67"/>
    <w:multiLevelType w:val="hybridMultilevel"/>
    <w:tmpl w:val="167CF3F6"/>
    <w:lvl w:ilvl="0" w:tplc="DA349CCE">
      <w:start w:val="1"/>
      <w:numFmt w:val="lowerRoman"/>
      <w:lvlText w:val="(%1)"/>
      <w:lvlJc w:val="left"/>
      <w:pPr>
        <w:ind w:left="1440" w:hanging="720"/>
      </w:pPr>
      <w:rPr>
        <w:rFonts w:hint="default"/>
      </w:r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39773F9F"/>
    <w:multiLevelType w:val="hybridMultilevel"/>
    <w:tmpl w:val="8E62AF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C5C45A0"/>
    <w:multiLevelType w:val="hybridMultilevel"/>
    <w:tmpl w:val="4CBADE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42BD1EF5"/>
    <w:multiLevelType w:val="hybridMultilevel"/>
    <w:tmpl w:val="C8702ECC"/>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48E419C6"/>
    <w:multiLevelType w:val="hybridMultilevel"/>
    <w:tmpl w:val="EB2A4FB8"/>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4F0D635B"/>
    <w:multiLevelType w:val="hybridMultilevel"/>
    <w:tmpl w:val="AE48974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54126FD8"/>
    <w:multiLevelType w:val="hybridMultilevel"/>
    <w:tmpl w:val="6748AC8A"/>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58883355"/>
    <w:multiLevelType w:val="hybridMultilevel"/>
    <w:tmpl w:val="DD34A8D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61733BDC"/>
    <w:multiLevelType w:val="hybridMultilevel"/>
    <w:tmpl w:val="BD8421AE"/>
    <w:lvl w:ilvl="0" w:tplc="7ADA634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61AE0B25"/>
    <w:multiLevelType w:val="hybridMultilevel"/>
    <w:tmpl w:val="E10AC152"/>
    <w:lvl w:ilvl="0" w:tplc="C52EFC1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15:restartNumberingAfterBreak="0">
    <w:nsid w:val="659E3605"/>
    <w:multiLevelType w:val="hybridMultilevel"/>
    <w:tmpl w:val="00EA723A"/>
    <w:lvl w:ilvl="0" w:tplc="44944DA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66784638"/>
    <w:multiLevelType w:val="hybridMultilevel"/>
    <w:tmpl w:val="EB3AC624"/>
    <w:lvl w:ilvl="0" w:tplc="3009000F">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1" w15:restartNumberingAfterBreak="0">
    <w:nsid w:val="6867130D"/>
    <w:multiLevelType w:val="hybridMultilevel"/>
    <w:tmpl w:val="A6BAC756"/>
    <w:lvl w:ilvl="0" w:tplc="F9D854E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70861086"/>
    <w:multiLevelType w:val="hybridMultilevel"/>
    <w:tmpl w:val="179E52D0"/>
    <w:lvl w:ilvl="0" w:tplc="BCE063E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75785B98"/>
    <w:multiLevelType w:val="hybridMultilevel"/>
    <w:tmpl w:val="F6E42BB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759515CE"/>
    <w:multiLevelType w:val="hybridMultilevel"/>
    <w:tmpl w:val="A3709A44"/>
    <w:lvl w:ilvl="0" w:tplc="2E1404C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793537FE"/>
    <w:multiLevelType w:val="hybridMultilevel"/>
    <w:tmpl w:val="FA567BFA"/>
    <w:lvl w:ilvl="0" w:tplc="943C2C9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7C75578B"/>
    <w:multiLevelType w:val="hybridMultilevel"/>
    <w:tmpl w:val="4972EB0A"/>
    <w:lvl w:ilvl="0" w:tplc="3009000F">
      <w:start w:val="1"/>
      <w:numFmt w:val="decimal"/>
      <w:lvlText w:val="%1."/>
      <w:lvlJc w:val="left"/>
      <w:pPr>
        <w:ind w:left="720" w:hanging="360"/>
      </w:pPr>
      <w:rPr>
        <w:rFonts w:hint="default"/>
      </w:rPr>
    </w:lvl>
    <w:lvl w:ilvl="1" w:tplc="7BDC2CB8">
      <w:start w:val="1"/>
      <w:numFmt w:val="lowerRoman"/>
      <w:lvlText w:val="(%2)"/>
      <w:lvlJc w:val="left"/>
      <w:pPr>
        <w:ind w:left="1800" w:hanging="720"/>
      </w:pPr>
      <w:rPr>
        <w:rFonts w:hint="default"/>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7DBB32F5"/>
    <w:multiLevelType w:val="hybridMultilevel"/>
    <w:tmpl w:val="49ACB23C"/>
    <w:lvl w:ilvl="0" w:tplc="948AF46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7FC154A7"/>
    <w:multiLevelType w:val="hybridMultilevel"/>
    <w:tmpl w:val="2F24C5B0"/>
    <w:lvl w:ilvl="0" w:tplc="B2C22D4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7"/>
  </w:num>
  <w:num w:numId="2">
    <w:abstractNumId w:val="22"/>
  </w:num>
  <w:num w:numId="3">
    <w:abstractNumId w:val="18"/>
  </w:num>
  <w:num w:numId="4">
    <w:abstractNumId w:val="28"/>
  </w:num>
  <w:num w:numId="5">
    <w:abstractNumId w:val="0"/>
  </w:num>
  <w:num w:numId="6">
    <w:abstractNumId w:val="6"/>
  </w:num>
  <w:num w:numId="7">
    <w:abstractNumId w:val="10"/>
  </w:num>
  <w:num w:numId="8">
    <w:abstractNumId w:val="11"/>
  </w:num>
  <w:num w:numId="9">
    <w:abstractNumId w:val="25"/>
  </w:num>
  <w:num w:numId="10">
    <w:abstractNumId w:val="24"/>
  </w:num>
  <w:num w:numId="11">
    <w:abstractNumId w:val="3"/>
  </w:num>
  <w:num w:numId="12">
    <w:abstractNumId w:val="12"/>
  </w:num>
  <w:num w:numId="13">
    <w:abstractNumId w:val="20"/>
  </w:num>
  <w:num w:numId="14">
    <w:abstractNumId w:val="17"/>
  </w:num>
  <w:num w:numId="15">
    <w:abstractNumId w:val="16"/>
  </w:num>
  <w:num w:numId="16">
    <w:abstractNumId w:val="8"/>
  </w:num>
  <w:num w:numId="17">
    <w:abstractNumId w:val="4"/>
  </w:num>
  <w:num w:numId="18">
    <w:abstractNumId w:val="1"/>
  </w:num>
  <w:num w:numId="19">
    <w:abstractNumId w:val="14"/>
  </w:num>
  <w:num w:numId="20">
    <w:abstractNumId w:val="15"/>
  </w:num>
  <w:num w:numId="21">
    <w:abstractNumId w:val="23"/>
  </w:num>
  <w:num w:numId="22">
    <w:abstractNumId w:val="2"/>
  </w:num>
  <w:num w:numId="23">
    <w:abstractNumId w:val="21"/>
  </w:num>
  <w:num w:numId="24">
    <w:abstractNumId w:val="26"/>
  </w:num>
  <w:num w:numId="25">
    <w:abstractNumId w:val="19"/>
  </w:num>
  <w:num w:numId="26">
    <w:abstractNumId w:val="9"/>
  </w:num>
  <w:num w:numId="27">
    <w:abstractNumId w:val="5"/>
  </w:num>
  <w:num w:numId="28">
    <w:abstractNumId w:val="7"/>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64"/>
    <w:rsid w:val="0000253C"/>
    <w:rsid w:val="00007201"/>
    <w:rsid w:val="00015B3F"/>
    <w:rsid w:val="0001654B"/>
    <w:rsid w:val="00031394"/>
    <w:rsid w:val="00035A08"/>
    <w:rsid w:val="00046B81"/>
    <w:rsid w:val="00060456"/>
    <w:rsid w:val="00070E72"/>
    <w:rsid w:val="00075172"/>
    <w:rsid w:val="000823DB"/>
    <w:rsid w:val="00086DAF"/>
    <w:rsid w:val="000872C0"/>
    <w:rsid w:val="00087474"/>
    <w:rsid w:val="00094436"/>
    <w:rsid w:val="000A3A8A"/>
    <w:rsid w:val="000B6666"/>
    <w:rsid w:val="000C0432"/>
    <w:rsid w:val="000C6489"/>
    <w:rsid w:val="000D7608"/>
    <w:rsid w:val="000E19AD"/>
    <w:rsid w:val="000E29AE"/>
    <w:rsid w:val="000E4BD2"/>
    <w:rsid w:val="000F4D02"/>
    <w:rsid w:val="000F552B"/>
    <w:rsid w:val="000F7DC3"/>
    <w:rsid w:val="00100108"/>
    <w:rsid w:val="00104509"/>
    <w:rsid w:val="00104802"/>
    <w:rsid w:val="0010488F"/>
    <w:rsid w:val="00104A86"/>
    <w:rsid w:val="00107CF2"/>
    <w:rsid w:val="00114297"/>
    <w:rsid w:val="00115148"/>
    <w:rsid w:val="0012359E"/>
    <w:rsid w:val="001303FB"/>
    <w:rsid w:val="00131408"/>
    <w:rsid w:val="0013250A"/>
    <w:rsid w:val="00133179"/>
    <w:rsid w:val="001346D4"/>
    <w:rsid w:val="001401A7"/>
    <w:rsid w:val="00142AE6"/>
    <w:rsid w:val="00144471"/>
    <w:rsid w:val="00145950"/>
    <w:rsid w:val="00146D70"/>
    <w:rsid w:val="00154188"/>
    <w:rsid w:val="00157298"/>
    <w:rsid w:val="00175541"/>
    <w:rsid w:val="001831DC"/>
    <w:rsid w:val="001869FA"/>
    <w:rsid w:val="0018710C"/>
    <w:rsid w:val="001905B9"/>
    <w:rsid w:val="00191595"/>
    <w:rsid w:val="001B1CCB"/>
    <w:rsid w:val="001D0EF6"/>
    <w:rsid w:val="001D4EA3"/>
    <w:rsid w:val="001D6B8A"/>
    <w:rsid w:val="001F0D4B"/>
    <w:rsid w:val="001F363F"/>
    <w:rsid w:val="001F6DBC"/>
    <w:rsid w:val="00206CE9"/>
    <w:rsid w:val="00207AA5"/>
    <w:rsid w:val="00210185"/>
    <w:rsid w:val="00212CE8"/>
    <w:rsid w:val="002152F5"/>
    <w:rsid w:val="0021639B"/>
    <w:rsid w:val="00216ACB"/>
    <w:rsid w:val="002255C4"/>
    <w:rsid w:val="00232F04"/>
    <w:rsid w:val="00240A7F"/>
    <w:rsid w:val="0026084F"/>
    <w:rsid w:val="00263CC0"/>
    <w:rsid w:val="002651F1"/>
    <w:rsid w:val="0026554D"/>
    <w:rsid w:val="002719BB"/>
    <w:rsid w:val="00293DDA"/>
    <w:rsid w:val="002B1FD1"/>
    <w:rsid w:val="002B4DFB"/>
    <w:rsid w:val="002B6C6F"/>
    <w:rsid w:val="002C0702"/>
    <w:rsid w:val="002C2ABB"/>
    <w:rsid w:val="002C5760"/>
    <w:rsid w:val="002D0861"/>
    <w:rsid w:val="002D6085"/>
    <w:rsid w:val="002F42D8"/>
    <w:rsid w:val="00321A76"/>
    <w:rsid w:val="00324C23"/>
    <w:rsid w:val="00326FB2"/>
    <w:rsid w:val="00330E73"/>
    <w:rsid w:val="00331A0F"/>
    <w:rsid w:val="00333E84"/>
    <w:rsid w:val="00342C46"/>
    <w:rsid w:val="00345FA5"/>
    <w:rsid w:val="00346764"/>
    <w:rsid w:val="003501AA"/>
    <w:rsid w:val="0036388D"/>
    <w:rsid w:val="00364128"/>
    <w:rsid w:val="003646BB"/>
    <w:rsid w:val="00365BA4"/>
    <w:rsid w:val="00370944"/>
    <w:rsid w:val="00373A5E"/>
    <w:rsid w:val="0037425C"/>
    <w:rsid w:val="003744AE"/>
    <w:rsid w:val="00377F21"/>
    <w:rsid w:val="00385C46"/>
    <w:rsid w:val="00385FBF"/>
    <w:rsid w:val="00390475"/>
    <w:rsid w:val="00393D1D"/>
    <w:rsid w:val="003A03EE"/>
    <w:rsid w:val="003A1B0C"/>
    <w:rsid w:val="003A532A"/>
    <w:rsid w:val="003A689C"/>
    <w:rsid w:val="003A7E8F"/>
    <w:rsid w:val="003B4880"/>
    <w:rsid w:val="003C3485"/>
    <w:rsid w:val="003C419F"/>
    <w:rsid w:val="003E4B54"/>
    <w:rsid w:val="003E5395"/>
    <w:rsid w:val="00412DB0"/>
    <w:rsid w:val="00422BB4"/>
    <w:rsid w:val="0042341D"/>
    <w:rsid w:val="00424213"/>
    <w:rsid w:val="004317B4"/>
    <w:rsid w:val="00433E81"/>
    <w:rsid w:val="0043664D"/>
    <w:rsid w:val="00437482"/>
    <w:rsid w:val="00440E65"/>
    <w:rsid w:val="004410A9"/>
    <w:rsid w:val="004518E0"/>
    <w:rsid w:val="004531A1"/>
    <w:rsid w:val="00453E5C"/>
    <w:rsid w:val="004579C9"/>
    <w:rsid w:val="004657C4"/>
    <w:rsid w:val="004664E5"/>
    <w:rsid w:val="0047505A"/>
    <w:rsid w:val="00482DDB"/>
    <w:rsid w:val="0049155D"/>
    <w:rsid w:val="004A4490"/>
    <w:rsid w:val="004A470A"/>
    <w:rsid w:val="004B6682"/>
    <w:rsid w:val="004B6AD9"/>
    <w:rsid w:val="004C20E4"/>
    <w:rsid w:val="004C7797"/>
    <w:rsid w:val="004E379D"/>
    <w:rsid w:val="004E4F8A"/>
    <w:rsid w:val="004E5E8F"/>
    <w:rsid w:val="005004F7"/>
    <w:rsid w:val="00502BFA"/>
    <w:rsid w:val="00507AC3"/>
    <w:rsid w:val="00510927"/>
    <w:rsid w:val="0051683D"/>
    <w:rsid w:val="00521BAC"/>
    <w:rsid w:val="0052397F"/>
    <w:rsid w:val="00523B94"/>
    <w:rsid w:val="005322CE"/>
    <w:rsid w:val="005341C0"/>
    <w:rsid w:val="00542EE0"/>
    <w:rsid w:val="00552BB1"/>
    <w:rsid w:val="0055509D"/>
    <w:rsid w:val="005550B0"/>
    <w:rsid w:val="0056036F"/>
    <w:rsid w:val="00566DB6"/>
    <w:rsid w:val="0058164A"/>
    <w:rsid w:val="005A7E4B"/>
    <w:rsid w:val="005B25C7"/>
    <w:rsid w:val="005B500D"/>
    <w:rsid w:val="005B7780"/>
    <w:rsid w:val="005C78D9"/>
    <w:rsid w:val="005D2951"/>
    <w:rsid w:val="005E24A7"/>
    <w:rsid w:val="005E6229"/>
    <w:rsid w:val="005F4B9F"/>
    <w:rsid w:val="005F58C1"/>
    <w:rsid w:val="005F593A"/>
    <w:rsid w:val="00602A50"/>
    <w:rsid w:val="00612499"/>
    <w:rsid w:val="006278A4"/>
    <w:rsid w:val="00630461"/>
    <w:rsid w:val="00641E2D"/>
    <w:rsid w:val="006449F4"/>
    <w:rsid w:val="006501C0"/>
    <w:rsid w:val="00657959"/>
    <w:rsid w:val="00665AC1"/>
    <w:rsid w:val="00673EA2"/>
    <w:rsid w:val="00675630"/>
    <w:rsid w:val="00683914"/>
    <w:rsid w:val="006919BD"/>
    <w:rsid w:val="00692CDE"/>
    <w:rsid w:val="00697515"/>
    <w:rsid w:val="006B07BA"/>
    <w:rsid w:val="006B3EB8"/>
    <w:rsid w:val="006B7217"/>
    <w:rsid w:val="006C0175"/>
    <w:rsid w:val="006C1A1B"/>
    <w:rsid w:val="006C51BE"/>
    <w:rsid w:val="006C5CF3"/>
    <w:rsid w:val="006C7C6C"/>
    <w:rsid w:val="006D02F0"/>
    <w:rsid w:val="006D0597"/>
    <w:rsid w:val="006D1676"/>
    <w:rsid w:val="006D7C95"/>
    <w:rsid w:val="006E2BA9"/>
    <w:rsid w:val="006E66A3"/>
    <w:rsid w:val="006E67BA"/>
    <w:rsid w:val="006F0C8B"/>
    <w:rsid w:val="006F49A8"/>
    <w:rsid w:val="00704248"/>
    <w:rsid w:val="00707AF7"/>
    <w:rsid w:val="00730B17"/>
    <w:rsid w:val="007415FF"/>
    <w:rsid w:val="00741DEC"/>
    <w:rsid w:val="00750A6D"/>
    <w:rsid w:val="0075634C"/>
    <w:rsid w:val="00757054"/>
    <w:rsid w:val="00761CA3"/>
    <w:rsid w:val="00764B32"/>
    <w:rsid w:val="00770839"/>
    <w:rsid w:val="007909D0"/>
    <w:rsid w:val="00791502"/>
    <w:rsid w:val="007A0DFC"/>
    <w:rsid w:val="007A2F04"/>
    <w:rsid w:val="007B2C3B"/>
    <w:rsid w:val="007C2C22"/>
    <w:rsid w:val="007E4C33"/>
    <w:rsid w:val="00802733"/>
    <w:rsid w:val="00805DCD"/>
    <w:rsid w:val="008060D2"/>
    <w:rsid w:val="0081189A"/>
    <w:rsid w:val="00816002"/>
    <w:rsid w:val="00822032"/>
    <w:rsid w:val="00830B4E"/>
    <w:rsid w:val="008353EF"/>
    <w:rsid w:val="00837D2B"/>
    <w:rsid w:val="00837E7A"/>
    <w:rsid w:val="0084018D"/>
    <w:rsid w:val="00840687"/>
    <w:rsid w:val="00843203"/>
    <w:rsid w:val="008440BC"/>
    <w:rsid w:val="00846DF9"/>
    <w:rsid w:val="00853341"/>
    <w:rsid w:val="00855787"/>
    <w:rsid w:val="00867A47"/>
    <w:rsid w:val="00870133"/>
    <w:rsid w:val="00872263"/>
    <w:rsid w:val="00877572"/>
    <w:rsid w:val="008822DF"/>
    <w:rsid w:val="00882EFC"/>
    <w:rsid w:val="008860BF"/>
    <w:rsid w:val="0089426E"/>
    <w:rsid w:val="008A1AA0"/>
    <w:rsid w:val="008A3B76"/>
    <w:rsid w:val="008A548F"/>
    <w:rsid w:val="008A7A06"/>
    <w:rsid w:val="008B62BE"/>
    <w:rsid w:val="008B78D0"/>
    <w:rsid w:val="008C2682"/>
    <w:rsid w:val="008D53D8"/>
    <w:rsid w:val="008D6254"/>
    <w:rsid w:val="008D6C83"/>
    <w:rsid w:val="008E23DD"/>
    <w:rsid w:val="008E40E4"/>
    <w:rsid w:val="008E4C7C"/>
    <w:rsid w:val="008E5B68"/>
    <w:rsid w:val="008F46C9"/>
    <w:rsid w:val="008F5CA2"/>
    <w:rsid w:val="009276F5"/>
    <w:rsid w:val="00930673"/>
    <w:rsid w:val="0093576D"/>
    <w:rsid w:val="009567BC"/>
    <w:rsid w:val="0096091F"/>
    <w:rsid w:val="009649B0"/>
    <w:rsid w:val="00966FB7"/>
    <w:rsid w:val="00973D9E"/>
    <w:rsid w:val="00975813"/>
    <w:rsid w:val="00977B05"/>
    <w:rsid w:val="00981CE7"/>
    <w:rsid w:val="00982D2A"/>
    <w:rsid w:val="009846C9"/>
    <w:rsid w:val="009A4A95"/>
    <w:rsid w:val="009B473A"/>
    <w:rsid w:val="009C0597"/>
    <w:rsid w:val="009C25C3"/>
    <w:rsid w:val="009C4425"/>
    <w:rsid w:val="009C62AC"/>
    <w:rsid w:val="009D4440"/>
    <w:rsid w:val="009D768A"/>
    <w:rsid w:val="009E0F4F"/>
    <w:rsid w:val="009E3A63"/>
    <w:rsid w:val="009E5892"/>
    <w:rsid w:val="009E5A8B"/>
    <w:rsid w:val="009F33A9"/>
    <w:rsid w:val="00A152BF"/>
    <w:rsid w:val="00A203AA"/>
    <w:rsid w:val="00A246EA"/>
    <w:rsid w:val="00A25E88"/>
    <w:rsid w:val="00A26DE8"/>
    <w:rsid w:val="00A26EE4"/>
    <w:rsid w:val="00A32A82"/>
    <w:rsid w:val="00A337EB"/>
    <w:rsid w:val="00A4284B"/>
    <w:rsid w:val="00A51BAC"/>
    <w:rsid w:val="00A54D67"/>
    <w:rsid w:val="00A606BA"/>
    <w:rsid w:val="00A6501D"/>
    <w:rsid w:val="00A777C6"/>
    <w:rsid w:val="00A77FD6"/>
    <w:rsid w:val="00A919FF"/>
    <w:rsid w:val="00A926E2"/>
    <w:rsid w:val="00AB1FC1"/>
    <w:rsid w:val="00AC2C5E"/>
    <w:rsid w:val="00AD214D"/>
    <w:rsid w:val="00AD2DB7"/>
    <w:rsid w:val="00AD6211"/>
    <w:rsid w:val="00AD679C"/>
    <w:rsid w:val="00AD7F6D"/>
    <w:rsid w:val="00AE0B32"/>
    <w:rsid w:val="00AF183B"/>
    <w:rsid w:val="00AF5344"/>
    <w:rsid w:val="00B017EC"/>
    <w:rsid w:val="00B0195F"/>
    <w:rsid w:val="00B03D14"/>
    <w:rsid w:val="00B13338"/>
    <w:rsid w:val="00B358D8"/>
    <w:rsid w:val="00B37D8F"/>
    <w:rsid w:val="00B53B5C"/>
    <w:rsid w:val="00B556FE"/>
    <w:rsid w:val="00B57151"/>
    <w:rsid w:val="00B61079"/>
    <w:rsid w:val="00B75F82"/>
    <w:rsid w:val="00B835DC"/>
    <w:rsid w:val="00BA167A"/>
    <w:rsid w:val="00BA1E68"/>
    <w:rsid w:val="00BA6405"/>
    <w:rsid w:val="00BC384B"/>
    <w:rsid w:val="00BC3CF7"/>
    <w:rsid w:val="00BC434C"/>
    <w:rsid w:val="00BD7B47"/>
    <w:rsid w:val="00BE3F52"/>
    <w:rsid w:val="00BE41E7"/>
    <w:rsid w:val="00BF1BC7"/>
    <w:rsid w:val="00C0408D"/>
    <w:rsid w:val="00C2159D"/>
    <w:rsid w:val="00C23BF8"/>
    <w:rsid w:val="00C2493F"/>
    <w:rsid w:val="00C26757"/>
    <w:rsid w:val="00C37FDA"/>
    <w:rsid w:val="00C40160"/>
    <w:rsid w:val="00C414B0"/>
    <w:rsid w:val="00C452B1"/>
    <w:rsid w:val="00C45A43"/>
    <w:rsid w:val="00C53876"/>
    <w:rsid w:val="00C66C23"/>
    <w:rsid w:val="00C670F6"/>
    <w:rsid w:val="00C739E0"/>
    <w:rsid w:val="00C836E2"/>
    <w:rsid w:val="00C958A8"/>
    <w:rsid w:val="00C975A1"/>
    <w:rsid w:val="00CA0BC0"/>
    <w:rsid w:val="00CA2375"/>
    <w:rsid w:val="00CA307F"/>
    <w:rsid w:val="00CA3AAC"/>
    <w:rsid w:val="00CA4FD6"/>
    <w:rsid w:val="00CB1376"/>
    <w:rsid w:val="00CB17FE"/>
    <w:rsid w:val="00CB4795"/>
    <w:rsid w:val="00CB5917"/>
    <w:rsid w:val="00CC354B"/>
    <w:rsid w:val="00CC3C3C"/>
    <w:rsid w:val="00CD0187"/>
    <w:rsid w:val="00CD0AE3"/>
    <w:rsid w:val="00CD474E"/>
    <w:rsid w:val="00CF0C1A"/>
    <w:rsid w:val="00CF16F2"/>
    <w:rsid w:val="00CF7133"/>
    <w:rsid w:val="00D045DA"/>
    <w:rsid w:val="00D13C32"/>
    <w:rsid w:val="00D36A3C"/>
    <w:rsid w:val="00D420AA"/>
    <w:rsid w:val="00D4482E"/>
    <w:rsid w:val="00D47BF5"/>
    <w:rsid w:val="00D5301E"/>
    <w:rsid w:val="00D566D7"/>
    <w:rsid w:val="00D62441"/>
    <w:rsid w:val="00D64A97"/>
    <w:rsid w:val="00D74042"/>
    <w:rsid w:val="00D75E50"/>
    <w:rsid w:val="00D76C2E"/>
    <w:rsid w:val="00D83AAE"/>
    <w:rsid w:val="00DA3C48"/>
    <w:rsid w:val="00DA4125"/>
    <w:rsid w:val="00DA45E5"/>
    <w:rsid w:val="00DB5CD7"/>
    <w:rsid w:val="00DC2361"/>
    <w:rsid w:val="00DD4D1C"/>
    <w:rsid w:val="00DD7805"/>
    <w:rsid w:val="00DE436F"/>
    <w:rsid w:val="00DE4DDC"/>
    <w:rsid w:val="00DF173C"/>
    <w:rsid w:val="00DF625D"/>
    <w:rsid w:val="00E01DD1"/>
    <w:rsid w:val="00E06E5B"/>
    <w:rsid w:val="00E10353"/>
    <w:rsid w:val="00E15381"/>
    <w:rsid w:val="00E22432"/>
    <w:rsid w:val="00E23D1C"/>
    <w:rsid w:val="00E3076D"/>
    <w:rsid w:val="00E40DD1"/>
    <w:rsid w:val="00E41127"/>
    <w:rsid w:val="00E5276D"/>
    <w:rsid w:val="00E52DE5"/>
    <w:rsid w:val="00E544DA"/>
    <w:rsid w:val="00E549E3"/>
    <w:rsid w:val="00E54CD7"/>
    <w:rsid w:val="00E5553B"/>
    <w:rsid w:val="00E559DE"/>
    <w:rsid w:val="00E572B9"/>
    <w:rsid w:val="00E623EF"/>
    <w:rsid w:val="00E62895"/>
    <w:rsid w:val="00E6790A"/>
    <w:rsid w:val="00E71CF7"/>
    <w:rsid w:val="00E76D40"/>
    <w:rsid w:val="00E80662"/>
    <w:rsid w:val="00E83CCE"/>
    <w:rsid w:val="00E873C4"/>
    <w:rsid w:val="00E87F63"/>
    <w:rsid w:val="00E970A9"/>
    <w:rsid w:val="00EA1EF1"/>
    <w:rsid w:val="00EA4024"/>
    <w:rsid w:val="00EA6A1E"/>
    <w:rsid w:val="00EC2ADA"/>
    <w:rsid w:val="00EC486F"/>
    <w:rsid w:val="00ED1285"/>
    <w:rsid w:val="00ED26C2"/>
    <w:rsid w:val="00ED62DC"/>
    <w:rsid w:val="00EE60B7"/>
    <w:rsid w:val="00EE76F4"/>
    <w:rsid w:val="00EE78D1"/>
    <w:rsid w:val="00EF03A1"/>
    <w:rsid w:val="00EF05BC"/>
    <w:rsid w:val="00EF1166"/>
    <w:rsid w:val="00EF4577"/>
    <w:rsid w:val="00F073EF"/>
    <w:rsid w:val="00F10BB4"/>
    <w:rsid w:val="00F12ECC"/>
    <w:rsid w:val="00F20763"/>
    <w:rsid w:val="00F22EC1"/>
    <w:rsid w:val="00F3419D"/>
    <w:rsid w:val="00F402FC"/>
    <w:rsid w:val="00F57624"/>
    <w:rsid w:val="00F637B7"/>
    <w:rsid w:val="00F65722"/>
    <w:rsid w:val="00F72DB2"/>
    <w:rsid w:val="00F76C89"/>
    <w:rsid w:val="00F9038C"/>
    <w:rsid w:val="00F940B7"/>
    <w:rsid w:val="00F96775"/>
    <w:rsid w:val="00FB437C"/>
    <w:rsid w:val="00FB56C1"/>
    <w:rsid w:val="00FB5D61"/>
    <w:rsid w:val="00FC4172"/>
    <w:rsid w:val="00FD0426"/>
    <w:rsid w:val="00FE08D7"/>
    <w:rsid w:val="00FF3FB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DA677-DA1C-4D99-A94D-D919C965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395"/>
  </w:style>
  <w:style w:type="paragraph" w:styleId="Footer">
    <w:name w:val="footer"/>
    <w:basedOn w:val="Normal"/>
    <w:link w:val="FooterChar"/>
    <w:uiPriority w:val="99"/>
    <w:unhideWhenUsed/>
    <w:rsid w:val="003E5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395"/>
  </w:style>
  <w:style w:type="paragraph" w:styleId="ListParagraph">
    <w:name w:val="List Paragraph"/>
    <w:basedOn w:val="Normal"/>
    <w:uiPriority w:val="34"/>
    <w:qFormat/>
    <w:rsid w:val="00837D2B"/>
    <w:pPr>
      <w:ind w:left="720"/>
      <w:contextualSpacing/>
    </w:pPr>
  </w:style>
  <w:style w:type="paragraph" w:styleId="FootnoteText">
    <w:name w:val="footnote text"/>
    <w:basedOn w:val="Normal"/>
    <w:link w:val="FootnoteTextChar"/>
    <w:uiPriority w:val="99"/>
    <w:semiHidden/>
    <w:unhideWhenUsed/>
    <w:rsid w:val="00837D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D2B"/>
    <w:rPr>
      <w:sz w:val="20"/>
      <w:szCs w:val="20"/>
    </w:rPr>
  </w:style>
  <w:style w:type="character" w:styleId="FootnoteReference">
    <w:name w:val="footnote reference"/>
    <w:basedOn w:val="DefaultParagraphFont"/>
    <w:uiPriority w:val="99"/>
    <w:semiHidden/>
    <w:unhideWhenUsed/>
    <w:rsid w:val="00837D2B"/>
    <w:rPr>
      <w:vertAlign w:val="superscript"/>
    </w:rPr>
  </w:style>
  <w:style w:type="paragraph" w:styleId="BalloonText">
    <w:name w:val="Balloon Text"/>
    <w:basedOn w:val="Normal"/>
    <w:link w:val="BalloonTextChar"/>
    <w:uiPriority w:val="99"/>
    <w:semiHidden/>
    <w:unhideWhenUsed/>
    <w:rsid w:val="00123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59E"/>
    <w:rPr>
      <w:rFonts w:ascii="Segoe UI" w:hAnsi="Segoe UI" w:cs="Segoe UI"/>
      <w:sz w:val="18"/>
      <w:szCs w:val="18"/>
    </w:rPr>
  </w:style>
  <w:style w:type="character" w:styleId="CommentReference">
    <w:name w:val="annotation reference"/>
    <w:basedOn w:val="DefaultParagraphFont"/>
    <w:uiPriority w:val="99"/>
    <w:semiHidden/>
    <w:unhideWhenUsed/>
    <w:rsid w:val="0056036F"/>
    <w:rPr>
      <w:sz w:val="16"/>
      <w:szCs w:val="16"/>
    </w:rPr>
  </w:style>
  <w:style w:type="paragraph" w:styleId="CommentText">
    <w:name w:val="annotation text"/>
    <w:basedOn w:val="Normal"/>
    <w:link w:val="CommentTextChar"/>
    <w:uiPriority w:val="99"/>
    <w:semiHidden/>
    <w:unhideWhenUsed/>
    <w:rsid w:val="0056036F"/>
    <w:pPr>
      <w:spacing w:line="240" w:lineRule="auto"/>
    </w:pPr>
    <w:rPr>
      <w:sz w:val="20"/>
      <w:szCs w:val="20"/>
    </w:rPr>
  </w:style>
  <w:style w:type="character" w:customStyle="1" w:styleId="CommentTextChar">
    <w:name w:val="Comment Text Char"/>
    <w:basedOn w:val="DefaultParagraphFont"/>
    <w:link w:val="CommentText"/>
    <w:uiPriority w:val="99"/>
    <w:semiHidden/>
    <w:rsid w:val="0056036F"/>
    <w:rPr>
      <w:sz w:val="20"/>
      <w:szCs w:val="20"/>
    </w:rPr>
  </w:style>
  <w:style w:type="paragraph" w:styleId="CommentSubject">
    <w:name w:val="annotation subject"/>
    <w:basedOn w:val="CommentText"/>
    <w:next w:val="CommentText"/>
    <w:link w:val="CommentSubjectChar"/>
    <w:uiPriority w:val="99"/>
    <w:semiHidden/>
    <w:unhideWhenUsed/>
    <w:rsid w:val="0056036F"/>
    <w:rPr>
      <w:b/>
      <w:bCs/>
    </w:rPr>
  </w:style>
  <w:style w:type="character" w:customStyle="1" w:styleId="CommentSubjectChar">
    <w:name w:val="Comment Subject Char"/>
    <w:basedOn w:val="CommentTextChar"/>
    <w:link w:val="CommentSubject"/>
    <w:uiPriority w:val="99"/>
    <w:semiHidden/>
    <w:rsid w:val="005603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596C2-1287-4BA0-9FC8-46AC8014E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10512</Words>
  <Characters>59924</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2021-07-30T08:01:00Z</cp:lastPrinted>
  <dcterms:created xsi:type="dcterms:W3CDTF">2021-07-30T08:32:00Z</dcterms:created>
  <dcterms:modified xsi:type="dcterms:W3CDTF">2021-07-30T08:32:00Z</dcterms:modified>
</cp:coreProperties>
</file>