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594" w:rsidRDefault="000E1594" w:rsidP="000E1594">
      <w:pPr>
        <w:spacing w:line="360" w:lineRule="auto"/>
        <w:jc w:val="both"/>
        <w:rPr>
          <w:b/>
          <w:sz w:val="22"/>
          <w:szCs w:val="22"/>
        </w:rPr>
      </w:pPr>
      <w:r>
        <w:rPr>
          <w:b/>
          <w:sz w:val="22"/>
          <w:szCs w:val="22"/>
        </w:rPr>
        <w:t>IN THE LABOUR COURT OF ZIMBABWE</w:t>
      </w:r>
      <w:r>
        <w:rPr>
          <w:b/>
          <w:sz w:val="22"/>
          <w:szCs w:val="22"/>
        </w:rPr>
        <w:tab/>
        <w:t xml:space="preserve">                 JUDGMENT NO. LC/H/</w:t>
      </w:r>
      <w:r w:rsidR="00EC57B0">
        <w:rPr>
          <w:b/>
          <w:sz w:val="22"/>
          <w:szCs w:val="22"/>
        </w:rPr>
        <w:t>120</w:t>
      </w:r>
      <w:r>
        <w:rPr>
          <w:b/>
          <w:sz w:val="22"/>
          <w:szCs w:val="22"/>
        </w:rPr>
        <w:t>/2014</w:t>
      </w:r>
    </w:p>
    <w:p w:rsidR="000E1594" w:rsidRDefault="000E1594" w:rsidP="000E1594">
      <w:pPr>
        <w:spacing w:line="360" w:lineRule="auto"/>
        <w:jc w:val="both"/>
        <w:rPr>
          <w:b/>
          <w:sz w:val="22"/>
          <w:szCs w:val="22"/>
        </w:rPr>
      </w:pPr>
      <w:r>
        <w:rPr>
          <w:b/>
          <w:sz w:val="22"/>
          <w:szCs w:val="22"/>
        </w:rPr>
        <w:t xml:space="preserve">HARARE, </w:t>
      </w:r>
      <w:r w:rsidR="00DB0EEE">
        <w:rPr>
          <w:b/>
          <w:sz w:val="22"/>
          <w:szCs w:val="22"/>
        </w:rPr>
        <w:t>24</w:t>
      </w:r>
      <w:r w:rsidR="00EC57B0">
        <w:rPr>
          <w:b/>
          <w:sz w:val="22"/>
          <w:szCs w:val="22"/>
        </w:rPr>
        <w:t xml:space="preserve"> FEBRUARY 2014                                               </w:t>
      </w:r>
      <w:r>
        <w:rPr>
          <w:b/>
          <w:sz w:val="22"/>
          <w:szCs w:val="22"/>
        </w:rPr>
        <w:t>CASE NO. LC/</w:t>
      </w:r>
      <w:r w:rsidR="00DB0EEE">
        <w:rPr>
          <w:b/>
          <w:sz w:val="22"/>
          <w:szCs w:val="22"/>
        </w:rPr>
        <w:t>MC/21/12</w:t>
      </w:r>
      <w:r>
        <w:rPr>
          <w:b/>
          <w:sz w:val="22"/>
          <w:szCs w:val="22"/>
        </w:rPr>
        <w:t xml:space="preserve"> </w:t>
      </w:r>
    </w:p>
    <w:p w:rsidR="00EC57B0" w:rsidRDefault="00EC57B0" w:rsidP="000E1594">
      <w:pPr>
        <w:spacing w:line="360" w:lineRule="auto"/>
        <w:jc w:val="both"/>
        <w:rPr>
          <w:b/>
          <w:sz w:val="22"/>
          <w:szCs w:val="22"/>
        </w:rPr>
      </w:pPr>
      <w:r>
        <w:rPr>
          <w:b/>
          <w:sz w:val="22"/>
          <w:szCs w:val="22"/>
        </w:rPr>
        <w:t>&amp; 14 MARCH 2014</w:t>
      </w:r>
    </w:p>
    <w:p w:rsidR="000E1594" w:rsidRDefault="000E1594" w:rsidP="000E1594">
      <w:pPr>
        <w:spacing w:line="360" w:lineRule="auto"/>
        <w:jc w:val="both"/>
      </w:pPr>
    </w:p>
    <w:p w:rsidR="000E1594" w:rsidRDefault="00DB0EEE" w:rsidP="000E1594">
      <w:pPr>
        <w:spacing w:line="360" w:lineRule="auto"/>
        <w:jc w:val="both"/>
        <w:rPr>
          <w:b/>
        </w:rPr>
      </w:pPr>
      <w:r>
        <w:rPr>
          <w:b/>
        </w:rPr>
        <w:t>NMB BANK LTD</w:t>
      </w:r>
      <w:r>
        <w:rPr>
          <w:b/>
        </w:rPr>
        <w:tab/>
      </w:r>
      <w:r>
        <w:rPr>
          <w:b/>
        </w:rPr>
        <w:tab/>
      </w:r>
      <w:r>
        <w:rPr>
          <w:b/>
        </w:rPr>
        <w:tab/>
      </w:r>
      <w:r>
        <w:rPr>
          <w:b/>
        </w:rPr>
        <w:tab/>
      </w:r>
      <w:r>
        <w:rPr>
          <w:b/>
        </w:rPr>
        <w:tab/>
      </w:r>
      <w:r>
        <w:rPr>
          <w:b/>
        </w:rPr>
        <w:tab/>
        <w:t xml:space="preserve">Applicant </w:t>
      </w:r>
    </w:p>
    <w:p w:rsidR="00EC57B0" w:rsidRDefault="00EC57B0" w:rsidP="000E1594">
      <w:pPr>
        <w:spacing w:line="360" w:lineRule="auto"/>
        <w:jc w:val="both"/>
        <w:rPr>
          <w:b/>
        </w:rPr>
      </w:pPr>
    </w:p>
    <w:p w:rsidR="000E1594" w:rsidRDefault="00DB0EEE" w:rsidP="000E1594">
      <w:pPr>
        <w:spacing w:line="360" w:lineRule="auto"/>
        <w:jc w:val="both"/>
        <w:rPr>
          <w:b/>
        </w:rPr>
      </w:pPr>
      <w:r>
        <w:rPr>
          <w:b/>
        </w:rPr>
        <w:t>LANCY MAKANDE</w:t>
      </w:r>
      <w:r>
        <w:rPr>
          <w:b/>
        </w:rPr>
        <w:tab/>
      </w:r>
      <w:r w:rsidR="000E1594">
        <w:rPr>
          <w:b/>
        </w:rPr>
        <w:tab/>
      </w:r>
      <w:r w:rsidR="000E1594">
        <w:rPr>
          <w:b/>
        </w:rPr>
        <w:tab/>
      </w:r>
      <w:r w:rsidR="000E1594">
        <w:rPr>
          <w:b/>
        </w:rPr>
        <w:tab/>
      </w:r>
      <w:r w:rsidR="000E1594">
        <w:rPr>
          <w:b/>
        </w:rPr>
        <w:tab/>
      </w:r>
      <w:r w:rsidR="000E1594">
        <w:rPr>
          <w:b/>
        </w:rPr>
        <w:tab/>
        <w:t>Respondent</w:t>
      </w:r>
    </w:p>
    <w:p w:rsidR="000E1594" w:rsidRDefault="000E1594" w:rsidP="000E1594">
      <w:pPr>
        <w:spacing w:line="360" w:lineRule="auto"/>
        <w:jc w:val="both"/>
        <w:rPr>
          <w:b/>
        </w:rPr>
      </w:pPr>
    </w:p>
    <w:p w:rsidR="000E1594" w:rsidRDefault="000E1594" w:rsidP="000E1594">
      <w:pPr>
        <w:spacing w:line="360" w:lineRule="auto"/>
        <w:jc w:val="both"/>
      </w:pPr>
      <w:r w:rsidRPr="00BA331A">
        <w:rPr>
          <w:b/>
        </w:rPr>
        <w:t>Before The Hono</w:t>
      </w:r>
      <w:r w:rsidR="00BA331A" w:rsidRPr="00BA331A">
        <w:rPr>
          <w:b/>
        </w:rPr>
        <w:t>u</w:t>
      </w:r>
      <w:r w:rsidRPr="00BA331A">
        <w:rPr>
          <w:b/>
        </w:rPr>
        <w:t>rable</w:t>
      </w:r>
      <w:r>
        <w:t xml:space="preserve"> </w:t>
      </w:r>
      <w:r w:rsidR="00DB0EEE" w:rsidRPr="00EC57B0">
        <w:rPr>
          <w:b/>
        </w:rPr>
        <w:t>G. Musariri</w:t>
      </w:r>
      <w:r w:rsidRPr="00EC57B0">
        <w:rPr>
          <w:b/>
        </w:rPr>
        <w:t>, Judge</w:t>
      </w:r>
    </w:p>
    <w:p w:rsidR="000E1594" w:rsidRDefault="000E1594" w:rsidP="000E1594">
      <w:pPr>
        <w:spacing w:line="360" w:lineRule="auto"/>
        <w:jc w:val="both"/>
      </w:pPr>
    </w:p>
    <w:p w:rsidR="000E1594" w:rsidRDefault="000E1594" w:rsidP="000E1594">
      <w:pPr>
        <w:spacing w:line="360" w:lineRule="auto"/>
        <w:jc w:val="both"/>
        <w:rPr>
          <w:b/>
        </w:rPr>
      </w:pPr>
      <w:r>
        <w:rPr>
          <w:b/>
        </w:rPr>
        <w:t>For App</w:t>
      </w:r>
      <w:r w:rsidR="00DB0EEE">
        <w:rPr>
          <w:b/>
        </w:rPr>
        <w:t>licant</w:t>
      </w:r>
      <w:r>
        <w:rPr>
          <w:b/>
        </w:rPr>
        <w:tab/>
      </w:r>
      <w:r>
        <w:rPr>
          <w:b/>
        </w:rPr>
        <w:tab/>
        <w:t xml:space="preserve">Mr. </w:t>
      </w:r>
      <w:r w:rsidR="002C5F05">
        <w:rPr>
          <w:b/>
        </w:rPr>
        <w:t>S. Sadomba, Attorney</w:t>
      </w:r>
    </w:p>
    <w:p w:rsidR="000E1594" w:rsidRDefault="000E1594" w:rsidP="00B57ED0">
      <w:pPr>
        <w:jc w:val="both"/>
        <w:rPr>
          <w:b/>
        </w:rPr>
      </w:pPr>
      <w:r>
        <w:rPr>
          <w:b/>
        </w:rPr>
        <w:tab/>
      </w:r>
    </w:p>
    <w:p w:rsidR="000E1594" w:rsidRDefault="000E1594" w:rsidP="000E1594">
      <w:pPr>
        <w:spacing w:line="360" w:lineRule="auto"/>
        <w:jc w:val="both"/>
        <w:rPr>
          <w:b/>
        </w:rPr>
      </w:pPr>
      <w:r>
        <w:rPr>
          <w:b/>
        </w:rPr>
        <w:t>For Respondent</w:t>
      </w:r>
      <w:r>
        <w:rPr>
          <w:b/>
        </w:rPr>
        <w:tab/>
      </w:r>
      <w:r>
        <w:rPr>
          <w:b/>
        </w:rPr>
        <w:tab/>
      </w:r>
      <w:r w:rsidR="001E425D">
        <w:rPr>
          <w:b/>
        </w:rPr>
        <w:t>Mr.</w:t>
      </w:r>
      <w:r w:rsidR="002C5F05">
        <w:rPr>
          <w:b/>
        </w:rPr>
        <w:t xml:space="preserve"> L. Makande, Respondent </w:t>
      </w:r>
    </w:p>
    <w:p w:rsidR="002C5F05" w:rsidRDefault="002C5F05" w:rsidP="000E1594">
      <w:pPr>
        <w:spacing w:line="360" w:lineRule="auto"/>
        <w:jc w:val="both"/>
        <w:rPr>
          <w:b/>
          <w:sz w:val="28"/>
          <w:szCs w:val="28"/>
        </w:rPr>
      </w:pPr>
    </w:p>
    <w:p w:rsidR="000E1594" w:rsidRDefault="002C5F05" w:rsidP="000E1594">
      <w:pPr>
        <w:spacing w:line="360" w:lineRule="auto"/>
        <w:jc w:val="both"/>
        <w:rPr>
          <w:b/>
        </w:rPr>
      </w:pPr>
      <w:r>
        <w:rPr>
          <w:b/>
        </w:rPr>
        <w:t>MUSARIRI G</w:t>
      </w:r>
      <w:r w:rsidR="000E1594">
        <w:rPr>
          <w:b/>
        </w:rPr>
        <w:t>:</w:t>
      </w:r>
    </w:p>
    <w:p w:rsidR="002C5F05" w:rsidRDefault="002C5F05" w:rsidP="000E1594">
      <w:pPr>
        <w:spacing w:line="360" w:lineRule="auto"/>
        <w:jc w:val="both"/>
        <w:rPr>
          <w:b/>
        </w:rPr>
      </w:pPr>
    </w:p>
    <w:p w:rsidR="002C5F05" w:rsidRDefault="002C5F05" w:rsidP="000E1594">
      <w:pPr>
        <w:spacing w:line="360" w:lineRule="auto"/>
        <w:jc w:val="both"/>
      </w:pPr>
      <w:r>
        <w:t>Applicant’s sole ground for review is worded as follows,</w:t>
      </w:r>
    </w:p>
    <w:p w:rsidR="002C5F05" w:rsidRDefault="002C5F05" w:rsidP="006A2A86">
      <w:pPr>
        <w:jc w:val="both"/>
      </w:pPr>
    </w:p>
    <w:p w:rsidR="002C5F05" w:rsidRPr="006A2A86" w:rsidRDefault="002C5F05" w:rsidP="006A2A86">
      <w:pPr>
        <w:spacing w:line="276" w:lineRule="auto"/>
        <w:ind w:left="720"/>
        <w:jc w:val="both"/>
        <w:rPr>
          <w:sz w:val="22"/>
          <w:szCs w:val="22"/>
        </w:rPr>
      </w:pPr>
      <w:r>
        <w:t>“</w:t>
      </w:r>
      <w:r w:rsidRPr="006A2A86">
        <w:rPr>
          <w:sz w:val="22"/>
          <w:szCs w:val="22"/>
        </w:rPr>
        <w:t xml:space="preserve">The </w:t>
      </w:r>
      <w:r w:rsidR="00C665B9" w:rsidRPr="006A2A86">
        <w:rPr>
          <w:sz w:val="22"/>
          <w:szCs w:val="22"/>
        </w:rPr>
        <w:t>NEC</w:t>
      </w:r>
      <w:r w:rsidRPr="006A2A86">
        <w:rPr>
          <w:sz w:val="22"/>
          <w:szCs w:val="22"/>
        </w:rPr>
        <w:t xml:space="preserve"> Appeals Board misdirected itself in failing to deal with the two appeals separately, as directed by the order of the Labour Court dated </w:t>
      </w:r>
      <w:r w:rsidRPr="006A2A86">
        <w:rPr>
          <w:sz w:val="22"/>
          <w:szCs w:val="22"/>
          <w:u w:val="single"/>
        </w:rPr>
        <w:t>20 October 2011</w:t>
      </w:r>
      <w:r w:rsidRPr="006A2A86">
        <w:rPr>
          <w:sz w:val="22"/>
          <w:szCs w:val="22"/>
        </w:rPr>
        <w:t xml:space="preserve">. By lumping the two appeals the </w:t>
      </w:r>
      <w:r w:rsidR="00C665B9" w:rsidRPr="006A2A86">
        <w:rPr>
          <w:sz w:val="22"/>
          <w:szCs w:val="22"/>
        </w:rPr>
        <w:t>NEC</w:t>
      </w:r>
      <w:r w:rsidRPr="006A2A86">
        <w:rPr>
          <w:sz w:val="22"/>
          <w:szCs w:val="22"/>
        </w:rPr>
        <w:t xml:space="preserve"> Appeals Board acted unprocedurally </w:t>
      </w:r>
      <w:r w:rsidR="00295C82" w:rsidRPr="006A2A86">
        <w:rPr>
          <w:sz w:val="22"/>
          <w:szCs w:val="22"/>
        </w:rPr>
        <w:t>and in defiance of the order of the Labour Court.”</w:t>
      </w:r>
    </w:p>
    <w:p w:rsidR="00295C82" w:rsidRPr="006A2A86" w:rsidRDefault="00295C82" w:rsidP="006A2A86">
      <w:pPr>
        <w:jc w:val="both"/>
        <w:rPr>
          <w:sz w:val="22"/>
          <w:szCs w:val="22"/>
        </w:rPr>
      </w:pPr>
    </w:p>
    <w:p w:rsidR="00295C82" w:rsidRDefault="00295C82" w:rsidP="000E1594">
      <w:pPr>
        <w:spacing w:line="360" w:lineRule="auto"/>
        <w:jc w:val="both"/>
      </w:pPr>
      <w:r>
        <w:t>The relevant portion of this Court</w:t>
      </w:r>
      <w:r w:rsidR="0063777C">
        <w:t>’</w:t>
      </w:r>
      <w:r>
        <w:t>s order in question ordered that,</w:t>
      </w:r>
    </w:p>
    <w:p w:rsidR="00295C82" w:rsidRDefault="00295C82" w:rsidP="006A2A86">
      <w:pPr>
        <w:jc w:val="both"/>
      </w:pPr>
    </w:p>
    <w:p w:rsidR="00295C82" w:rsidRDefault="00295C82" w:rsidP="006A2A86">
      <w:pPr>
        <w:spacing w:line="276" w:lineRule="auto"/>
        <w:ind w:left="720"/>
        <w:jc w:val="both"/>
      </w:pPr>
      <w:r>
        <w:t>“</w:t>
      </w:r>
      <w:r w:rsidRPr="006A2A86">
        <w:rPr>
          <w:sz w:val="22"/>
          <w:szCs w:val="22"/>
        </w:rPr>
        <w:t xml:space="preserve">2. The matter is remitted back to the </w:t>
      </w:r>
      <w:r w:rsidR="00C665B9" w:rsidRPr="006A2A86">
        <w:rPr>
          <w:sz w:val="22"/>
          <w:szCs w:val="22"/>
        </w:rPr>
        <w:t>NEC</w:t>
      </w:r>
      <w:r w:rsidRPr="006A2A86">
        <w:rPr>
          <w:sz w:val="22"/>
          <w:szCs w:val="22"/>
        </w:rPr>
        <w:t xml:space="preserve"> for it to deal with the two (2) appeals separately</w:t>
      </w:r>
      <w:r>
        <w:t>;”</w:t>
      </w:r>
    </w:p>
    <w:p w:rsidR="00295C82" w:rsidRDefault="00295C82" w:rsidP="006A2A86">
      <w:pPr>
        <w:jc w:val="both"/>
      </w:pPr>
    </w:p>
    <w:p w:rsidR="00295C82" w:rsidRDefault="00295C82" w:rsidP="000E1594">
      <w:pPr>
        <w:spacing w:line="360" w:lineRule="auto"/>
        <w:jc w:val="both"/>
      </w:pPr>
      <w:r>
        <w:t xml:space="preserve">The two appeals concerned Respondent’s </w:t>
      </w:r>
      <w:r w:rsidRPr="00295C82">
        <w:rPr>
          <w:u w:val="single"/>
        </w:rPr>
        <w:t>demotion</w:t>
      </w:r>
      <w:r>
        <w:t xml:space="preserve"> and later </w:t>
      </w:r>
      <w:r w:rsidRPr="00295C82">
        <w:rPr>
          <w:u w:val="single"/>
        </w:rPr>
        <w:t>dismissal</w:t>
      </w:r>
      <w:r>
        <w:t xml:space="preserve"> by Applicant.</w:t>
      </w:r>
    </w:p>
    <w:p w:rsidR="00295C82" w:rsidRDefault="00295C82" w:rsidP="006A2A86">
      <w:pPr>
        <w:jc w:val="both"/>
      </w:pPr>
    </w:p>
    <w:p w:rsidR="0063777C" w:rsidRDefault="00295C82" w:rsidP="000E1594">
      <w:pPr>
        <w:spacing w:line="360" w:lineRule="auto"/>
        <w:jc w:val="both"/>
      </w:pPr>
      <w:r>
        <w:t xml:space="preserve">The </w:t>
      </w:r>
      <w:r w:rsidR="00EF17C4">
        <w:t>NEC</w:t>
      </w:r>
      <w:r>
        <w:t xml:space="preserve">’s determination dated </w:t>
      </w:r>
      <w:r w:rsidRPr="00295C82">
        <w:rPr>
          <w:u w:val="single"/>
        </w:rPr>
        <w:t>30</w:t>
      </w:r>
      <w:r w:rsidRPr="00295C82">
        <w:rPr>
          <w:u w:val="single"/>
          <w:vertAlign w:val="superscript"/>
        </w:rPr>
        <w:t>th</w:t>
      </w:r>
      <w:r w:rsidRPr="00295C82">
        <w:rPr>
          <w:u w:val="single"/>
        </w:rPr>
        <w:t xml:space="preserve"> March 2012</w:t>
      </w:r>
      <w:r>
        <w:t xml:space="preserve"> is filed of record.  Under the </w:t>
      </w:r>
      <w:r w:rsidR="00F74B3C">
        <w:t>subtitled</w:t>
      </w:r>
      <w:r>
        <w:t xml:space="preserve"> “Background”, it </w:t>
      </w:r>
      <w:r w:rsidR="001E425D">
        <w:t>acknowledged this</w:t>
      </w:r>
      <w:r w:rsidR="00F74B3C">
        <w:t xml:space="preserve"> Court’s order thus,</w:t>
      </w:r>
    </w:p>
    <w:p w:rsidR="0063777C" w:rsidRDefault="00F74B3C" w:rsidP="0063777C">
      <w:pPr>
        <w:jc w:val="both"/>
      </w:pPr>
      <w:r>
        <w:t xml:space="preserve"> </w:t>
      </w:r>
    </w:p>
    <w:p w:rsidR="00663FBC" w:rsidRDefault="00F74B3C" w:rsidP="000E1594">
      <w:pPr>
        <w:spacing w:line="360" w:lineRule="auto"/>
        <w:jc w:val="both"/>
      </w:pPr>
      <w:r>
        <w:t xml:space="preserve">“The Labour Court remitted the matter to the </w:t>
      </w:r>
      <w:r w:rsidR="00EF17C4">
        <w:t>NEC</w:t>
      </w:r>
      <w:r>
        <w:t xml:space="preserve"> to deal with the two cases separately.”  Under the subtitle “</w:t>
      </w:r>
      <w:r w:rsidR="00EF17C4">
        <w:t>NEC</w:t>
      </w:r>
      <w:r>
        <w:t xml:space="preserve"> Appeals Board analysis of </w:t>
      </w:r>
      <w:r w:rsidR="006F4BE5">
        <w:t>matter” it</w:t>
      </w:r>
      <w:r>
        <w:t xml:space="preserve"> proceeded </w:t>
      </w:r>
    </w:p>
    <w:p w:rsidR="00663FBC" w:rsidRDefault="00663FBC" w:rsidP="000E1594">
      <w:pPr>
        <w:spacing w:line="360" w:lineRule="auto"/>
        <w:jc w:val="both"/>
      </w:pPr>
    </w:p>
    <w:p w:rsidR="00663FBC" w:rsidRDefault="00663FBC" w:rsidP="000E1594">
      <w:pPr>
        <w:spacing w:line="360" w:lineRule="auto"/>
        <w:jc w:val="both"/>
      </w:pPr>
    </w:p>
    <w:p w:rsidR="00663FBC" w:rsidRDefault="00663FBC" w:rsidP="000E1594">
      <w:pPr>
        <w:spacing w:line="360" w:lineRule="auto"/>
        <w:jc w:val="both"/>
      </w:pPr>
    </w:p>
    <w:p w:rsidR="00663FBC" w:rsidRDefault="00663FBC" w:rsidP="000E1594">
      <w:pPr>
        <w:spacing w:line="360" w:lineRule="auto"/>
        <w:jc w:val="both"/>
      </w:pPr>
    </w:p>
    <w:p w:rsidR="00663FBC" w:rsidRDefault="00663FBC" w:rsidP="000E1594">
      <w:pPr>
        <w:spacing w:line="360" w:lineRule="auto"/>
        <w:jc w:val="both"/>
      </w:pPr>
    </w:p>
    <w:p w:rsidR="00F74B3C" w:rsidRDefault="00F74B3C" w:rsidP="000E1594">
      <w:pPr>
        <w:spacing w:line="360" w:lineRule="auto"/>
        <w:jc w:val="both"/>
      </w:pPr>
      <w:r>
        <w:t>to deal with the appeals.  It began as follows’</w:t>
      </w:r>
    </w:p>
    <w:p w:rsidR="00F74B3C" w:rsidRDefault="00F74B3C" w:rsidP="000E1594">
      <w:pPr>
        <w:spacing w:line="360" w:lineRule="auto"/>
        <w:jc w:val="both"/>
      </w:pPr>
    </w:p>
    <w:p w:rsidR="00295C82" w:rsidRDefault="00F74B3C" w:rsidP="006A2A86">
      <w:pPr>
        <w:pStyle w:val="NoSpacing"/>
        <w:spacing w:line="276" w:lineRule="auto"/>
        <w:ind w:left="720"/>
        <w:jc w:val="both"/>
      </w:pPr>
      <w:r>
        <w:t>“</w:t>
      </w:r>
      <w:r w:rsidRPr="006A2A86">
        <w:rPr>
          <w:sz w:val="22"/>
          <w:szCs w:val="22"/>
        </w:rPr>
        <w:t xml:space="preserve">In dealing with the matter the </w:t>
      </w:r>
      <w:r w:rsidR="00EF17C4" w:rsidRPr="006A2A86">
        <w:rPr>
          <w:sz w:val="22"/>
          <w:szCs w:val="22"/>
        </w:rPr>
        <w:t>NEC</w:t>
      </w:r>
      <w:r w:rsidRPr="006A2A86">
        <w:rPr>
          <w:sz w:val="22"/>
          <w:szCs w:val="22"/>
        </w:rPr>
        <w:t xml:space="preserve"> considered the effect of the first </w:t>
      </w:r>
      <w:r w:rsidRPr="006A2A86">
        <w:rPr>
          <w:sz w:val="22"/>
          <w:szCs w:val="22"/>
          <w:u w:val="single"/>
        </w:rPr>
        <w:t>appeal</w:t>
      </w:r>
      <w:r w:rsidR="006F4BE5" w:rsidRPr="006A2A86">
        <w:rPr>
          <w:sz w:val="22"/>
          <w:szCs w:val="22"/>
        </w:rPr>
        <w:t xml:space="preserve"> after</w:t>
      </w:r>
      <w:r w:rsidRPr="006A2A86">
        <w:rPr>
          <w:sz w:val="22"/>
          <w:szCs w:val="22"/>
        </w:rPr>
        <w:t xml:space="preserve"> </w:t>
      </w:r>
      <w:r w:rsidR="006F4BE5" w:rsidRPr="006A2A86">
        <w:rPr>
          <w:sz w:val="22"/>
          <w:szCs w:val="22"/>
        </w:rPr>
        <w:t>the G &amp; DC imposed the sanction of a final written warning and demotion on appellant</w:t>
      </w:r>
      <w:r w:rsidR="006F4BE5">
        <w:t>.”</w:t>
      </w:r>
    </w:p>
    <w:p w:rsidR="006F4BE5" w:rsidRDefault="006F4BE5" w:rsidP="006A2A86">
      <w:pPr>
        <w:jc w:val="both"/>
      </w:pPr>
    </w:p>
    <w:p w:rsidR="006F4BE5" w:rsidRDefault="006F4BE5" w:rsidP="000E1594">
      <w:pPr>
        <w:spacing w:line="360" w:lineRule="auto"/>
        <w:jc w:val="both"/>
      </w:pPr>
      <w:r>
        <w:t>It reasoned that,</w:t>
      </w:r>
    </w:p>
    <w:p w:rsidR="006F4BE5" w:rsidRDefault="006F4BE5" w:rsidP="006A2A86">
      <w:pPr>
        <w:jc w:val="both"/>
      </w:pPr>
    </w:p>
    <w:p w:rsidR="006F4BE5" w:rsidRDefault="006F4BE5" w:rsidP="006A2A86">
      <w:pPr>
        <w:spacing w:line="276" w:lineRule="auto"/>
        <w:ind w:left="720"/>
        <w:jc w:val="both"/>
      </w:pPr>
      <w:r>
        <w:t>“</w:t>
      </w:r>
      <w:r w:rsidRPr="006A2A86">
        <w:rPr>
          <w:sz w:val="22"/>
          <w:szCs w:val="22"/>
        </w:rPr>
        <w:t xml:space="preserve">The penalty of </w:t>
      </w:r>
      <w:r w:rsidRPr="006A2A86">
        <w:rPr>
          <w:sz w:val="22"/>
          <w:szCs w:val="22"/>
          <w:u w:val="single"/>
        </w:rPr>
        <w:t>demotion</w:t>
      </w:r>
      <w:r w:rsidRPr="006A2A86">
        <w:rPr>
          <w:sz w:val="22"/>
          <w:szCs w:val="22"/>
        </w:rPr>
        <w:t xml:space="preserve"> imposed on the employee was viewed by the </w:t>
      </w:r>
      <w:r w:rsidR="00EF17C4" w:rsidRPr="006A2A86">
        <w:rPr>
          <w:sz w:val="22"/>
          <w:szCs w:val="22"/>
        </w:rPr>
        <w:t>NEC</w:t>
      </w:r>
      <w:r w:rsidRPr="006A2A86">
        <w:rPr>
          <w:sz w:val="22"/>
          <w:szCs w:val="22"/>
        </w:rPr>
        <w:t xml:space="preserve"> as too severe, and that it was going to </w:t>
      </w:r>
      <w:r w:rsidR="00663FBC">
        <w:rPr>
          <w:sz w:val="22"/>
          <w:szCs w:val="22"/>
        </w:rPr>
        <w:t>materially</w:t>
      </w:r>
      <w:r w:rsidRPr="006A2A86">
        <w:rPr>
          <w:sz w:val="22"/>
          <w:szCs w:val="22"/>
        </w:rPr>
        <w:t xml:space="preserve"> change the contract of employment</w:t>
      </w:r>
      <w:r>
        <w:t>.”</w:t>
      </w:r>
      <w:r w:rsidR="00EF17C4">
        <w:t xml:space="preserve"> </w:t>
      </w:r>
    </w:p>
    <w:p w:rsidR="00EF17C4" w:rsidRDefault="00EF17C4" w:rsidP="006A2A86">
      <w:pPr>
        <w:jc w:val="both"/>
      </w:pPr>
    </w:p>
    <w:p w:rsidR="00EF17C4" w:rsidRDefault="00EF17C4" w:rsidP="000E1594">
      <w:pPr>
        <w:spacing w:line="360" w:lineRule="auto"/>
        <w:jc w:val="both"/>
      </w:pPr>
      <w:r>
        <w:t>It then determined that,</w:t>
      </w:r>
    </w:p>
    <w:p w:rsidR="00EF17C4" w:rsidRDefault="00EF17C4" w:rsidP="006A2A86">
      <w:pPr>
        <w:jc w:val="both"/>
      </w:pPr>
    </w:p>
    <w:p w:rsidR="00EF17C4" w:rsidRPr="006A2A86" w:rsidRDefault="00EF17C4" w:rsidP="006A2A86">
      <w:pPr>
        <w:spacing w:line="276" w:lineRule="auto"/>
        <w:ind w:left="720"/>
        <w:jc w:val="both"/>
        <w:rPr>
          <w:sz w:val="22"/>
          <w:szCs w:val="22"/>
        </w:rPr>
      </w:pPr>
      <w:r>
        <w:t>“</w:t>
      </w:r>
      <w:r w:rsidRPr="006A2A86">
        <w:rPr>
          <w:sz w:val="22"/>
          <w:szCs w:val="22"/>
        </w:rPr>
        <w:t xml:space="preserve">For the reasons given above, the NEC </w:t>
      </w:r>
      <w:r w:rsidR="00C665B9" w:rsidRPr="006A2A86">
        <w:rPr>
          <w:sz w:val="22"/>
          <w:szCs w:val="22"/>
        </w:rPr>
        <w:t>a</w:t>
      </w:r>
      <w:r w:rsidRPr="006A2A86">
        <w:rPr>
          <w:sz w:val="22"/>
          <w:szCs w:val="22"/>
        </w:rPr>
        <w:t>ppeal</w:t>
      </w:r>
      <w:r w:rsidR="00C665B9" w:rsidRPr="006A2A86">
        <w:rPr>
          <w:sz w:val="22"/>
          <w:szCs w:val="22"/>
        </w:rPr>
        <w:t>s</w:t>
      </w:r>
      <w:r w:rsidRPr="006A2A86">
        <w:rPr>
          <w:sz w:val="22"/>
          <w:szCs w:val="22"/>
        </w:rPr>
        <w:t xml:space="preserve"> </w:t>
      </w:r>
      <w:r w:rsidR="00C665B9" w:rsidRPr="006A2A86">
        <w:rPr>
          <w:sz w:val="22"/>
          <w:szCs w:val="22"/>
        </w:rPr>
        <w:t>b</w:t>
      </w:r>
      <w:r w:rsidRPr="006A2A86">
        <w:rPr>
          <w:sz w:val="22"/>
          <w:szCs w:val="22"/>
        </w:rPr>
        <w:t xml:space="preserve">oard </w:t>
      </w:r>
      <w:r w:rsidR="00663FBC">
        <w:rPr>
          <w:sz w:val="22"/>
          <w:szCs w:val="22"/>
        </w:rPr>
        <w:t>varied</w:t>
      </w:r>
      <w:r w:rsidRPr="006A2A86">
        <w:rPr>
          <w:sz w:val="22"/>
          <w:szCs w:val="22"/>
        </w:rPr>
        <w:t xml:space="preserve"> the decision of G &amp; DC by removing the aspect of </w:t>
      </w:r>
      <w:r w:rsidR="00C665B9" w:rsidRPr="006A2A86">
        <w:rPr>
          <w:sz w:val="22"/>
          <w:szCs w:val="22"/>
        </w:rPr>
        <w:t>demotion while retaining the final written verdict.”</w:t>
      </w:r>
      <w:r w:rsidRPr="006A2A86">
        <w:rPr>
          <w:sz w:val="22"/>
          <w:szCs w:val="22"/>
        </w:rPr>
        <w:t xml:space="preserve"> </w:t>
      </w:r>
    </w:p>
    <w:p w:rsidR="00C665B9" w:rsidRPr="006A2A86" w:rsidRDefault="00C665B9" w:rsidP="006A2A86">
      <w:pPr>
        <w:jc w:val="both"/>
        <w:rPr>
          <w:sz w:val="22"/>
          <w:szCs w:val="22"/>
        </w:rPr>
      </w:pPr>
    </w:p>
    <w:p w:rsidR="00C665B9" w:rsidRDefault="00C665B9" w:rsidP="000E1594">
      <w:pPr>
        <w:spacing w:line="360" w:lineRule="auto"/>
        <w:jc w:val="both"/>
      </w:pPr>
      <w:r>
        <w:t xml:space="preserve">It is clear that the aforequoted analysis and determination dealt separately with the </w:t>
      </w:r>
      <w:r w:rsidR="00663FBC">
        <w:t>first</w:t>
      </w:r>
      <w:r>
        <w:t xml:space="preserve"> appeal against demotion.  The NEC then went further to rule that</w:t>
      </w:r>
      <w:r w:rsidR="00663FBC">
        <w:t>,</w:t>
      </w:r>
    </w:p>
    <w:p w:rsidR="00C665B9" w:rsidRDefault="00C665B9" w:rsidP="006A2A86">
      <w:pPr>
        <w:jc w:val="both"/>
      </w:pPr>
    </w:p>
    <w:p w:rsidR="00C665B9" w:rsidRPr="006A2A86" w:rsidRDefault="00C665B9" w:rsidP="006A2A86">
      <w:pPr>
        <w:spacing w:line="276" w:lineRule="auto"/>
        <w:ind w:left="720"/>
        <w:jc w:val="both"/>
        <w:rPr>
          <w:sz w:val="22"/>
          <w:szCs w:val="22"/>
        </w:rPr>
      </w:pPr>
      <w:r>
        <w:t>“</w:t>
      </w:r>
      <w:r w:rsidRPr="006A2A86">
        <w:rPr>
          <w:sz w:val="22"/>
          <w:szCs w:val="22"/>
        </w:rPr>
        <w:t xml:space="preserve">For the avoidance of doubt the purported transfer was illegal as it was linked to the faulty decision of the G &amp; DC.  Accordingly, the purported </w:t>
      </w:r>
      <w:r w:rsidRPr="006A2A86">
        <w:rPr>
          <w:sz w:val="22"/>
          <w:szCs w:val="22"/>
          <w:u w:val="single"/>
        </w:rPr>
        <w:t>second hearing and its outcome</w:t>
      </w:r>
      <w:r w:rsidRPr="006A2A86">
        <w:rPr>
          <w:sz w:val="22"/>
          <w:szCs w:val="22"/>
        </w:rPr>
        <w:t xml:space="preserve"> (dismissal)</w:t>
      </w:r>
      <w:r w:rsidR="001E425D" w:rsidRPr="006A2A86">
        <w:rPr>
          <w:sz w:val="22"/>
          <w:szCs w:val="22"/>
        </w:rPr>
        <w:t xml:space="preserve"> is an event that never took place in the </w:t>
      </w:r>
      <w:r w:rsidR="00663FBC">
        <w:rPr>
          <w:sz w:val="22"/>
          <w:szCs w:val="22"/>
        </w:rPr>
        <w:t>eyes</w:t>
      </w:r>
      <w:r w:rsidR="001E425D" w:rsidRPr="006A2A86">
        <w:rPr>
          <w:sz w:val="22"/>
          <w:szCs w:val="22"/>
        </w:rPr>
        <w:t xml:space="preserve"> of the law.”</w:t>
      </w:r>
    </w:p>
    <w:p w:rsidR="001E425D" w:rsidRPr="006A2A86" w:rsidRDefault="001E425D" w:rsidP="006A2A86">
      <w:pPr>
        <w:jc w:val="both"/>
        <w:rPr>
          <w:sz w:val="22"/>
          <w:szCs w:val="22"/>
        </w:rPr>
      </w:pPr>
    </w:p>
    <w:p w:rsidR="001E425D" w:rsidRDefault="001E425D" w:rsidP="000E1594">
      <w:pPr>
        <w:spacing w:line="360" w:lineRule="auto"/>
        <w:jc w:val="both"/>
      </w:pPr>
      <w:r>
        <w:t xml:space="preserve">The outcome of the second hearing was the dismissal from employment of Respondent by Applicant.  It is therefore clear that the NEC also dealt with the second appeal which challenged the </w:t>
      </w:r>
      <w:r w:rsidRPr="001E425D">
        <w:rPr>
          <w:u w:val="single"/>
        </w:rPr>
        <w:t>dismissal</w:t>
      </w:r>
      <w:r>
        <w:t>. The NEC could have heard the appeals on different dates and given separate determinations.  However this Court only ordered the NEC to “deal with the appeals separately.”  It did not prescribe the</w:t>
      </w:r>
      <w:r w:rsidR="00663FBC">
        <w:t xml:space="preserve"> exact</w:t>
      </w:r>
      <w:r>
        <w:t xml:space="preserve"> procedure to be followed.  The NEC adopted a procedure which </w:t>
      </w:r>
      <w:r w:rsidRPr="00663FBC">
        <w:rPr>
          <w:u w:val="single"/>
        </w:rPr>
        <w:t>effectively considered the appeals separately</w:t>
      </w:r>
      <w:r>
        <w:t>.  To hold otherwise would be to put form above substance.  Justice bids us to do the reverse by putting substance above form.</w:t>
      </w:r>
    </w:p>
    <w:p w:rsidR="00663FBC" w:rsidRDefault="00663FBC" w:rsidP="000E1594">
      <w:pPr>
        <w:spacing w:line="360" w:lineRule="auto"/>
        <w:jc w:val="both"/>
      </w:pPr>
    </w:p>
    <w:p w:rsidR="00663FBC" w:rsidRDefault="00663FBC" w:rsidP="000E1594">
      <w:pPr>
        <w:spacing w:line="360" w:lineRule="auto"/>
        <w:jc w:val="both"/>
      </w:pPr>
    </w:p>
    <w:p w:rsidR="00663FBC" w:rsidRDefault="00663FBC" w:rsidP="000E1594">
      <w:pPr>
        <w:spacing w:line="360" w:lineRule="auto"/>
        <w:jc w:val="both"/>
      </w:pPr>
    </w:p>
    <w:p w:rsidR="00663FBC" w:rsidRDefault="00663FBC" w:rsidP="000E1594">
      <w:pPr>
        <w:spacing w:line="360" w:lineRule="auto"/>
        <w:jc w:val="both"/>
      </w:pPr>
    </w:p>
    <w:p w:rsidR="001E425D" w:rsidRDefault="001E425D" w:rsidP="006A2A86">
      <w:pPr>
        <w:jc w:val="both"/>
      </w:pPr>
    </w:p>
    <w:p w:rsidR="00663FBC" w:rsidRDefault="00663FBC" w:rsidP="000E1594">
      <w:pPr>
        <w:spacing w:line="360" w:lineRule="auto"/>
        <w:jc w:val="both"/>
      </w:pPr>
    </w:p>
    <w:p w:rsidR="00663FBC" w:rsidRDefault="00663FBC" w:rsidP="000E1594">
      <w:pPr>
        <w:spacing w:line="360" w:lineRule="auto"/>
        <w:jc w:val="both"/>
      </w:pPr>
    </w:p>
    <w:p w:rsidR="00CF2D61" w:rsidRDefault="00CF2D61" w:rsidP="000E1594">
      <w:pPr>
        <w:spacing w:line="360" w:lineRule="auto"/>
        <w:jc w:val="both"/>
      </w:pPr>
    </w:p>
    <w:p w:rsidR="001E425D" w:rsidRDefault="001E425D" w:rsidP="000E1594">
      <w:pPr>
        <w:spacing w:line="360" w:lineRule="auto"/>
        <w:jc w:val="both"/>
      </w:pPr>
      <w:r>
        <w:t>Wherefore it is ordered that,</w:t>
      </w:r>
    </w:p>
    <w:p w:rsidR="00EC57B0" w:rsidRDefault="00EC57B0" w:rsidP="000E1594">
      <w:pPr>
        <w:spacing w:line="360" w:lineRule="auto"/>
        <w:jc w:val="both"/>
      </w:pPr>
    </w:p>
    <w:p w:rsidR="001E425D" w:rsidRDefault="001E425D" w:rsidP="001E425D">
      <w:pPr>
        <w:pStyle w:val="ListParagraph"/>
        <w:numPr>
          <w:ilvl w:val="0"/>
          <w:numId w:val="1"/>
        </w:numPr>
        <w:spacing w:line="360" w:lineRule="auto"/>
        <w:jc w:val="both"/>
      </w:pPr>
      <w:r>
        <w:t xml:space="preserve">The application is hereby dismissed , and </w:t>
      </w:r>
    </w:p>
    <w:p w:rsidR="00EC57B0" w:rsidRDefault="00EC57B0" w:rsidP="00EC57B0">
      <w:pPr>
        <w:pStyle w:val="ListParagraph"/>
        <w:spacing w:line="360" w:lineRule="auto"/>
        <w:jc w:val="both"/>
      </w:pPr>
    </w:p>
    <w:p w:rsidR="001E425D" w:rsidRDefault="001E425D" w:rsidP="001E425D">
      <w:pPr>
        <w:pStyle w:val="ListParagraph"/>
        <w:numPr>
          <w:ilvl w:val="0"/>
          <w:numId w:val="1"/>
        </w:numPr>
        <w:spacing w:line="360" w:lineRule="auto"/>
        <w:jc w:val="both"/>
      </w:pPr>
      <w:r>
        <w:t xml:space="preserve"> Each party shall bear its own costs.</w:t>
      </w:r>
    </w:p>
    <w:p w:rsidR="00EC57B0" w:rsidRDefault="00EC57B0" w:rsidP="00EC57B0">
      <w:pPr>
        <w:jc w:val="right"/>
      </w:pPr>
    </w:p>
    <w:p w:rsidR="00EC57B0" w:rsidRDefault="00EC57B0" w:rsidP="00EC57B0">
      <w:pPr>
        <w:jc w:val="right"/>
      </w:pPr>
    </w:p>
    <w:p w:rsidR="00EC57B0" w:rsidRDefault="00EC57B0" w:rsidP="00EC57B0">
      <w:pPr>
        <w:jc w:val="right"/>
      </w:pPr>
    </w:p>
    <w:p w:rsidR="00EC57B0" w:rsidRDefault="00EC57B0" w:rsidP="00EC57B0">
      <w:pPr>
        <w:jc w:val="right"/>
      </w:pPr>
    </w:p>
    <w:p w:rsidR="00663FBC" w:rsidRDefault="00663FBC" w:rsidP="00EC57B0">
      <w:pPr>
        <w:rPr>
          <w:b/>
        </w:rPr>
      </w:pPr>
    </w:p>
    <w:p w:rsidR="00EC57B0" w:rsidRDefault="00EC57B0" w:rsidP="00EC57B0">
      <w:pPr>
        <w:rPr>
          <w:b/>
        </w:rPr>
      </w:pPr>
    </w:p>
    <w:p w:rsidR="00EC57B0" w:rsidRDefault="00EC57B0" w:rsidP="00EC57B0">
      <w:pPr>
        <w:rPr>
          <w:b/>
        </w:rPr>
      </w:pPr>
    </w:p>
    <w:p w:rsidR="00EC57B0" w:rsidRDefault="00EC57B0" w:rsidP="00EC57B0">
      <w:pPr>
        <w:rPr>
          <w:b/>
        </w:rPr>
      </w:pPr>
    </w:p>
    <w:p w:rsidR="00EC57B0" w:rsidRDefault="00EC57B0" w:rsidP="00EC57B0">
      <w:pPr>
        <w:rPr>
          <w:b/>
        </w:rPr>
      </w:pPr>
    </w:p>
    <w:p w:rsidR="00EC57B0" w:rsidRDefault="00EC57B0" w:rsidP="00EC57B0">
      <w:pPr>
        <w:rPr>
          <w:b/>
        </w:rPr>
      </w:pPr>
    </w:p>
    <w:p w:rsidR="00EC57B0" w:rsidRDefault="00EC57B0" w:rsidP="00EC57B0">
      <w:pPr>
        <w:rPr>
          <w:b/>
        </w:rPr>
      </w:pPr>
    </w:p>
    <w:p w:rsidR="00EC57B0" w:rsidRDefault="00EC57B0" w:rsidP="00EC57B0">
      <w:pPr>
        <w:rPr>
          <w:b/>
        </w:rPr>
      </w:pPr>
    </w:p>
    <w:p w:rsidR="00EC57B0" w:rsidRDefault="00EC57B0" w:rsidP="00EC57B0">
      <w:pPr>
        <w:rPr>
          <w:b/>
        </w:rPr>
      </w:pPr>
    </w:p>
    <w:p w:rsidR="00EC57B0" w:rsidRDefault="00EC57B0" w:rsidP="00EC57B0">
      <w:pPr>
        <w:rPr>
          <w:b/>
        </w:rPr>
      </w:pPr>
    </w:p>
    <w:p w:rsidR="00EC57B0" w:rsidRDefault="00EC57B0" w:rsidP="00EC57B0">
      <w:pPr>
        <w:rPr>
          <w:b/>
        </w:rPr>
      </w:pPr>
    </w:p>
    <w:p w:rsidR="00EC57B0" w:rsidRDefault="00CF2D61" w:rsidP="00EC57B0">
      <w:pPr>
        <w:rPr>
          <w:b/>
        </w:rPr>
      </w:pPr>
      <w:r>
        <w:rPr>
          <w:b/>
        </w:rPr>
        <w:tab/>
      </w:r>
      <w:r>
        <w:rPr>
          <w:b/>
        </w:rPr>
        <w:tab/>
      </w:r>
      <w:r>
        <w:rPr>
          <w:b/>
        </w:rPr>
        <w:tab/>
      </w:r>
      <w:r>
        <w:rPr>
          <w:b/>
        </w:rPr>
        <w:tab/>
      </w:r>
      <w:r>
        <w:rPr>
          <w:b/>
        </w:rPr>
        <w:tab/>
      </w:r>
      <w:r>
        <w:rPr>
          <w:b/>
        </w:rPr>
        <w:tab/>
      </w:r>
      <w:r>
        <w:rPr>
          <w:b/>
        </w:rPr>
        <w:tab/>
        <w:t>G. MUSARIRI</w:t>
      </w:r>
    </w:p>
    <w:p w:rsidR="00CF2D61" w:rsidRDefault="00CF2D61" w:rsidP="00EC57B0">
      <w:pPr>
        <w:rPr>
          <w:b/>
        </w:rPr>
      </w:pPr>
    </w:p>
    <w:p w:rsidR="00CF2D61" w:rsidRPr="00CF2D61" w:rsidRDefault="00CF2D61" w:rsidP="00EC57B0">
      <w:pPr>
        <w:rPr>
          <w:b/>
          <w:u w:val="single"/>
        </w:rPr>
      </w:pPr>
      <w:r>
        <w:rPr>
          <w:b/>
        </w:rPr>
        <w:tab/>
      </w:r>
      <w:r>
        <w:rPr>
          <w:b/>
        </w:rPr>
        <w:tab/>
      </w:r>
      <w:r>
        <w:rPr>
          <w:b/>
        </w:rPr>
        <w:tab/>
      </w:r>
      <w:r>
        <w:rPr>
          <w:b/>
        </w:rPr>
        <w:tab/>
      </w:r>
      <w:r>
        <w:rPr>
          <w:b/>
        </w:rPr>
        <w:tab/>
      </w:r>
      <w:r>
        <w:rPr>
          <w:b/>
        </w:rPr>
        <w:tab/>
      </w:r>
      <w:r>
        <w:rPr>
          <w:b/>
        </w:rPr>
        <w:tab/>
      </w:r>
      <w:r w:rsidRPr="00CF2D61">
        <w:rPr>
          <w:b/>
          <w:u w:val="single"/>
        </w:rPr>
        <w:t>J U D G E</w:t>
      </w:r>
    </w:p>
    <w:sectPr w:rsidR="00CF2D61" w:rsidRPr="00CF2D61" w:rsidSect="00F74B3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DB1" w:rsidRDefault="00244DB1" w:rsidP="00F74B3C">
      <w:r>
        <w:separator/>
      </w:r>
    </w:p>
  </w:endnote>
  <w:endnote w:type="continuationSeparator" w:id="1">
    <w:p w:rsidR="00244DB1" w:rsidRDefault="00244DB1" w:rsidP="00F74B3C">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8338"/>
      <w:docPartObj>
        <w:docPartGallery w:val="Page Numbers (Bottom of Page)"/>
        <w:docPartUnique/>
      </w:docPartObj>
    </w:sdtPr>
    <w:sdtContent>
      <w:p w:rsidR="00C665B9" w:rsidRDefault="00D2466E">
        <w:pPr>
          <w:pStyle w:val="Footer"/>
          <w:jc w:val="center"/>
        </w:pPr>
        <w:fldSimple w:instr=" PAGE   \* MERGEFORMAT ">
          <w:r w:rsidR="00CF5100">
            <w:rPr>
              <w:noProof/>
            </w:rPr>
            <w:t>3</w:t>
          </w:r>
        </w:fldSimple>
      </w:p>
    </w:sdtContent>
  </w:sdt>
  <w:p w:rsidR="00C665B9" w:rsidRDefault="00C665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DB1" w:rsidRDefault="00244DB1" w:rsidP="00F74B3C">
      <w:r>
        <w:separator/>
      </w:r>
    </w:p>
  </w:footnote>
  <w:footnote w:type="continuationSeparator" w:id="1">
    <w:p w:rsidR="00244DB1" w:rsidRDefault="00244DB1" w:rsidP="00F74B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5B9" w:rsidRPr="00F74B3C" w:rsidRDefault="00C665B9">
    <w:pPr>
      <w:pStyle w:val="Header"/>
      <w:rPr>
        <w:lang w:val="en-ZW"/>
      </w:rPr>
    </w:pPr>
    <w:r>
      <w:rPr>
        <w:lang w:val="en-ZW"/>
      </w:rPr>
      <w:tab/>
    </w:r>
    <w:r>
      <w:rPr>
        <w:lang w:val="en-ZW"/>
      </w:rPr>
      <w:tab/>
      <w:t>JUDGMENT NO. LC/H/</w:t>
    </w:r>
    <w:r w:rsidR="00CF2D61">
      <w:rPr>
        <w:lang w:val="en-ZW"/>
      </w:rPr>
      <w:t>120</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2289D"/>
    <w:multiLevelType w:val="hybridMultilevel"/>
    <w:tmpl w:val="B706E0B8"/>
    <w:lvl w:ilvl="0" w:tplc="B1267D3C">
      <w:start w:val="1"/>
      <w:numFmt w:val="decimal"/>
      <w:lvlText w:val="%1."/>
      <w:lvlJc w:val="left"/>
      <w:pPr>
        <w:ind w:left="720" w:hanging="360"/>
      </w:pPr>
      <w:rPr>
        <w:rFonts w:ascii="Tahoma" w:eastAsia="Times New Roman" w:hAnsi="Tahoma"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E1594"/>
    <w:rsid w:val="000E1594"/>
    <w:rsid w:val="001E425D"/>
    <w:rsid w:val="00244DB1"/>
    <w:rsid w:val="00251B26"/>
    <w:rsid w:val="00295C82"/>
    <w:rsid w:val="002C5F05"/>
    <w:rsid w:val="003C09CD"/>
    <w:rsid w:val="005F3778"/>
    <w:rsid w:val="005F75D4"/>
    <w:rsid w:val="0063777C"/>
    <w:rsid w:val="00645511"/>
    <w:rsid w:val="00663FBC"/>
    <w:rsid w:val="006A2A86"/>
    <w:rsid w:val="006B12DD"/>
    <w:rsid w:val="006F4BE5"/>
    <w:rsid w:val="00702BCE"/>
    <w:rsid w:val="00751206"/>
    <w:rsid w:val="00776E52"/>
    <w:rsid w:val="008C0E87"/>
    <w:rsid w:val="00B439C6"/>
    <w:rsid w:val="00B57ED0"/>
    <w:rsid w:val="00B71358"/>
    <w:rsid w:val="00BA331A"/>
    <w:rsid w:val="00C665B9"/>
    <w:rsid w:val="00C968FA"/>
    <w:rsid w:val="00CF2D61"/>
    <w:rsid w:val="00CF5100"/>
    <w:rsid w:val="00D2466E"/>
    <w:rsid w:val="00DB0EEE"/>
    <w:rsid w:val="00E95EE8"/>
    <w:rsid w:val="00EC57B0"/>
    <w:rsid w:val="00EE1F4A"/>
    <w:rsid w:val="00EF17C4"/>
    <w:rsid w:val="00F74B3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59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4B3C"/>
    <w:pPr>
      <w:tabs>
        <w:tab w:val="center" w:pos="4513"/>
        <w:tab w:val="right" w:pos="9026"/>
      </w:tabs>
    </w:pPr>
  </w:style>
  <w:style w:type="character" w:customStyle="1" w:styleId="HeaderChar">
    <w:name w:val="Header Char"/>
    <w:basedOn w:val="DefaultParagraphFont"/>
    <w:link w:val="Header"/>
    <w:uiPriority w:val="99"/>
    <w:semiHidden/>
    <w:rsid w:val="00F74B3C"/>
    <w:rPr>
      <w:rFonts w:ascii="Tahoma" w:eastAsia="Times New Roman" w:hAnsi="Tahoma" w:cs="Times New Roman"/>
      <w:sz w:val="24"/>
      <w:szCs w:val="24"/>
      <w:lang w:val="en-US"/>
    </w:rPr>
  </w:style>
  <w:style w:type="paragraph" w:styleId="Footer">
    <w:name w:val="footer"/>
    <w:basedOn w:val="Normal"/>
    <w:link w:val="FooterChar"/>
    <w:uiPriority w:val="99"/>
    <w:unhideWhenUsed/>
    <w:rsid w:val="00F74B3C"/>
    <w:pPr>
      <w:tabs>
        <w:tab w:val="center" w:pos="4513"/>
        <w:tab w:val="right" w:pos="9026"/>
      </w:tabs>
    </w:pPr>
  </w:style>
  <w:style w:type="character" w:customStyle="1" w:styleId="FooterChar">
    <w:name w:val="Footer Char"/>
    <w:basedOn w:val="DefaultParagraphFont"/>
    <w:link w:val="Footer"/>
    <w:uiPriority w:val="99"/>
    <w:rsid w:val="00F74B3C"/>
    <w:rPr>
      <w:rFonts w:ascii="Tahoma" w:eastAsia="Times New Roman" w:hAnsi="Tahoma" w:cs="Times New Roman"/>
      <w:sz w:val="24"/>
      <w:szCs w:val="24"/>
      <w:lang w:val="en-US"/>
    </w:rPr>
  </w:style>
  <w:style w:type="paragraph" w:styleId="ListParagraph">
    <w:name w:val="List Paragraph"/>
    <w:basedOn w:val="Normal"/>
    <w:uiPriority w:val="34"/>
    <w:qFormat/>
    <w:rsid w:val="001E425D"/>
    <w:pPr>
      <w:ind w:left="720"/>
      <w:contextualSpacing/>
    </w:pPr>
  </w:style>
  <w:style w:type="paragraph" w:styleId="NoSpacing">
    <w:name w:val="No Spacing"/>
    <w:uiPriority w:val="1"/>
    <w:qFormat/>
    <w:rsid w:val="006A2A86"/>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2014-03-04T06:35:00Z</cp:lastPrinted>
  <dcterms:created xsi:type="dcterms:W3CDTF">2014-04-30T12:27:00Z</dcterms:created>
  <dcterms:modified xsi:type="dcterms:W3CDTF">2014-04-30T12:27:00Z</dcterms:modified>
</cp:coreProperties>
</file>