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F1" w:rsidRDefault="00730A67">
      <w:pPr>
        <w:rPr>
          <w:b/>
          <w:sz w:val="28"/>
          <w:szCs w:val="28"/>
        </w:rPr>
      </w:pPr>
      <w:r>
        <w:rPr>
          <w:b/>
          <w:sz w:val="28"/>
          <w:szCs w:val="28"/>
        </w:rPr>
        <w:t>IN THE LABOUR COURT OF ZIMBABWE</w:t>
      </w:r>
      <w:r>
        <w:rPr>
          <w:b/>
          <w:sz w:val="28"/>
          <w:szCs w:val="28"/>
        </w:rPr>
        <w:tab/>
      </w:r>
      <w:r>
        <w:rPr>
          <w:b/>
          <w:sz w:val="28"/>
          <w:szCs w:val="28"/>
        </w:rPr>
        <w:tab/>
        <w:t>JUDGMENT LC/H/25/13</w:t>
      </w:r>
    </w:p>
    <w:p w:rsidR="00730A67" w:rsidRDefault="00730A67">
      <w:pPr>
        <w:rPr>
          <w:b/>
          <w:sz w:val="28"/>
          <w:szCs w:val="28"/>
        </w:rPr>
      </w:pPr>
      <w:r>
        <w:rPr>
          <w:b/>
          <w:sz w:val="28"/>
          <w:szCs w:val="28"/>
        </w:rPr>
        <w:t>HELD AT HARARE 6</w:t>
      </w:r>
      <w:r w:rsidRPr="00730A67">
        <w:rPr>
          <w:b/>
          <w:sz w:val="28"/>
          <w:szCs w:val="28"/>
          <w:vertAlign w:val="superscript"/>
        </w:rPr>
        <w:t>TH</w:t>
      </w:r>
      <w:r>
        <w:rPr>
          <w:b/>
          <w:sz w:val="28"/>
          <w:szCs w:val="28"/>
        </w:rPr>
        <w:t xml:space="preserve"> SEPTEMBER 2012</w:t>
      </w:r>
      <w:r>
        <w:rPr>
          <w:b/>
          <w:sz w:val="28"/>
          <w:szCs w:val="28"/>
        </w:rPr>
        <w:tab/>
      </w:r>
      <w:r>
        <w:rPr>
          <w:b/>
          <w:sz w:val="28"/>
          <w:szCs w:val="28"/>
        </w:rPr>
        <w:tab/>
        <w:t>CASE NO LC/H/02/11</w:t>
      </w:r>
    </w:p>
    <w:p w:rsidR="00730A67" w:rsidRDefault="00730A67">
      <w:pPr>
        <w:rPr>
          <w:b/>
          <w:sz w:val="28"/>
          <w:szCs w:val="28"/>
        </w:rPr>
      </w:pPr>
    </w:p>
    <w:p w:rsidR="00730A67" w:rsidRDefault="00730A67">
      <w:pPr>
        <w:rPr>
          <w:b/>
          <w:sz w:val="28"/>
          <w:szCs w:val="28"/>
        </w:rPr>
      </w:pPr>
      <w:r>
        <w:rPr>
          <w:b/>
          <w:sz w:val="28"/>
          <w:szCs w:val="28"/>
        </w:rPr>
        <w:t>NMB BANK LIMITED</w:t>
      </w:r>
      <w:r>
        <w:rPr>
          <w:b/>
          <w:sz w:val="28"/>
          <w:szCs w:val="28"/>
        </w:rPr>
        <w:tab/>
      </w:r>
      <w:r>
        <w:rPr>
          <w:b/>
          <w:sz w:val="28"/>
          <w:szCs w:val="28"/>
        </w:rPr>
        <w:tab/>
      </w:r>
      <w:r>
        <w:rPr>
          <w:b/>
          <w:sz w:val="28"/>
          <w:szCs w:val="28"/>
        </w:rPr>
        <w:tab/>
      </w:r>
      <w:r>
        <w:rPr>
          <w:b/>
          <w:sz w:val="28"/>
          <w:szCs w:val="28"/>
        </w:rPr>
        <w:tab/>
      </w:r>
      <w:r>
        <w:rPr>
          <w:b/>
          <w:sz w:val="28"/>
          <w:szCs w:val="28"/>
        </w:rPr>
        <w:tab/>
        <w:t>Applicant</w:t>
      </w:r>
    </w:p>
    <w:p w:rsidR="00730A67" w:rsidRDefault="00730A67">
      <w:pPr>
        <w:rPr>
          <w:b/>
          <w:sz w:val="28"/>
          <w:szCs w:val="28"/>
        </w:rPr>
      </w:pPr>
      <w:r>
        <w:rPr>
          <w:b/>
          <w:sz w:val="28"/>
          <w:szCs w:val="28"/>
        </w:rPr>
        <w:t>GRACE NHEMACHENA</w:t>
      </w:r>
      <w:r>
        <w:rPr>
          <w:b/>
          <w:sz w:val="28"/>
          <w:szCs w:val="28"/>
        </w:rPr>
        <w:tab/>
      </w:r>
      <w:r>
        <w:rPr>
          <w:b/>
          <w:sz w:val="28"/>
          <w:szCs w:val="28"/>
        </w:rPr>
        <w:tab/>
      </w:r>
      <w:r>
        <w:rPr>
          <w:b/>
          <w:sz w:val="28"/>
          <w:szCs w:val="28"/>
        </w:rPr>
        <w:tab/>
      </w:r>
      <w:r>
        <w:rPr>
          <w:b/>
          <w:sz w:val="28"/>
          <w:szCs w:val="28"/>
        </w:rPr>
        <w:tab/>
      </w:r>
      <w:r>
        <w:rPr>
          <w:b/>
          <w:sz w:val="28"/>
          <w:szCs w:val="28"/>
        </w:rPr>
        <w:tab/>
        <w:t>Respondent</w:t>
      </w:r>
    </w:p>
    <w:p w:rsidR="00730A67" w:rsidRDefault="00730A67">
      <w:pPr>
        <w:rPr>
          <w:b/>
          <w:sz w:val="28"/>
          <w:szCs w:val="28"/>
        </w:rPr>
      </w:pPr>
    </w:p>
    <w:p w:rsidR="00730A67" w:rsidRDefault="00730A67">
      <w:pPr>
        <w:rPr>
          <w:sz w:val="28"/>
          <w:szCs w:val="28"/>
        </w:rPr>
      </w:pPr>
      <w:r>
        <w:rPr>
          <w:sz w:val="28"/>
          <w:szCs w:val="28"/>
        </w:rPr>
        <w:t>Before The Honourable G Musariri, President</w:t>
      </w:r>
    </w:p>
    <w:p w:rsidR="00730A67" w:rsidRDefault="00730A67">
      <w:pPr>
        <w:rPr>
          <w:b/>
          <w:sz w:val="28"/>
          <w:szCs w:val="28"/>
        </w:rPr>
      </w:pPr>
    </w:p>
    <w:p w:rsidR="00730A67" w:rsidRDefault="00730A67">
      <w:pPr>
        <w:rPr>
          <w:b/>
          <w:sz w:val="28"/>
          <w:szCs w:val="28"/>
        </w:rPr>
      </w:pPr>
      <w:r>
        <w:rPr>
          <w:b/>
          <w:sz w:val="28"/>
          <w:szCs w:val="28"/>
        </w:rPr>
        <w:t>For Appellant</w:t>
      </w:r>
      <w:r>
        <w:rPr>
          <w:b/>
          <w:sz w:val="28"/>
          <w:szCs w:val="28"/>
        </w:rPr>
        <w:tab/>
      </w:r>
      <w:r>
        <w:rPr>
          <w:b/>
          <w:sz w:val="28"/>
          <w:szCs w:val="28"/>
        </w:rPr>
        <w:tab/>
      </w:r>
      <w:r>
        <w:rPr>
          <w:b/>
          <w:sz w:val="28"/>
          <w:szCs w:val="28"/>
        </w:rPr>
        <w:tab/>
        <w:t xml:space="preserve">Mr K </w:t>
      </w:r>
      <w:proofErr w:type="spellStart"/>
      <w:r>
        <w:rPr>
          <w:b/>
          <w:sz w:val="28"/>
          <w:szCs w:val="28"/>
        </w:rPr>
        <w:t>Ncube</w:t>
      </w:r>
      <w:proofErr w:type="spellEnd"/>
      <w:r>
        <w:rPr>
          <w:b/>
          <w:sz w:val="28"/>
          <w:szCs w:val="28"/>
        </w:rPr>
        <w:t>, Attorney</w:t>
      </w:r>
    </w:p>
    <w:p w:rsidR="00730A67" w:rsidRDefault="00730A67">
      <w:pPr>
        <w:rPr>
          <w:b/>
          <w:sz w:val="28"/>
          <w:szCs w:val="28"/>
        </w:rPr>
      </w:pPr>
      <w:r>
        <w:rPr>
          <w:b/>
          <w:sz w:val="28"/>
          <w:szCs w:val="28"/>
        </w:rPr>
        <w:t>For Respondent</w:t>
      </w:r>
      <w:r>
        <w:rPr>
          <w:b/>
          <w:sz w:val="28"/>
          <w:szCs w:val="28"/>
        </w:rPr>
        <w:tab/>
      </w:r>
      <w:r>
        <w:rPr>
          <w:b/>
          <w:sz w:val="28"/>
          <w:szCs w:val="28"/>
        </w:rPr>
        <w:tab/>
      </w:r>
      <w:r>
        <w:rPr>
          <w:b/>
          <w:sz w:val="28"/>
          <w:szCs w:val="28"/>
        </w:rPr>
        <w:tab/>
        <w:t xml:space="preserve">Mr T </w:t>
      </w:r>
      <w:proofErr w:type="spellStart"/>
      <w:r>
        <w:rPr>
          <w:b/>
          <w:sz w:val="28"/>
          <w:szCs w:val="28"/>
        </w:rPr>
        <w:t>Marimo</w:t>
      </w:r>
      <w:proofErr w:type="spellEnd"/>
      <w:r>
        <w:rPr>
          <w:b/>
          <w:sz w:val="28"/>
          <w:szCs w:val="28"/>
        </w:rPr>
        <w:t>, Unionist</w:t>
      </w:r>
    </w:p>
    <w:p w:rsidR="00730A67" w:rsidRDefault="00730A67">
      <w:pPr>
        <w:rPr>
          <w:b/>
          <w:sz w:val="28"/>
          <w:szCs w:val="28"/>
        </w:rPr>
      </w:pPr>
    </w:p>
    <w:p w:rsidR="00730A67" w:rsidRDefault="00730A67">
      <w:pPr>
        <w:rPr>
          <w:b/>
          <w:sz w:val="28"/>
          <w:szCs w:val="28"/>
        </w:rPr>
      </w:pPr>
      <w:r>
        <w:rPr>
          <w:b/>
          <w:sz w:val="28"/>
          <w:szCs w:val="28"/>
        </w:rPr>
        <w:t>MUSARIRI, G:</w:t>
      </w:r>
    </w:p>
    <w:p w:rsidR="00730A67" w:rsidRDefault="00730A67">
      <w:pPr>
        <w:rPr>
          <w:b/>
          <w:sz w:val="28"/>
          <w:szCs w:val="28"/>
        </w:rPr>
      </w:pPr>
    </w:p>
    <w:p w:rsidR="00730A67" w:rsidRDefault="000B7BC6" w:rsidP="00E60126">
      <w:pPr>
        <w:spacing w:line="360" w:lineRule="auto"/>
        <w:rPr>
          <w:sz w:val="28"/>
          <w:szCs w:val="28"/>
        </w:rPr>
      </w:pPr>
      <w:r>
        <w:rPr>
          <w:sz w:val="28"/>
          <w:szCs w:val="28"/>
        </w:rPr>
        <w:t>On</w:t>
      </w:r>
      <w:r w:rsidR="00730A67">
        <w:rPr>
          <w:sz w:val="28"/>
          <w:szCs w:val="28"/>
        </w:rPr>
        <w:t xml:space="preserve"> 9</w:t>
      </w:r>
      <w:r>
        <w:rPr>
          <w:sz w:val="28"/>
          <w:szCs w:val="28"/>
          <w:vertAlign w:val="superscript"/>
        </w:rPr>
        <w:t>th</w:t>
      </w:r>
      <w:r w:rsidR="00730A67">
        <w:rPr>
          <w:sz w:val="28"/>
          <w:szCs w:val="28"/>
        </w:rPr>
        <w:t xml:space="preserve"> December 2010 the NEC Banking made a determination.  In terms thereof </w:t>
      </w:r>
      <w:r w:rsidR="00AA4E52">
        <w:rPr>
          <w:sz w:val="28"/>
          <w:szCs w:val="28"/>
        </w:rPr>
        <w:t>it</w:t>
      </w:r>
      <w:r w:rsidR="00730A67">
        <w:rPr>
          <w:sz w:val="28"/>
          <w:szCs w:val="28"/>
        </w:rPr>
        <w:t xml:space="preserve"> upheld an earlier ruling in terms of which Appellant was ordered to reinstate Respondent’s</w:t>
      </w:r>
      <w:r>
        <w:rPr>
          <w:sz w:val="28"/>
          <w:szCs w:val="28"/>
        </w:rPr>
        <w:t xml:space="preserve"> employment.  Appellant then appealed to this Court against the NEC’s determination.  </w:t>
      </w:r>
    </w:p>
    <w:p w:rsidR="000B7BC6" w:rsidRDefault="000B7BC6">
      <w:pPr>
        <w:rPr>
          <w:sz w:val="28"/>
          <w:szCs w:val="28"/>
        </w:rPr>
      </w:pPr>
    </w:p>
    <w:p w:rsidR="000B7BC6" w:rsidRDefault="000B7BC6">
      <w:pPr>
        <w:rPr>
          <w:sz w:val="28"/>
          <w:szCs w:val="28"/>
        </w:rPr>
      </w:pPr>
      <w:r>
        <w:rPr>
          <w:sz w:val="28"/>
          <w:szCs w:val="28"/>
        </w:rPr>
        <w:t>The grounds of appeal complained that,</w:t>
      </w:r>
    </w:p>
    <w:p w:rsidR="00E60126" w:rsidRDefault="00E60126" w:rsidP="00E60126">
      <w:pPr>
        <w:spacing w:line="360" w:lineRule="auto"/>
        <w:ind w:left="1440" w:hanging="720"/>
        <w:rPr>
          <w:i/>
          <w:sz w:val="28"/>
          <w:szCs w:val="28"/>
        </w:rPr>
      </w:pPr>
      <w:r>
        <w:rPr>
          <w:i/>
          <w:sz w:val="28"/>
          <w:szCs w:val="28"/>
        </w:rPr>
        <w:t>“1.</w:t>
      </w:r>
      <w:r>
        <w:rPr>
          <w:i/>
          <w:sz w:val="28"/>
          <w:szCs w:val="28"/>
        </w:rPr>
        <w:tab/>
        <w:t>The Appeals Board erred in failing to uphold the original dismissal of the Respondent;</w:t>
      </w:r>
    </w:p>
    <w:p w:rsidR="00E60126" w:rsidRDefault="00E60126" w:rsidP="00E60126">
      <w:pPr>
        <w:spacing w:line="360" w:lineRule="auto"/>
        <w:ind w:left="1440" w:hanging="720"/>
        <w:rPr>
          <w:i/>
          <w:sz w:val="28"/>
          <w:szCs w:val="28"/>
        </w:rPr>
      </w:pPr>
      <w:r>
        <w:rPr>
          <w:i/>
          <w:sz w:val="28"/>
          <w:szCs w:val="28"/>
        </w:rPr>
        <w:t>2.</w:t>
      </w:r>
      <w:r>
        <w:rPr>
          <w:i/>
          <w:sz w:val="28"/>
          <w:szCs w:val="28"/>
        </w:rPr>
        <w:tab/>
        <w:t xml:space="preserve">The Appeals Board ought to have found that the Respondent acted, at least, with gross negligence in permitting one or more </w:t>
      </w:r>
    </w:p>
    <w:p w:rsidR="00E60126" w:rsidRDefault="00E60126" w:rsidP="00E60126">
      <w:pPr>
        <w:spacing w:line="360" w:lineRule="auto"/>
        <w:ind w:left="1440" w:hanging="720"/>
        <w:rPr>
          <w:i/>
          <w:sz w:val="28"/>
          <w:szCs w:val="28"/>
        </w:rPr>
      </w:pPr>
    </w:p>
    <w:p w:rsidR="00E60126" w:rsidRDefault="00E60126" w:rsidP="00E60126">
      <w:pPr>
        <w:spacing w:line="360" w:lineRule="auto"/>
        <w:ind w:left="1440" w:hanging="720"/>
        <w:rPr>
          <w:i/>
          <w:sz w:val="28"/>
          <w:szCs w:val="28"/>
        </w:rPr>
      </w:pPr>
    </w:p>
    <w:p w:rsidR="00E60126" w:rsidRPr="00E60126" w:rsidRDefault="00E60126" w:rsidP="00E60126">
      <w:pPr>
        <w:spacing w:line="360" w:lineRule="auto"/>
        <w:ind w:left="1440"/>
        <w:rPr>
          <w:i/>
          <w:sz w:val="28"/>
          <w:szCs w:val="28"/>
        </w:rPr>
      </w:pPr>
      <w:proofErr w:type="gramStart"/>
      <w:r>
        <w:rPr>
          <w:i/>
          <w:sz w:val="28"/>
          <w:szCs w:val="28"/>
        </w:rPr>
        <w:t>withdrawals</w:t>
      </w:r>
      <w:proofErr w:type="gramEnd"/>
      <w:r>
        <w:rPr>
          <w:i/>
          <w:sz w:val="28"/>
          <w:szCs w:val="28"/>
        </w:rPr>
        <w:t xml:space="preserve"> by persons who were not account holders; and that this conduct caused the Appellant substantial loss.”</w:t>
      </w:r>
    </w:p>
    <w:p w:rsidR="000B7BC6" w:rsidRPr="00C25D80" w:rsidRDefault="00E60126">
      <w:pPr>
        <w:rPr>
          <w:sz w:val="28"/>
          <w:szCs w:val="28"/>
        </w:rPr>
      </w:pPr>
      <w:r w:rsidRPr="00C25D80">
        <w:rPr>
          <w:sz w:val="28"/>
          <w:szCs w:val="28"/>
        </w:rPr>
        <w:t>Appellant’s case was further elaborated by its attorney as follows;</w:t>
      </w:r>
    </w:p>
    <w:p w:rsidR="00E60126" w:rsidRDefault="00E60126">
      <w:pPr>
        <w:rPr>
          <w:i/>
          <w:sz w:val="28"/>
          <w:szCs w:val="28"/>
        </w:rPr>
      </w:pPr>
      <w:r>
        <w:rPr>
          <w:i/>
          <w:sz w:val="28"/>
          <w:szCs w:val="28"/>
        </w:rPr>
        <w:tab/>
      </w:r>
      <w:r w:rsidR="00C25D80">
        <w:rPr>
          <w:i/>
          <w:sz w:val="28"/>
          <w:szCs w:val="28"/>
        </w:rPr>
        <w:t xml:space="preserve"> </w:t>
      </w:r>
      <w:r>
        <w:rPr>
          <w:i/>
          <w:sz w:val="28"/>
          <w:szCs w:val="28"/>
        </w:rPr>
        <w:t>“A</w:t>
      </w:r>
      <w:proofErr w:type="gramStart"/>
      <w:r>
        <w:rPr>
          <w:i/>
          <w:sz w:val="28"/>
          <w:szCs w:val="28"/>
        </w:rPr>
        <w:t xml:space="preserve">. </w:t>
      </w:r>
      <w:r w:rsidR="00937131">
        <w:rPr>
          <w:i/>
          <w:sz w:val="28"/>
          <w:szCs w:val="28"/>
        </w:rPr>
        <w:t xml:space="preserve"> </w:t>
      </w:r>
      <w:r>
        <w:rPr>
          <w:i/>
          <w:sz w:val="28"/>
          <w:szCs w:val="28"/>
        </w:rPr>
        <w:t>Submissions</w:t>
      </w:r>
      <w:proofErr w:type="gramEnd"/>
      <w:r>
        <w:rPr>
          <w:i/>
          <w:sz w:val="28"/>
          <w:szCs w:val="28"/>
        </w:rPr>
        <w:t xml:space="preserve"> In General</w:t>
      </w:r>
    </w:p>
    <w:p w:rsidR="00E60126" w:rsidRPr="00AA4E52" w:rsidRDefault="00937131" w:rsidP="00AA4E52">
      <w:pPr>
        <w:spacing w:line="360" w:lineRule="auto"/>
        <w:ind w:left="720"/>
        <w:rPr>
          <w:i/>
          <w:sz w:val="28"/>
          <w:szCs w:val="28"/>
        </w:rPr>
      </w:pPr>
      <w:r w:rsidRPr="00AA4E52">
        <w:rPr>
          <w:i/>
          <w:sz w:val="28"/>
          <w:szCs w:val="28"/>
        </w:rPr>
        <w:t>1.</w:t>
      </w:r>
      <w:r w:rsidR="00E60126" w:rsidRPr="00AA4E52">
        <w:rPr>
          <w:i/>
          <w:sz w:val="28"/>
          <w:szCs w:val="28"/>
        </w:rPr>
        <w:t xml:space="preserve"> </w:t>
      </w:r>
      <w:r w:rsidRPr="00AA4E52">
        <w:rPr>
          <w:i/>
          <w:sz w:val="28"/>
          <w:szCs w:val="28"/>
        </w:rPr>
        <w:t xml:space="preserve"> </w:t>
      </w:r>
      <w:r w:rsidR="00E60126" w:rsidRPr="00AA4E52">
        <w:rPr>
          <w:i/>
          <w:sz w:val="28"/>
          <w:szCs w:val="28"/>
        </w:rPr>
        <w:t xml:space="preserve">It is respectfully submitted that the National Employment Council   </w:t>
      </w:r>
    </w:p>
    <w:p w:rsidR="00E60126" w:rsidRPr="00AA4E52" w:rsidRDefault="00E60126" w:rsidP="00AA4E52">
      <w:pPr>
        <w:spacing w:line="360" w:lineRule="auto"/>
        <w:ind w:left="720"/>
        <w:rPr>
          <w:i/>
          <w:sz w:val="28"/>
          <w:szCs w:val="28"/>
        </w:rPr>
      </w:pPr>
      <w:r w:rsidRPr="00AA4E52">
        <w:rPr>
          <w:i/>
          <w:sz w:val="28"/>
          <w:szCs w:val="28"/>
        </w:rPr>
        <w:t>Appeals Board fell into error when it failed to find that the</w:t>
      </w:r>
      <w:r w:rsidR="00937131" w:rsidRPr="00AA4E52">
        <w:rPr>
          <w:i/>
          <w:sz w:val="28"/>
          <w:szCs w:val="28"/>
        </w:rPr>
        <w:t xml:space="preserve"> </w:t>
      </w:r>
      <w:r w:rsidR="00AA4E52">
        <w:rPr>
          <w:i/>
          <w:sz w:val="28"/>
          <w:szCs w:val="28"/>
        </w:rPr>
        <w:t xml:space="preserve">        </w:t>
      </w:r>
      <w:r w:rsidR="00937131" w:rsidRPr="00AA4E52">
        <w:rPr>
          <w:i/>
          <w:sz w:val="28"/>
          <w:szCs w:val="28"/>
        </w:rPr>
        <w:t xml:space="preserve">Respondent acted with gross negligence resulting in substantial loss to the Appellant when permitting one or more withdrawals by persons who were not account holders.  Respondent was employed by Appellant as a bank teller and permitted one or more withdrawals by persons who were not account holders to withdraw money from the bank.  Such conduct with greatest </w:t>
      </w:r>
      <w:proofErr w:type="gramStart"/>
      <w:r w:rsidR="00937131" w:rsidRPr="00AA4E52">
        <w:rPr>
          <w:i/>
          <w:sz w:val="28"/>
          <w:szCs w:val="28"/>
        </w:rPr>
        <w:t>respect,</w:t>
      </w:r>
      <w:proofErr w:type="gramEnd"/>
      <w:r w:rsidR="00937131" w:rsidRPr="00AA4E52">
        <w:rPr>
          <w:i/>
          <w:sz w:val="28"/>
          <w:szCs w:val="28"/>
        </w:rPr>
        <w:t xml:space="preserve"> is gross negligence.”</w:t>
      </w:r>
    </w:p>
    <w:p w:rsidR="00937131" w:rsidRPr="00C25D80" w:rsidRDefault="00937131" w:rsidP="00C25D80">
      <w:pPr>
        <w:spacing w:line="360" w:lineRule="auto"/>
        <w:rPr>
          <w:sz w:val="28"/>
          <w:szCs w:val="28"/>
        </w:rPr>
      </w:pPr>
      <w:r w:rsidRPr="00C25D80">
        <w:rPr>
          <w:sz w:val="28"/>
          <w:szCs w:val="28"/>
        </w:rPr>
        <w:t>Respondent explained the incidents in a memo dated 27</w:t>
      </w:r>
      <w:r w:rsidRPr="00C25D80">
        <w:rPr>
          <w:sz w:val="28"/>
          <w:szCs w:val="28"/>
          <w:vertAlign w:val="superscript"/>
        </w:rPr>
        <w:t>th</w:t>
      </w:r>
      <w:r w:rsidRPr="00C25D80">
        <w:rPr>
          <w:sz w:val="28"/>
          <w:szCs w:val="28"/>
        </w:rPr>
        <w:t xml:space="preserve"> May 2010 addressed to her superior.  She stated that,</w:t>
      </w:r>
    </w:p>
    <w:p w:rsidR="00937131" w:rsidRPr="00AA4E52" w:rsidRDefault="00AA4E52" w:rsidP="00AA4E52">
      <w:pPr>
        <w:spacing w:after="0" w:line="360" w:lineRule="auto"/>
        <w:rPr>
          <w:i/>
          <w:sz w:val="28"/>
          <w:szCs w:val="28"/>
        </w:rPr>
      </w:pPr>
      <w:r>
        <w:rPr>
          <w:i/>
          <w:sz w:val="28"/>
          <w:szCs w:val="28"/>
        </w:rPr>
        <w:t xml:space="preserve">          </w:t>
      </w:r>
      <w:r w:rsidR="00937131" w:rsidRPr="00AA4E52">
        <w:rPr>
          <w:i/>
          <w:sz w:val="28"/>
          <w:szCs w:val="28"/>
        </w:rPr>
        <w:t>“1</w:t>
      </w:r>
      <w:proofErr w:type="gramStart"/>
      <w:r w:rsidR="00937131" w:rsidRPr="00AA4E52">
        <w:rPr>
          <w:i/>
          <w:sz w:val="28"/>
          <w:szCs w:val="28"/>
        </w:rPr>
        <w:t>.  On</w:t>
      </w:r>
      <w:proofErr w:type="gramEnd"/>
      <w:r w:rsidR="00937131" w:rsidRPr="00AA4E52">
        <w:rPr>
          <w:i/>
          <w:sz w:val="28"/>
          <w:szCs w:val="28"/>
        </w:rPr>
        <w:t xml:space="preserve"> the withdrawal in question the following procedures were </w:t>
      </w:r>
    </w:p>
    <w:p w:rsidR="00E60126" w:rsidRDefault="00AA4E52" w:rsidP="00937131">
      <w:pPr>
        <w:spacing w:after="0" w:line="360" w:lineRule="auto"/>
        <w:rPr>
          <w:i/>
          <w:sz w:val="28"/>
          <w:szCs w:val="28"/>
        </w:rPr>
      </w:pPr>
      <w:r>
        <w:rPr>
          <w:sz w:val="28"/>
          <w:szCs w:val="28"/>
        </w:rPr>
        <w:tab/>
      </w:r>
      <w:proofErr w:type="gramStart"/>
      <w:r w:rsidR="00937131">
        <w:rPr>
          <w:i/>
          <w:sz w:val="28"/>
          <w:szCs w:val="28"/>
        </w:rPr>
        <w:t>f</w:t>
      </w:r>
      <w:r w:rsidR="00937131" w:rsidRPr="00937131">
        <w:rPr>
          <w:i/>
          <w:sz w:val="28"/>
          <w:szCs w:val="28"/>
        </w:rPr>
        <w:t>ollowed</w:t>
      </w:r>
      <w:proofErr w:type="gramEnd"/>
      <w:r w:rsidR="00937131">
        <w:rPr>
          <w:i/>
          <w:sz w:val="28"/>
          <w:szCs w:val="28"/>
        </w:rPr>
        <w:t>:</w:t>
      </w:r>
    </w:p>
    <w:p w:rsidR="00937131" w:rsidRPr="00AA4E52" w:rsidRDefault="00AA4E52" w:rsidP="00AA4E52">
      <w:pPr>
        <w:spacing w:after="0" w:line="360" w:lineRule="auto"/>
        <w:ind w:left="630"/>
        <w:rPr>
          <w:i/>
          <w:sz w:val="28"/>
          <w:szCs w:val="28"/>
        </w:rPr>
      </w:pPr>
      <w:r>
        <w:rPr>
          <w:i/>
          <w:sz w:val="28"/>
          <w:szCs w:val="28"/>
        </w:rPr>
        <w:t xml:space="preserve">-  </w:t>
      </w:r>
      <w:r w:rsidR="00937131" w:rsidRPr="00AA4E52">
        <w:rPr>
          <w:i/>
          <w:sz w:val="28"/>
          <w:szCs w:val="28"/>
        </w:rPr>
        <w:t>Positive identification of customer by metal I.</w:t>
      </w:r>
      <w:r>
        <w:rPr>
          <w:i/>
          <w:sz w:val="28"/>
          <w:szCs w:val="28"/>
        </w:rPr>
        <w:t>D. passport or driver’s       licence</w:t>
      </w:r>
      <w:r w:rsidRPr="00AA4E52">
        <w:rPr>
          <w:i/>
          <w:sz w:val="28"/>
          <w:szCs w:val="28"/>
        </w:rPr>
        <w:t xml:space="preserve"> </w:t>
      </w:r>
      <w:r w:rsidR="00937131" w:rsidRPr="00AA4E52">
        <w:rPr>
          <w:i/>
          <w:sz w:val="28"/>
          <w:szCs w:val="28"/>
        </w:rPr>
        <w:t>(whichever was produced by client)</w:t>
      </w:r>
    </w:p>
    <w:p w:rsidR="00937131" w:rsidRDefault="00AA4E52" w:rsidP="00AA4E52">
      <w:pPr>
        <w:spacing w:after="0" w:line="360" w:lineRule="auto"/>
        <w:ind w:left="570"/>
        <w:rPr>
          <w:i/>
          <w:sz w:val="28"/>
          <w:szCs w:val="28"/>
        </w:rPr>
      </w:pPr>
      <w:r>
        <w:rPr>
          <w:i/>
          <w:sz w:val="28"/>
          <w:szCs w:val="28"/>
        </w:rPr>
        <w:t xml:space="preserve">-  </w:t>
      </w:r>
      <w:r w:rsidR="00937131" w:rsidRPr="00AA4E52">
        <w:rPr>
          <w:i/>
          <w:sz w:val="28"/>
          <w:szCs w:val="28"/>
        </w:rPr>
        <w:t xml:space="preserve">On the $500 withdrawal because it was within limit was processed after </w:t>
      </w:r>
      <w:r>
        <w:rPr>
          <w:i/>
          <w:sz w:val="28"/>
          <w:szCs w:val="28"/>
        </w:rPr>
        <w:t xml:space="preserve">   </w:t>
      </w:r>
      <w:r w:rsidR="00937131" w:rsidRPr="00AA4E52">
        <w:rPr>
          <w:i/>
          <w:sz w:val="28"/>
          <w:szCs w:val="28"/>
        </w:rPr>
        <w:t>verification of signatures, positive identification and balance enquiry</w:t>
      </w:r>
    </w:p>
    <w:p w:rsidR="003500D3" w:rsidRDefault="003500D3" w:rsidP="00AA4E52">
      <w:pPr>
        <w:spacing w:after="0" w:line="360" w:lineRule="auto"/>
        <w:ind w:left="570"/>
        <w:rPr>
          <w:i/>
          <w:sz w:val="28"/>
          <w:szCs w:val="28"/>
        </w:rPr>
      </w:pPr>
    </w:p>
    <w:p w:rsidR="003500D3" w:rsidRDefault="003500D3" w:rsidP="00AA4E52">
      <w:pPr>
        <w:spacing w:after="0" w:line="360" w:lineRule="auto"/>
        <w:ind w:left="570"/>
        <w:rPr>
          <w:i/>
          <w:sz w:val="28"/>
          <w:szCs w:val="28"/>
        </w:rPr>
      </w:pPr>
    </w:p>
    <w:p w:rsidR="003500D3" w:rsidRPr="00AA4E52" w:rsidRDefault="003500D3" w:rsidP="00AA4E52">
      <w:pPr>
        <w:spacing w:after="0" w:line="360" w:lineRule="auto"/>
        <w:ind w:left="570"/>
        <w:rPr>
          <w:i/>
          <w:sz w:val="28"/>
          <w:szCs w:val="28"/>
        </w:rPr>
      </w:pPr>
    </w:p>
    <w:p w:rsidR="00132AEF" w:rsidRDefault="00132AEF" w:rsidP="00132AEF">
      <w:pPr>
        <w:spacing w:after="0" w:line="360" w:lineRule="auto"/>
        <w:rPr>
          <w:i/>
          <w:sz w:val="28"/>
          <w:szCs w:val="28"/>
        </w:rPr>
      </w:pPr>
    </w:p>
    <w:p w:rsidR="00132AEF" w:rsidRPr="00132AEF" w:rsidRDefault="00132AEF" w:rsidP="00132AEF">
      <w:pPr>
        <w:spacing w:after="0" w:line="360" w:lineRule="auto"/>
        <w:rPr>
          <w:i/>
          <w:sz w:val="28"/>
          <w:szCs w:val="28"/>
        </w:rPr>
      </w:pPr>
    </w:p>
    <w:p w:rsidR="00132AEF" w:rsidRPr="00AA4E52" w:rsidRDefault="00132AEF" w:rsidP="00AA4E52">
      <w:pPr>
        <w:pStyle w:val="ListParagraph"/>
        <w:numPr>
          <w:ilvl w:val="0"/>
          <w:numId w:val="7"/>
        </w:numPr>
        <w:spacing w:after="0" w:line="360" w:lineRule="auto"/>
        <w:rPr>
          <w:i/>
          <w:sz w:val="28"/>
          <w:szCs w:val="28"/>
        </w:rPr>
      </w:pPr>
      <w:r w:rsidRPr="00AA4E52">
        <w:rPr>
          <w:i/>
          <w:sz w:val="28"/>
          <w:szCs w:val="28"/>
        </w:rPr>
        <w:t xml:space="preserve">On the $2000 withdrawal management’s authority was sought as the </w:t>
      </w:r>
      <w:proofErr w:type="gramStart"/>
      <w:r w:rsidRPr="00AA4E52">
        <w:rPr>
          <w:i/>
          <w:sz w:val="28"/>
          <w:szCs w:val="28"/>
        </w:rPr>
        <w:t xml:space="preserve">amount </w:t>
      </w:r>
      <w:r w:rsidR="00AA4E52" w:rsidRPr="00AA4E52">
        <w:rPr>
          <w:i/>
          <w:sz w:val="28"/>
          <w:szCs w:val="28"/>
        </w:rPr>
        <w:t xml:space="preserve"> </w:t>
      </w:r>
      <w:r w:rsidRPr="00AA4E52">
        <w:rPr>
          <w:i/>
          <w:sz w:val="28"/>
          <w:szCs w:val="28"/>
        </w:rPr>
        <w:t>was</w:t>
      </w:r>
      <w:proofErr w:type="gramEnd"/>
      <w:r w:rsidRPr="00AA4E52">
        <w:rPr>
          <w:i/>
          <w:sz w:val="28"/>
          <w:szCs w:val="28"/>
        </w:rPr>
        <w:t xml:space="preserve"> above the limit of $500. Transaction was processed after authorisation verification of signature and positive identification was done prior to transaction being processed.  Identity documents were endorsed at the back of transaction vouchers.”</w:t>
      </w:r>
    </w:p>
    <w:p w:rsidR="00132AEF" w:rsidRDefault="00132AEF" w:rsidP="00C25D80">
      <w:pPr>
        <w:spacing w:after="0" w:line="360" w:lineRule="auto"/>
        <w:rPr>
          <w:sz w:val="28"/>
          <w:szCs w:val="28"/>
        </w:rPr>
      </w:pPr>
      <w:r>
        <w:rPr>
          <w:sz w:val="28"/>
          <w:szCs w:val="28"/>
        </w:rPr>
        <w:t>On these facts, the NEC concluded that,</w:t>
      </w:r>
    </w:p>
    <w:p w:rsidR="00132AEF" w:rsidRPr="00AA4E52" w:rsidRDefault="00132AEF" w:rsidP="00C25D80">
      <w:pPr>
        <w:spacing w:after="0" w:line="360" w:lineRule="auto"/>
        <w:ind w:left="720"/>
        <w:rPr>
          <w:i/>
          <w:sz w:val="28"/>
          <w:szCs w:val="28"/>
          <w:u w:val="single"/>
        </w:rPr>
      </w:pPr>
      <w:r>
        <w:rPr>
          <w:i/>
          <w:sz w:val="28"/>
          <w:szCs w:val="28"/>
        </w:rPr>
        <w:t xml:space="preserve">“It is observed that the people who were asked to investigate this matter were the very people who would authorise these transactions.  The vouchers that were used in </w:t>
      </w:r>
      <w:proofErr w:type="gramStart"/>
      <w:r>
        <w:rPr>
          <w:i/>
          <w:sz w:val="28"/>
          <w:szCs w:val="28"/>
        </w:rPr>
        <w:t>these transaction</w:t>
      </w:r>
      <w:proofErr w:type="gramEnd"/>
      <w:r>
        <w:rPr>
          <w:i/>
          <w:sz w:val="28"/>
          <w:szCs w:val="28"/>
        </w:rPr>
        <w:t xml:space="preserve"> were missing and the blame was put on the teller.  In the banking system it is clear that the responsibility of processed vouchers lies with the custodian of the vouchers.  </w:t>
      </w:r>
      <w:r w:rsidRPr="00AA4E52">
        <w:rPr>
          <w:i/>
          <w:sz w:val="28"/>
          <w:szCs w:val="28"/>
          <w:u w:val="single"/>
        </w:rPr>
        <w:t>This teller is a victim of circumstances.</w:t>
      </w:r>
    </w:p>
    <w:p w:rsidR="00132AEF" w:rsidRDefault="00132AEF" w:rsidP="00C25D80">
      <w:pPr>
        <w:spacing w:after="0" w:line="360" w:lineRule="auto"/>
        <w:ind w:left="720"/>
        <w:rPr>
          <w:i/>
          <w:sz w:val="28"/>
          <w:szCs w:val="28"/>
        </w:rPr>
      </w:pPr>
      <w:r w:rsidRPr="00132AEF">
        <w:rPr>
          <w:i/>
          <w:sz w:val="28"/>
          <w:szCs w:val="28"/>
        </w:rPr>
        <w:t xml:space="preserve">This </w:t>
      </w:r>
      <w:proofErr w:type="gramStart"/>
      <w:r w:rsidRPr="00132AEF">
        <w:rPr>
          <w:i/>
          <w:sz w:val="28"/>
          <w:szCs w:val="28"/>
        </w:rPr>
        <w:t>issues</w:t>
      </w:r>
      <w:proofErr w:type="gramEnd"/>
      <w:r w:rsidRPr="00132AEF">
        <w:rPr>
          <w:i/>
          <w:sz w:val="28"/>
          <w:szCs w:val="28"/>
        </w:rPr>
        <w:t xml:space="preserve"> involves a chain of tellers. </w:t>
      </w:r>
      <w:r>
        <w:rPr>
          <w:i/>
          <w:sz w:val="28"/>
          <w:szCs w:val="28"/>
        </w:rPr>
        <w:t xml:space="preserve"> </w:t>
      </w:r>
      <w:r>
        <w:rPr>
          <w:i/>
          <w:sz w:val="28"/>
          <w:szCs w:val="28"/>
          <w:u w:val="single"/>
        </w:rPr>
        <w:t>It is difficult to substantiate charge in the absence of vouchers.</w:t>
      </w:r>
      <w:r>
        <w:rPr>
          <w:i/>
          <w:sz w:val="28"/>
          <w:szCs w:val="28"/>
        </w:rPr>
        <w:t xml:space="preserve">  </w:t>
      </w:r>
      <w:r>
        <w:rPr>
          <w:i/>
          <w:sz w:val="28"/>
          <w:szCs w:val="28"/>
          <w:u w:val="single"/>
        </w:rPr>
        <w:t>The allegation of negligence was not proven.</w:t>
      </w:r>
      <w:r>
        <w:rPr>
          <w:i/>
          <w:sz w:val="28"/>
          <w:szCs w:val="28"/>
        </w:rPr>
        <w:t xml:space="preserve">  The bank did not do much in getting evidence from the supervisor involved.”</w:t>
      </w:r>
    </w:p>
    <w:p w:rsidR="00132AEF" w:rsidRPr="00C25D80" w:rsidRDefault="00132AEF" w:rsidP="00C25D80">
      <w:pPr>
        <w:spacing w:after="0" w:line="360" w:lineRule="auto"/>
        <w:ind w:firstLine="720"/>
        <w:rPr>
          <w:sz w:val="28"/>
          <w:szCs w:val="28"/>
        </w:rPr>
      </w:pPr>
      <w:proofErr w:type="gramStart"/>
      <w:r w:rsidRPr="00C25D80">
        <w:rPr>
          <w:sz w:val="28"/>
          <w:szCs w:val="28"/>
        </w:rPr>
        <w:t>(The underlining for emphasis in mine.)</w:t>
      </w:r>
      <w:proofErr w:type="gramEnd"/>
    </w:p>
    <w:p w:rsidR="00C25D80" w:rsidRDefault="00132AEF" w:rsidP="00132AEF">
      <w:pPr>
        <w:spacing w:after="0" w:line="360" w:lineRule="auto"/>
        <w:rPr>
          <w:sz w:val="28"/>
          <w:szCs w:val="28"/>
        </w:rPr>
      </w:pPr>
      <w:r>
        <w:rPr>
          <w:sz w:val="28"/>
          <w:szCs w:val="28"/>
        </w:rPr>
        <w:t xml:space="preserve">The charge of negligence in this case entailed failure to </w:t>
      </w:r>
      <w:r w:rsidR="00AA4E52">
        <w:rPr>
          <w:sz w:val="28"/>
          <w:szCs w:val="28"/>
        </w:rPr>
        <w:t>follow procedures.  Respondent’s</w:t>
      </w:r>
      <w:r>
        <w:rPr>
          <w:sz w:val="28"/>
          <w:szCs w:val="28"/>
        </w:rPr>
        <w:t xml:space="preserve"> memo quoted above explained the procedures which she followed.  She checked for signatures and positive identification of the payees </w:t>
      </w:r>
      <w:r w:rsidR="003500D3">
        <w:rPr>
          <w:sz w:val="28"/>
          <w:szCs w:val="28"/>
        </w:rPr>
        <w:t xml:space="preserve">then </w:t>
      </w:r>
      <w:r>
        <w:rPr>
          <w:sz w:val="28"/>
          <w:szCs w:val="28"/>
        </w:rPr>
        <w:t xml:space="preserve">endorsed same on back of the withdrawal vouchers.  She sought </w:t>
      </w:r>
      <w:r w:rsidR="003500D3">
        <w:rPr>
          <w:sz w:val="28"/>
          <w:szCs w:val="28"/>
        </w:rPr>
        <w:t xml:space="preserve">and </w:t>
      </w:r>
      <w:r>
        <w:rPr>
          <w:sz w:val="28"/>
          <w:szCs w:val="28"/>
        </w:rPr>
        <w:t>obtained authority in respect of the transaction above her limited authority.  These appear</w:t>
      </w:r>
      <w:r w:rsidR="006A7203">
        <w:rPr>
          <w:sz w:val="28"/>
          <w:szCs w:val="28"/>
        </w:rPr>
        <w:t xml:space="preserve"> to be the normal procedures expected of a bank teller.  On the other hand Appellant averred th</w:t>
      </w:r>
      <w:r w:rsidR="00AA4E52">
        <w:rPr>
          <w:sz w:val="28"/>
          <w:szCs w:val="28"/>
        </w:rPr>
        <w:t xml:space="preserve">at Respondent acted negligently. </w:t>
      </w:r>
      <w:r w:rsidR="006A7203">
        <w:rPr>
          <w:sz w:val="28"/>
          <w:szCs w:val="28"/>
        </w:rPr>
        <w:t xml:space="preserve"> Appellant’s case appears to rest solely on the basis that the payees were not the </w:t>
      </w:r>
      <w:r w:rsidR="006A7203">
        <w:rPr>
          <w:sz w:val="28"/>
          <w:szCs w:val="28"/>
          <w:u w:val="single"/>
        </w:rPr>
        <w:t>bona</w:t>
      </w:r>
      <w:r w:rsidR="006A7203">
        <w:rPr>
          <w:sz w:val="28"/>
          <w:szCs w:val="28"/>
        </w:rPr>
        <w:t xml:space="preserve"> </w:t>
      </w:r>
      <w:r w:rsidR="006A7203">
        <w:rPr>
          <w:sz w:val="28"/>
          <w:szCs w:val="28"/>
          <w:u w:val="single"/>
        </w:rPr>
        <w:t>fide</w:t>
      </w:r>
      <w:r w:rsidR="006A7203">
        <w:rPr>
          <w:sz w:val="28"/>
          <w:szCs w:val="28"/>
        </w:rPr>
        <w:t xml:space="preserve"> </w:t>
      </w:r>
      <w:r w:rsidR="006A7203">
        <w:rPr>
          <w:sz w:val="28"/>
          <w:szCs w:val="28"/>
        </w:rPr>
        <w:lastRenderedPageBreak/>
        <w:t xml:space="preserve">account holders.  It was </w:t>
      </w:r>
      <w:proofErr w:type="spellStart"/>
      <w:r w:rsidR="006A7203">
        <w:rPr>
          <w:sz w:val="28"/>
          <w:szCs w:val="28"/>
        </w:rPr>
        <w:t>encumbent</w:t>
      </w:r>
      <w:proofErr w:type="spellEnd"/>
      <w:r w:rsidR="006A7203">
        <w:rPr>
          <w:sz w:val="28"/>
          <w:szCs w:val="28"/>
        </w:rPr>
        <w:t xml:space="preserve"> upon Appellant to produce the withdrawal vouchers.  The endorsements thereon (or lack thereof) would show whether or </w:t>
      </w:r>
    </w:p>
    <w:p w:rsidR="00132AEF" w:rsidRDefault="006A7203" w:rsidP="00132AEF">
      <w:pPr>
        <w:spacing w:after="0" w:line="360" w:lineRule="auto"/>
        <w:rPr>
          <w:sz w:val="28"/>
          <w:szCs w:val="28"/>
        </w:rPr>
      </w:pPr>
      <w:proofErr w:type="gramStart"/>
      <w:r>
        <w:rPr>
          <w:sz w:val="28"/>
          <w:szCs w:val="28"/>
        </w:rPr>
        <w:t>not</w:t>
      </w:r>
      <w:proofErr w:type="gramEnd"/>
      <w:r>
        <w:rPr>
          <w:sz w:val="28"/>
          <w:szCs w:val="28"/>
        </w:rPr>
        <w:t xml:space="preserve"> Respondent followed procedures as she averred.  That </w:t>
      </w:r>
      <w:r>
        <w:rPr>
          <w:sz w:val="28"/>
          <w:szCs w:val="28"/>
          <w:u w:val="single"/>
        </w:rPr>
        <w:t>mala</w:t>
      </w:r>
      <w:r>
        <w:rPr>
          <w:sz w:val="28"/>
          <w:szCs w:val="28"/>
        </w:rPr>
        <w:t xml:space="preserve"> </w:t>
      </w:r>
      <w:r>
        <w:rPr>
          <w:sz w:val="28"/>
          <w:szCs w:val="28"/>
          <w:u w:val="single"/>
        </w:rPr>
        <w:t>fide</w:t>
      </w:r>
      <w:r>
        <w:rPr>
          <w:sz w:val="28"/>
          <w:szCs w:val="28"/>
        </w:rPr>
        <w:t xml:space="preserve"> payees were involved might well be the result of a fraud perpetuated upon Respondent possibly with connivance by the bank’s employees.  This </w:t>
      </w:r>
      <w:r w:rsidR="00AA4E52">
        <w:rPr>
          <w:sz w:val="28"/>
          <w:szCs w:val="28"/>
        </w:rPr>
        <w:t xml:space="preserve">was </w:t>
      </w:r>
      <w:r>
        <w:rPr>
          <w:sz w:val="28"/>
          <w:szCs w:val="28"/>
        </w:rPr>
        <w:t>ad</w:t>
      </w:r>
      <w:r w:rsidR="00CE5807">
        <w:rPr>
          <w:sz w:val="28"/>
          <w:szCs w:val="28"/>
        </w:rPr>
        <w:t>verted to by the NEC in its determination.  These are observations by persons with expertise and experience in banking operations.  They cannot be lightly dismissed.  In these circumstances I am persuaded to agree with NEC’s finding that the charges could not be sustained in the absence of the withdrawal vouchers.</w:t>
      </w:r>
    </w:p>
    <w:p w:rsidR="00CE5807" w:rsidRDefault="00CE5807" w:rsidP="00132AEF">
      <w:pPr>
        <w:spacing w:after="0" w:line="360" w:lineRule="auto"/>
        <w:rPr>
          <w:sz w:val="28"/>
          <w:szCs w:val="28"/>
        </w:rPr>
      </w:pPr>
    </w:p>
    <w:p w:rsidR="00CE5807" w:rsidRDefault="00CE5807" w:rsidP="00132AEF">
      <w:pPr>
        <w:spacing w:after="0" w:line="360" w:lineRule="auto"/>
        <w:rPr>
          <w:sz w:val="28"/>
          <w:szCs w:val="28"/>
        </w:rPr>
      </w:pPr>
      <w:r>
        <w:rPr>
          <w:sz w:val="28"/>
          <w:szCs w:val="28"/>
        </w:rPr>
        <w:t>Wherefore it is ordered that,</w:t>
      </w:r>
    </w:p>
    <w:p w:rsidR="00CE5807" w:rsidRDefault="00CE5807" w:rsidP="00CE5807">
      <w:pPr>
        <w:pStyle w:val="ListParagraph"/>
        <w:numPr>
          <w:ilvl w:val="0"/>
          <w:numId w:val="3"/>
        </w:numPr>
        <w:spacing w:after="0" w:line="360" w:lineRule="auto"/>
        <w:rPr>
          <w:sz w:val="28"/>
          <w:szCs w:val="28"/>
        </w:rPr>
      </w:pPr>
      <w:r>
        <w:rPr>
          <w:sz w:val="28"/>
          <w:szCs w:val="28"/>
        </w:rPr>
        <w:t xml:space="preserve"> The appeal is hereby dismissed; and</w:t>
      </w:r>
    </w:p>
    <w:p w:rsidR="00CE5807" w:rsidRDefault="00CE5807" w:rsidP="00CE5807">
      <w:pPr>
        <w:pStyle w:val="ListParagraph"/>
        <w:numPr>
          <w:ilvl w:val="0"/>
          <w:numId w:val="3"/>
        </w:numPr>
        <w:spacing w:after="0" w:line="360" w:lineRule="auto"/>
        <w:rPr>
          <w:sz w:val="28"/>
          <w:szCs w:val="28"/>
        </w:rPr>
      </w:pPr>
      <w:r>
        <w:rPr>
          <w:sz w:val="28"/>
          <w:szCs w:val="28"/>
        </w:rPr>
        <w:t>Each party shall bear its own costs.</w:t>
      </w:r>
    </w:p>
    <w:p w:rsidR="00CE5807" w:rsidRDefault="00CE5807" w:rsidP="00CE5807">
      <w:pPr>
        <w:spacing w:after="0" w:line="360" w:lineRule="auto"/>
        <w:rPr>
          <w:sz w:val="28"/>
          <w:szCs w:val="28"/>
        </w:rPr>
      </w:pPr>
    </w:p>
    <w:p w:rsidR="00CE5807" w:rsidRDefault="00CE5807" w:rsidP="00CE5807">
      <w:pPr>
        <w:spacing w:after="0" w:line="360" w:lineRule="auto"/>
        <w:rPr>
          <w:sz w:val="28"/>
          <w:szCs w:val="28"/>
        </w:rPr>
      </w:pPr>
    </w:p>
    <w:p w:rsidR="00CE5807" w:rsidRDefault="00CE5807" w:rsidP="00CE5807">
      <w:pPr>
        <w:spacing w:after="0" w:line="360" w:lineRule="auto"/>
        <w:rPr>
          <w:sz w:val="28"/>
          <w:szCs w:val="28"/>
        </w:rPr>
      </w:pPr>
    </w:p>
    <w:p w:rsidR="00CE5807" w:rsidRDefault="00CE5807" w:rsidP="00CE5807">
      <w:pPr>
        <w:spacing w:after="0" w:line="360" w:lineRule="auto"/>
        <w:rPr>
          <w:sz w:val="28"/>
          <w:szCs w:val="28"/>
        </w:rPr>
      </w:pPr>
    </w:p>
    <w:p w:rsidR="00CE5807" w:rsidRDefault="00CE5807" w:rsidP="00CE5807">
      <w:pPr>
        <w:spacing w:after="0" w:line="360" w:lineRule="auto"/>
        <w:ind w:left="4320"/>
        <w:rPr>
          <w:b/>
          <w:sz w:val="28"/>
          <w:szCs w:val="28"/>
        </w:rPr>
      </w:pPr>
      <w:r>
        <w:rPr>
          <w:b/>
          <w:sz w:val="28"/>
          <w:szCs w:val="28"/>
        </w:rPr>
        <w:t>G.  MUSARIRI</w:t>
      </w:r>
    </w:p>
    <w:p w:rsidR="00CE5807" w:rsidRPr="00CE5807" w:rsidRDefault="00CE5807" w:rsidP="00CE5807">
      <w:pPr>
        <w:spacing w:after="0" w:line="360" w:lineRule="auto"/>
        <w:ind w:left="4320"/>
        <w:rPr>
          <w:b/>
          <w:sz w:val="28"/>
          <w:szCs w:val="28"/>
          <w:u w:val="single"/>
        </w:rPr>
      </w:pPr>
      <w:r>
        <w:rPr>
          <w:b/>
          <w:sz w:val="28"/>
          <w:szCs w:val="28"/>
          <w:u w:val="single"/>
        </w:rPr>
        <w:t>PRESIDENT</w:t>
      </w:r>
    </w:p>
    <w:p w:rsidR="00E60126" w:rsidRDefault="00E60126" w:rsidP="00E60126">
      <w:pPr>
        <w:spacing w:line="360" w:lineRule="auto"/>
        <w:rPr>
          <w:sz w:val="28"/>
          <w:szCs w:val="28"/>
        </w:rPr>
      </w:pPr>
    </w:p>
    <w:p w:rsidR="00E60126" w:rsidRDefault="00E60126">
      <w:pPr>
        <w:rPr>
          <w:sz w:val="28"/>
          <w:szCs w:val="28"/>
        </w:rPr>
      </w:pPr>
    </w:p>
    <w:p w:rsidR="00E60126" w:rsidRDefault="00E60126" w:rsidP="00E60126">
      <w:pPr>
        <w:tabs>
          <w:tab w:val="left" w:pos="1020"/>
        </w:tabs>
        <w:rPr>
          <w:sz w:val="28"/>
          <w:szCs w:val="28"/>
        </w:rPr>
      </w:pPr>
    </w:p>
    <w:p w:rsidR="00E60126" w:rsidRDefault="00E60126">
      <w:pPr>
        <w:rPr>
          <w:sz w:val="28"/>
          <w:szCs w:val="28"/>
        </w:rPr>
      </w:pPr>
    </w:p>
    <w:p w:rsidR="00E60126" w:rsidRDefault="00E60126">
      <w:pPr>
        <w:rPr>
          <w:sz w:val="28"/>
          <w:szCs w:val="28"/>
        </w:rPr>
      </w:pPr>
    </w:p>
    <w:p w:rsidR="00413F96" w:rsidRDefault="00413F96">
      <w:pPr>
        <w:rPr>
          <w:sz w:val="28"/>
          <w:szCs w:val="28"/>
        </w:rPr>
      </w:pPr>
      <w:bookmarkStart w:id="0" w:name="_GoBack"/>
      <w:bookmarkEnd w:id="0"/>
    </w:p>
    <w:sectPr w:rsidR="00413F96" w:rsidSect="00E6012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75" w:rsidRDefault="00FF4B75" w:rsidP="00E60126">
      <w:pPr>
        <w:spacing w:after="0" w:line="240" w:lineRule="auto"/>
      </w:pPr>
      <w:r>
        <w:separator/>
      </w:r>
    </w:p>
  </w:endnote>
  <w:endnote w:type="continuationSeparator" w:id="0">
    <w:p w:rsidR="00FF4B75" w:rsidRDefault="00FF4B75" w:rsidP="00E6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3171"/>
      <w:docPartObj>
        <w:docPartGallery w:val="Page Numbers (Bottom of Page)"/>
        <w:docPartUnique/>
      </w:docPartObj>
    </w:sdtPr>
    <w:sdtEndPr>
      <w:rPr>
        <w:noProof/>
      </w:rPr>
    </w:sdtEndPr>
    <w:sdtContent>
      <w:p w:rsidR="006A7203" w:rsidRDefault="006A7203">
        <w:pPr>
          <w:pStyle w:val="Footer"/>
          <w:jc w:val="right"/>
        </w:pPr>
        <w:r>
          <w:fldChar w:fldCharType="begin"/>
        </w:r>
        <w:r>
          <w:instrText xml:space="preserve"> PAGE   \* MERGEFORMAT </w:instrText>
        </w:r>
        <w:r>
          <w:fldChar w:fldCharType="separate"/>
        </w:r>
        <w:r w:rsidR="00413F96">
          <w:rPr>
            <w:noProof/>
          </w:rPr>
          <w:t>4</w:t>
        </w:r>
        <w:r>
          <w:rPr>
            <w:noProof/>
          </w:rPr>
          <w:fldChar w:fldCharType="end"/>
        </w:r>
      </w:p>
    </w:sdtContent>
  </w:sdt>
  <w:p w:rsidR="006A7203" w:rsidRDefault="006A7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75" w:rsidRDefault="00FF4B75" w:rsidP="00E60126">
      <w:pPr>
        <w:spacing w:after="0" w:line="240" w:lineRule="auto"/>
      </w:pPr>
      <w:r>
        <w:separator/>
      </w:r>
    </w:p>
  </w:footnote>
  <w:footnote w:type="continuationSeparator" w:id="0">
    <w:p w:rsidR="00FF4B75" w:rsidRDefault="00FF4B75" w:rsidP="00E60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03" w:rsidRDefault="006A7203" w:rsidP="00E60126">
    <w:pPr>
      <w:ind w:left="5760"/>
      <w:rPr>
        <w:b/>
        <w:sz w:val="28"/>
        <w:szCs w:val="28"/>
      </w:rPr>
    </w:pPr>
    <w:r>
      <w:rPr>
        <w:b/>
        <w:sz w:val="28"/>
        <w:szCs w:val="28"/>
      </w:rPr>
      <w:t>JUDGMENT LC/H/25/13</w:t>
    </w:r>
  </w:p>
  <w:p w:rsidR="006A7203" w:rsidRDefault="006A7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00F"/>
    <w:multiLevelType w:val="hybridMultilevel"/>
    <w:tmpl w:val="16BA1F4C"/>
    <w:lvl w:ilvl="0" w:tplc="448053AA">
      <w:start w:val="1"/>
      <w:numFmt w:val="bullet"/>
      <w:lvlText w:val="-"/>
      <w:lvlJc w:val="left"/>
      <w:pPr>
        <w:ind w:left="1800" w:hanging="360"/>
      </w:pPr>
      <w:rPr>
        <w:rFonts w:ascii="Calibri" w:eastAsiaTheme="minorHAnsi" w:hAnsi="Calibri" w:cs="Calibri"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
    <w:nsid w:val="3D051C43"/>
    <w:multiLevelType w:val="hybridMultilevel"/>
    <w:tmpl w:val="2B5257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D767F39"/>
    <w:multiLevelType w:val="hybridMultilevel"/>
    <w:tmpl w:val="15469714"/>
    <w:lvl w:ilvl="0" w:tplc="E1063008">
      <w:start w:val="1"/>
      <w:numFmt w:val="bullet"/>
      <w:lvlText w:val="-"/>
      <w:lvlJc w:val="left"/>
      <w:pPr>
        <w:ind w:left="990" w:hanging="360"/>
      </w:pPr>
      <w:rPr>
        <w:rFonts w:ascii="Calibri" w:eastAsiaTheme="minorHAnsi" w:hAnsi="Calibri" w:cs="Calibri" w:hint="default"/>
      </w:rPr>
    </w:lvl>
    <w:lvl w:ilvl="1" w:tplc="30090003" w:tentative="1">
      <w:start w:val="1"/>
      <w:numFmt w:val="bullet"/>
      <w:lvlText w:val="o"/>
      <w:lvlJc w:val="left"/>
      <w:pPr>
        <w:ind w:left="1710" w:hanging="360"/>
      </w:pPr>
      <w:rPr>
        <w:rFonts w:ascii="Courier New" w:hAnsi="Courier New" w:cs="Courier New" w:hint="default"/>
      </w:rPr>
    </w:lvl>
    <w:lvl w:ilvl="2" w:tplc="30090005" w:tentative="1">
      <w:start w:val="1"/>
      <w:numFmt w:val="bullet"/>
      <w:lvlText w:val=""/>
      <w:lvlJc w:val="left"/>
      <w:pPr>
        <w:ind w:left="2430" w:hanging="360"/>
      </w:pPr>
      <w:rPr>
        <w:rFonts w:ascii="Wingdings" w:hAnsi="Wingdings" w:hint="default"/>
      </w:rPr>
    </w:lvl>
    <w:lvl w:ilvl="3" w:tplc="30090001" w:tentative="1">
      <w:start w:val="1"/>
      <w:numFmt w:val="bullet"/>
      <w:lvlText w:val=""/>
      <w:lvlJc w:val="left"/>
      <w:pPr>
        <w:ind w:left="3150" w:hanging="360"/>
      </w:pPr>
      <w:rPr>
        <w:rFonts w:ascii="Symbol" w:hAnsi="Symbol" w:hint="default"/>
      </w:rPr>
    </w:lvl>
    <w:lvl w:ilvl="4" w:tplc="30090003" w:tentative="1">
      <w:start w:val="1"/>
      <w:numFmt w:val="bullet"/>
      <w:lvlText w:val="o"/>
      <w:lvlJc w:val="left"/>
      <w:pPr>
        <w:ind w:left="3870" w:hanging="360"/>
      </w:pPr>
      <w:rPr>
        <w:rFonts w:ascii="Courier New" w:hAnsi="Courier New" w:cs="Courier New" w:hint="default"/>
      </w:rPr>
    </w:lvl>
    <w:lvl w:ilvl="5" w:tplc="30090005" w:tentative="1">
      <w:start w:val="1"/>
      <w:numFmt w:val="bullet"/>
      <w:lvlText w:val=""/>
      <w:lvlJc w:val="left"/>
      <w:pPr>
        <w:ind w:left="4590" w:hanging="360"/>
      </w:pPr>
      <w:rPr>
        <w:rFonts w:ascii="Wingdings" w:hAnsi="Wingdings" w:hint="default"/>
      </w:rPr>
    </w:lvl>
    <w:lvl w:ilvl="6" w:tplc="30090001" w:tentative="1">
      <w:start w:val="1"/>
      <w:numFmt w:val="bullet"/>
      <w:lvlText w:val=""/>
      <w:lvlJc w:val="left"/>
      <w:pPr>
        <w:ind w:left="5310" w:hanging="360"/>
      </w:pPr>
      <w:rPr>
        <w:rFonts w:ascii="Symbol" w:hAnsi="Symbol" w:hint="default"/>
      </w:rPr>
    </w:lvl>
    <w:lvl w:ilvl="7" w:tplc="30090003" w:tentative="1">
      <w:start w:val="1"/>
      <w:numFmt w:val="bullet"/>
      <w:lvlText w:val="o"/>
      <w:lvlJc w:val="left"/>
      <w:pPr>
        <w:ind w:left="6030" w:hanging="360"/>
      </w:pPr>
      <w:rPr>
        <w:rFonts w:ascii="Courier New" w:hAnsi="Courier New" w:cs="Courier New" w:hint="default"/>
      </w:rPr>
    </w:lvl>
    <w:lvl w:ilvl="8" w:tplc="30090005" w:tentative="1">
      <w:start w:val="1"/>
      <w:numFmt w:val="bullet"/>
      <w:lvlText w:val=""/>
      <w:lvlJc w:val="left"/>
      <w:pPr>
        <w:ind w:left="6750" w:hanging="360"/>
      </w:pPr>
      <w:rPr>
        <w:rFonts w:ascii="Wingdings" w:hAnsi="Wingdings" w:hint="default"/>
      </w:rPr>
    </w:lvl>
  </w:abstractNum>
  <w:abstractNum w:abstractNumId="3">
    <w:nsid w:val="4D7E23C9"/>
    <w:multiLevelType w:val="hybridMultilevel"/>
    <w:tmpl w:val="21DC38CE"/>
    <w:lvl w:ilvl="0" w:tplc="404E5BAA">
      <w:start w:val="1"/>
      <w:numFmt w:val="bullet"/>
      <w:lvlText w:val="-"/>
      <w:lvlJc w:val="left"/>
      <w:pPr>
        <w:ind w:left="1185" w:hanging="360"/>
      </w:pPr>
      <w:rPr>
        <w:rFonts w:ascii="Calibri" w:eastAsiaTheme="minorHAnsi" w:hAnsi="Calibri" w:cs="Calibri" w:hint="default"/>
      </w:rPr>
    </w:lvl>
    <w:lvl w:ilvl="1" w:tplc="30090003" w:tentative="1">
      <w:start w:val="1"/>
      <w:numFmt w:val="bullet"/>
      <w:lvlText w:val="o"/>
      <w:lvlJc w:val="left"/>
      <w:pPr>
        <w:ind w:left="1905" w:hanging="360"/>
      </w:pPr>
      <w:rPr>
        <w:rFonts w:ascii="Courier New" w:hAnsi="Courier New" w:cs="Courier New" w:hint="default"/>
      </w:rPr>
    </w:lvl>
    <w:lvl w:ilvl="2" w:tplc="30090005" w:tentative="1">
      <w:start w:val="1"/>
      <w:numFmt w:val="bullet"/>
      <w:lvlText w:val=""/>
      <w:lvlJc w:val="left"/>
      <w:pPr>
        <w:ind w:left="2625" w:hanging="360"/>
      </w:pPr>
      <w:rPr>
        <w:rFonts w:ascii="Wingdings" w:hAnsi="Wingdings" w:hint="default"/>
      </w:rPr>
    </w:lvl>
    <w:lvl w:ilvl="3" w:tplc="30090001" w:tentative="1">
      <w:start w:val="1"/>
      <w:numFmt w:val="bullet"/>
      <w:lvlText w:val=""/>
      <w:lvlJc w:val="left"/>
      <w:pPr>
        <w:ind w:left="3345" w:hanging="360"/>
      </w:pPr>
      <w:rPr>
        <w:rFonts w:ascii="Symbol" w:hAnsi="Symbol" w:hint="default"/>
      </w:rPr>
    </w:lvl>
    <w:lvl w:ilvl="4" w:tplc="30090003" w:tentative="1">
      <w:start w:val="1"/>
      <w:numFmt w:val="bullet"/>
      <w:lvlText w:val="o"/>
      <w:lvlJc w:val="left"/>
      <w:pPr>
        <w:ind w:left="4065" w:hanging="360"/>
      </w:pPr>
      <w:rPr>
        <w:rFonts w:ascii="Courier New" w:hAnsi="Courier New" w:cs="Courier New" w:hint="default"/>
      </w:rPr>
    </w:lvl>
    <w:lvl w:ilvl="5" w:tplc="30090005" w:tentative="1">
      <w:start w:val="1"/>
      <w:numFmt w:val="bullet"/>
      <w:lvlText w:val=""/>
      <w:lvlJc w:val="left"/>
      <w:pPr>
        <w:ind w:left="4785" w:hanging="360"/>
      </w:pPr>
      <w:rPr>
        <w:rFonts w:ascii="Wingdings" w:hAnsi="Wingdings" w:hint="default"/>
      </w:rPr>
    </w:lvl>
    <w:lvl w:ilvl="6" w:tplc="30090001" w:tentative="1">
      <w:start w:val="1"/>
      <w:numFmt w:val="bullet"/>
      <w:lvlText w:val=""/>
      <w:lvlJc w:val="left"/>
      <w:pPr>
        <w:ind w:left="5505" w:hanging="360"/>
      </w:pPr>
      <w:rPr>
        <w:rFonts w:ascii="Symbol" w:hAnsi="Symbol" w:hint="default"/>
      </w:rPr>
    </w:lvl>
    <w:lvl w:ilvl="7" w:tplc="30090003" w:tentative="1">
      <w:start w:val="1"/>
      <w:numFmt w:val="bullet"/>
      <w:lvlText w:val="o"/>
      <w:lvlJc w:val="left"/>
      <w:pPr>
        <w:ind w:left="6225" w:hanging="360"/>
      </w:pPr>
      <w:rPr>
        <w:rFonts w:ascii="Courier New" w:hAnsi="Courier New" w:cs="Courier New" w:hint="default"/>
      </w:rPr>
    </w:lvl>
    <w:lvl w:ilvl="8" w:tplc="30090005" w:tentative="1">
      <w:start w:val="1"/>
      <w:numFmt w:val="bullet"/>
      <w:lvlText w:val=""/>
      <w:lvlJc w:val="left"/>
      <w:pPr>
        <w:ind w:left="6945" w:hanging="360"/>
      </w:pPr>
      <w:rPr>
        <w:rFonts w:ascii="Wingdings" w:hAnsi="Wingdings" w:hint="default"/>
      </w:rPr>
    </w:lvl>
  </w:abstractNum>
  <w:abstractNum w:abstractNumId="4">
    <w:nsid w:val="55DA66D8"/>
    <w:multiLevelType w:val="hybridMultilevel"/>
    <w:tmpl w:val="44BC395E"/>
    <w:lvl w:ilvl="0" w:tplc="C23AB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727493C"/>
    <w:multiLevelType w:val="hybridMultilevel"/>
    <w:tmpl w:val="5D6457C8"/>
    <w:lvl w:ilvl="0" w:tplc="B77807B8">
      <w:start w:val="1"/>
      <w:numFmt w:val="bullet"/>
      <w:lvlText w:val="-"/>
      <w:lvlJc w:val="left"/>
      <w:pPr>
        <w:ind w:left="930" w:hanging="360"/>
      </w:pPr>
      <w:rPr>
        <w:rFonts w:ascii="Calibri" w:eastAsiaTheme="minorHAnsi" w:hAnsi="Calibri" w:cs="Calibri" w:hint="default"/>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abstractNum w:abstractNumId="6">
    <w:nsid w:val="798B257A"/>
    <w:multiLevelType w:val="hybridMultilevel"/>
    <w:tmpl w:val="68B68090"/>
    <w:lvl w:ilvl="0" w:tplc="D59679DC">
      <w:start w:val="1"/>
      <w:numFmt w:val="bullet"/>
      <w:lvlText w:val="-"/>
      <w:lvlJc w:val="left"/>
      <w:pPr>
        <w:ind w:left="930" w:hanging="360"/>
      </w:pPr>
      <w:rPr>
        <w:rFonts w:ascii="Calibri" w:eastAsiaTheme="minorHAnsi" w:hAnsi="Calibri" w:cs="Calibri" w:hint="default"/>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67"/>
    <w:rsid w:val="000B7BC6"/>
    <w:rsid w:val="00132AEF"/>
    <w:rsid w:val="001F3462"/>
    <w:rsid w:val="003500D3"/>
    <w:rsid w:val="00413F96"/>
    <w:rsid w:val="00691FDD"/>
    <w:rsid w:val="00692D46"/>
    <w:rsid w:val="006A7203"/>
    <w:rsid w:val="00730A67"/>
    <w:rsid w:val="00937131"/>
    <w:rsid w:val="00965DA0"/>
    <w:rsid w:val="00AA4E52"/>
    <w:rsid w:val="00C25D80"/>
    <w:rsid w:val="00C71DF1"/>
    <w:rsid w:val="00CA2747"/>
    <w:rsid w:val="00CE5807"/>
    <w:rsid w:val="00E60126"/>
    <w:rsid w:val="00FF4B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126"/>
  </w:style>
  <w:style w:type="paragraph" w:styleId="Footer">
    <w:name w:val="footer"/>
    <w:basedOn w:val="Normal"/>
    <w:link w:val="FooterChar"/>
    <w:uiPriority w:val="99"/>
    <w:unhideWhenUsed/>
    <w:rsid w:val="00E60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126"/>
  </w:style>
  <w:style w:type="paragraph" w:styleId="ListParagraph">
    <w:name w:val="List Paragraph"/>
    <w:basedOn w:val="Normal"/>
    <w:uiPriority w:val="34"/>
    <w:qFormat/>
    <w:rsid w:val="00E60126"/>
    <w:pPr>
      <w:ind w:left="720"/>
      <w:contextualSpacing/>
    </w:pPr>
  </w:style>
  <w:style w:type="paragraph" w:styleId="BalloonText">
    <w:name w:val="Balloon Text"/>
    <w:basedOn w:val="Normal"/>
    <w:link w:val="BalloonTextChar"/>
    <w:uiPriority w:val="99"/>
    <w:semiHidden/>
    <w:unhideWhenUsed/>
    <w:rsid w:val="001F3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126"/>
  </w:style>
  <w:style w:type="paragraph" w:styleId="Footer">
    <w:name w:val="footer"/>
    <w:basedOn w:val="Normal"/>
    <w:link w:val="FooterChar"/>
    <w:uiPriority w:val="99"/>
    <w:unhideWhenUsed/>
    <w:rsid w:val="00E60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126"/>
  </w:style>
  <w:style w:type="paragraph" w:styleId="ListParagraph">
    <w:name w:val="List Paragraph"/>
    <w:basedOn w:val="Normal"/>
    <w:uiPriority w:val="34"/>
    <w:qFormat/>
    <w:rsid w:val="00E60126"/>
    <w:pPr>
      <w:ind w:left="720"/>
      <w:contextualSpacing/>
    </w:pPr>
  </w:style>
  <w:style w:type="paragraph" w:styleId="BalloonText">
    <w:name w:val="Balloon Text"/>
    <w:basedOn w:val="Normal"/>
    <w:link w:val="BalloonTextChar"/>
    <w:uiPriority w:val="99"/>
    <w:semiHidden/>
    <w:unhideWhenUsed/>
    <w:rsid w:val="001F3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81F9-315F-4A7F-BAEF-AA7BF286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2013-02-05T13:48:00Z</cp:lastPrinted>
  <dcterms:created xsi:type="dcterms:W3CDTF">2013-01-30T13:46:00Z</dcterms:created>
  <dcterms:modified xsi:type="dcterms:W3CDTF">2013-02-05T13:49:00Z</dcterms:modified>
</cp:coreProperties>
</file>