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9A7" w:rsidRDefault="00E513D8" w:rsidP="00E513D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MUTARE BOARD AND PAPER MILLS LTD</w:t>
      </w:r>
    </w:p>
    <w:p w:rsidR="00E513D8" w:rsidRDefault="00E513D8" w:rsidP="00E51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513D8" w:rsidRDefault="00E513D8" w:rsidP="00E51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TENDAI MATASVA</w:t>
      </w:r>
    </w:p>
    <w:p w:rsidR="00E513D8" w:rsidRDefault="00E513D8" w:rsidP="00E51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513D8" w:rsidRDefault="00E513D8" w:rsidP="00E51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LANDS AND RURAL RESETTLEMENT N.O</w:t>
      </w:r>
    </w:p>
    <w:p w:rsidR="00E513D8" w:rsidRDefault="00E513D8" w:rsidP="00E513D8">
      <w:pPr>
        <w:spacing w:after="0" w:line="240" w:lineRule="auto"/>
        <w:jc w:val="both"/>
        <w:rPr>
          <w:rFonts w:ascii="Times New Roman" w:hAnsi="Times New Roman" w:cs="Times New Roman"/>
          <w:sz w:val="24"/>
          <w:szCs w:val="24"/>
        </w:rPr>
      </w:pPr>
    </w:p>
    <w:p w:rsidR="00E513D8" w:rsidRDefault="00E513D8" w:rsidP="00E513D8">
      <w:pPr>
        <w:spacing w:after="0" w:line="240" w:lineRule="auto"/>
        <w:jc w:val="both"/>
        <w:rPr>
          <w:rFonts w:ascii="Times New Roman" w:hAnsi="Times New Roman" w:cs="Times New Roman"/>
          <w:sz w:val="24"/>
          <w:szCs w:val="24"/>
        </w:rPr>
      </w:pPr>
    </w:p>
    <w:p w:rsidR="00E513D8" w:rsidRDefault="00E513D8" w:rsidP="00E513D8">
      <w:pPr>
        <w:spacing w:after="0" w:line="240" w:lineRule="auto"/>
        <w:jc w:val="both"/>
        <w:rPr>
          <w:rFonts w:ascii="Times New Roman" w:hAnsi="Times New Roman" w:cs="Times New Roman"/>
          <w:sz w:val="24"/>
          <w:szCs w:val="24"/>
        </w:rPr>
      </w:pPr>
    </w:p>
    <w:p w:rsidR="00E513D8" w:rsidRDefault="00E513D8" w:rsidP="00E51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513D8" w:rsidRDefault="00E513D8" w:rsidP="00E51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MATANDA-MOYO J</w:t>
      </w:r>
    </w:p>
    <w:p w:rsidR="00E513D8" w:rsidRDefault="00E513D8" w:rsidP="00E51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591DC4">
        <w:rPr>
          <w:rFonts w:ascii="Times New Roman" w:hAnsi="Times New Roman" w:cs="Times New Roman"/>
          <w:sz w:val="24"/>
          <w:szCs w:val="24"/>
        </w:rPr>
        <w:t xml:space="preserve">16 March </w:t>
      </w:r>
      <w:r>
        <w:rPr>
          <w:rFonts w:ascii="Times New Roman" w:hAnsi="Times New Roman" w:cs="Times New Roman"/>
          <w:sz w:val="24"/>
          <w:szCs w:val="24"/>
        </w:rPr>
        <w:t>2017</w:t>
      </w:r>
      <w:r w:rsidR="00591DC4">
        <w:rPr>
          <w:rFonts w:ascii="Times New Roman" w:hAnsi="Times New Roman" w:cs="Times New Roman"/>
          <w:sz w:val="24"/>
          <w:szCs w:val="24"/>
        </w:rPr>
        <w:t xml:space="preserve"> &amp; 5 April 2017</w:t>
      </w:r>
    </w:p>
    <w:p w:rsidR="00E513D8" w:rsidRDefault="00E513D8" w:rsidP="00E513D8">
      <w:pPr>
        <w:spacing w:after="0" w:line="240" w:lineRule="auto"/>
        <w:jc w:val="both"/>
        <w:rPr>
          <w:rFonts w:ascii="Times New Roman" w:hAnsi="Times New Roman" w:cs="Times New Roman"/>
          <w:sz w:val="24"/>
          <w:szCs w:val="24"/>
        </w:rPr>
      </w:pPr>
    </w:p>
    <w:p w:rsidR="00E513D8" w:rsidRDefault="00E513D8" w:rsidP="00574BFC">
      <w:pPr>
        <w:spacing w:after="0" w:line="360" w:lineRule="auto"/>
        <w:jc w:val="both"/>
        <w:rPr>
          <w:rFonts w:ascii="Times New Roman" w:hAnsi="Times New Roman" w:cs="Times New Roman"/>
          <w:sz w:val="24"/>
          <w:szCs w:val="24"/>
        </w:rPr>
      </w:pPr>
    </w:p>
    <w:p w:rsidR="00E513D8" w:rsidRDefault="00E513D8" w:rsidP="00E513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E513D8" w:rsidRDefault="00E513D8" w:rsidP="00E513D8">
      <w:pPr>
        <w:spacing w:after="0" w:line="240" w:lineRule="auto"/>
        <w:jc w:val="both"/>
        <w:rPr>
          <w:rFonts w:ascii="Times New Roman" w:hAnsi="Times New Roman" w:cs="Times New Roman"/>
          <w:b/>
          <w:sz w:val="24"/>
          <w:szCs w:val="24"/>
        </w:rPr>
      </w:pPr>
    </w:p>
    <w:p w:rsidR="00E513D8" w:rsidRDefault="00E513D8" w:rsidP="00E513D8">
      <w:pPr>
        <w:spacing w:after="0" w:line="240" w:lineRule="auto"/>
        <w:jc w:val="both"/>
        <w:rPr>
          <w:rFonts w:ascii="Times New Roman" w:hAnsi="Times New Roman" w:cs="Times New Roman"/>
          <w:b/>
          <w:sz w:val="24"/>
          <w:szCs w:val="24"/>
        </w:rPr>
      </w:pPr>
    </w:p>
    <w:p w:rsidR="00E513D8" w:rsidRDefault="00E513D8" w:rsidP="00E513D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 Madzoka, </w:t>
      </w:r>
      <w:r>
        <w:rPr>
          <w:rFonts w:ascii="Times New Roman" w:hAnsi="Times New Roman" w:cs="Times New Roman"/>
          <w:sz w:val="24"/>
          <w:szCs w:val="24"/>
        </w:rPr>
        <w:t>for the applicant</w:t>
      </w:r>
    </w:p>
    <w:p w:rsidR="00E513D8" w:rsidRDefault="00E513D8" w:rsidP="00E513D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Hungwe, </w:t>
      </w:r>
      <w:r>
        <w:rPr>
          <w:rFonts w:ascii="Times New Roman" w:hAnsi="Times New Roman" w:cs="Times New Roman"/>
          <w:sz w:val="24"/>
          <w:szCs w:val="24"/>
        </w:rPr>
        <w:t>for the 1</w:t>
      </w:r>
      <w:r w:rsidRPr="00E513D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E513D8" w:rsidRDefault="00E513D8" w:rsidP="00E51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2</w:t>
      </w:r>
      <w:r w:rsidRPr="00E513D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E513D8" w:rsidRDefault="00E513D8" w:rsidP="00E513D8">
      <w:pPr>
        <w:spacing w:after="0" w:line="240" w:lineRule="auto"/>
        <w:jc w:val="both"/>
        <w:rPr>
          <w:rFonts w:ascii="Times New Roman" w:hAnsi="Times New Roman" w:cs="Times New Roman"/>
          <w:sz w:val="24"/>
          <w:szCs w:val="24"/>
        </w:rPr>
      </w:pPr>
    </w:p>
    <w:p w:rsidR="00E513D8" w:rsidRDefault="00E513D8" w:rsidP="00E513D8">
      <w:pPr>
        <w:spacing w:after="0" w:line="240" w:lineRule="auto"/>
        <w:jc w:val="both"/>
        <w:rPr>
          <w:rFonts w:ascii="Times New Roman" w:hAnsi="Times New Roman" w:cs="Times New Roman"/>
          <w:sz w:val="24"/>
          <w:szCs w:val="24"/>
        </w:rPr>
      </w:pPr>
    </w:p>
    <w:p w:rsidR="002240C6" w:rsidRDefault="00E513D8" w:rsidP="00E513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MATANDA-MOYO J: This is a claim for </w:t>
      </w:r>
      <w:r w:rsidR="00264268" w:rsidRPr="00264268">
        <w:rPr>
          <w:rFonts w:ascii="Times New Roman" w:hAnsi="Times New Roman" w:cs="Times New Roman"/>
          <w:i/>
          <w:sz w:val="24"/>
          <w:szCs w:val="24"/>
        </w:rPr>
        <w:t>rei</w:t>
      </w:r>
      <w:r w:rsidRPr="00264268">
        <w:rPr>
          <w:rFonts w:ascii="Times New Roman" w:hAnsi="Times New Roman" w:cs="Times New Roman"/>
          <w:i/>
          <w:sz w:val="24"/>
          <w:szCs w:val="24"/>
        </w:rPr>
        <w:t xml:space="preserve"> vindicatio</w:t>
      </w:r>
      <w:r>
        <w:rPr>
          <w:rFonts w:ascii="Times New Roman" w:hAnsi="Times New Roman" w:cs="Times New Roman"/>
          <w:sz w:val="24"/>
          <w:szCs w:val="24"/>
        </w:rPr>
        <w:t>. The brief facts are that the applicant is the owner of Inodzi Estate in Penhal</w:t>
      </w:r>
      <w:r w:rsidR="00591DC4">
        <w:rPr>
          <w:rFonts w:ascii="Times New Roman" w:hAnsi="Times New Roman" w:cs="Times New Roman"/>
          <w:sz w:val="24"/>
          <w:szCs w:val="24"/>
        </w:rPr>
        <w:t>o</w:t>
      </w:r>
      <w:r>
        <w:rPr>
          <w:rFonts w:ascii="Times New Roman" w:hAnsi="Times New Roman" w:cs="Times New Roman"/>
          <w:sz w:val="24"/>
          <w:szCs w:val="24"/>
        </w:rPr>
        <w:t>nga. It is engaged in timber plantation. Sometime in 2010 the first respondent was allocated a plot at Inodzi</w:t>
      </w:r>
      <w:r w:rsidR="00B175B9">
        <w:rPr>
          <w:rFonts w:ascii="Times New Roman" w:hAnsi="Times New Roman" w:cs="Times New Roman"/>
          <w:sz w:val="24"/>
          <w:szCs w:val="24"/>
        </w:rPr>
        <w:t xml:space="preserve"> Estate</w:t>
      </w:r>
      <w:r>
        <w:rPr>
          <w:rFonts w:ascii="Times New Roman" w:hAnsi="Times New Roman" w:cs="Times New Roman"/>
          <w:sz w:val="24"/>
          <w:szCs w:val="24"/>
        </w:rPr>
        <w:t xml:space="preserve">. Following engagements between the applicant and the second respondent such certificate was withdrawn on 17 October 2011. The first respondent was </w:t>
      </w:r>
      <w:r w:rsidR="00591DC4">
        <w:rPr>
          <w:rFonts w:ascii="Times New Roman" w:hAnsi="Times New Roman" w:cs="Times New Roman"/>
          <w:sz w:val="24"/>
          <w:szCs w:val="24"/>
        </w:rPr>
        <w:t xml:space="preserve">in exchange </w:t>
      </w:r>
      <w:r>
        <w:rPr>
          <w:rFonts w:ascii="Times New Roman" w:hAnsi="Times New Roman" w:cs="Times New Roman"/>
          <w:sz w:val="24"/>
          <w:szCs w:val="24"/>
        </w:rPr>
        <w:t xml:space="preserve">issued with an offer </w:t>
      </w:r>
    </w:p>
    <w:p w:rsidR="00196DEA" w:rsidRDefault="00E513D8" w:rsidP="00E513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letter for Plot 3 </w:t>
      </w:r>
      <w:r w:rsidR="00264268">
        <w:rPr>
          <w:rFonts w:ascii="Times New Roman" w:hAnsi="Times New Roman" w:cs="Times New Roman"/>
          <w:sz w:val="24"/>
          <w:szCs w:val="24"/>
        </w:rPr>
        <w:t>Savillen</w:t>
      </w:r>
      <w:r>
        <w:rPr>
          <w:rFonts w:ascii="Times New Roman" w:hAnsi="Times New Roman" w:cs="Times New Roman"/>
          <w:sz w:val="24"/>
          <w:szCs w:val="24"/>
        </w:rPr>
        <w:t xml:space="preserve"> Mutasa District measuring 18 hectares. The first respondent did not move off Inodzi but continued in occupation. The applicant has approached this court for the eviction of the</w:t>
      </w:r>
      <w:r w:rsidR="00A728DA">
        <w:rPr>
          <w:rFonts w:ascii="Times New Roman" w:hAnsi="Times New Roman" w:cs="Times New Roman"/>
          <w:sz w:val="24"/>
          <w:szCs w:val="24"/>
        </w:rPr>
        <w:t xml:space="preserve"> first respondent</w:t>
      </w:r>
      <w:r w:rsidR="00196DEA">
        <w:rPr>
          <w:rFonts w:ascii="Times New Roman" w:hAnsi="Times New Roman" w:cs="Times New Roman"/>
          <w:sz w:val="24"/>
          <w:szCs w:val="24"/>
        </w:rPr>
        <w:t>.</w:t>
      </w:r>
    </w:p>
    <w:p w:rsidR="00196DEA" w:rsidRDefault="00196DEA" w:rsidP="00E513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A728DA">
        <w:rPr>
          <w:rFonts w:ascii="Times New Roman" w:hAnsi="Times New Roman" w:cs="Times New Roman"/>
          <w:sz w:val="24"/>
          <w:szCs w:val="24"/>
        </w:rPr>
        <w:t>first respondent</w:t>
      </w:r>
      <w:r>
        <w:rPr>
          <w:rFonts w:ascii="Times New Roman" w:hAnsi="Times New Roman" w:cs="Times New Roman"/>
          <w:sz w:val="24"/>
          <w:szCs w:val="24"/>
        </w:rPr>
        <w:t xml:space="preserve"> opposed the relief sought on the basis that:</w:t>
      </w:r>
    </w:p>
    <w:p w:rsidR="00196DEA" w:rsidRDefault="00196DEA" w:rsidP="00E513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he was offered plot 1 </w:t>
      </w:r>
      <w:r w:rsidR="00B175B9">
        <w:rPr>
          <w:rFonts w:ascii="Times New Roman" w:hAnsi="Times New Roman" w:cs="Times New Roman"/>
          <w:sz w:val="24"/>
          <w:szCs w:val="24"/>
        </w:rPr>
        <w:t>at</w:t>
      </w:r>
      <w:r>
        <w:rPr>
          <w:rFonts w:ascii="Times New Roman" w:hAnsi="Times New Roman" w:cs="Times New Roman"/>
          <w:sz w:val="24"/>
          <w:szCs w:val="24"/>
        </w:rPr>
        <w:t xml:space="preserve"> Inodzi</w:t>
      </w:r>
      <w:r w:rsidR="00B175B9">
        <w:rPr>
          <w:rFonts w:ascii="Times New Roman" w:hAnsi="Times New Roman" w:cs="Times New Roman"/>
          <w:sz w:val="24"/>
          <w:szCs w:val="24"/>
        </w:rPr>
        <w:t xml:space="preserve"> Estate</w:t>
      </w:r>
      <w:r>
        <w:rPr>
          <w:rFonts w:ascii="Times New Roman" w:hAnsi="Times New Roman" w:cs="Times New Roman"/>
          <w:sz w:val="24"/>
          <w:szCs w:val="24"/>
        </w:rPr>
        <w:t xml:space="preserve"> farm and such offer is still valid and </w:t>
      </w:r>
    </w:p>
    <w:p w:rsidR="00A728DA" w:rsidRDefault="00196DEA" w:rsidP="00A728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00B175B9">
        <w:rPr>
          <w:rFonts w:ascii="Times New Roman" w:hAnsi="Times New Roman" w:cs="Times New Roman"/>
          <w:sz w:val="24"/>
          <w:szCs w:val="24"/>
        </w:rPr>
        <w:t xml:space="preserve">also that </w:t>
      </w:r>
      <w:r>
        <w:rPr>
          <w:rFonts w:ascii="Times New Roman" w:hAnsi="Times New Roman" w:cs="Times New Roman"/>
          <w:sz w:val="24"/>
          <w:szCs w:val="24"/>
        </w:rPr>
        <w:t xml:space="preserve">he is </w:t>
      </w:r>
      <w:r w:rsidR="00B175B9">
        <w:rPr>
          <w:rFonts w:ascii="Times New Roman" w:hAnsi="Times New Roman" w:cs="Times New Roman"/>
          <w:sz w:val="24"/>
          <w:szCs w:val="24"/>
        </w:rPr>
        <w:t>at</w:t>
      </w:r>
      <w:r>
        <w:rPr>
          <w:rFonts w:ascii="Times New Roman" w:hAnsi="Times New Roman" w:cs="Times New Roman"/>
          <w:sz w:val="24"/>
          <w:szCs w:val="24"/>
        </w:rPr>
        <w:t xml:space="preserve"> the farm </w:t>
      </w:r>
      <w:r w:rsidR="00B175B9">
        <w:rPr>
          <w:rFonts w:ascii="Times New Roman" w:hAnsi="Times New Roman" w:cs="Times New Roman"/>
          <w:sz w:val="24"/>
          <w:szCs w:val="24"/>
        </w:rPr>
        <w:t>on the strength of</w:t>
      </w:r>
      <w:r>
        <w:rPr>
          <w:rFonts w:ascii="Times New Roman" w:hAnsi="Times New Roman" w:cs="Times New Roman"/>
          <w:sz w:val="24"/>
          <w:szCs w:val="24"/>
        </w:rPr>
        <w:t xml:space="preserve"> a registered mining title</w:t>
      </w:r>
      <w:r w:rsidR="00591DC4">
        <w:rPr>
          <w:rFonts w:ascii="Times New Roman" w:hAnsi="Times New Roman" w:cs="Times New Roman"/>
          <w:sz w:val="24"/>
          <w:szCs w:val="24"/>
        </w:rPr>
        <w:t xml:space="preserve"> in favour </w:t>
      </w:r>
      <w:r w:rsidR="00A728DA">
        <w:rPr>
          <w:rFonts w:ascii="Times New Roman" w:hAnsi="Times New Roman" w:cs="Times New Roman"/>
          <w:sz w:val="24"/>
          <w:szCs w:val="24"/>
        </w:rPr>
        <w:t xml:space="preserve"> </w:t>
      </w:r>
    </w:p>
    <w:p w:rsidR="00D52F75" w:rsidRDefault="00A728DA" w:rsidP="00A728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591DC4">
        <w:rPr>
          <w:rFonts w:ascii="Times New Roman" w:hAnsi="Times New Roman" w:cs="Times New Roman"/>
          <w:sz w:val="24"/>
          <w:szCs w:val="24"/>
        </w:rPr>
        <w:t>of</w:t>
      </w:r>
      <w:r w:rsidR="00196DEA">
        <w:rPr>
          <w:rFonts w:ascii="Times New Roman" w:hAnsi="Times New Roman" w:cs="Times New Roman"/>
          <w:sz w:val="24"/>
          <w:szCs w:val="24"/>
        </w:rPr>
        <w:t xml:space="preserve"> Simukayi Mining Syndicate.</w:t>
      </w:r>
    </w:p>
    <w:p w:rsidR="00013EC1" w:rsidRDefault="00D52F75" w:rsidP="00E513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also averred that he is not privy to any deals between the applicant and the second respondent as he was not party to them. It is his case that he has had undisturbed possession</w:t>
      </w:r>
      <w:r w:rsidR="00CC5DC2">
        <w:rPr>
          <w:rFonts w:ascii="Times New Roman" w:hAnsi="Times New Roman" w:cs="Times New Roman"/>
          <w:sz w:val="24"/>
          <w:szCs w:val="24"/>
        </w:rPr>
        <w:t xml:space="preserve"> of plot 1 Inodzi </w:t>
      </w:r>
      <w:r w:rsidR="00A728DA">
        <w:rPr>
          <w:rFonts w:ascii="Times New Roman" w:hAnsi="Times New Roman" w:cs="Times New Roman"/>
          <w:sz w:val="24"/>
          <w:szCs w:val="24"/>
        </w:rPr>
        <w:t xml:space="preserve">Estate </w:t>
      </w:r>
      <w:r w:rsidR="00CC5DC2">
        <w:rPr>
          <w:rFonts w:ascii="Times New Roman" w:hAnsi="Times New Roman" w:cs="Times New Roman"/>
          <w:sz w:val="24"/>
          <w:szCs w:val="24"/>
        </w:rPr>
        <w:t xml:space="preserve">from 2012 to date. The first respondent prayed that the application </w:t>
      </w:r>
      <w:r w:rsidR="00591DC4">
        <w:rPr>
          <w:rFonts w:ascii="Times New Roman" w:hAnsi="Times New Roman" w:cs="Times New Roman"/>
          <w:sz w:val="24"/>
          <w:szCs w:val="24"/>
        </w:rPr>
        <w:t>be</w:t>
      </w:r>
      <w:r w:rsidR="00CC5DC2">
        <w:rPr>
          <w:rFonts w:ascii="Times New Roman" w:hAnsi="Times New Roman" w:cs="Times New Roman"/>
          <w:sz w:val="24"/>
          <w:szCs w:val="24"/>
        </w:rPr>
        <w:t xml:space="preserve"> dismissed with costs on a higher scale. The second respondent raised no objection to the relief sought. The second respondent filed a letter with this court indicating that he is not opposed to the order sought.</w:t>
      </w:r>
    </w:p>
    <w:p w:rsidR="00013EC1" w:rsidRDefault="00013EC1" w:rsidP="00E513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This application has been brought in terms of the </w:t>
      </w:r>
      <w:r w:rsidRPr="00013EC1">
        <w:rPr>
          <w:rFonts w:ascii="Times New Roman" w:hAnsi="Times New Roman" w:cs="Times New Roman"/>
          <w:i/>
          <w:sz w:val="24"/>
          <w:szCs w:val="24"/>
        </w:rPr>
        <w:t xml:space="preserve">rei </w:t>
      </w:r>
      <w:r w:rsidR="00591DC4">
        <w:rPr>
          <w:rFonts w:ascii="Times New Roman" w:hAnsi="Times New Roman" w:cs="Times New Roman"/>
          <w:i/>
          <w:sz w:val="24"/>
          <w:szCs w:val="24"/>
        </w:rPr>
        <w:t>vindicatio</w:t>
      </w:r>
      <w:r w:rsidR="00591DC4">
        <w:rPr>
          <w:rFonts w:ascii="Times New Roman" w:hAnsi="Times New Roman" w:cs="Times New Roman"/>
          <w:sz w:val="24"/>
          <w:szCs w:val="24"/>
        </w:rPr>
        <w:t xml:space="preserve"> action</w:t>
      </w:r>
      <w:r>
        <w:rPr>
          <w:rFonts w:ascii="Times New Roman" w:hAnsi="Times New Roman" w:cs="Times New Roman"/>
          <w:sz w:val="24"/>
          <w:szCs w:val="24"/>
        </w:rPr>
        <w:t>. This action is founded in property law</w:t>
      </w:r>
      <w:r w:rsidR="00B175B9">
        <w:rPr>
          <w:rFonts w:ascii="Times New Roman" w:hAnsi="Times New Roman" w:cs="Times New Roman"/>
          <w:sz w:val="24"/>
          <w:szCs w:val="24"/>
        </w:rPr>
        <w:t>,</w:t>
      </w:r>
      <w:r>
        <w:rPr>
          <w:rFonts w:ascii="Times New Roman" w:hAnsi="Times New Roman" w:cs="Times New Roman"/>
          <w:sz w:val="24"/>
          <w:szCs w:val="24"/>
        </w:rPr>
        <w:t xml:space="preserve"> action in </w:t>
      </w:r>
      <w:r w:rsidRPr="00AA5084">
        <w:rPr>
          <w:rFonts w:ascii="Times New Roman" w:hAnsi="Times New Roman" w:cs="Times New Roman"/>
          <w:i/>
          <w:sz w:val="24"/>
          <w:szCs w:val="24"/>
        </w:rPr>
        <w:t>rem</w:t>
      </w:r>
      <w:r>
        <w:rPr>
          <w:rFonts w:ascii="Times New Roman" w:hAnsi="Times New Roman" w:cs="Times New Roman"/>
          <w:sz w:val="24"/>
          <w:szCs w:val="24"/>
        </w:rPr>
        <w:t xml:space="preserve"> and is designed to protect ownership of property. An owner of a property should not be deprived of possession and use of such property without his or her consent. See </w:t>
      </w:r>
      <w:r>
        <w:rPr>
          <w:rFonts w:ascii="Times New Roman" w:hAnsi="Times New Roman" w:cs="Times New Roman"/>
          <w:i/>
          <w:sz w:val="24"/>
          <w:szCs w:val="24"/>
        </w:rPr>
        <w:t xml:space="preserve">Chetty </w:t>
      </w:r>
      <w:r>
        <w:rPr>
          <w:rFonts w:ascii="Times New Roman" w:hAnsi="Times New Roman" w:cs="Times New Roman"/>
          <w:sz w:val="24"/>
          <w:szCs w:val="24"/>
        </w:rPr>
        <w:t xml:space="preserve">v </w:t>
      </w:r>
      <w:r>
        <w:rPr>
          <w:rFonts w:ascii="Times New Roman" w:hAnsi="Times New Roman" w:cs="Times New Roman"/>
          <w:i/>
          <w:sz w:val="24"/>
          <w:szCs w:val="24"/>
        </w:rPr>
        <w:t xml:space="preserve">Naidoo </w:t>
      </w:r>
      <w:r>
        <w:rPr>
          <w:rFonts w:ascii="Times New Roman" w:hAnsi="Times New Roman" w:cs="Times New Roman"/>
          <w:sz w:val="24"/>
          <w:szCs w:val="24"/>
        </w:rPr>
        <w:t>1974 (3) SA 13 (A) at 20B-D where the court said:</w:t>
      </w:r>
    </w:p>
    <w:p w:rsidR="00D757D5" w:rsidRDefault="00013EC1" w:rsidP="00D757D5">
      <w:pPr>
        <w:spacing w:after="0" w:line="240" w:lineRule="auto"/>
        <w:ind w:left="720"/>
        <w:jc w:val="both"/>
        <w:rPr>
          <w:rFonts w:ascii="Times New Roman" w:hAnsi="Times New Roman" w:cs="Times New Roman"/>
        </w:rPr>
      </w:pPr>
      <w:r>
        <w:rPr>
          <w:rFonts w:ascii="Times New Roman" w:hAnsi="Times New Roman" w:cs="Times New Roman"/>
          <w:sz w:val="24"/>
          <w:szCs w:val="24"/>
        </w:rPr>
        <w:t xml:space="preserve">“ </w:t>
      </w:r>
      <w:r w:rsidR="00D757D5">
        <w:rPr>
          <w:rFonts w:ascii="Times New Roman" w:hAnsi="Times New Roman" w:cs="Times New Roman"/>
        </w:rPr>
        <w:t xml:space="preserve">It is inherent in the nature of ownership that possession of res should normally be with the owner and it follows that no other person may withhold it from the owner unless he is vested with some right enforceable against the owner e.g a right of retention or a contractual right). The owner in </w:t>
      </w:r>
      <w:r w:rsidR="00591DC4">
        <w:rPr>
          <w:rFonts w:ascii="Times New Roman" w:hAnsi="Times New Roman" w:cs="Times New Roman"/>
        </w:rPr>
        <w:t>instituting</w:t>
      </w:r>
      <w:r w:rsidR="00D757D5">
        <w:rPr>
          <w:rFonts w:ascii="Times New Roman" w:hAnsi="Times New Roman" w:cs="Times New Roman"/>
        </w:rPr>
        <w:t xml:space="preserve"> a </w:t>
      </w:r>
      <w:r w:rsidR="00D757D5" w:rsidRPr="00D757D5">
        <w:rPr>
          <w:rFonts w:ascii="Times New Roman" w:hAnsi="Times New Roman" w:cs="Times New Roman"/>
          <w:i/>
        </w:rPr>
        <w:t>rei vindicatio</w:t>
      </w:r>
      <w:r w:rsidR="00D757D5">
        <w:rPr>
          <w:rFonts w:ascii="Times New Roman" w:hAnsi="Times New Roman" w:cs="Times New Roman"/>
        </w:rPr>
        <w:t>, need therefore do no more than allege and prove that he is the owner and the defendant is holding the res- the onus being on the defendant to allege and establish any right to continue to hold against the owner.”</w:t>
      </w:r>
    </w:p>
    <w:p w:rsidR="00D757D5" w:rsidRDefault="00D757D5" w:rsidP="00D757D5">
      <w:pPr>
        <w:spacing w:after="0" w:line="240" w:lineRule="auto"/>
        <w:ind w:left="720"/>
        <w:jc w:val="both"/>
        <w:rPr>
          <w:rFonts w:ascii="Times New Roman" w:hAnsi="Times New Roman" w:cs="Times New Roman"/>
        </w:rPr>
      </w:pPr>
    </w:p>
    <w:p w:rsidR="00D757D5" w:rsidRPr="004849BC" w:rsidRDefault="00D757D5" w:rsidP="00AA5084">
      <w:pPr>
        <w:spacing w:after="0" w:line="360" w:lineRule="auto"/>
        <w:ind w:left="720"/>
        <w:jc w:val="both"/>
        <w:rPr>
          <w:rFonts w:ascii="Times New Roman" w:hAnsi="Times New Roman" w:cs="Times New Roman"/>
          <w:sz w:val="24"/>
          <w:szCs w:val="24"/>
        </w:rPr>
      </w:pPr>
      <w:r w:rsidRPr="004849BC">
        <w:rPr>
          <w:rFonts w:ascii="Times New Roman" w:hAnsi="Times New Roman" w:cs="Times New Roman"/>
          <w:sz w:val="24"/>
          <w:szCs w:val="24"/>
        </w:rPr>
        <w:t xml:space="preserve">See also </w:t>
      </w:r>
      <w:r w:rsidR="00591DC4">
        <w:rPr>
          <w:rFonts w:ascii="Times New Roman" w:hAnsi="Times New Roman" w:cs="Times New Roman"/>
          <w:i/>
          <w:sz w:val="24"/>
          <w:szCs w:val="24"/>
        </w:rPr>
        <w:t xml:space="preserve">Grosvenor </w:t>
      </w:r>
      <w:r w:rsidRPr="004849BC">
        <w:rPr>
          <w:rFonts w:ascii="Times New Roman" w:hAnsi="Times New Roman" w:cs="Times New Roman"/>
          <w:i/>
          <w:sz w:val="24"/>
          <w:szCs w:val="24"/>
        </w:rPr>
        <w:t>Motors (Potchefstroom</w:t>
      </w:r>
      <w:r w:rsidRPr="004849BC">
        <w:rPr>
          <w:rFonts w:ascii="Times New Roman" w:hAnsi="Times New Roman" w:cs="Times New Roman"/>
          <w:sz w:val="24"/>
          <w:szCs w:val="24"/>
        </w:rPr>
        <w:t xml:space="preserve">) </w:t>
      </w:r>
      <w:r w:rsidRPr="004849BC">
        <w:rPr>
          <w:rFonts w:ascii="Times New Roman" w:hAnsi="Times New Roman" w:cs="Times New Roman"/>
          <w:i/>
          <w:sz w:val="24"/>
          <w:szCs w:val="24"/>
        </w:rPr>
        <w:t>Ltd</w:t>
      </w:r>
      <w:r w:rsidRPr="004849BC">
        <w:rPr>
          <w:rFonts w:ascii="Times New Roman" w:hAnsi="Times New Roman" w:cs="Times New Roman"/>
          <w:sz w:val="24"/>
          <w:szCs w:val="24"/>
        </w:rPr>
        <w:t xml:space="preserve"> v </w:t>
      </w:r>
      <w:r w:rsidRPr="004849BC">
        <w:rPr>
          <w:rFonts w:ascii="Times New Roman" w:hAnsi="Times New Roman" w:cs="Times New Roman"/>
          <w:i/>
          <w:sz w:val="24"/>
          <w:szCs w:val="24"/>
        </w:rPr>
        <w:t xml:space="preserve">Douglas </w:t>
      </w:r>
      <w:r w:rsidRPr="004849BC">
        <w:rPr>
          <w:rFonts w:ascii="Times New Roman" w:hAnsi="Times New Roman" w:cs="Times New Roman"/>
          <w:sz w:val="24"/>
          <w:szCs w:val="24"/>
        </w:rPr>
        <w:t xml:space="preserve">1956 (3) SA 420 (A). Thus an applicant seeking to rely on the </w:t>
      </w:r>
      <w:r w:rsidRPr="004849BC">
        <w:rPr>
          <w:rFonts w:ascii="Times New Roman" w:hAnsi="Times New Roman" w:cs="Times New Roman"/>
          <w:i/>
          <w:sz w:val="24"/>
          <w:szCs w:val="24"/>
        </w:rPr>
        <w:t>rei vindicatio</w:t>
      </w:r>
      <w:r w:rsidRPr="004849BC">
        <w:rPr>
          <w:rFonts w:ascii="Times New Roman" w:hAnsi="Times New Roman" w:cs="Times New Roman"/>
          <w:sz w:val="24"/>
          <w:szCs w:val="24"/>
        </w:rPr>
        <w:t xml:space="preserve"> must show the following:</w:t>
      </w:r>
    </w:p>
    <w:p w:rsidR="00D757D5" w:rsidRPr="004849BC" w:rsidRDefault="00D757D5" w:rsidP="00D757D5">
      <w:pPr>
        <w:spacing w:after="0" w:line="360" w:lineRule="auto"/>
        <w:jc w:val="both"/>
        <w:rPr>
          <w:rFonts w:ascii="Times New Roman" w:hAnsi="Times New Roman" w:cs="Times New Roman"/>
          <w:sz w:val="24"/>
          <w:szCs w:val="24"/>
        </w:rPr>
      </w:pPr>
      <w:r w:rsidRPr="004849BC">
        <w:rPr>
          <w:rFonts w:ascii="Times New Roman" w:hAnsi="Times New Roman" w:cs="Times New Roman"/>
          <w:sz w:val="24"/>
          <w:szCs w:val="24"/>
        </w:rPr>
        <w:tab/>
        <w:t>‘1.</w:t>
      </w:r>
      <w:r w:rsidRPr="004849BC">
        <w:rPr>
          <w:rFonts w:ascii="Times New Roman" w:hAnsi="Times New Roman" w:cs="Times New Roman"/>
          <w:sz w:val="24"/>
          <w:szCs w:val="24"/>
        </w:rPr>
        <w:tab/>
      </w:r>
      <w:r w:rsidR="00ED244A" w:rsidRPr="004849BC">
        <w:rPr>
          <w:rFonts w:ascii="Times New Roman" w:hAnsi="Times New Roman" w:cs="Times New Roman"/>
          <w:sz w:val="24"/>
          <w:szCs w:val="24"/>
        </w:rPr>
        <w:t>t</w:t>
      </w:r>
      <w:r w:rsidRPr="004849BC">
        <w:rPr>
          <w:rFonts w:ascii="Times New Roman" w:hAnsi="Times New Roman" w:cs="Times New Roman"/>
          <w:sz w:val="24"/>
          <w:szCs w:val="24"/>
        </w:rPr>
        <w:t>hat he or she is the owner of that property</w:t>
      </w:r>
    </w:p>
    <w:p w:rsidR="00D757D5" w:rsidRPr="004849BC" w:rsidRDefault="00D757D5" w:rsidP="00D757D5">
      <w:pPr>
        <w:spacing w:after="0" w:line="360" w:lineRule="auto"/>
        <w:jc w:val="both"/>
        <w:rPr>
          <w:rFonts w:ascii="Times New Roman" w:hAnsi="Times New Roman" w:cs="Times New Roman"/>
          <w:sz w:val="24"/>
          <w:szCs w:val="24"/>
        </w:rPr>
      </w:pPr>
      <w:r w:rsidRPr="004849BC">
        <w:rPr>
          <w:rFonts w:ascii="Times New Roman" w:hAnsi="Times New Roman" w:cs="Times New Roman"/>
          <w:sz w:val="24"/>
          <w:szCs w:val="24"/>
        </w:rPr>
        <w:tab/>
        <w:t>2.</w:t>
      </w:r>
      <w:r w:rsidRPr="004849BC">
        <w:rPr>
          <w:rFonts w:ascii="Times New Roman" w:hAnsi="Times New Roman" w:cs="Times New Roman"/>
          <w:sz w:val="24"/>
          <w:szCs w:val="24"/>
        </w:rPr>
        <w:tab/>
        <w:t xml:space="preserve">that the property sought to be vindicated was in existence </w:t>
      </w:r>
    </w:p>
    <w:p w:rsidR="00067725" w:rsidRPr="004849BC" w:rsidRDefault="00D757D5" w:rsidP="00D757D5">
      <w:pPr>
        <w:spacing w:after="0" w:line="360" w:lineRule="auto"/>
        <w:jc w:val="both"/>
        <w:rPr>
          <w:rFonts w:ascii="Times New Roman" w:hAnsi="Times New Roman" w:cs="Times New Roman"/>
          <w:sz w:val="24"/>
          <w:szCs w:val="24"/>
        </w:rPr>
      </w:pPr>
      <w:r w:rsidRPr="004849BC">
        <w:rPr>
          <w:rFonts w:ascii="Times New Roman" w:hAnsi="Times New Roman" w:cs="Times New Roman"/>
          <w:sz w:val="24"/>
          <w:szCs w:val="24"/>
        </w:rPr>
        <w:tab/>
        <w:t>3.</w:t>
      </w:r>
      <w:r w:rsidRPr="004849BC">
        <w:rPr>
          <w:rFonts w:ascii="Times New Roman" w:hAnsi="Times New Roman" w:cs="Times New Roman"/>
          <w:sz w:val="24"/>
          <w:szCs w:val="24"/>
        </w:rPr>
        <w:tab/>
        <w:t xml:space="preserve">that the </w:t>
      </w:r>
      <w:r w:rsidR="00ED244A" w:rsidRPr="004849BC">
        <w:rPr>
          <w:rFonts w:ascii="Times New Roman" w:hAnsi="Times New Roman" w:cs="Times New Roman"/>
          <w:sz w:val="24"/>
          <w:szCs w:val="24"/>
        </w:rPr>
        <w:t>respondent</w:t>
      </w:r>
      <w:r w:rsidRPr="004849BC">
        <w:rPr>
          <w:rFonts w:ascii="Times New Roman" w:hAnsi="Times New Roman" w:cs="Times New Roman"/>
          <w:sz w:val="24"/>
          <w:szCs w:val="24"/>
        </w:rPr>
        <w:t xml:space="preserve"> is in possession of that property and </w:t>
      </w:r>
    </w:p>
    <w:p w:rsidR="00067725" w:rsidRPr="004849BC" w:rsidRDefault="00067725" w:rsidP="00D757D5">
      <w:pPr>
        <w:spacing w:after="0" w:line="360" w:lineRule="auto"/>
        <w:jc w:val="both"/>
        <w:rPr>
          <w:rFonts w:ascii="Times New Roman" w:hAnsi="Times New Roman" w:cs="Times New Roman"/>
          <w:sz w:val="24"/>
          <w:szCs w:val="24"/>
        </w:rPr>
      </w:pPr>
      <w:r w:rsidRPr="004849BC">
        <w:rPr>
          <w:rFonts w:ascii="Times New Roman" w:hAnsi="Times New Roman" w:cs="Times New Roman"/>
          <w:sz w:val="24"/>
          <w:szCs w:val="24"/>
        </w:rPr>
        <w:tab/>
        <w:t>4.</w:t>
      </w:r>
      <w:r w:rsidRPr="004849BC">
        <w:rPr>
          <w:rFonts w:ascii="Times New Roman" w:hAnsi="Times New Roman" w:cs="Times New Roman"/>
          <w:sz w:val="24"/>
          <w:szCs w:val="24"/>
        </w:rPr>
        <w:tab/>
        <w:t>that the applicant has not consented to such possession by the respondent.</w:t>
      </w:r>
    </w:p>
    <w:p w:rsidR="00067725" w:rsidRPr="004849BC" w:rsidRDefault="00067725" w:rsidP="00D757D5">
      <w:pPr>
        <w:spacing w:after="0" w:line="360" w:lineRule="auto"/>
        <w:jc w:val="both"/>
        <w:rPr>
          <w:rFonts w:ascii="Times New Roman" w:hAnsi="Times New Roman" w:cs="Times New Roman"/>
          <w:sz w:val="24"/>
          <w:szCs w:val="24"/>
        </w:rPr>
      </w:pPr>
      <w:r w:rsidRPr="004849BC">
        <w:rPr>
          <w:rFonts w:ascii="Times New Roman" w:hAnsi="Times New Roman" w:cs="Times New Roman"/>
          <w:sz w:val="24"/>
          <w:szCs w:val="24"/>
        </w:rPr>
        <w:tab/>
        <w:t xml:space="preserve">There is no doubt the property in question is owned by the applicant. The second respondent has conceded the point. The </w:t>
      </w:r>
      <w:r w:rsidR="00591DC4">
        <w:rPr>
          <w:rFonts w:ascii="Times New Roman" w:hAnsi="Times New Roman" w:cs="Times New Roman"/>
          <w:sz w:val="24"/>
          <w:szCs w:val="24"/>
        </w:rPr>
        <w:t xml:space="preserve">first </w:t>
      </w:r>
      <w:r w:rsidRPr="004849BC">
        <w:rPr>
          <w:rFonts w:ascii="Times New Roman" w:hAnsi="Times New Roman" w:cs="Times New Roman"/>
          <w:sz w:val="24"/>
          <w:szCs w:val="24"/>
        </w:rPr>
        <w:t>respondent is relying on the ownership of the property by the second respondent. Once the second respondent has conceded that the ownership of the land in question rest with the applicant, that is the end of the matter.</w:t>
      </w:r>
    </w:p>
    <w:p w:rsidR="00E73D72" w:rsidRDefault="00067725" w:rsidP="00D757D5">
      <w:pPr>
        <w:spacing w:after="0" w:line="360" w:lineRule="auto"/>
        <w:jc w:val="both"/>
        <w:rPr>
          <w:rFonts w:ascii="Times New Roman" w:hAnsi="Times New Roman" w:cs="Times New Roman"/>
          <w:sz w:val="24"/>
          <w:szCs w:val="24"/>
        </w:rPr>
      </w:pPr>
      <w:r w:rsidRPr="004849BC">
        <w:rPr>
          <w:rFonts w:ascii="Times New Roman" w:hAnsi="Times New Roman" w:cs="Times New Roman"/>
          <w:sz w:val="24"/>
          <w:szCs w:val="24"/>
        </w:rPr>
        <w:tab/>
        <w:t>It is common cause the land is in existence and is identifiable. The respondent is in possession of that property. It is common cause</w:t>
      </w:r>
      <w:r w:rsidR="002E28FF" w:rsidRPr="004849BC">
        <w:rPr>
          <w:rFonts w:ascii="Times New Roman" w:hAnsi="Times New Roman" w:cs="Times New Roman"/>
          <w:sz w:val="24"/>
          <w:szCs w:val="24"/>
        </w:rPr>
        <w:t xml:space="preserve"> the applicant has not consented to such possession by the respondent. I am satisfied that the applicant</w:t>
      </w:r>
      <w:r w:rsidR="004849BC" w:rsidRPr="004849BC">
        <w:rPr>
          <w:rFonts w:ascii="Times New Roman" w:hAnsi="Times New Roman" w:cs="Times New Roman"/>
          <w:sz w:val="24"/>
          <w:szCs w:val="24"/>
        </w:rPr>
        <w:t xml:space="preserve"> has discharged the onus upon it. See </w:t>
      </w:r>
      <w:r w:rsidR="00E32561">
        <w:rPr>
          <w:rFonts w:ascii="Times New Roman" w:hAnsi="Times New Roman" w:cs="Times New Roman"/>
          <w:i/>
          <w:sz w:val="24"/>
          <w:szCs w:val="24"/>
        </w:rPr>
        <w:t xml:space="preserve">Unimark Distributors (Pvt) Ltd </w:t>
      </w:r>
      <w:r w:rsidR="00E32561">
        <w:rPr>
          <w:rFonts w:ascii="Times New Roman" w:hAnsi="Times New Roman" w:cs="Times New Roman"/>
          <w:sz w:val="24"/>
          <w:szCs w:val="24"/>
        </w:rPr>
        <w:t xml:space="preserve">v </w:t>
      </w:r>
      <w:r w:rsidR="00E32561">
        <w:rPr>
          <w:rFonts w:ascii="Times New Roman" w:hAnsi="Times New Roman" w:cs="Times New Roman"/>
          <w:i/>
          <w:sz w:val="24"/>
          <w:szCs w:val="24"/>
        </w:rPr>
        <w:t xml:space="preserve">Erf 94 Silvertondale (Pvt) Ltd </w:t>
      </w:r>
      <w:r w:rsidR="00E32561">
        <w:rPr>
          <w:rFonts w:ascii="Times New Roman" w:hAnsi="Times New Roman" w:cs="Times New Roman"/>
          <w:sz w:val="24"/>
          <w:szCs w:val="24"/>
        </w:rPr>
        <w:t xml:space="preserve">1992 (2) SA 986 (T), </w:t>
      </w:r>
      <w:r w:rsidR="00E32561" w:rsidRPr="00E00451">
        <w:rPr>
          <w:rFonts w:ascii="Times New Roman" w:hAnsi="Times New Roman" w:cs="Times New Roman"/>
          <w:i/>
          <w:sz w:val="24"/>
          <w:szCs w:val="24"/>
        </w:rPr>
        <w:t>Alspite Investments (Pvt) Ltd</w:t>
      </w:r>
      <w:r w:rsidR="00E32561">
        <w:rPr>
          <w:rFonts w:ascii="Times New Roman" w:hAnsi="Times New Roman" w:cs="Times New Roman"/>
          <w:sz w:val="24"/>
          <w:szCs w:val="24"/>
        </w:rPr>
        <w:t xml:space="preserve"> v </w:t>
      </w:r>
      <w:r w:rsidR="00E00451">
        <w:rPr>
          <w:rFonts w:ascii="Times New Roman" w:hAnsi="Times New Roman" w:cs="Times New Roman"/>
          <w:i/>
          <w:sz w:val="24"/>
          <w:szCs w:val="24"/>
        </w:rPr>
        <w:t xml:space="preserve">Westerhof </w:t>
      </w:r>
      <w:r w:rsidR="00E00451">
        <w:rPr>
          <w:rFonts w:ascii="Times New Roman" w:hAnsi="Times New Roman" w:cs="Times New Roman"/>
          <w:sz w:val="24"/>
          <w:szCs w:val="24"/>
        </w:rPr>
        <w:t>2009 (2) ZLR 226 (H)</w:t>
      </w:r>
      <w:r w:rsidR="00E73D72">
        <w:rPr>
          <w:rFonts w:ascii="Times New Roman" w:hAnsi="Times New Roman" w:cs="Times New Roman"/>
          <w:sz w:val="24"/>
          <w:szCs w:val="24"/>
        </w:rPr>
        <w:t>.</w:t>
      </w:r>
    </w:p>
    <w:p w:rsidR="00B67C6B" w:rsidRDefault="00E73D72" w:rsidP="00D757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Once the applicant has shown the above the onus shifts to the </w:t>
      </w:r>
      <w:r w:rsidR="00B175B9">
        <w:rPr>
          <w:rFonts w:ascii="Times New Roman" w:hAnsi="Times New Roman" w:cs="Times New Roman"/>
          <w:sz w:val="24"/>
          <w:szCs w:val="24"/>
        </w:rPr>
        <w:t>respondent</w:t>
      </w:r>
      <w:r>
        <w:rPr>
          <w:rFonts w:ascii="Times New Roman" w:hAnsi="Times New Roman" w:cs="Times New Roman"/>
          <w:sz w:val="24"/>
          <w:szCs w:val="24"/>
        </w:rPr>
        <w:t xml:space="preserve"> to show that the applicant is not the owner of the property</w:t>
      </w:r>
      <w:r w:rsidR="00A728DA">
        <w:rPr>
          <w:rFonts w:ascii="Times New Roman" w:hAnsi="Times New Roman" w:cs="Times New Roman"/>
          <w:sz w:val="24"/>
          <w:szCs w:val="24"/>
        </w:rPr>
        <w:t xml:space="preserve"> or</w:t>
      </w:r>
      <w:r>
        <w:rPr>
          <w:rFonts w:ascii="Times New Roman" w:hAnsi="Times New Roman" w:cs="Times New Roman"/>
          <w:sz w:val="24"/>
          <w:szCs w:val="24"/>
        </w:rPr>
        <w:t xml:space="preserve"> that the property is no longer in existence </w:t>
      </w:r>
      <w:r w:rsidR="00B175B9">
        <w:rPr>
          <w:rFonts w:ascii="Times New Roman" w:hAnsi="Times New Roman" w:cs="Times New Roman"/>
          <w:sz w:val="24"/>
          <w:szCs w:val="24"/>
        </w:rPr>
        <w:t>or that it</w:t>
      </w:r>
      <w:r>
        <w:rPr>
          <w:rFonts w:ascii="Times New Roman" w:hAnsi="Times New Roman" w:cs="Times New Roman"/>
          <w:sz w:val="24"/>
          <w:szCs w:val="24"/>
        </w:rPr>
        <w:t xml:space="preserve"> is not identifiable</w:t>
      </w:r>
      <w:r w:rsidR="00B175B9">
        <w:rPr>
          <w:rFonts w:ascii="Times New Roman" w:hAnsi="Times New Roman" w:cs="Times New Roman"/>
          <w:sz w:val="24"/>
          <w:szCs w:val="24"/>
        </w:rPr>
        <w:t xml:space="preserve"> or</w:t>
      </w:r>
      <w:r>
        <w:rPr>
          <w:rFonts w:ascii="Times New Roman" w:hAnsi="Times New Roman" w:cs="Times New Roman"/>
          <w:sz w:val="24"/>
          <w:szCs w:val="24"/>
        </w:rPr>
        <w:t>, that he is not in possession of that property or at least show some legal entitlement to possession</w:t>
      </w:r>
      <w:r w:rsidR="00591DC4">
        <w:rPr>
          <w:rFonts w:ascii="Times New Roman" w:hAnsi="Times New Roman" w:cs="Times New Roman"/>
          <w:sz w:val="24"/>
          <w:szCs w:val="24"/>
        </w:rPr>
        <w:t xml:space="preserve"> of</w:t>
      </w:r>
      <w:r>
        <w:rPr>
          <w:rFonts w:ascii="Times New Roman" w:hAnsi="Times New Roman" w:cs="Times New Roman"/>
          <w:sz w:val="24"/>
          <w:szCs w:val="24"/>
        </w:rPr>
        <w:t xml:space="preserve"> the property</w:t>
      </w:r>
      <w:r w:rsidR="00A728DA">
        <w:rPr>
          <w:rFonts w:ascii="Times New Roman" w:hAnsi="Times New Roman" w:cs="Times New Roman"/>
          <w:sz w:val="24"/>
          <w:szCs w:val="24"/>
        </w:rPr>
        <w:t>.</w:t>
      </w:r>
      <w:r>
        <w:rPr>
          <w:rFonts w:ascii="Times New Roman" w:hAnsi="Times New Roman" w:cs="Times New Roman"/>
          <w:sz w:val="24"/>
          <w:szCs w:val="24"/>
        </w:rPr>
        <w:t xml:space="preserve"> See</w:t>
      </w:r>
      <w:r w:rsidR="00A77230">
        <w:rPr>
          <w:rFonts w:ascii="Times New Roman" w:hAnsi="Times New Roman" w:cs="Times New Roman"/>
          <w:sz w:val="24"/>
          <w:szCs w:val="24"/>
        </w:rPr>
        <w:t xml:space="preserve"> </w:t>
      </w:r>
      <w:r w:rsidR="00B67C6B">
        <w:rPr>
          <w:rFonts w:ascii="Times New Roman" w:hAnsi="Times New Roman" w:cs="Times New Roman"/>
          <w:i/>
          <w:sz w:val="24"/>
          <w:szCs w:val="24"/>
        </w:rPr>
        <w:t xml:space="preserve">Oakland Nominees Ltd </w:t>
      </w:r>
      <w:r w:rsidR="00B67C6B">
        <w:rPr>
          <w:rFonts w:ascii="Times New Roman" w:hAnsi="Times New Roman" w:cs="Times New Roman"/>
          <w:sz w:val="24"/>
          <w:szCs w:val="24"/>
        </w:rPr>
        <w:t xml:space="preserve">v </w:t>
      </w:r>
      <w:r w:rsidR="00B67C6B">
        <w:rPr>
          <w:rFonts w:ascii="Times New Roman" w:hAnsi="Times New Roman" w:cs="Times New Roman"/>
          <w:i/>
          <w:sz w:val="24"/>
          <w:szCs w:val="24"/>
        </w:rPr>
        <w:t xml:space="preserve">Gelria Mining and Investment Co Ltd </w:t>
      </w:r>
      <w:r w:rsidR="00B67C6B">
        <w:rPr>
          <w:rFonts w:ascii="Times New Roman" w:hAnsi="Times New Roman" w:cs="Times New Roman"/>
          <w:sz w:val="24"/>
          <w:szCs w:val="24"/>
        </w:rPr>
        <w:t xml:space="preserve">1976 (1) SA 441 (A), </w:t>
      </w:r>
      <w:r w:rsidR="00B67C6B">
        <w:rPr>
          <w:rFonts w:ascii="Times New Roman" w:hAnsi="Times New Roman" w:cs="Times New Roman"/>
          <w:i/>
          <w:sz w:val="24"/>
          <w:szCs w:val="24"/>
        </w:rPr>
        <w:t xml:space="preserve">African Sun Zimbabwe (Pvt) Ltd </w:t>
      </w:r>
      <w:r w:rsidR="00B67C6B">
        <w:rPr>
          <w:rFonts w:ascii="Times New Roman" w:hAnsi="Times New Roman" w:cs="Times New Roman"/>
          <w:sz w:val="24"/>
          <w:szCs w:val="24"/>
        </w:rPr>
        <w:t xml:space="preserve">v </w:t>
      </w:r>
      <w:r w:rsidR="00B67C6B">
        <w:rPr>
          <w:rFonts w:ascii="Times New Roman" w:hAnsi="Times New Roman" w:cs="Times New Roman"/>
          <w:i/>
          <w:sz w:val="24"/>
          <w:szCs w:val="24"/>
        </w:rPr>
        <w:t xml:space="preserve">Sigelani Mlongani </w:t>
      </w:r>
      <w:r w:rsidR="00B67C6B">
        <w:rPr>
          <w:rFonts w:ascii="Times New Roman" w:hAnsi="Times New Roman" w:cs="Times New Roman"/>
          <w:sz w:val="24"/>
          <w:szCs w:val="24"/>
        </w:rPr>
        <w:t xml:space="preserve">HH 537/15. The respondent herein bases his right to possession on a permit given to him by the second respondent. However such permit has since been revoked. At the present moment the applicant is not a holder of a valid permit from the second respondent. The respondent tried to challenge such </w:t>
      </w:r>
      <w:r w:rsidR="00591DC4">
        <w:rPr>
          <w:rFonts w:ascii="Times New Roman" w:hAnsi="Times New Roman" w:cs="Times New Roman"/>
          <w:sz w:val="24"/>
          <w:szCs w:val="24"/>
        </w:rPr>
        <w:t>revocation</w:t>
      </w:r>
      <w:r w:rsidR="00B67C6B">
        <w:rPr>
          <w:rFonts w:ascii="Times New Roman" w:hAnsi="Times New Roman" w:cs="Times New Roman"/>
          <w:sz w:val="24"/>
          <w:szCs w:val="24"/>
        </w:rPr>
        <w:t xml:space="preserve">, but I am of the view that this is not the </w:t>
      </w:r>
      <w:r w:rsidR="00B67C6B">
        <w:rPr>
          <w:rFonts w:ascii="Times New Roman" w:hAnsi="Times New Roman" w:cs="Times New Roman"/>
          <w:sz w:val="24"/>
          <w:szCs w:val="24"/>
        </w:rPr>
        <w:lastRenderedPageBreak/>
        <w:t>forum for such</w:t>
      </w:r>
      <w:r w:rsidR="00B175B9">
        <w:rPr>
          <w:rFonts w:ascii="Times New Roman" w:hAnsi="Times New Roman" w:cs="Times New Roman"/>
          <w:sz w:val="24"/>
          <w:szCs w:val="24"/>
        </w:rPr>
        <w:t xml:space="preserve"> a</w:t>
      </w:r>
      <w:r w:rsidR="00B67C6B">
        <w:rPr>
          <w:rFonts w:ascii="Times New Roman" w:hAnsi="Times New Roman" w:cs="Times New Roman"/>
          <w:sz w:val="24"/>
          <w:szCs w:val="24"/>
        </w:rPr>
        <w:t xml:space="preserve"> challenge. Such </w:t>
      </w:r>
      <w:r w:rsidR="00B175B9">
        <w:rPr>
          <w:rFonts w:ascii="Times New Roman" w:hAnsi="Times New Roman" w:cs="Times New Roman"/>
          <w:sz w:val="24"/>
          <w:szCs w:val="24"/>
        </w:rPr>
        <w:t xml:space="preserve">a </w:t>
      </w:r>
      <w:r w:rsidR="00B67C6B">
        <w:rPr>
          <w:rFonts w:ascii="Times New Roman" w:hAnsi="Times New Roman" w:cs="Times New Roman"/>
          <w:sz w:val="24"/>
          <w:szCs w:val="24"/>
        </w:rPr>
        <w:t>challenge should be directed towards the second respondent and not the applicant.</w:t>
      </w:r>
    </w:p>
    <w:p w:rsidR="008F2B72" w:rsidRDefault="00B67C6B" w:rsidP="00D757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tried to bring in </w:t>
      </w:r>
      <w:r w:rsidR="00B175B9">
        <w:rPr>
          <w:rFonts w:ascii="Times New Roman" w:hAnsi="Times New Roman" w:cs="Times New Roman"/>
          <w:sz w:val="24"/>
          <w:szCs w:val="24"/>
        </w:rPr>
        <w:t>another</w:t>
      </w:r>
      <w:r>
        <w:rPr>
          <w:rFonts w:ascii="Times New Roman" w:hAnsi="Times New Roman" w:cs="Times New Roman"/>
          <w:sz w:val="24"/>
          <w:szCs w:val="24"/>
        </w:rPr>
        <w:t xml:space="preserve"> defence that he is occupying the land in terms of some mining rights granted to Simukai Mining Syndicate. However once it has been admitted that the land was under cultivation, there being tree plantation thereon, such land in terms of ss 30 and 31 of the Mines and Minerals Act is not open to prospecting. </w:t>
      </w:r>
    </w:p>
    <w:p w:rsidR="00406706" w:rsidRDefault="008F2B72" w:rsidP="00D757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facts of th</w:t>
      </w:r>
      <w:r w:rsidR="00B175B9">
        <w:rPr>
          <w:rFonts w:ascii="Times New Roman" w:hAnsi="Times New Roman" w:cs="Times New Roman"/>
          <w:sz w:val="24"/>
          <w:szCs w:val="24"/>
        </w:rPr>
        <w:t>is</w:t>
      </w:r>
      <w:r>
        <w:rPr>
          <w:rFonts w:ascii="Times New Roman" w:hAnsi="Times New Roman" w:cs="Times New Roman"/>
          <w:sz w:val="24"/>
          <w:szCs w:val="24"/>
        </w:rPr>
        <w:t xml:space="preserve"> matter it is common cause such prospecting and registration of mining claim was done after the land had been put under tree plantations. In the case of </w:t>
      </w:r>
      <w:r>
        <w:rPr>
          <w:rFonts w:ascii="Times New Roman" w:hAnsi="Times New Roman" w:cs="Times New Roman"/>
          <w:i/>
          <w:sz w:val="24"/>
          <w:szCs w:val="24"/>
        </w:rPr>
        <w:t>Schienhou</w:t>
      </w:r>
      <w:r w:rsidR="00DE2145">
        <w:rPr>
          <w:rFonts w:ascii="Times New Roman" w:hAnsi="Times New Roman" w:cs="Times New Roman"/>
          <w:i/>
          <w:sz w:val="24"/>
          <w:szCs w:val="24"/>
        </w:rPr>
        <w:t xml:space="preserve">f </w:t>
      </w:r>
      <w:r w:rsidR="00DE2145">
        <w:rPr>
          <w:rFonts w:ascii="Times New Roman" w:hAnsi="Times New Roman" w:cs="Times New Roman"/>
          <w:sz w:val="24"/>
          <w:szCs w:val="24"/>
        </w:rPr>
        <w:t xml:space="preserve">v </w:t>
      </w:r>
      <w:r w:rsidR="00DE2145">
        <w:rPr>
          <w:rFonts w:ascii="Times New Roman" w:hAnsi="Times New Roman" w:cs="Times New Roman"/>
          <w:i/>
          <w:sz w:val="24"/>
          <w:szCs w:val="24"/>
        </w:rPr>
        <w:t xml:space="preserve">Minister of Justice </w:t>
      </w:r>
      <w:r w:rsidR="00DE2145">
        <w:rPr>
          <w:rFonts w:ascii="Times New Roman" w:hAnsi="Times New Roman" w:cs="Times New Roman"/>
          <w:sz w:val="24"/>
          <w:szCs w:val="24"/>
        </w:rPr>
        <w:t>1926 AD 99</w:t>
      </w:r>
      <w:r w:rsidR="001569CD">
        <w:rPr>
          <w:rFonts w:ascii="Times New Roman" w:hAnsi="Times New Roman" w:cs="Times New Roman"/>
          <w:sz w:val="24"/>
          <w:szCs w:val="24"/>
        </w:rPr>
        <w:t xml:space="preserve"> @ 109, </w:t>
      </w:r>
      <w:r w:rsidR="001569CD" w:rsidRPr="001569CD">
        <w:rPr>
          <w:rFonts w:ascii="Times New Roman" w:hAnsi="Times New Roman" w:cs="Times New Roman"/>
          <w:smallCaps/>
          <w:sz w:val="24"/>
          <w:szCs w:val="24"/>
        </w:rPr>
        <w:t>Innes</w:t>
      </w:r>
      <w:r w:rsidR="001569CD">
        <w:rPr>
          <w:rFonts w:ascii="Times New Roman" w:hAnsi="Times New Roman" w:cs="Times New Roman"/>
          <w:sz w:val="24"/>
          <w:szCs w:val="24"/>
        </w:rPr>
        <w:t xml:space="preserve"> CJ had this to say:</w:t>
      </w:r>
      <w:r w:rsidR="00DE2145">
        <w:rPr>
          <w:rFonts w:ascii="Times New Roman" w:hAnsi="Times New Roman" w:cs="Times New Roman"/>
          <w:sz w:val="24"/>
          <w:szCs w:val="24"/>
        </w:rPr>
        <w:t xml:space="preserve"> </w:t>
      </w:r>
      <w:r w:rsidR="00B67C6B">
        <w:rPr>
          <w:rFonts w:ascii="Times New Roman" w:hAnsi="Times New Roman" w:cs="Times New Roman"/>
          <w:sz w:val="24"/>
          <w:szCs w:val="24"/>
        </w:rPr>
        <w:t xml:space="preserve">   </w:t>
      </w:r>
    </w:p>
    <w:p w:rsidR="0098633A" w:rsidRDefault="00406706" w:rsidP="002E6931">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It is a fundamental </w:t>
      </w:r>
      <w:r w:rsidR="002E6931">
        <w:rPr>
          <w:rFonts w:ascii="Times New Roman" w:hAnsi="Times New Roman" w:cs="Times New Roman"/>
        </w:rPr>
        <w:t>principle of our law that a thing done contrary to the direct prohibition of the law is void and of no force and effect. The rule is thus stated” “</w:t>
      </w:r>
      <w:r w:rsidR="002E6931" w:rsidRPr="00F22EA3">
        <w:rPr>
          <w:rFonts w:ascii="Times New Roman" w:hAnsi="Times New Roman" w:cs="Times New Roman"/>
          <w:i/>
        </w:rPr>
        <w:t>a quae lege feri</w:t>
      </w:r>
      <w:r w:rsidR="002E6931">
        <w:rPr>
          <w:rFonts w:ascii="Times New Roman" w:hAnsi="Times New Roman" w:cs="Times New Roman"/>
        </w:rPr>
        <w:t xml:space="preserve"> </w:t>
      </w:r>
      <w:r w:rsidR="002E6931" w:rsidRPr="00F22EA3">
        <w:rPr>
          <w:rFonts w:ascii="Times New Roman" w:hAnsi="Times New Roman" w:cs="Times New Roman"/>
          <w:i/>
        </w:rPr>
        <w:t>prohibentur, si fuerint facta, non solum inutilia sed pro infectis habeantur</w:t>
      </w:r>
      <w:r w:rsidR="002E6931">
        <w:rPr>
          <w:rFonts w:ascii="Times New Roman" w:hAnsi="Times New Roman" w:cs="Times New Roman"/>
        </w:rPr>
        <w:t xml:space="preserve">, licet legislator </w:t>
      </w:r>
      <w:r w:rsidR="002E6931" w:rsidRPr="00F22EA3">
        <w:rPr>
          <w:rFonts w:ascii="Times New Roman" w:hAnsi="Times New Roman" w:cs="Times New Roman"/>
          <w:i/>
        </w:rPr>
        <w:t>fieri prohibuerit tantum, nec specialiter dexerit inutile esse debere quod factum est</w:t>
      </w:r>
      <w:r w:rsidR="002E6931">
        <w:rPr>
          <w:rFonts w:ascii="Times New Roman" w:hAnsi="Times New Roman" w:cs="Times New Roman"/>
        </w:rPr>
        <w:t xml:space="preserve"> (Code 1.14.5): “so that what is done contrary to the prohibition of the law is not only of no effect, but must be regarded as never having been done – and whether the law giver has expressly so decreed or not, the mere prohibition operates to nullify the act.” (See, also, Brunneman and Codicem 1.14.5) The maxim “Quod contra </w:t>
      </w:r>
      <w:r w:rsidR="002E6931" w:rsidRPr="00F22EA3">
        <w:rPr>
          <w:rFonts w:ascii="Times New Roman" w:hAnsi="Times New Roman" w:cs="Times New Roman"/>
          <w:i/>
        </w:rPr>
        <w:t>legem</w:t>
      </w:r>
      <w:r w:rsidR="002E6931">
        <w:rPr>
          <w:rFonts w:ascii="Times New Roman" w:hAnsi="Times New Roman" w:cs="Times New Roman"/>
        </w:rPr>
        <w:t xml:space="preserve"> fit </w:t>
      </w:r>
      <w:r w:rsidR="002E6931" w:rsidRPr="00F22EA3">
        <w:rPr>
          <w:rFonts w:ascii="Times New Roman" w:hAnsi="Times New Roman" w:cs="Times New Roman"/>
          <w:i/>
        </w:rPr>
        <w:t>pro infecto habetur</w:t>
      </w:r>
      <w:r w:rsidR="002E6931">
        <w:rPr>
          <w:rFonts w:ascii="Times New Roman" w:hAnsi="Times New Roman" w:cs="Times New Roman"/>
        </w:rPr>
        <w:t xml:space="preserve">” is also recognized in English law, and the disregard of peremptory provisions in a statute is fatal to the validity of the proceedings affected (see remarks by </w:t>
      </w:r>
      <w:r w:rsidR="002E6931" w:rsidRPr="002E6931">
        <w:rPr>
          <w:rFonts w:ascii="Times New Roman" w:hAnsi="Times New Roman" w:cs="Times New Roman"/>
          <w:i/>
        </w:rPr>
        <w:t>Lord Penzance in Howard</w:t>
      </w:r>
      <w:r w:rsidR="002E6931">
        <w:rPr>
          <w:rFonts w:ascii="Times New Roman" w:hAnsi="Times New Roman" w:cs="Times New Roman"/>
        </w:rPr>
        <w:t xml:space="preserve"> v </w:t>
      </w:r>
      <w:r w:rsidR="002E6931" w:rsidRPr="002E6931">
        <w:rPr>
          <w:rFonts w:ascii="Times New Roman" w:hAnsi="Times New Roman" w:cs="Times New Roman"/>
          <w:i/>
        </w:rPr>
        <w:t>Bodinton</w:t>
      </w:r>
      <w:r w:rsidR="002E6931">
        <w:rPr>
          <w:rFonts w:ascii="Times New Roman" w:hAnsi="Times New Roman" w:cs="Times New Roman"/>
        </w:rPr>
        <w:t xml:space="preserve"> (1877 2 PD 203 at p 210).  </w:t>
      </w:r>
    </w:p>
    <w:p w:rsidR="0098633A" w:rsidRDefault="0098633A" w:rsidP="002E6931">
      <w:pPr>
        <w:spacing w:after="0" w:line="240" w:lineRule="auto"/>
        <w:ind w:left="720"/>
        <w:jc w:val="both"/>
        <w:rPr>
          <w:rFonts w:ascii="Times New Roman" w:hAnsi="Times New Roman" w:cs="Times New Roman"/>
        </w:rPr>
      </w:pPr>
    </w:p>
    <w:p w:rsidR="00406706" w:rsidRDefault="0098633A" w:rsidP="002E6931">
      <w:pPr>
        <w:spacing w:after="0" w:line="240" w:lineRule="auto"/>
        <w:ind w:left="720"/>
        <w:jc w:val="both"/>
        <w:rPr>
          <w:rFonts w:ascii="Times New Roman" w:hAnsi="Times New Roman" w:cs="Times New Roman"/>
        </w:rPr>
      </w:pPr>
      <w:r>
        <w:rPr>
          <w:rFonts w:ascii="Times New Roman" w:hAnsi="Times New Roman" w:cs="Times New Roman"/>
        </w:rPr>
        <w:t xml:space="preserve">See also </w:t>
      </w:r>
      <w:r w:rsidRPr="00F22EA3">
        <w:rPr>
          <w:rFonts w:ascii="Times New Roman" w:hAnsi="Times New Roman" w:cs="Times New Roman"/>
          <w:i/>
        </w:rPr>
        <w:t>Lion Match Co Ltd</w:t>
      </w:r>
      <w:r>
        <w:rPr>
          <w:rFonts w:ascii="Times New Roman" w:hAnsi="Times New Roman" w:cs="Times New Roman"/>
        </w:rPr>
        <w:t xml:space="preserve"> v </w:t>
      </w:r>
      <w:r>
        <w:rPr>
          <w:rFonts w:ascii="Times New Roman" w:hAnsi="Times New Roman" w:cs="Times New Roman"/>
          <w:i/>
        </w:rPr>
        <w:t xml:space="preserve">Wessels </w:t>
      </w:r>
      <w:r>
        <w:rPr>
          <w:rFonts w:ascii="Times New Roman" w:hAnsi="Times New Roman" w:cs="Times New Roman"/>
        </w:rPr>
        <w:t xml:space="preserve">1946 OPD 376 at 380 – 381, York Estate Ltd v </w:t>
      </w:r>
      <w:r w:rsidR="00F22EA3">
        <w:rPr>
          <w:rFonts w:ascii="Times New Roman" w:hAnsi="Times New Roman" w:cs="Times New Roman"/>
          <w:i/>
        </w:rPr>
        <w:t xml:space="preserve">Wareham </w:t>
      </w:r>
      <w:r w:rsidR="00F22EA3">
        <w:rPr>
          <w:rFonts w:ascii="Times New Roman" w:hAnsi="Times New Roman" w:cs="Times New Roman"/>
        </w:rPr>
        <w:t xml:space="preserve">1950 C1) SA 125 (SR) 126, </w:t>
      </w:r>
      <w:r w:rsidR="00F22EA3">
        <w:rPr>
          <w:rFonts w:ascii="Times New Roman" w:hAnsi="Times New Roman" w:cs="Times New Roman"/>
          <w:i/>
        </w:rPr>
        <w:t xml:space="preserve">Hochfeld (Pty) Ltd </w:t>
      </w:r>
      <w:r w:rsidR="00F22EA3">
        <w:rPr>
          <w:rFonts w:ascii="Times New Roman" w:hAnsi="Times New Roman" w:cs="Times New Roman"/>
        </w:rPr>
        <w:t xml:space="preserve">v </w:t>
      </w:r>
      <w:r w:rsidR="00F22EA3">
        <w:rPr>
          <w:rFonts w:ascii="Times New Roman" w:hAnsi="Times New Roman" w:cs="Times New Roman"/>
          <w:i/>
        </w:rPr>
        <w:t xml:space="preserve">Carmaldine Investments (Pty) Ltd </w:t>
      </w:r>
      <w:r w:rsidR="00F22EA3">
        <w:rPr>
          <w:rFonts w:ascii="Times New Roman" w:hAnsi="Times New Roman" w:cs="Times New Roman"/>
        </w:rPr>
        <w:t>1955 (4) SA 296 (W) 299 A.”</w:t>
      </w:r>
      <w:r w:rsidR="002E6931">
        <w:rPr>
          <w:rFonts w:ascii="Times New Roman" w:hAnsi="Times New Roman" w:cs="Times New Roman"/>
        </w:rPr>
        <w:t xml:space="preserve"> </w:t>
      </w:r>
      <w:r w:rsidR="00406706">
        <w:rPr>
          <w:rFonts w:ascii="Times New Roman" w:hAnsi="Times New Roman" w:cs="Times New Roman"/>
        </w:rPr>
        <w:t xml:space="preserve"> </w:t>
      </w:r>
    </w:p>
    <w:p w:rsidR="00591DC4" w:rsidRDefault="00591DC4" w:rsidP="002E6931">
      <w:pPr>
        <w:spacing w:after="0" w:line="240" w:lineRule="auto"/>
        <w:ind w:left="720"/>
        <w:jc w:val="both"/>
        <w:rPr>
          <w:rFonts w:ascii="Times New Roman" w:hAnsi="Times New Roman" w:cs="Times New Roman"/>
        </w:rPr>
      </w:pPr>
    </w:p>
    <w:p w:rsidR="00406706" w:rsidRDefault="00406706" w:rsidP="00406706">
      <w:pPr>
        <w:spacing w:after="0" w:line="240" w:lineRule="auto"/>
        <w:jc w:val="both"/>
        <w:rPr>
          <w:rFonts w:ascii="Times New Roman" w:hAnsi="Times New Roman" w:cs="Times New Roman"/>
          <w:sz w:val="24"/>
          <w:szCs w:val="24"/>
        </w:rPr>
      </w:pPr>
      <w:r>
        <w:rPr>
          <w:rFonts w:ascii="Times New Roman" w:hAnsi="Times New Roman" w:cs="Times New Roman"/>
        </w:rPr>
        <w:tab/>
      </w:r>
      <w:r w:rsidR="00591DC4" w:rsidRPr="00591DC4">
        <w:rPr>
          <w:rFonts w:ascii="Times New Roman" w:hAnsi="Times New Roman" w:cs="Times New Roman"/>
          <w:sz w:val="24"/>
          <w:szCs w:val="24"/>
        </w:rPr>
        <w:t>Refer also to</w:t>
      </w:r>
      <w:r w:rsidR="00591DC4">
        <w:rPr>
          <w:rFonts w:ascii="Times New Roman" w:hAnsi="Times New Roman" w:cs="Times New Roman"/>
        </w:rPr>
        <w:t xml:space="preserve"> </w:t>
      </w:r>
      <w:r w:rsidR="00591DC4">
        <w:rPr>
          <w:rFonts w:ascii="Times New Roman" w:hAnsi="Times New Roman" w:cs="Times New Roman"/>
          <w:i/>
          <w:sz w:val="24"/>
          <w:szCs w:val="24"/>
        </w:rPr>
        <w:t xml:space="preserve">McFoy </w:t>
      </w:r>
      <w:r w:rsidR="00591DC4">
        <w:rPr>
          <w:rFonts w:ascii="Times New Roman" w:hAnsi="Times New Roman" w:cs="Times New Roman"/>
          <w:sz w:val="24"/>
          <w:szCs w:val="24"/>
        </w:rPr>
        <w:t xml:space="preserve">v </w:t>
      </w:r>
      <w:r w:rsidR="00591DC4">
        <w:rPr>
          <w:rFonts w:ascii="Times New Roman" w:hAnsi="Times New Roman" w:cs="Times New Roman"/>
          <w:i/>
          <w:sz w:val="24"/>
          <w:szCs w:val="24"/>
        </w:rPr>
        <w:t xml:space="preserve">United Africa Company Ltd </w:t>
      </w:r>
      <w:r w:rsidR="00591DC4">
        <w:rPr>
          <w:rFonts w:ascii="Times New Roman" w:hAnsi="Times New Roman" w:cs="Times New Roman"/>
          <w:sz w:val="24"/>
          <w:szCs w:val="24"/>
        </w:rPr>
        <w:t>1963 3 ALL ER 1169.</w:t>
      </w:r>
    </w:p>
    <w:p w:rsidR="00591DC4" w:rsidRPr="00591DC4" w:rsidRDefault="00591DC4" w:rsidP="00406706">
      <w:pPr>
        <w:spacing w:after="0" w:line="240" w:lineRule="auto"/>
        <w:jc w:val="both"/>
        <w:rPr>
          <w:rFonts w:ascii="Times New Roman" w:hAnsi="Times New Roman" w:cs="Times New Roman"/>
          <w:sz w:val="24"/>
          <w:szCs w:val="24"/>
        </w:rPr>
      </w:pPr>
    </w:p>
    <w:p w:rsidR="00406706" w:rsidRDefault="00406706" w:rsidP="00406706">
      <w:pPr>
        <w:spacing w:after="0" w:line="360" w:lineRule="auto"/>
        <w:jc w:val="both"/>
        <w:rPr>
          <w:rFonts w:ascii="Times New Roman" w:hAnsi="Times New Roman" w:cs="Times New Roman"/>
          <w:sz w:val="24"/>
          <w:szCs w:val="24"/>
        </w:rPr>
      </w:pPr>
      <w:r>
        <w:rPr>
          <w:rFonts w:ascii="Times New Roman" w:hAnsi="Times New Roman" w:cs="Times New Roman"/>
        </w:rPr>
        <w:tab/>
      </w:r>
      <w:r w:rsidRPr="00406706">
        <w:rPr>
          <w:rFonts w:ascii="Times New Roman" w:hAnsi="Times New Roman" w:cs="Times New Roman"/>
          <w:sz w:val="24"/>
          <w:szCs w:val="24"/>
        </w:rPr>
        <w:t xml:space="preserve">I am satisfied that the respondent has failed to discharge the onus on him of showing some entitlement to retaining possession of the land. </w:t>
      </w:r>
    </w:p>
    <w:p w:rsidR="00406706" w:rsidRDefault="00406706" w:rsidP="004067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 order as follows:</w:t>
      </w:r>
    </w:p>
    <w:p w:rsidR="00406706" w:rsidRDefault="00406706" w:rsidP="0040670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first respondent be and is hereby directed to vacate Inodzi Estate within (7) seven days of being served with this order.</w:t>
      </w:r>
    </w:p>
    <w:p w:rsidR="00D823C2" w:rsidRDefault="00406706" w:rsidP="0040670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that the first respondent fails to vacate the property, the Sheriff or his lawful Deputy or Additional Sheriff be and is hereby ordered and directed to evict respondent from Inodzi Estate at the first respondent’s expense.</w:t>
      </w:r>
      <w:r w:rsidR="00B67C6B" w:rsidRPr="00406706">
        <w:rPr>
          <w:rFonts w:ascii="Times New Roman" w:hAnsi="Times New Roman" w:cs="Times New Roman"/>
          <w:sz w:val="24"/>
          <w:szCs w:val="24"/>
        </w:rPr>
        <w:t xml:space="preserve"> </w:t>
      </w:r>
    </w:p>
    <w:p w:rsidR="00962610" w:rsidRDefault="00D823C2" w:rsidP="0040670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first respondent pays costs of suit.</w:t>
      </w:r>
      <w:r w:rsidR="00E73D72" w:rsidRPr="00406706">
        <w:rPr>
          <w:rFonts w:ascii="Times New Roman" w:hAnsi="Times New Roman" w:cs="Times New Roman"/>
          <w:sz w:val="24"/>
          <w:szCs w:val="24"/>
        </w:rPr>
        <w:t xml:space="preserve"> </w:t>
      </w:r>
    </w:p>
    <w:p w:rsidR="00962610" w:rsidRDefault="00962610" w:rsidP="00962610">
      <w:pPr>
        <w:spacing w:after="0" w:line="360" w:lineRule="auto"/>
        <w:jc w:val="both"/>
        <w:rPr>
          <w:rFonts w:ascii="Times New Roman" w:hAnsi="Times New Roman" w:cs="Times New Roman"/>
          <w:sz w:val="24"/>
          <w:szCs w:val="24"/>
        </w:rPr>
      </w:pPr>
    </w:p>
    <w:p w:rsidR="00962610" w:rsidRDefault="00962610" w:rsidP="00962610">
      <w:pPr>
        <w:spacing w:after="0" w:line="360" w:lineRule="auto"/>
        <w:jc w:val="both"/>
        <w:rPr>
          <w:rFonts w:ascii="Times New Roman" w:hAnsi="Times New Roman" w:cs="Times New Roman"/>
          <w:sz w:val="24"/>
          <w:szCs w:val="24"/>
        </w:rPr>
      </w:pPr>
    </w:p>
    <w:p w:rsidR="00962610" w:rsidRDefault="00962610" w:rsidP="00962610">
      <w:pPr>
        <w:spacing w:after="0" w:line="360" w:lineRule="auto"/>
        <w:jc w:val="both"/>
        <w:rPr>
          <w:rFonts w:ascii="Times New Roman" w:hAnsi="Times New Roman" w:cs="Times New Roman"/>
          <w:sz w:val="24"/>
          <w:szCs w:val="24"/>
        </w:rPr>
      </w:pPr>
    </w:p>
    <w:p w:rsidR="00962610" w:rsidRDefault="00962610" w:rsidP="0096261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Wintertons</w:t>
      </w:r>
      <w:r>
        <w:rPr>
          <w:rFonts w:ascii="Times New Roman" w:hAnsi="Times New Roman" w:cs="Times New Roman"/>
          <w:sz w:val="24"/>
          <w:szCs w:val="24"/>
        </w:rPr>
        <w:t>, applicant’s legal practitioners</w:t>
      </w:r>
    </w:p>
    <w:p w:rsidR="00E513D8" w:rsidRPr="00962610" w:rsidRDefault="00962610" w:rsidP="0096261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Venturas and Samkange</w:t>
      </w:r>
      <w:r>
        <w:rPr>
          <w:rFonts w:ascii="Times New Roman" w:hAnsi="Times New Roman" w:cs="Times New Roman"/>
          <w:sz w:val="24"/>
          <w:szCs w:val="24"/>
        </w:rPr>
        <w:t>, 1</w:t>
      </w:r>
      <w:r w:rsidRPr="0096261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r w:rsidR="00E73D72" w:rsidRPr="00962610">
        <w:rPr>
          <w:rFonts w:ascii="Times New Roman" w:hAnsi="Times New Roman" w:cs="Times New Roman"/>
          <w:sz w:val="24"/>
          <w:szCs w:val="24"/>
        </w:rPr>
        <w:t xml:space="preserve"> </w:t>
      </w:r>
      <w:r w:rsidR="002E28FF" w:rsidRPr="00962610">
        <w:rPr>
          <w:rFonts w:ascii="Times New Roman" w:hAnsi="Times New Roman" w:cs="Times New Roman"/>
          <w:sz w:val="24"/>
          <w:szCs w:val="24"/>
        </w:rPr>
        <w:t xml:space="preserve">  </w:t>
      </w:r>
      <w:r w:rsidR="00067725" w:rsidRPr="00962610">
        <w:rPr>
          <w:rFonts w:ascii="Times New Roman" w:hAnsi="Times New Roman" w:cs="Times New Roman"/>
          <w:sz w:val="24"/>
          <w:szCs w:val="24"/>
        </w:rPr>
        <w:t xml:space="preserve">   </w:t>
      </w:r>
      <w:r w:rsidR="00D757D5" w:rsidRPr="00962610">
        <w:rPr>
          <w:rFonts w:ascii="Times New Roman" w:hAnsi="Times New Roman" w:cs="Times New Roman"/>
          <w:sz w:val="24"/>
          <w:szCs w:val="24"/>
        </w:rPr>
        <w:t xml:space="preserve">   </w:t>
      </w:r>
      <w:r w:rsidR="00013EC1" w:rsidRPr="00962610">
        <w:rPr>
          <w:rFonts w:ascii="Times New Roman" w:hAnsi="Times New Roman" w:cs="Times New Roman"/>
          <w:sz w:val="24"/>
          <w:szCs w:val="24"/>
        </w:rPr>
        <w:t xml:space="preserve"> </w:t>
      </w:r>
      <w:r w:rsidR="00CC5DC2" w:rsidRPr="00962610">
        <w:rPr>
          <w:rFonts w:ascii="Times New Roman" w:hAnsi="Times New Roman" w:cs="Times New Roman"/>
          <w:sz w:val="24"/>
          <w:szCs w:val="24"/>
        </w:rPr>
        <w:t xml:space="preserve"> </w:t>
      </w:r>
      <w:r w:rsidR="00196DEA" w:rsidRPr="00962610">
        <w:rPr>
          <w:rFonts w:ascii="Times New Roman" w:hAnsi="Times New Roman" w:cs="Times New Roman"/>
          <w:sz w:val="24"/>
          <w:szCs w:val="24"/>
        </w:rPr>
        <w:t xml:space="preserve"> </w:t>
      </w:r>
      <w:r w:rsidR="00E513D8" w:rsidRPr="00962610">
        <w:rPr>
          <w:rFonts w:ascii="Times New Roman" w:hAnsi="Times New Roman" w:cs="Times New Roman"/>
          <w:sz w:val="24"/>
          <w:szCs w:val="24"/>
        </w:rPr>
        <w:t xml:space="preserve"> </w:t>
      </w:r>
    </w:p>
    <w:sectPr w:rsidR="00E513D8" w:rsidRPr="0096261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318" w:rsidRDefault="00FB3318" w:rsidP="00E0483A">
      <w:pPr>
        <w:spacing w:after="0" w:line="240" w:lineRule="auto"/>
      </w:pPr>
      <w:r>
        <w:separator/>
      </w:r>
    </w:p>
  </w:endnote>
  <w:endnote w:type="continuationSeparator" w:id="0">
    <w:p w:rsidR="00FB3318" w:rsidRDefault="00FB3318" w:rsidP="00E04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318" w:rsidRDefault="00FB3318" w:rsidP="00E0483A">
      <w:pPr>
        <w:spacing w:after="0" w:line="240" w:lineRule="auto"/>
      </w:pPr>
      <w:r>
        <w:separator/>
      </w:r>
    </w:p>
  </w:footnote>
  <w:footnote w:type="continuationSeparator" w:id="0">
    <w:p w:rsidR="00FB3318" w:rsidRDefault="00FB3318" w:rsidP="00E048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628996"/>
      <w:docPartObj>
        <w:docPartGallery w:val="Page Numbers (Top of Page)"/>
        <w:docPartUnique/>
      </w:docPartObj>
    </w:sdtPr>
    <w:sdtEndPr>
      <w:rPr>
        <w:noProof/>
      </w:rPr>
    </w:sdtEndPr>
    <w:sdtContent>
      <w:p w:rsidR="00E0483A" w:rsidRDefault="00E0483A">
        <w:pPr>
          <w:pStyle w:val="Header"/>
          <w:jc w:val="right"/>
          <w:rPr>
            <w:noProof/>
          </w:rPr>
        </w:pPr>
        <w:r>
          <w:fldChar w:fldCharType="begin"/>
        </w:r>
        <w:r>
          <w:instrText xml:space="preserve"> PAGE   \* MERGEFORMAT </w:instrText>
        </w:r>
        <w:r>
          <w:fldChar w:fldCharType="separate"/>
        </w:r>
        <w:r w:rsidR="009B0DCA">
          <w:rPr>
            <w:noProof/>
          </w:rPr>
          <w:t>1</w:t>
        </w:r>
        <w:r>
          <w:rPr>
            <w:noProof/>
          </w:rPr>
          <w:fldChar w:fldCharType="end"/>
        </w:r>
      </w:p>
      <w:p w:rsidR="00E0483A" w:rsidRDefault="00E0483A">
        <w:pPr>
          <w:pStyle w:val="Header"/>
          <w:jc w:val="right"/>
          <w:rPr>
            <w:noProof/>
          </w:rPr>
        </w:pPr>
        <w:r>
          <w:rPr>
            <w:noProof/>
          </w:rPr>
          <w:t>HH</w:t>
        </w:r>
        <w:r w:rsidR="00ED1E12">
          <w:rPr>
            <w:noProof/>
          </w:rPr>
          <w:t xml:space="preserve"> 226-17</w:t>
        </w:r>
      </w:p>
      <w:p w:rsidR="00E0483A" w:rsidRDefault="00E0483A">
        <w:pPr>
          <w:pStyle w:val="Header"/>
          <w:jc w:val="right"/>
        </w:pPr>
        <w:r>
          <w:rPr>
            <w:noProof/>
          </w:rPr>
          <w:t>HC 9485/15</w:t>
        </w:r>
      </w:p>
    </w:sdtContent>
  </w:sdt>
  <w:p w:rsidR="00E0483A" w:rsidRDefault="00E048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07337"/>
    <w:multiLevelType w:val="hybridMultilevel"/>
    <w:tmpl w:val="F4CE33F2"/>
    <w:lvl w:ilvl="0" w:tplc="29AE3C5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3D8"/>
    <w:rsid w:val="00013EC1"/>
    <w:rsid w:val="00067725"/>
    <w:rsid w:val="00113766"/>
    <w:rsid w:val="001569CD"/>
    <w:rsid w:val="00196DEA"/>
    <w:rsid w:val="002240C6"/>
    <w:rsid w:val="00264268"/>
    <w:rsid w:val="002E28FF"/>
    <w:rsid w:val="002E6931"/>
    <w:rsid w:val="00406706"/>
    <w:rsid w:val="004849BC"/>
    <w:rsid w:val="00574BFC"/>
    <w:rsid w:val="00591DC4"/>
    <w:rsid w:val="005D40BD"/>
    <w:rsid w:val="00700FDB"/>
    <w:rsid w:val="008D5EDE"/>
    <w:rsid w:val="008F2B72"/>
    <w:rsid w:val="00962610"/>
    <w:rsid w:val="0098633A"/>
    <w:rsid w:val="009B0534"/>
    <w:rsid w:val="009B0DCA"/>
    <w:rsid w:val="00A33427"/>
    <w:rsid w:val="00A728DA"/>
    <w:rsid w:val="00A77230"/>
    <w:rsid w:val="00A942EB"/>
    <w:rsid w:val="00AA5084"/>
    <w:rsid w:val="00B039A7"/>
    <w:rsid w:val="00B175B9"/>
    <w:rsid w:val="00B67C6B"/>
    <w:rsid w:val="00C55267"/>
    <w:rsid w:val="00C7394E"/>
    <w:rsid w:val="00CC5DC2"/>
    <w:rsid w:val="00D52F75"/>
    <w:rsid w:val="00D757D5"/>
    <w:rsid w:val="00D823C2"/>
    <w:rsid w:val="00DE2145"/>
    <w:rsid w:val="00E00451"/>
    <w:rsid w:val="00E0483A"/>
    <w:rsid w:val="00E32561"/>
    <w:rsid w:val="00E513D8"/>
    <w:rsid w:val="00E73D72"/>
    <w:rsid w:val="00EA1A59"/>
    <w:rsid w:val="00ED1E12"/>
    <w:rsid w:val="00ED244A"/>
    <w:rsid w:val="00F22EA3"/>
    <w:rsid w:val="00FB33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706"/>
    <w:pPr>
      <w:ind w:left="720"/>
      <w:contextualSpacing/>
    </w:pPr>
  </w:style>
  <w:style w:type="paragraph" w:styleId="Header">
    <w:name w:val="header"/>
    <w:basedOn w:val="Normal"/>
    <w:link w:val="HeaderChar"/>
    <w:uiPriority w:val="99"/>
    <w:unhideWhenUsed/>
    <w:rsid w:val="00E04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83A"/>
  </w:style>
  <w:style w:type="paragraph" w:styleId="Footer">
    <w:name w:val="footer"/>
    <w:basedOn w:val="Normal"/>
    <w:link w:val="FooterChar"/>
    <w:uiPriority w:val="99"/>
    <w:unhideWhenUsed/>
    <w:rsid w:val="00E04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83A"/>
  </w:style>
  <w:style w:type="paragraph" w:styleId="BalloonText">
    <w:name w:val="Balloon Text"/>
    <w:basedOn w:val="Normal"/>
    <w:link w:val="BalloonTextChar"/>
    <w:uiPriority w:val="99"/>
    <w:semiHidden/>
    <w:unhideWhenUsed/>
    <w:rsid w:val="00224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0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706"/>
    <w:pPr>
      <w:ind w:left="720"/>
      <w:contextualSpacing/>
    </w:pPr>
  </w:style>
  <w:style w:type="paragraph" w:styleId="Header">
    <w:name w:val="header"/>
    <w:basedOn w:val="Normal"/>
    <w:link w:val="HeaderChar"/>
    <w:uiPriority w:val="99"/>
    <w:unhideWhenUsed/>
    <w:rsid w:val="00E04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83A"/>
  </w:style>
  <w:style w:type="paragraph" w:styleId="Footer">
    <w:name w:val="footer"/>
    <w:basedOn w:val="Normal"/>
    <w:link w:val="FooterChar"/>
    <w:uiPriority w:val="99"/>
    <w:unhideWhenUsed/>
    <w:rsid w:val="00E04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83A"/>
  </w:style>
  <w:style w:type="paragraph" w:styleId="BalloonText">
    <w:name w:val="Balloon Text"/>
    <w:basedOn w:val="Normal"/>
    <w:link w:val="BalloonTextChar"/>
    <w:uiPriority w:val="99"/>
    <w:semiHidden/>
    <w:unhideWhenUsed/>
    <w:rsid w:val="00224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0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2017-04-04T13:55:00Z</cp:lastPrinted>
  <dcterms:created xsi:type="dcterms:W3CDTF">2017-04-07T09:56:00Z</dcterms:created>
  <dcterms:modified xsi:type="dcterms:W3CDTF">2017-04-07T09:56:00Z</dcterms:modified>
</cp:coreProperties>
</file>