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B87" w:rsidRDefault="0054426B" w:rsidP="00F131E6">
      <w:pPr>
        <w:spacing w:after="0" w:line="360" w:lineRule="auto"/>
        <w:jc w:val="both"/>
        <w:rPr>
          <w:b/>
          <w:sz w:val="28"/>
          <w:szCs w:val="28"/>
        </w:rPr>
      </w:pPr>
      <w:r>
        <w:rPr>
          <w:b/>
          <w:sz w:val="28"/>
          <w:szCs w:val="28"/>
        </w:rPr>
        <w:t>IN THE LABOUR COURT OF ZIMBABWE</w:t>
      </w:r>
      <w:r>
        <w:rPr>
          <w:b/>
          <w:sz w:val="28"/>
          <w:szCs w:val="28"/>
        </w:rPr>
        <w:tab/>
        <w:t xml:space="preserve">      JUDGMENT NO LC/H/687/13</w:t>
      </w:r>
    </w:p>
    <w:p w:rsidR="0054426B" w:rsidRDefault="0054426B" w:rsidP="00F131E6">
      <w:pPr>
        <w:spacing w:after="0" w:line="360" w:lineRule="auto"/>
        <w:jc w:val="both"/>
        <w:rPr>
          <w:b/>
          <w:sz w:val="28"/>
          <w:szCs w:val="28"/>
        </w:rPr>
      </w:pPr>
      <w:r>
        <w:rPr>
          <w:b/>
          <w:sz w:val="28"/>
          <w:szCs w:val="28"/>
        </w:rPr>
        <w:t>HELD AT HARARE 26</w:t>
      </w:r>
      <w:r w:rsidRPr="0054426B">
        <w:rPr>
          <w:b/>
          <w:sz w:val="28"/>
          <w:szCs w:val="28"/>
          <w:vertAlign w:val="superscript"/>
        </w:rPr>
        <w:t>TH</w:t>
      </w:r>
      <w:r>
        <w:rPr>
          <w:b/>
          <w:sz w:val="28"/>
          <w:szCs w:val="28"/>
        </w:rPr>
        <w:t xml:space="preserve"> NOVEMBER 2013</w:t>
      </w:r>
      <w:r>
        <w:rPr>
          <w:b/>
          <w:sz w:val="28"/>
          <w:szCs w:val="28"/>
        </w:rPr>
        <w:tab/>
        <w:t xml:space="preserve">      CASE NO LC/H/209/12</w:t>
      </w:r>
    </w:p>
    <w:p w:rsidR="00F131E6" w:rsidRDefault="00F131E6" w:rsidP="00F131E6">
      <w:pPr>
        <w:spacing w:after="0" w:line="360" w:lineRule="auto"/>
        <w:jc w:val="both"/>
        <w:rPr>
          <w:b/>
          <w:sz w:val="28"/>
          <w:szCs w:val="28"/>
        </w:rPr>
      </w:pPr>
      <w:r>
        <w:rPr>
          <w:b/>
          <w:sz w:val="28"/>
          <w:szCs w:val="28"/>
        </w:rPr>
        <w:t>AND 6</w:t>
      </w:r>
      <w:r w:rsidRPr="00F131E6">
        <w:rPr>
          <w:b/>
          <w:sz w:val="28"/>
          <w:szCs w:val="28"/>
          <w:vertAlign w:val="superscript"/>
        </w:rPr>
        <w:t>TH</w:t>
      </w:r>
      <w:r>
        <w:rPr>
          <w:b/>
          <w:sz w:val="28"/>
          <w:szCs w:val="28"/>
        </w:rPr>
        <w:t xml:space="preserve"> DECEMBER 2013</w:t>
      </w:r>
    </w:p>
    <w:p w:rsidR="0054426B" w:rsidRDefault="0054426B" w:rsidP="00F131E6">
      <w:pPr>
        <w:spacing w:after="0" w:line="360" w:lineRule="auto"/>
        <w:jc w:val="both"/>
        <w:rPr>
          <w:b/>
          <w:sz w:val="28"/>
          <w:szCs w:val="28"/>
        </w:rPr>
      </w:pPr>
    </w:p>
    <w:p w:rsidR="0054426B" w:rsidRDefault="0054426B" w:rsidP="0054426B">
      <w:pPr>
        <w:spacing w:after="0" w:line="360" w:lineRule="auto"/>
        <w:jc w:val="both"/>
        <w:rPr>
          <w:b/>
          <w:sz w:val="28"/>
          <w:szCs w:val="28"/>
        </w:rPr>
      </w:pPr>
      <w:r>
        <w:rPr>
          <w:b/>
          <w:sz w:val="28"/>
          <w:szCs w:val="28"/>
        </w:rPr>
        <w:t>MUSAFARE RUSWA</w:t>
      </w:r>
      <w:r>
        <w:rPr>
          <w:b/>
          <w:sz w:val="28"/>
          <w:szCs w:val="28"/>
        </w:rPr>
        <w:tab/>
      </w:r>
      <w:r>
        <w:rPr>
          <w:b/>
          <w:sz w:val="28"/>
          <w:szCs w:val="28"/>
        </w:rPr>
        <w:tab/>
      </w:r>
      <w:r>
        <w:rPr>
          <w:b/>
          <w:sz w:val="28"/>
          <w:szCs w:val="28"/>
        </w:rPr>
        <w:tab/>
      </w:r>
      <w:r>
        <w:rPr>
          <w:b/>
          <w:sz w:val="28"/>
          <w:szCs w:val="28"/>
        </w:rPr>
        <w:tab/>
      </w:r>
      <w:r>
        <w:rPr>
          <w:b/>
          <w:sz w:val="28"/>
          <w:szCs w:val="28"/>
        </w:rPr>
        <w:tab/>
        <w:t>Appellants</w:t>
      </w:r>
    </w:p>
    <w:p w:rsidR="0054426B" w:rsidRDefault="00F131E6" w:rsidP="0054426B">
      <w:pPr>
        <w:spacing w:after="0" w:line="360" w:lineRule="auto"/>
        <w:jc w:val="both"/>
        <w:rPr>
          <w:b/>
          <w:sz w:val="28"/>
          <w:szCs w:val="28"/>
        </w:rPr>
      </w:pPr>
      <w:r>
        <w:rPr>
          <w:b/>
          <w:sz w:val="28"/>
          <w:szCs w:val="28"/>
        </w:rPr>
        <w:t>&amp;</w:t>
      </w:r>
      <w:r w:rsidR="0054426B">
        <w:rPr>
          <w:b/>
          <w:sz w:val="28"/>
          <w:szCs w:val="28"/>
        </w:rPr>
        <w:t xml:space="preserve"> 8 OTHERS</w:t>
      </w:r>
    </w:p>
    <w:p w:rsidR="0054426B" w:rsidRDefault="0054426B" w:rsidP="0054426B">
      <w:pPr>
        <w:spacing w:after="0" w:line="360" w:lineRule="auto"/>
        <w:jc w:val="both"/>
        <w:rPr>
          <w:b/>
          <w:sz w:val="28"/>
          <w:szCs w:val="28"/>
        </w:rPr>
      </w:pPr>
      <w:r>
        <w:rPr>
          <w:b/>
          <w:sz w:val="28"/>
          <w:szCs w:val="28"/>
        </w:rPr>
        <w:t>INTERFRESH LIMITED</w:t>
      </w:r>
      <w:r>
        <w:rPr>
          <w:b/>
          <w:sz w:val="28"/>
          <w:szCs w:val="28"/>
        </w:rPr>
        <w:tab/>
      </w:r>
      <w:r>
        <w:rPr>
          <w:b/>
          <w:sz w:val="28"/>
          <w:szCs w:val="28"/>
        </w:rPr>
        <w:tab/>
      </w:r>
      <w:r>
        <w:rPr>
          <w:b/>
          <w:sz w:val="28"/>
          <w:szCs w:val="28"/>
        </w:rPr>
        <w:tab/>
      </w:r>
      <w:r>
        <w:rPr>
          <w:b/>
          <w:sz w:val="28"/>
          <w:szCs w:val="28"/>
        </w:rPr>
        <w:tab/>
      </w:r>
      <w:r>
        <w:rPr>
          <w:b/>
          <w:sz w:val="28"/>
          <w:szCs w:val="28"/>
        </w:rPr>
        <w:tab/>
        <w:t xml:space="preserve">Respondent </w:t>
      </w:r>
    </w:p>
    <w:p w:rsidR="0054426B" w:rsidRDefault="0054426B" w:rsidP="0054426B">
      <w:pPr>
        <w:spacing w:after="0" w:line="360" w:lineRule="auto"/>
        <w:jc w:val="both"/>
        <w:rPr>
          <w:b/>
          <w:sz w:val="28"/>
          <w:szCs w:val="28"/>
        </w:rPr>
      </w:pPr>
    </w:p>
    <w:p w:rsidR="0054426B" w:rsidRDefault="0054426B" w:rsidP="0054426B">
      <w:pPr>
        <w:spacing w:after="0" w:line="360" w:lineRule="auto"/>
        <w:jc w:val="both"/>
        <w:rPr>
          <w:sz w:val="28"/>
          <w:szCs w:val="28"/>
        </w:rPr>
      </w:pPr>
      <w:r w:rsidRPr="0054426B">
        <w:rPr>
          <w:sz w:val="28"/>
          <w:szCs w:val="28"/>
        </w:rPr>
        <w:t>Before The Honourable G Musariri, Judge</w:t>
      </w:r>
    </w:p>
    <w:p w:rsidR="0054426B" w:rsidRDefault="0054426B" w:rsidP="0054426B">
      <w:pPr>
        <w:spacing w:after="0" w:line="360" w:lineRule="auto"/>
        <w:jc w:val="both"/>
        <w:rPr>
          <w:sz w:val="28"/>
          <w:szCs w:val="28"/>
        </w:rPr>
      </w:pPr>
    </w:p>
    <w:p w:rsidR="0054426B" w:rsidRDefault="0054426B" w:rsidP="0054426B">
      <w:pPr>
        <w:spacing w:after="0" w:line="360" w:lineRule="auto"/>
        <w:jc w:val="both"/>
        <w:rPr>
          <w:b/>
          <w:sz w:val="28"/>
          <w:szCs w:val="28"/>
        </w:rPr>
      </w:pPr>
      <w:r>
        <w:rPr>
          <w:b/>
          <w:sz w:val="28"/>
          <w:szCs w:val="28"/>
        </w:rPr>
        <w:t>For Appellants</w:t>
      </w:r>
      <w:r>
        <w:rPr>
          <w:b/>
          <w:sz w:val="28"/>
          <w:szCs w:val="28"/>
        </w:rPr>
        <w:tab/>
      </w:r>
      <w:r>
        <w:rPr>
          <w:b/>
          <w:sz w:val="28"/>
          <w:szCs w:val="28"/>
        </w:rPr>
        <w:tab/>
      </w:r>
      <w:r>
        <w:rPr>
          <w:b/>
          <w:sz w:val="28"/>
          <w:szCs w:val="28"/>
        </w:rPr>
        <w:tab/>
        <w:t>Mr B Katsuro, Attorney</w:t>
      </w:r>
    </w:p>
    <w:p w:rsidR="0054426B" w:rsidRDefault="0054426B" w:rsidP="0054426B">
      <w:pPr>
        <w:spacing w:after="0" w:line="360" w:lineRule="auto"/>
        <w:jc w:val="both"/>
        <w:rPr>
          <w:b/>
          <w:sz w:val="28"/>
          <w:szCs w:val="28"/>
        </w:rPr>
      </w:pPr>
      <w:r>
        <w:rPr>
          <w:b/>
          <w:sz w:val="28"/>
          <w:szCs w:val="28"/>
        </w:rPr>
        <w:t>For Respondent</w:t>
      </w:r>
      <w:r>
        <w:rPr>
          <w:b/>
          <w:sz w:val="28"/>
          <w:szCs w:val="28"/>
        </w:rPr>
        <w:tab/>
      </w:r>
      <w:r>
        <w:rPr>
          <w:b/>
          <w:sz w:val="28"/>
          <w:szCs w:val="28"/>
        </w:rPr>
        <w:tab/>
      </w:r>
      <w:r>
        <w:rPr>
          <w:b/>
          <w:sz w:val="28"/>
          <w:szCs w:val="28"/>
        </w:rPr>
        <w:tab/>
        <w:t>Ms D Kandwe, Attorney</w:t>
      </w:r>
    </w:p>
    <w:p w:rsidR="0054426B" w:rsidRDefault="0054426B" w:rsidP="0054426B">
      <w:pPr>
        <w:spacing w:after="0" w:line="360" w:lineRule="auto"/>
        <w:jc w:val="both"/>
        <w:rPr>
          <w:b/>
          <w:sz w:val="28"/>
          <w:szCs w:val="28"/>
        </w:rPr>
      </w:pPr>
    </w:p>
    <w:p w:rsidR="0054426B" w:rsidRDefault="0054426B" w:rsidP="0054426B">
      <w:pPr>
        <w:spacing w:after="0" w:line="360" w:lineRule="auto"/>
        <w:jc w:val="both"/>
        <w:rPr>
          <w:b/>
          <w:sz w:val="28"/>
          <w:szCs w:val="28"/>
        </w:rPr>
      </w:pPr>
      <w:r>
        <w:rPr>
          <w:b/>
          <w:sz w:val="28"/>
          <w:szCs w:val="28"/>
        </w:rPr>
        <w:t>MUSARIRI, G:</w:t>
      </w:r>
    </w:p>
    <w:p w:rsidR="0054426B" w:rsidRDefault="0054426B" w:rsidP="0054426B">
      <w:pPr>
        <w:spacing w:after="0" w:line="360" w:lineRule="auto"/>
        <w:jc w:val="both"/>
        <w:rPr>
          <w:b/>
          <w:sz w:val="28"/>
          <w:szCs w:val="28"/>
        </w:rPr>
      </w:pPr>
    </w:p>
    <w:p w:rsidR="0054426B" w:rsidRDefault="0054426B" w:rsidP="0054426B">
      <w:pPr>
        <w:spacing w:after="0" w:line="360" w:lineRule="auto"/>
        <w:jc w:val="both"/>
        <w:rPr>
          <w:sz w:val="28"/>
          <w:szCs w:val="28"/>
        </w:rPr>
      </w:pPr>
      <w:r>
        <w:rPr>
          <w:sz w:val="28"/>
          <w:szCs w:val="28"/>
        </w:rPr>
        <w:t>Appellants appealed against their dismissal from employment by Respondent.  Their grounds of appeal were two-fold namely,</w:t>
      </w:r>
    </w:p>
    <w:p w:rsidR="0054426B" w:rsidRPr="0054426B" w:rsidRDefault="0054426B" w:rsidP="0054426B">
      <w:pPr>
        <w:spacing w:after="0" w:line="360" w:lineRule="auto"/>
        <w:jc w:val="both"/>
        <w:rPr>
          <w:i/>
          <w:sz w:val="28"/>
          <w:szCs w:val="28"/>
        </w:rPr>
      </w:pPr>
      <w:r>
        <w:rPr>
          <w:sz w:val="28"/>
          <w:szCs w:val="28"/>
        </w:rPr>
        <w:tab/>
      </w:r>
      <w:r w:rsidRPr="0054426B">
        <w:rPr>
          <w:i/>
          <w:sz w:val="28"/>
          <w:szCs w:val="28"/>
        </w:rPr>
        <w:t xml:space="preserve">“1.  The Appeals Committee grossly erred in failing to appreciate that </w:t>
      </w:r>
    </w:p>
    <w:p w:rsidR="0054426B" w:rsidRDefault="0054426B" w:rsidP="0054426B">
      <w:pPr>
        <w:spacing w:after="0" w:line="360" w:lineRule="auto"/>
        <w:ind w:left="1140"/>
        <w:jc w:val="both"/>
        <w:rPr>
          <w:i/>
          <w:sz w:val="28"/>
          <w:szCs w:val="28"/>
        </w:rPr>
      </w:pPr>
      <w:r w:rsidRPr="0054426B">
        <w:rPr>
          <w:i/>
          <w:sz w:val="28"/>
          <w:szCs w:val="28"/>
        </w:rPr>
        <w:t>the order/instruction</w:t>
      </w:r>
      <w:r>
        <w:rPr>
          <w:i/>
          <w:sz w:val="28"/>
          <w:szCs w:val="28"/>
        </w:rPr>
        <w:t xml:space="preserve"> by the Respondent, which the Appellants were dismissed for disobeying was an unlawful unilateral variation of the contract of employment by the Respondent through an illegal transfer.</w:t>
      </w:r>
    </w:p>
    <w:p w:rsidR="0054426B" w:rsidRDefault="0054426B" w:rsidP="0054426B">
      <w:pPr>
        <w:spacing w:after="0" w:line="360" w:lineRule="auto"/>
        <w:jc w:val="both"/>
        <w:rPr>
          <w:i/>
          <w:sz w:val="28"/>
          <w:szCs w:val="28"/>
        </w:rPr>
      </w:pPr>
      <w:r>
        <w:rPr>
          <w:i/>
          <w:sz w:val="28"/>
          <w:szCs w:val="28"/>
        </w:rPr>
        <w:tab/>
        <w:t xml:space="preserve">2.  The Appeals Committee grossly erred in failing to consider that the </w:t>
      </w:r>
    </w:p>
    <w:p w:rsidR="0054426B" w:rsidRDefault="0054426B" w:rsidP="0054426B">
      <w:pPr>
        <w:spacing w:after="0" w:line="360" w:lineRule="auto"/>
        <w:ind w:left="960"/>
        <w:jc w:val="both"/>
        <w:rPr>
          <w:i/>
          <w:sz w:val="28"/>
          <w:szCs w:val="28"/>
        </w:rPr>
      </w:pPr>
      <w:r>
        <w:rPr>
          <w:i/>
          <w:sz w:val="28"/>
          <w:szCs w:val="28"/>
        </w:rPr>
        <w:t>purported transfer of the Appellants by Respondent was an act of victimisation of the former by the latter, for brin</w:t>
      </w:r>
      <w:r w:rsidR="00F131E6">
        <w:rPr>
          <w:i/>
          <w:sz w:val="28"/>
          <w:szCs w:val="28"/>
        </w:rPr>
        <w:t>g</w:t>
      </w:r>
      <w:r>
        <w:rPr>
          <w:i/>
          <w:sz w:val="28"/>
          <w:szCs w:val="28"/>
        </w:rPr>
        <w:t>ing an action of unfair labour practice prompted by the unil</w:t>
      </w:r>
      <w:r w:rsidR="005C1EBC">
        <w:rPr>
          <w:i/>
          <w:sz w:val="28"/>
          <w:szCs w:val="28"/>
        </w:rPr>
        <w:t>ateral imposition of compulsory leave and short time work.”</w:t>
      </w:r>
    </w:p>
    <w:p w:rsidR="005C1EBC" w:rsidRDefault="005C1EBC" w:rsidP="005C1EBC">
      <w:pPr>
        <w:spacing w:after="0" w:line="360" w:lineRule="auto"/>
        <w:jc w:val="both"/>
        <w:rPr>
          <w:i/>
          <w:sz w:val="28"/>
          <w:szCs w:val="28"/>
        </w:rPr>
      </w:pPr>
    </w:p>
    <w:p w:rsidR="005C1EBC" w:rsidRDefault="005C1EBC" w:rsidP="005C1EBC">
      <w:pPr>
        <w:spacing w:after="0" w:line="360" w:lineRule="auto"/>
        <w:jc w:val="both"/>
        <w:rPr>
          <w:sz w:val="28"/>
          <w:szCs w:val="28"/>
        </w:rPr>
      </w:pPr>
      <w:r>
        <w:rPr>
          <w:sz w:val="28"/>
          <w:szCs w:val="28"/>
        </w:rPr>
        <w:t>Respondent opposed the appeal.  The key portion of its Response read thus,</w:t>
      </w:r>
    </w:p>
    <w:p w:rsidR="005C1EBC" w:rsidRDefault="005C1EBC" w:rsidP="005C1EBC">
      <w:pPr>
        <w:spacing w:after="0" w:line="360" w:lineRule="auto"/>
        <w:ind w:left="1440" w:hanging="720"/>
        <w:jc w:val="both"/>
        <w:rPr>
          <w:i/>
          <w:sz w:val="28"/>
          <w:szCs w:val="28"/>
        </w:rPr>
      </w:pPr>
      <w:r>
        <w:rPr>
          <w:i/>
          <w:sz w:val="28"/>
          <w:szCs w:val="28"/>
        </w:rPr>
        <w:t>“2.</w:t>
      </w:r>
      <w:r>
        <w:rPr>
          <w:i/>
          <w:sz w:val="28"/>
          <w:szCs w:val="28"/>
        </w:rPr>
        <w:tab/>
        <w:t>Respondent advised fifteen of its employe</w:t>
      </w:r>
      <w:r w:rsidR="00F131E6">
        <w:rPr>
          <w:i/>
          <w:sz w:val="28"/>
          <w:szCs w:val="28"/>
        </w:rPr>
        <w:t>es that it was transferring them</w:t>
      </w:r>
      <w:r>
        <w:rPr>
          <w:i/>
          <w:sz w:val="28"/>
          <w:szCs w:val="28"/>
        </w:rPr>
        <w:t xml:space="preserve"> from Wholesale Fruiterers to Marlon Trading with effect from 31</w:t>
      </w:r>
      <w:r w:rsidRPr="005C1EBC">
        <w:rPr>
          <w:i/>
          <w:sz w:val="28"/>
          <w:szCs w:val="28"/>
          <w:vertAlign w:val="superscript"/>
        </w:rPr>
        <w:t>st</w:t>
      </w:r>
      <w:r>
        <w:rPr>
          <w:i/>
          <w:sz w:val="28"/>
          <w:szCs w:val="28"/>
        </w:rPr>
        <w:t xml:space="preserve"> January 2013 through an official letter which Appellants received but refused to sign, acknowledging receipt.  This was done in terms of section 3.18.1 of Respondent’s Human Resources Manual of 2005.  The transfer was meant to avoid job </w:t>
      </w:r>
      <w:r w:rsidR="00F131E6">
        <w:rPr>
          <w:i/>
          <w:sz w:val="28"/>
          <w:szCs w:val="28"/>
        </w:rPr>
        <w:t>losses</w:t>
      </w:r>
      <w:r>
        <w:rPr>
          <w:i/>
          <w:sz w:val="28"/>
          <w:szCs w:val="28"/>
        </w:rPr>
        <w:t xml:space="preserve"> since Wholesale Fruiterers could no longer sustain its oper</w:t>
      </w:r>
      <w:r w:rsidR="00F131E6">
        <w:rPr>
          <w:i/>
          <w:sz w:val="28"/>
          <w:szCs w:val="28"/>
        </w:rPr>
        <w:t>ational costs including wages.  S</w:t>
      </w:r>
      <w:r>
        <w:rPr>
          <w:i/>
          <w:sz w:val="28"/>
          <w:szCs w:val="28"/>
        </w:rPr>
        <w:t>ee copies of letters of transfer attached hereto and marked A1 to A9.  According to the letters, the transfer was not going to affect the Appellants’ salaries or wages, grade and their industry remuneration trend.  Further the transfer did not entail change of location for the Appellants’ as they were to continue working at the same place in Granite side.  Five of the employees complied with the order and the Appellants refused to comply.</w:t>
      </w:r>
    </w:p>
    <w:p w:rsidR="005C1EBC" w:rsidRDefault="005C1EBC" w:rsidP="005C1EBC">
      <w:pPr>
        <w:spacing w:after="0" w:line="360" w:lineRule="auto"/>
        <w:ind w:left="1440" w:hanging="720"/>
        <w:jc w:val="both"/>
        <w:rPr>
          <w:i/>
          <w:sz w:val="28"/>
          <w:szCs w:val="28"/>
        </w:rPr>
      </w:pPr>
      <w:r>
        <w:rPr>
          <w:i/>
          <w:sz w:val="28"/>
          <w:szCs w:val="28"/>
        </w:rPr>
        <w:t>3.</w:t>
      </w:r>
      <w:r>
        <w:rPr>
          <w:i/>
          <w:sz w:val="28"/>
          <w:szCs w:val="28"/>
        </w:rPr>
        <w:tab/>
        <w:t>Appellants were then charged with contravening section 3.1 of the Respondent’s code of conduct in that they disobeyed a lawful order...”</w:t>
      </w:r>
    </w:p>
    <w:p w:rsidR="00F131E6" w:rsidRDefault="00F131E6" w:rsidP="005C1EBC">
      <w:pPr>
        <w:spacing w:after="0" w:line="360" w:lineRule="auto"/>
        <w:ind w:left="1440" w:hanging="720"/>
        <w:jc w:val="both"/>
        <w:rPr>
          <w:i/>
          <w:sz w:val="28"/>
          <w:szCs w:val="28"/>
        </w:rPr>
      </w:pPr>
    </w:p>
    <w:p w:rsidR="005C1EBC" w:rsidRDefault="005C1EBC" w:rsidP="005C1EBC">
      <w:pPr>
        <w:spacing w:after="0" w:line="360" w:lineRule="auto"/>
        <w:jc w:val="both"/>
        <w:rPr>
          <w:sz w:val="28"/>
          <w:szCs w:val="28"/>
        </w:rPr>
      </w:pPr>
      <w:r w:rsidRPr="005C1EBC">
        <w:rPr>
          <w:sz w:val="28"/>
          <w:szCs w:val="28"/>
        </w:rPr>
        <w:t xml:space="preserve">Appellants relied on the case of </w:t>
      </w:r>
      <w:r>
        <w:rPr>
          <w:b/>
          <w:sz w:val="28"/>
          <w:szCs w:val="28"/>
        </w:rPr>
        <w:t>ZCTU v Makonese</w:t>
      </w:r>
      <w:r>
        <w:rPr>
          <w:sz w:val="28"/>
          <w:szCs w:val="28"/>
        </w:rPr>
        <w:t xml:space="preserve"> 2005 (1) ZLR 430 (S)</w:t>
      </w:r>
    </w:p>
    <w:p w:rsidR="005C1EBC" w:rsidRDefault="005C1EBC" w:rsidP="005C1EBC">
      <w:pPr>
        <w:spacing w:after="0" w:line="360" w:lineRule="auto"/>
        <w:jc w:val="both"/>
        <w:rPr>
          <w:sz w:val="28"/>
          <w:szCs w:val="28"/>
        </w:rPr>
      </w:pPr>
      <w:r>
        <w:rPr>
          <w:sz w:val="28"/>
          <w:szCs w:val="28"/>
        </w:rPr>
        <w:t>The case set out the requirements for a lawful order as</w:t>
      </w:r>
    </w:p>
    <w:p w:rsidR="00EC69BA" w:rsidRDefault="00EC69BA" w:rsidP="00EC69BA">
      <w:pPr>
        <w:pStyle w:val="ListParagraph"/>
        <w:numPr>
          <w:ilvl w:val="0"/>
          <w:numId w:val="1"/>
        </w:numPr>
        <w:spacing w:after="0" w:line="360" w:lineRule="auto"/>
        <w:jc w:val="both"/>
        <w:rPr>
          <w:sz w:val="28"/>
          <w:szCs w:val="28"/>
        </w:rPr>
      </w:pPr>
      <w:r>
        <w:rPr>
          <w:sz w:val="28"/>
          <w:szCs w:val="28"/>
        </w:rPr>
        <w:t>It is given by the employer;</w:t>
      </w:r>
    </w:p>
    <w:p w:rsidR="00EC69BA" w:rsidRDefault="00EC69BA" w:rsidP="00EC69BA">
      <w:pPr>
        <w:pStyle w:val="ListParagraph"/>
        <w:numPr>
          <w:ilvl w:val="0"/>
          <w:numId w:val="1"/>
        </w:numPr>
        <w:spacing w:after="0" w:line="360" w:lineRule="auto"/>
        <w:jc w:val="both"/>
        <w:rPr>
          <w:sz w:val="28"/>
          <w:szCs w:val="28"/>
        </w:rPr>
      </w:pPr>
      <w:r>
        <w:rPr>
          <w:sz w:val="28"/>
          <w:szCs w:val="28"/>
        </w:rPr>
        <w:t>It is capable of being carried out;</w:t>
      </w:r>
    </w:p>
    <w:p w:rsidR="00EC69BA" w:rsidRDefault="00EC69BA" w:rsidP="00EC69BA">
      <w:pPr>
        <w:pStyle w:val="ListParagraph"/>
        <w:numPr>
          <w:ilvl w:val="0"/>
          <w:numId w:val="1"/>
        </w:numPr>
        <w:spacing w:after="0" w:line="360" w:lineRule="auto"/>
        <w:jc w:val="both"/>
        <w:rPr>
          <w:sz w:val="28"/>
          <w:szCs w:val="28"/>
        </w:rPr>
      </w:pPr>
      <w:r>
        <w:rPr>
          <w:sz w:val="28"/>
          <w:szCs w:val="28"/>
        </w:rPr>
        <w:t>It is for the advancement of the employer’s business;</w:t>
      </w:r>
    </w:p>
    <w:p w:rsidR="00EC69BA" w:rsidRDefault="00F131E6" w:rsidP="00EC69BA">
      <w:pPr>
        <w:pStyle w:val="ListParagraph"/>
        <w:numPr>
          <w:ilvl w:val="0"/>
          <w:numId w:val="1"/>
        </w:numPr>
        <w:spacing w:after="0" w:line="360" w:lineRule="auto"/>
        <w:jc w:val="both"/>
        <w:rPr>
          <w:sz w:val="28"/>
          <w:szCs w:val="28"/>
        </w:rPr>
      </w:pPr>
      <w:r>
        <w:rPr>
          <w:sz w:val="28"/>
          <w:szCs w:val="28"/>
        </w:rPr>
        <w:t>It is closely conn</w:t>
      </w:r>
      <w:r w:rsidR="00EC69BA">
        <w:rPr>
          <w:sz w:val="28"/>
          <w:szCs w:val="28"/>
        </w:rPr>
        <w:t>ected to the duties of the employee; and</w:t>
      </w:r>
    </w:p>
    <w:p w:rsidR="001445ED" w:rsidRDefault="001445ED" w:rsidP="001445ED">
      <w:pPr>
        <w:pStyle w:val="ListParagraph"/>
        <w:spacing w:after="0" w:line="360" w:lineRule="auto"/>
        <w:jc w:val="both"/>
        <w:rPr>
          <w:sz w:val="28"/>
          <w:szCs w:val="28"/>
        </w:rPr>
      </w:pPr>
    </w:p>
    <w:p w:rsidR="00EC69BA" w:rsidRDefault="00EC69BA" w:rsidP="00EC69BA">
      <w:pPr>
        <w:pStyle w:val="ListParagraph"/>
        <w:numPr>
          <w:ilvl w:val="0"/>
          <w:numId w:val="1"/>
        </w:numPr>
        <w:spacing w:after="0" w:line="360" w:lineRule="auto"/>
        <w:jc w:val="both"/>
        <w:rPr>
          <w:sz w:val="28"/>
          <w:szCs w:val="28"/>
        </w:rPr>
      </w:pPr>
      <w:r>
        <w:rPr>
          <w:sz w:val="28"/>
          <w:szCs w:val="28"/>
        </w:rPr>
        <w:t>It is not a wrongful act.</w:t>
      </w:r>
    </w:p>
    <w:p w:rsidR="00EC69BA" w:rsidRDefault="00EC69BA" w:rsidP="00EC69BA">
      <w:pPr>
        <w:spacing w:after="0" w:line="360" w:lineRule="auto"/>
        <w:jc w:val="both"/>
        <w:rPr>
          <w:sz w:val="28"/>
          <w:szCs w:val="28"/>
        </w:rPr>
      </w:pPr>
      <w:r>
        <w:rPr>
          <w:sz w:val="28"/>
          <w:szCs w:val="28"/>
        </w:rPr>
        <w:t xml:space="preserve">Appellants specifically relied on the requirement (b) and (e).  </w:t>
      </w:r>
    </w:p>
    <w:p w:rsidR="00EC69BA" w:rsidRDefault="00EC69BA" w:rsidP="00EC69BA">
      <w:pPr>
        <w:spacing w:after="0" w:line="360" w:lineRule="auto"/>
        <w:jc w:val="both"/>
        <w:rPr>
          <w:sz w:val="28"/>
          <w:szCs w:val="28"/>
        </w:rPr>
      </w:pPr>
      <w:r>
        <w:rPr>
          <w:sz w:val="28"/>
          <w:szCs w:val="28"/>
        </w:rPr>
        <w:t xml:space="preserve">As for the requirement </w:t>
      </w:r>
      <w:r w:rsidR="001445ED">
        <w:rPr>
          <w:sz w:val="28"/>
          <w:szCs w:val="28"/>
        </w:rPr>
        <w:t>(b</w:t>
      </w:r>
      <w:r w:rsidR="00F131E6">
        <w:rPr>
          <w:sz w:val="28"/>
          <w:szCs w:val="28"/>
        </w:rPr>
        <w:t xml:space="preserve">) </w:t>
      </w:r>
      <w:r>
        <w:rPr>
          <w:sz w:val="28"/>
          <w:szCs w:val="28"/>
        </w:rPr>
        <w:t>I have no hesitation in ruling against them.  Appellants were given 2 days’ notice of a change of work-station fro</w:t>
      </w:r>
      <w:r w:rsidR="00F131E6">
        <w:rPr>
          <w:sz w:val="28"/>
          <w:szCs w:val="28"/>
        </w:rPr>
        <w:t>m point A to point B in Granite</w:t>
      </w:r>
      <w:r>
        <w:rPr>
          <w:sz w:val="28"/>
          <w:szCs w:val="28"/>
        </w:rPr>
        <w:t>side, Harare.  This was a shift within the same neighbourhood so to speak.  The instruction was certainly capable of being carried out.</w:t>
      </w:r>
    </w:p>
    <w:p w:rsidR="00863BE2" w:rsidRDefault="00EC69BA" w:rsidP="00EC69BA">
      <w:pPr>
        <w:spacing w:after="0" w:line="360" w:lineRule="auto"/>
        <w:jc w:val="both"/>
        <w:rPr>
          <w:sz w:val="28"/>
          <w:szCs w:val="28"/>
        </w:rPr>
      </w:pPr>
      <w:r>
        <w:rPr>
          <w:sz w:val="28"/>
          <w:szCs w:val="28"/>
        </w:rPr>
        <w:t xml:space="preserve">Appellants argued that the </w:t>
      </w:r>
      <w:r w:rsidR="00F131E6">
        <w:rPr>
          <w:sz w:val="28"/>
          <w:szCs w:val="28"/>
        </w:rPr>
        <w:t>transfer</w:t>
      </w:r>
      <w:r>
        <w:rPr>
          <w:sz w:val="28"/>
          <w:szCs w:val="28"/>
        </w:rPr>
        <w:t xml:space="preserve"> was wrongful and unlawful in that</w:t>
      </w:r>
      <w:r w:rsidR="00F131E6">
        <w:rPr>
          <w:sz w:val="28"/>
          <w:szCs w:val="28"/>
        </w:rPr>
        <w:t xml:space="preserve"> they were not consulted before</w:t>
      </w:r>
      <w:r>
        <w:rPr>
          <w:sz w:val="28"/>
          <w:szCs w:val="28"/>
        </w:rPr>
        <w:t xml:space="preserve">hand and that it contravened Respondent’s transfer policy.  The transfer policy required that a minimum of 2 days’ notice be given.  That was complied with.  It further required that “... when such transfer becomes necessary, cognisance should be taken of the employee’s personal circumstances before such a decision is finalised.”  Respondent argued that there was not going to be any material change to Appellants’ circumstances.  No </w:t>
      </w:r>
      <w:r>
        <w:rPr>
          <w:sz w:val="28"/>
          <w:szCs w:val="28"/>
          <w:u w:val="single"/>
        </w:rPr>
        <w:t>new</w:t>
      </w:r>
      <w:r>
        <w:rPr>
          <w:sz w:val="28"/>
          <w:szCs w:val="28"/>
        </w:rPr>
        <w:t xml:space="preserve">  accommodation</w:t>
      </w:r>
      <w:r w:rsidR="00863BE2">
        <w:rPr>
          <w:sz w:val="28"/>
          <w:szCs w:val="28"/>
        </w:rPr>
        <w:t xml:space="preserve"> or relocation expanses arose because they were to transfer to a workstation within the same neighbourhood.  Appellants maintained that they should have been consulted beforehand.</w:t>
      </w:r>
      <w:r w:rsidR="001445ED">
        <w:rPr>
          <w:sz w:val="28"/>
          <w:szCs w:val="28"/>
        </w:rPr>
        <w:t xml:space="preserve"> </w:t>
      </w:r>
      <w:r w:rsidR="00F131E6">
        <w:rPr>
          <w:sz w:val="28"/>
          <w:szCs w:val="28"/>
        </w:rPr>
        <w:t>T</w:t>
      </w:r>
      <w:r w:rsidR="00863BE2">
        <w:rPr>
          <w:sz w:val="28"/>
          <w:szCs w:val="28"/>
        </w:rPr>
        <w:t xml:space="preserve">hat would have enable them to air their concerns.  Respondent did not specifically invite submissions from Appellants.  However the 2 days’ notice certainly gave Appellants the </w:t>
      </w:r>
      <w:r w:rsidR="00863BE2" w:rsidRPr="00F131E6">
        <w:rPr>
          <w:sz w:val="28"/>
          <w:szCs w:val="28"/>
          <w:u w:val="single"/>
        </w:rPr>
        <w:t>opportunity</w:t>
      </w:r>
      <w:r w:rsidR="00863BE2">
        <w:rPr>
          <w:sz w:val="28"/>
          <w:szCs w:val="28"/>
        </w:rPr>
        <w:t xml:space="preserve"> to raise their concerns.</w:t>
      </w:r>
    </w:p>
    <w:p w:rsidR="001445ED" w:rsidRDefault="001445ED" w:rsidP="00EC69BA">
      <w:pPr>
        <w:spacing w:after="0" w:line="360" w:lineRule="auto"/>
        <w:jc w:val="both"/>
        <w:rPr>
          <w:sz w:val="28"/>
          <w:szCs w:val="28"/>
        </w:rPr>
      </w:pPr>
    </w:p>
    <w:p w:rsidR="001445ED" w:rsidRDefault="00863BE2" w:rsidP="00EC69BA">
      <w:pPr>
        <w:spacing w:after="0" w:line="360" w:lineRule="auto"/>
        <w:jc w:val="both"/>
        <w:rPr>
          <w:sz w:val="28"/>
          <w:szCs w:val="28"/>
        </w:rPr>
      </w:pPr>
      <w:r>
        <w:rPr>
          <w:sz w:val="28"/>
          <w:szCs w:val="28"/>
        </w:rPr>
        <w:t>Transfer of employees is a prero</w:t>
      </w:r>
      <w:r w:rsidR="00AB12EC">
        <w:rPr>
          <w:sz w:val="28"/>
          <w:szCs w:val="28"/>
        </w:rPr>
        <w:t xml:space="preserve">gative of the employer. </w:t>
      </w:r>
      <w:r w:rsidR="001445ED">
        <w:rPr>
          <w:sz w:val="28"/>
          <w:szCs w:val="28"/>
        </w:rPr>
        <w:t>Appellants conceded as much. However in</w:t>
      </w:r>
      <w:r w:rsidR="00AB12EC">
        <w:rPr>
          <w:sz w:val="28"/>
          <w:szCs w:val="28"/>
        </w:rPr>
        <w:t xml:space="preserve"> carrying out transfer</w:t>
      </w:r>
      <w:r w:rsidR="00F131E6">
        <w:rPr>
          <w:sz w:val="28"/>
          <w:szCs w:val="28"/>
        </w:rPr>
        <w:t>,</w:t>
      </w:r>
      <w:r w:rsidR="00AB12EC">
        <w:rPr>
          <w:sz w:val="28"/>
          <w:szCs w:val="28"/>
        </w:rPr>
        <w:t xml:space="preserve"> the employer is required to take into account the employee’s personal circumstances.  He is not required to secure the employee’s consent. </w:t>
      </w:r>
      <w:r w:rsidR="001445ED">
        <w:rPr>
          <w:sz w:val="28"/>
          <w:szCs w:val="28"/>
        </w:rPr>
        <w:t>Different considerations apply in different cases.</w:t>
      </w:r>
      <w:r w:rsidR="00AB12EC">
        <w:rPr>
          <w:sz w:val="28"/>
          <w:szCs w:val="28"/>
        </w:rPr>
        <w:t xml:space="preserve"> In this matter the transfer entailed no </w:t>
      </w:r>
      <w:r w:rsidR="00AB12EC" w:rsidRPr="00F131E6">
        <w:rPr>
          <w:sz w:val="28"/>
          <w:szCs w:val="28"/>
          <w:u w:val="single"/>
        </w:rPr>
        <w:t>material</w:t>
      </w:r>
      <w:r w:rsidR="00AB12EC">
        <w:rPr>
          <w:sz w:val="28"/>
          <w:szCs w:val="28"/>
        </w:rPr>
        <w:t xml:space="preserve"> </w:t>
      </w:r>
      <w:r w:rsidR="00AB12EC" w:rsidRPr="00F131E6">
        <w:rPr>
          <w:sz w:val="28"/>
          <w:szCs w:val="28"/>
          <w:u w:val="single"/>
        </w:rPr>
        <w:t>change</w:t>
      </w:r>
      <w:r w:rsidR="00AB12EC">
        <w:rPr>
          <w:sz w:val="28"/>
          <w:szCs w:val="28"/>
        </w:rPr>
        <w:t xml:space="preserve"> in Appellants’ </w:t>
      </w:r>
    </w:p>
    <w:p w:rsidR="001445ED" w:rsidRDefault="001445ED" w:rsidP="00EC69BA">
      <w:pPr>
        <w:spacing w:after="0" w:line="360" w:lineRule="auto"/>
        <w:jc w:val="both"/>
        <w:rPr>
          <w:sz w:val="28"/>
          <w:szCs w:val="28"/>
        </w:rPr>
      </w:pPr>
    </w:p>
    <w:p w:rsidR="00863BE2" w:rsidRDefault="00AB12EC" w:rsidP="00EC69BA">
      <w:pPr>
        <w:spacing w:after="0" w:line="360" w:lineRule="auto"/>
        <w:jc w:val="both"/>
        <w:rPr>
          <w:sz w:val="28"/>
          <w:szCs w:val="28"/>
        </w:rPr>
      </w:pPr>
      <w:r>
        <w:rPr>
          <w:sz w:val="28"/>
          <w:szCs w:val="28"/>
        </w:rPr>
        <w:t>personal circumstances.  Appellants had an opportunity to air their concerns before the transfers took effect.  Apparently they did not submit any concerns.  This only served to show that there were non</w:t>
      </w:r>
      <w:r w:rsidR="00F131E6">
        <w:rPr>
          <w:sz w:val="28"/>
          <w:szCs w:val="28"/>
        </w:rPr>
        <w:t>e</w:t>
      </w:r>
      <w:r>
        <w:rPr>
          <w:sz w:val="28"/>
          <w:szCs w:val="28"/>
        </w:rPr>
        <w:t xml:space="preserve"> such concerns.  The claim of victimisation was not proved.  In any event some employees complied and it is those who did not comply who were charged with misconduct.  That seems to dispel the allegation of victimisation.</w:t>
      </w:r>
    </w:p>
    <w:p w:rsidR="00AB12EC" w:rsidRDefault="00AB12EC" w:rsidP="00EC69BA">
      <w:pPr>
        <w:spacing w:after="0" w:line="360" w:lineRule="auto"/>
        <w:jc w:val="both"/>
        <w:rPr>
          <w:sz w:val="28"/>
          <w:szCs w:val="28"/>
        </w:rPr>
      </w:pPr>
    </w:p>
    <w:p w:rsidR="00AB12EC" w:rsidRDefault="00AB12EC" w:rsidP="00EC69BA">
      <w:pPr>
        <w:spacing w:after="0" w:line="360" w:lineRule="auto"/>
        <w:jc w:val="both"/>
        <w:rPr>
          <w:sz w:val="28"/>
          <w:szCs w:val="28"/>
        </w:rPr>
      </w:pPr>
      <w:r>
        <w:rPr>
          <w:sz w:val="28"/>
          <w:szCs w:val="28"/>
        </w:rPr>
        <w:t>Wherefore it is ordered that,</w:t>
      </w:r>
    </w:p>
    <w:p w:rsidR="00AB12EC" w:rsidRDefault="00AB12EC" w:rsidP="00EC69BA">
      <w:pPr>
        <w:spacing w:after="0" w:line="360" w:lineRule="auto"/>
        <w:jc w:val="both"/>
        <w:rPr>
          <w:sz w:val="28"/>
          <w:szCs w:val="28"/>
        </w:rPr>
      </w:pPr>
    </w:p>
    <w:p w:rsidR="00AB12EC" w:rsidRDefault="00AB12EC" w:rsidP="00AB12EC">
      <w:pPr>
        <w:pStyle w:val="ListParagraph"/>
        <w:numPr>
          <w:ilvl w:val="0"/>
          <w:numId w:val="2"/>
        </w:numPr>
        <w:spacing w:after="0" w:line="360" w:lineRule="auto"/>
        <w:jc w:val="both"/>
        <w:rPr>
          <w:sz w:val="28"/>
          <w:szCs w:val="28"/>
        </w:rPr>
      </w:pPr>
      <w:r>
        <w:rPr>
          <w:sz w:val="28"/>
          <w:szCs w:val="28"/>
        </w:rPr>
        <w:t xml:space="preserve"> The appeal is hereby dismissed; and</w:t>
      </w:r>
    </w:p>
    <w:p w:rsidR="00AB12EC" w:rsidRDefault="00AB12EC" w:rsidP="00AB12EC">
      <w:pPr>
        <w:pStyle w:val="ListParagraph"/>
        <w:spacing w:after="0" w:line="360" w:lineRule="auto"/>
        <w:jc w:val="both"/>
        <w:rPr>
          <w:sz w:val="28"/>
          <w:szCs w:val="28"/>
        </w:rPr>
      </w:pPr>
    </w:p>
    <w:p w:rsidR="00AB12EC" w:rsidRPr="00AB12EC" w:rsidRDefault="00AB12EC" w:rsidP="00AB12EC">
      <w:pPr>
        <w:pStyle w:val="ListParagraph"/>
        <w:numPr>
          <w:ilvl w:val="0"/>
          <w:numId w:val="2"/>
        </w:numPr>
        <w:spacing w:after="0" w:line="360" w:lineRule="auto"/>
        <w:jc w:val="both"/>
        <w:rPr>
          <w:sz w:val="28"/>
          <w:szCs w:val="28"/>
        </w:rPr>
      </w:pPr>
      <w:r>
        <w:rPr>
          <w:sz w:val="28"/>
          <w:szCs w:val="28"/>
        </w:rPr>
        <w:t>Each party shall bear its own costs.</w:t>
      </w:r>
    </w:p>
    <w:p w:rsidR="0054426B" w:rsidRDefault="0054426B" w:rsidP="0054426B">
      <w:pPr>
        <w:spacing w:after="0" w:line="360" w:lineRule="auto"/>
        <w:jc w:val="both"/>
        <w:rPr>
          <w:b/>
          <w:sz w:val="28"/>
          <w:szCs w:val="28"/>
        </w:rPr>
      </w:pPr>
    </w:p>
    <w:p w:rsidR="00AB12EC" w:rsidRDefault="00AB12EC" w:rsidP="0054426B">
      <w:pPr>
        <w:spacing w:after="0" w:line="360" w:lineRule="auto"/>
        <w:jc w:val="both"/>
        <w:rPr>
          <w:b/>
          <w:sz w:val="28"/>
          <w:szCs w:val="28"/>
        </w:rPr>
      </w:pPr>
    </w:p>
    <w:p w:rsidR="00AB12EC" w:rsidRDefault="00AB12EC" w:rsidP="0054426B">
      <w:pPr>
        <w:spacing w:after="0" w:line="360" w:lineRule="auto"/>
        <w:jc w:val="both"/>
        <w:rPr>
          <w:b/>
          <w:sz w:val="28"/>
          <w:szCs w:val="28"/>
        </w:rPr>
      </w:pPr>
    </w:p>
    <w:p w:rsidR="00AB12EC" w:rsidRPr="00AB12EC" w:rsidRDefault="00AB12EC" w:rsidP="00AB12EC">
      <w:pPr>
        <w:spacing w:after="0" w:line="360" w:lineRule="auto"/>
        <w:ind w:left="5040"/>
        <w:jc w:val="both"/>
        <w:rPr>
          <w:b/>
          <w:sz w:val="28"/>
          <w:szCs w:val="28"/>
        </w:rPr>
      </w:pPr>
      <w:r w:rsidRPr="00AB12EC">
        <w:rPr>
          <w:b/>
          <w:sz w:val="28"/>
          <w:szCs w:val="28"/>
        </w:rPr>
        <w:t>G. MUSARIRI</w:t>
      </w:r>
    </w:p>
    <w:p w:rsidR="00AB12EC" w:rsidRPr="00AB12EC" w:rsidRDefault="00AB12EC" w:rsidP="00AB12EC">
      <w:pPr>
        <w:spacing w:after="0" w:line="360" w:lineRule="auto"/>
        <w:ind w:left="5040"/>
        <w:jc w:val="both"/>
        <w:rPr>
          <w:b/>
          <w:sz w:val="28"/>
          <w:szCs w:val="28"/>
          <w:u w:val="single"/>
        </w:rPr>
      </w:pPr>
      <w:r w:rsidRPr="00AB12EC">
        <w:rPr>
          <w:b/>
          <w:sz w:val="28"/>
          <w:szCs w:val="28"/>
          <w:u w:val="single"/>
        </w:rPr>
        <w:t>J</w:t>
      </w:r>
      <w:r w:rsidR="00F131E6">
        <w:rPr>
          <w:b/>
          <w:sz w:val="28"/>
          <w:szCs w:val="28"/>
          <w:u w:val="single"/>
        </w:rPr>
        <w:t xml:space="preserve"> </w:t>
      </w:r>
      <w:r w:rsidRPr="00AB12EC">
        <w:rPr>
          <w:b/>
          <w:sz w:val="28"/>
          <w:szCs w:val="28"/>
          <w:u w:val="single"/>
        </w:rPr>
        <w:t>U</w:t>
      </w:r>
      <w:r w:rsidR="00F131E6">
        <w:rPr>
          <w:b/>
          <w:sz w:val="28"/>
          <w:szCs w:val="28"/>
          <w:u w:val="single"/>
        </w:rPr>
        <w:t xml:space="preserve"> </w:t>
      </w:r>
      <w:r w:rsidRPr="00AB12EC">
        <w:rPr>
          <w:b/>
          <w:sz w:val="28"/>
          <w:szCs w:val="28"/>
          <w:u w:val="single"/>
        </w:rPr>
        <w:t>D</w:t>
      </w:r>
      <w:r w:rsidR="00F131E6">
        <w:rPr>
          <w:b/>
          <w:sz w:val="28"/>
          <w:szCs w:val="28"/>
          <w:u w:val="single"/>
        </w:rPr>
        <w:t xml:space="preserve"> </w:t>
      </w:r>
      <w:r w:rsidRPr="00AB12EC">
        <w:rPr>
          <w:b/>
          <w:sz w:val="28"/>
          <w:szCs w:val="28"/>
          <w:u w:val="single"/>
        </w:rPr>
        <w:t>G</w:t>
      </w:r>
      <w:r w:rsidR="00F131E6">
        <w:rPr>
          <w:b/>
          <w:sz w:val="28"/>
          <w:szCs w:val="28"/>
          <w:u w:val="single"/>
        </w:rPr>
        <w:t xml:space="preserve"> </w:t>
      </w:r>
      <w:r w:rsidRPr="00AB12EC">
        <w:rPr>
          <w:b/>
          <w:sz w:val="28"/>
          <w:szCs w:val="28"/>
          <w:u w:val="single"/>
        </w:rPr>
        <w:t>E</w:t>
      </w:r>
    </w:p>
    <w:p w:rsidR="0054426B" w:rsidRDefault="0054426B" w:rsidP="0054426B">
      <w:pPr>
        <w:spacing w:after="0" w:line="360" w:lineRule="auto"/>
        <w:jc w:val="both"/>
        <w:rPr>
          <w:b/>
          <w:sz w:val="28"/>
          <w:szCs w:val="28"/>
        </w:rPr>
      </w:pPr>
    </w:p>
    <w:p w:rsidR="0054426B" w:rsidRDefault="0054426B" w:rsidP="0054426B">
      <w:pPr>
        <w:spacing w:after="0" w:line="360" w:lineRule="auto"/>
        <w:jc w:val="both"/>
        <w:rPr>
          <w:b/>
          <w:sz w:val="28"/>
          <w:szCs w:val="28"/>
        </w:rPr>
      </w:pPr>
    </w:p>
    <w:p w:rsidR="0054426B" w:rsidRPr="0054426B" w:rsidRDefault="0054426B" w:rsidP="0054426B">
      <w:pPr>
        <w:spacing w:after="0" w:line="360" w:lineRule="auto"/>
        <w:jc w:val="both"/>
        <w:rPr>
          <w:b/>
          <w:sz w:val="28"/>
          <w:szCs w:val="28"/>
        </w:rPr>
      </w:pPr>
    </w:p>
    <w:sectPr w:rsidR="0054426B" w:rsidRPr="0054426B" w:rsidSect="005C1EBC">
      <w:headerReference w:type="default"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5047" w:rsidRDefault="00E35047" w:rsidP="005C1EBC">
      <w:pPr>
        <w:spacing w:after="0" w:line="240" w:lineRule="auto"/>
      </w:pPr>
      <w:r>
        <w:separator/>
      </w:r>
    </w:p>
  </w:endnote>
  <w:endnote w:type="continuationSeparator" w:id="1">
    <w:p w:rsidR="00E35047" w:rsidRDefault="00E35047" w:rsidP="005C1E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44032"/>
      <w:docPartObj>
        <w:docPartGallery w:val="Page Numbers (Bottom of Page)"/>
        <w:docPartUnique/>
      </w:docPartObj>
    </w:sdtPr>
    <w:sdtContent>
      <w:p w:rsidR="00EC69BA" w:rsidRDefault="00522D72">
        <w:pPr>
          <w:pStyle w:val="Footer"/>
          <w:jc w:val="right"/>
        </w:pPr>
        <w:fldSimple w:instr=" PAGE   \* MERGEFORMAT ">
          <w:r w:rsidR="001445ED">
            <w:rPr>
              <w:noProof/>
            </w:rPr>
            <w:t>4</w:t>
          </w:r>
        </w:fldSimple>
      </w:p>
    </w:sdtContent>
  </w:sdt>
  <w:p w:rsidR="00EC69BA" w:rsidRDefault="00EC69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5047" w:rsidRDefault="00E35047" w:rsidP="005C1EBC">
      <w:pPr>
        <w:spacing w:after="0" w:line="240" w:lineRule="auto"/>
      </w:pPr>
      <w:r>
        <w:separator/>
      </w:r>
    </w:p>
  </w:footnote>
  <w:footnote w:type="continuationSeparator" w:id="1">
    <w:p w:rsidR="00E35047" w:rsidRDefault="00E35047" w:rsidP="005C1E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9BA" w:rsidRDefault="00EC69BA" w:rsidP="005C1EBC">
    <w:pPr>
      <w:spacing w:line="360" w:lineRule="auto"/>
      <w:ind w:left="4320" w:firstLine="720"/>
      <w:jc w:val="both"/>
      <w:rPr>
        <w:b/>
        <w:sz w:val="28"/>
        <w:szCs w:val="28"/>
      </w:rPr>
    </w:pPr>
    <w:r>
      <w:rPr>
        <w:b/>
        <w:sz w:val="28"/>
        <w:szCs w:val="28"/>
      </w:rPr>
      <w:t>JUDGMENT NO LC/H/687/13</w:t>
    </w:r>
  </w:p>
  <w:p w:rsidR="00EC69BA" w:rsidRDefault="00EC69B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3D48DF"/>
    <w:multiLevelType w:val="hybridMultilevel"/>
    <w:tmpl w:val="3380FC3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498D77B7"/>
    <w:multiLevelType w:val="hybridMultilevel"/>
    <w:tmpl w:val="0B40D7B6"/>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4426B"/>
    <w:rsid w:val="00073B99"/>
    <w:rsid w:val="001445ED"/>
    <w:rsid w:val="001E59E3"/>
    <w:rsid w:val="002A4EA4"/>
    <w:rsid w:val="002D0332"/>
    <w:rsid w:val="002E1FE1"/>
    <w:rsid w:val="003E7494"/>
    <w:rsid w:val="00522D72"/>
    <w:rsid w:val="0054426B"/>
    <w:rsid w:val="005B6B07"/>
    <w:rsid w:val="005C1EBC"/>
    <w:rsid w:val="005E4CBF"/>
    <w:rsid w:val="006B3F61"/>
    <w:rsid w:val="00804AAA"/>
    <w:rsid w:val="00863BE2"/>
    <w:rsid w:val="008C57F8"/>
    <w:rsid w:val="00A946D2"/>
    <w:rsid w:val="00AA1557"/>
    <w:rsid w:val="00AA452E"/>
    <w:rsid w:val="00AB12EC"/>
    <w:rsid w:val="00B2519C"/>
    <w:rsid w:val="00B819ED"/>
    <w:rsid w:val="00CE61E0"/>
    <w:rsid w:val="00D13C45"/>
    <w:rsid w:val="00E35047"/>
    <w:rsid w:val="00E61B49"/>
    <w:rsid w:val="00EC69BA"/>
    <w:rsid w:val="00ED3B87"/>
    <w:rsid w:val="00F131E6"/>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B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C1EB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C1EBC"/>
  </w:style>
  <w:style w:type="paragraph" w:styleId="Footer">
    <w:name w:val="footer"/>
    <w:basedOn w:val="Normal"/>
    <w:link w:val="FooterChar"/>
    <w:uiPriority w:val="99"/>
    <w:unhideWhenUsed/>
    <w:rsid w:val="005C1E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1EBC"/>
  </w:style>
  <w:style w:type="paragraph" w:styleId="ListParagraph">
    <w:name w:val="List Paragraph"/>
    <w:basedOn w:val="Normal"/>
    <w:uiPriority w:val="34"/>
    <w:qFormat/>
    <w:rsid w:val="00EC69B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4</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2013-11-27T07:53:00Z</dcterms:created>
  <dcterms:modified xsi:type="dcterms:W3CDTF">2013-11-28T09:33:00Z</dcterms:modified>
</cp:coreProperties>
</file>