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77" w:rsidRDefault="00797D77" w:rsidP="00797D7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C16CA7">
        <w:rPr>
          <w:b/>
          <w:sz w:val="22"/>
          <w:szCs w:val="22"/>
        </w:rPr>
        <w:t>768</w:t>
      </w:r>
      <w:r>
        <w:rPr>
          <w:b/>
          <w:sz w:val="22"/>
          <w:szCs w:val="22"/>
        </w:rPr>
        <w:t>/2016</w:t>
      </w:r>
    </w:p>
    <w:p w:rsidR="00797D77" w:rsidRDefault="00797D77" w:rsidP="00797D7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17 OCTOBER 2016</w:t>
      </w:r>
      <w:r>
        <w:rPr>
          <w:b/>
          <w:sz w:val="22"/>
          <w:szCs w:val="22"/>
        </w:rPr>
        <w:tab/>
      </w:r>
      <w:r w:rsidR="001068BF">
        <w:rPr>
          <w:b/>
          <w:sz w:val="22"/>
          <w:szCs w:val="22"/>
        </w:rPr>
        <w:tab/>
        <w:t xml:space="preserve">   </w:t>
      </w:r>
      <w:r w:rsidR="00C16CA7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>CASE NO. LC/H/REV/45/16(</w:t>
      </w:r>
      <w:r w:rsidR="001068BF">
        <w:rPr>
          <w:b/>
          <w:sz w:val="22"/>
          <w:szCs w:val="22"/>
        </w:rPr>
        <w:t>APPEAL</w:t>
      </w:r>
      <w:r>
        <w:rPr>
          <w:b/>
          <w:sz w:val="22"/>
          <w:szCs w:val="22"/>
        </w:rPr>
        <w:t>)</w:t>
      </w:r>
    </w:p>
    <w:p w:rsidR="00797D77" w:rsidRDefault="00797D77" w:rsidP="00797D7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C16CA7">
        <w:rPr>
          <w:b/>
          <w:sz w:val="22"/>
          <w:szCs w:val="22"/>
        </w:rPr>
        <w:t xml:space="preserve">2 DECEMBER </w:t>
      </w:r>
      <w:bookmarkStart w:id="0" w:name="_GoBack"/>
      <w:bookmarkEnd w:id="0"/>
      <w:r>
        <w:rPr>
          <w:b/>
          <w:sz w:val="22"/>
          <w:szCs w:val="22"/>
        </w:rPr>
        <w:t>2016</w:t>
      </w:r>
    </w:p>
    <w:p w:rsidR="00797D77" w:rsidRDefault="00797D77" w:rsidP="00797D77">
      <w:pPr>
        <w:spacing w:line="360" w:lineRule="auto"/>
        <w:jc w:val="both"/>
      </w:pPr>
      <w:r>
        <w:t>In the matter between:-</w:t>
      </w:r>
    </w:p>
    <w:p w:rsidR="00797D77" w:rsidRDefault="00797D77" w:rsidP="00797D77">
      <w:pPr>
        <w:spacing w:line="360" w:lineRule="auto"/>
        <w:jc w:val="both"/>
      </w:pPr>
    </w:p>
    <w:p w:rsidR="00797D77" w:rsidRDefault="001068BF" w:rsidP="00797D77">
      <w:pPr>
        <w:spacing w:line="360" w:lineRule="auto"/>
        <w:jc w:val="both"/>
        <w:rPr>
          <w:b/>
        </w:rPr>
      </w:pPr>
      <w:r>
        <w:rPr>
          <w:b/>
        </w:rPr>
        <w:t>MUSA MKUMBUZI</w:t>
      </w:r>
      <w:r w:rsidR="00797D77">
        <w:rPr>
          <w:b/>
        </w:rPr>
        <w:tab/>
      </w:r>
      <w:r w:rsidR="00797D77">
        <w:rPr>
          <w:b/>
        </w:rPr>
        <w:tab/>
      </w:r>
      <w:r w:rsidR="00797D77">
        <w:rPr>
          <w:b/>
        </w:rPr>
        <w:tab/>
      </w:r>
      <w:r w:rsidR="00797D77">
        <w:rPr>
          <w:b/>
        </w:rPr>
        <w:tab/>
      </w:r>
      <w:r w:rsidR="00797D77">
        <w:rPr>
          <w:b/>
        </w:rPr>
        <w:tab/>
      </w:r>
      <w:r w:rsidR="00797D77">
        <w:rPr>
          <w:b/>
        </w:rPr>
        <w:tab/>
        <w:t xml:space="preserve">Applicant </w:t>
      </w:r>
    </w:p>
    <w:p w:rsidR="00797D77" w:rsidRDefault="00797D77" w:rsidP="00797D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797D77" w:rsidRDefault="001068BF" w:rsidP="00797D77">
      <w:pPr>
        <w:spacing w:line="360" w:lineRule="auto"/>
        <w:jc w:val="both"/>
        <w:rPr>
          <w:b/>
        </w:rPr>
      </w:pPr>
      <w:r>
        <w:rPr>
          <w:b/>
        </w:rPr>
        <w:t>DEVELOP</w:t>
      </w:r>
      <w:r w:rsidR="00A22E63">
        <w:rPr>
          <w:b/>
        </w:rPr>
        <w:t>-IT ZIMBABWE t/a</w:t>
      </w:r>
      <w:r w:rsidR="00A22E63">
        <w:rPr>
          <w:b/>
        </w:rPr>
        <w:tab/>
        <w:t xml:space="preserve"> </w:t>
      </w:r>
      <w:r w:rsidR="00A22E63">
        <w:rPr>
          <w:b/>
        </w:rPr>
        <w:tab/>
      </w:r>
      <w:r w:rsidR="00A22E63">
        <w:rPr>
          <w:b/>
        </w:rPr>
        <w:tab/>
      </w:r>
      <w:r w:rsidR="00A22E63">
        <w:rPr>
          <w:b/>
        </w:rPr>
        <w:tab/>
      </w:r>
      <w:r w:rsidR="00797D77">
        <w:rPr>
          <w:b/>
        </w:rPr>
        <w:t>Respondent</w:t>
      </w:r>
    </w:p>
    <w:p w:rsidR="00A22E63" w:rsidRDefault="00A22E63" w:rsidP="00797D77">
      <w:pPr>
        <w:spacing w:line="360" w:lineRule="auto"/>
        <w:jc w:val="both"/>
        <w:rPr>
          <w:b/>
        </w:rPr>
      </w:pPr>
      <w:r>
        <w:rPr>
          <w:b/>
        </w:rPr>
        <w:t>MARANATHA JUNIOR SCHOOL</w:t>
      </w:r>
    </w:p>
    <w:p w:rsidR="00797D77" w:rsidRDefault="00797D77" w:rsidP="00797D77">
      <w:pPr>
        <w:spacing w:line="360" w:lineRule="auto"/>
        <w:jc w:val="both"/>
        <w:rPr>
          <w:b/>
        </w:rPr>
      </w:pPr>
    </w:p>
    <w:p w:rsidR="00797D77" w:rsidRDefault="00797D77" w:rsidP="00797D77">
      <w:pPr>
        <w:spacing w:line="360" w:lineRule="auto"/>
        <w:jc w:val="both"/>
      </w:pPr>
      <w:r>
        <w:t>Before The Honourable F.C. Maxwell, Judge</w:t>
      </w:r>
    </w:p>
    <w:p w:rsidR="00797D77" w:rsidRDefault="00797D77" w:rsidP="00797D77">
      <w:pPr>
        <w:spacing w:line="360" w:lineRule="auto"/>
        <w:jc w:val="both"/>
      </w:pPr>
    </w:p>
    <w:p w:rsidR="00797D77" w:rsidRDefault="00797D77" w:rsidP="00797D77">
      <w:pPr>
        <w:spacing w:line="360" w:lineRule="auto"/>
        <w:jc w:val="both"/>
        <w:rPr>
          <w:b/>
        </w:rPr>
      </w:pPr>
      <w:r>
        <w:rPr>
          <w:b/>
        </w:rPr>
        <w:t>For Applicant</w:t>
      </w:r>
      <w:r w:rsidR="00CF008C">
        <w:rPr>
          <w:b/>
        </w:rPr>
        <w:tab/>
      </w:r>
      <w:r w:rsidR="00CF008C">
        <w:rPr>
          <w:b/>
        </w:rPr>
        <w:tab/>
        <w:t>Mr T. Deme (Legal Practitioner)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97D77" w:rsidRDefault="00797D77" w:rsidP="00797D77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CF008C">
        <w:rPr>
          <w:b/>
        </w:rPr>
        <w:tab/>
      </w:r>
      <w:r w:rsidR="00CF008C">
        <w:rPr>
          <w:b/>
        </w:rPr>
        <w:tab/>
        <w:t xml:space="preserve">Mr I. Mataka </w:t>
      </w:r>
      <w:r w:rsidR="00074030">
        <w:rPr>
          <w:b/>
        </w:rPr>
        <w:t>(Legal Practitioner)</w:t>
      </w:r>
      <w:r>
        <w:rPr>
          <w:b/>
        </w:rPr>
        <w:tab/>
      </w:r>
      <w:r>
        <w:rPr>
          <w:b/>
        </w:rPr>
        <w:tab/>
      </w:r>
    </w:p>
    <w:p w:rsidR="00797D77" w:rsidRDefault="00797D77" w:rsidP="00797D77">
      <w:pPr>
        <w:spacing w:line="360" w:lineRule="auto"/>
        <w:jc w:val="both"/>
        <w:rPr>
          <w:b/>
          <w:sz w:val="28"/>
          <w:szCs w:val="28"/>
        </w:rPr>
      </w:pPr>
    </w:p>
    <w:p w:rsidR="00797D77" w:rsidRDefault="00797D77" w:rsidP="00797D77">
      <w:pPr>
        <w:rPr>
          <w:b/>
        </w:rPr>
      </w:pPr>
      <w:r>
        <w:rPr>
          <w:b/>
        </w:rPr>
        <w:t>MAXWELL, J:</w:t>
      </w:r>
    </w:p>
    <w:p w:rsidR="001152B6" w:rsidRDefault="001152B6" w:rsidP="00A34583">
      <w:pPr>
        <w:spacing w:line="360" w:lineRule="auto"/>
        <w:jc w:val="both"/>
      </w:pPr>
    </w:p>
    <w:p w:rsidR="00A34583" w:rsidRDefault="00192C49" w:rsidP="00A34583">
      <w:pPr>
        <w:spacing w:line="360" w:lineRule="auto"/>
        <w:jc w:val="both"/>
      </w:pPr>
      <w:r>
        <w:tab/>
        <w:t xml:space="preserve">Applicant was employed by Respondent as a teacher. On 23 March 2016 she was </w:t>
      </w:r>
      <w:r w:rsidR="00463C41">
        <w:t>arraigned before a disciplinary authority on allegations of misconduct she was found guilty and was dismissed from employment.  On 9 May 2016 she noted an appeal to this Court on the following grounds</w:t>
      </w:r>
      <w:r w:rsidR="00655831">
        <w:t>.</w:t>
      </w:r>
    </w:p>
    <w:p w:rsidR="00655831" w:rsidRDefault="00655831" w:rsidP="00584FEB">
      <w:pPr>
        <w:jc w:val="both"/>
      </w:pPr>
    </w:p>
    <w:p w:rsidR="00655831" w:rsidRDefault="00655831" w:rsidP="00655831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employer erred at law by using a wrong code of conduct in the disciplinary process.</w:t>
      </w:r>
    </w:p>
    <w:p w:rsidR="00655831" w:rsidRDefault="006E36ED" w:rsidP="00655831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employer</w:t>
      </w:r>
      <w:r w:rsidR="00A47A6D">
        <w:t xml:space="preserve"> erred in </w:t>
      </w:r>
      <w:r w:rsidR="00C97F34">
        <w:t>concluding</w:t>
      </w:r>
      <w:r w:rsidR="00A47A6D">
        <w:t xml:space="preserve"> that Appellant had committed a dismissible offence.</w:t>
      </w:r>
    </w:p>
    <w:p w:rsidR="00A47A6D" w:rsidRDefault="00A47A6D" w:rsidP="00655831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empl</w:t>
      </w:r>
      <w:r w:rsidR="00C97F34">
        <w:t>oyer erred in relying on hearsay</w:t>
      </w:r>
      <w:r>
        <w:t xml:space="preserve"> evidence to find Appellant guilty of the charges.</w:t>
      </w:r>
    </w:p>
    <w:p w:rsidR="00A47A6D" w:rsidRDefault="00A47A6D" w:rsidP="00655831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employer erred by accepting</w:t>
      </w:r>
      <w:r w:rsidR="00941265">
        <w:t xml:space="preserve"> the evidence of a sole witness and failing to call the eye witnesses when it was well within</w:t>
      </w:r>
      <w:r w:rsidR="002951C3">
        <w:t xml:space="preserve"> </w:t>
      </w:r>
      <w:r w:rsidR="00C97F34">
        <w:t xml:space="preserve">its </w:t>
      </w:r>
      <w:r w:rsidR="002951C3">
        <w:t>means to call eyewitnesses and provide material evidences (sic).</w:t>
      </w:r>
    </w:p>
    <w:p w:rsidR="004C63A6" w:rsidRDefault="004C63A6" w:rsidP="004C63A6">
      <w:pPr>
        <w:spacing w:line="360" w:lineRule="auto"/>
        <w:jc w:val="both"/>
      </w:pPr>
    </w:p>
    <w:p w:rsidR="004C63A6" w:rsidRDefault="004C63A6" w:rsidP="004C63A6">
      <w:pPr>
        <w:spacing w:line="360" w:lineRule="auto"/>
        <w:jc w:val="both"/>
      </w:pPr>
      <w:r>
        <w:lastRenderedPageBreak/>
        <w:t>Appellant prayed for the reversal of the dismissal and order for reinstatement without loss of salary and benefits.</w:t>
      </w:r>
    </w:p>
    <w:p w:rsidR="004C63A6" w:rsidRDefault="004C63A6" w:rsidP="004C63A6">
      <w:pPr>
        <w:spacing w:line="360" w:lineRule="auto"/>
        <w:jc w:val="both"/>
      </w:pPr>
    </w:p>
    <w:p w:rsidR="004C63A6" w:rsidRDefault="004C63A6" w:rsidP="004C63A6">
      <w:pPr>
        <w:spacing w:line="360" w:lineRule="auto"/>
        <w:jc w:val="both"/>
      </w:pPr>
      <w:r>
        <w:tab/>
        <w:t>On the same day Appellant app</w:t>
      </w:r>
      <w:r w:rsidR="00377AA7">
        <w:t>lied</w:t>
      </w:r>
      <w:r w:rsidR="00060A80">
        <w:t xml:space="preserve"> for the</w:t>
      </w:r>
      <w:r w:rsidR="00715815">
        <w:t xml:space="preserve"> review of the proceedings on the basis that the employer did not use the prescribed Code of </w:t>
      </w:r>
      <w:r w:rsidR="00B13689">
        <w:t xml:space="preserve">Conduct in the proceedings.  </w:t>
      </w:r>
      <w:r w:rsidR="00C95BC3">
        <w:t>She asserted that in terms of the contract of employment the employer is bound to us the Code and procedures for the educational institutions.  Applicant also</w:t>
      </w:r>
      <w:r w:rsidR="000570FE">
        <w:t xml:space="preserve"> alleged bias on the part of the panelists.</w:t>
      </w:r>
    </w:p>
    <w:p w:rsidR="000570FE" w:rsidRDefault="000570FE" w:rsidP="00584FEB">
      <w:pPr>
        <w:jc w:val="both"/>
      </w:pPr>
    </w:p>
    <w:p w:rsidR="000570FE" w:rsidRDefault="000570FE" w:rsidP="004C63A6">
      <w:pPr>
        <w:spacing w:line="360" w:lineRule="auto"/>
        <w:jc w:val="both"/>
      </w:pPr>
      <w:r>
        <w:tab/>
        <w:t>Applicant prayed for the settin</w:t>
      </w:r>
      <w:r w:rsidR="00D503F5">
        <w:t xml:space="preserve">g aside of the decision and an </w:t>
      </w:r>
      <w:r w:rsidR="00E97EC5">
        <w:t>order for reinstatement.</w:t>
      </w:r>
    </w:p>
    <w:p w:rsidR="00E97EC5" w:rsidRDefault="00E97EC5" w:rsidP="00584FEB">
      <w:pPr>
        <w:jc w:val="both"/>
      </w:pPr>
    </w:p>
    <w:p w:rsidR="00E97EC5" w:rsidRDefault="00E97EC5" w:rsidP="004C63A6">
      <w:pPr>
        <w:spacing w:line="360" w:lineRule="auto"/>
        <w:jc w:val="both"/>
      </w:pPr>
      <w:r>
        <w:tab/>
        <w:t>On 31 May 2016 notice</w:t>
      </w:r>
      <w:r w:rsidR="00377AA7">
        <w:t>s</w:t>
      </w:r>
      <w:r>
        <w:t xml:space="preserve"> of responses were</w:t>
      </w:r>
      <w:r w:rsidR="00D503F5">
        <w:t xml:space="preserve"> </w:t>
      </w:r>
      <w:r w:rsidR="00626820">
        <w:t xml:space="preserve">filed.  In relation to the grounds of appeal, Respondent raised a point </w:t>
      </w:r>
      <w:r w:rsidR="00626820" w:rsidRPr="000D72B8">
        <w:rPr>
          <w:i/>
        </w:rPr>
        <w:t>in limine</w:t>
      </w:r>
      <w:r w:rsidR="00626820">
        <w:t xml:space="preserve"> that Appellant ought to have approached</w:t>
      </w:r>
      <w:r w:rsidR="00492A52">
        <w:t xml:space="preserve"> a Labour Officer in terms of Section</w:t>
      </w:r>
      <w:r w:rsidR="005147CE">
        <w:t xml:space="preserve"> 8 (6) of SI 15/06 within seven </w:t>
      </w:r>
      <w:r w:rsidR="00377AA7">
        <w:t xml:space="preserve">days. </w:t>
      </w:r>
      <w:r w:rsidR="000D72B8">
        <w:t>Respondents</w:t>
      </w:r>
      <w:r w:rsidR="005147CE">
        <w:t xml:space="preserve">, on the merits pointed out that the first ground of appeal is a ground for review as it contains a procedural complaint.  It further pointed out that the rest of the grounds of appeal are improper as they are factual and there </w:t>
      </w:r>
      <w:r w:rsidR="000D72B8">
        <w:t>are no allegations</w:t>
      </w:r>
      <w:r w:rsidR="005147CE">
        <w:t xml:space="preserve"> of a gross misdirection to amount to an error </w:t>
      </w:r>
      <w:r w:rsidR="004378D1">
        <w:t xml:space="preserve">in law.  On the application for review, Respondent asserted that it was correct in using the NEC Code of Conduct.  Respondent also asserted that there are </w:t>
      </w:r>
      <w:r w:rsidR="002F7CE3">
        <w:t>bald and unsubstantiated claims of bias and predetermination.</w:t>
      </w:r>
    </w:p>
    <w:p w:rsidR="002F7CE3" w:rsidRDefault="002F7CE3" w:rsidP="00584FEB">
      <w:pPr>
        <w:jc w:val="both"/>
      </w:pPr>
    </w:p>
    <w:p w:rsidR="00A62C85" w:rsidRDefault="002F7CE3" w:rsidP="004C63A6">
      <w:pPr>
        <w:spacing w:line="360" w:lineRule="auto"/>
        <w:jc w:val="both"/>
      </w:pPr>
      <w:r>
        <w:tab/>
      </w:r>
      <w:r w:rsidR="00881CBB">
        <w:t xml:space="preserve">Appellant filed her papers as a self-actor.  On 26 September 2016 </w:t>
      </w:r>
      <w:r w:rsidR="0066004F">
        <w:t xml:space="preserve">Messrs </w:t>
      </w:r>
      <w:r w:rsidR="00584FEB">
        <w:t>Chibun</w:t>
      </w:r>
      <w:r w:rsidR="0066004F">
        <w:t xml:space="preserve">e and Associates assumed agency on her behalf.  The matter had to be postponed that day to enable </w:t>
      </w:r>
      <w:r w:rsidR="00721C29">
        <w:t>Counsel for Appellant to file heads of argument.  From the time Respondent filed notices of response, it was re</w:t>
      </w:r>
      <w:r w:rsidR="00BF11B5">
        <w:t xml:space="preserve">presented by Messrs Chambati, Mataka and Makonese.  In terms of Rule 19 (2) (a) </w:t>
      </w:r>
      <w:r w:rsidR="001F1EC4">
        <w:t>(ii) Respondent was required to file heads of argument</w:t>
      </w:r>
      <w:r w:rsidR="001709D9">
        <w:t xml:space="preserve"> at the time when the notice of response was filed as Appellant was not represented by then.  Respond</w:t>
      </w:r>
      <w:r w:rsidR="00CA39E0">
        <w:t>ent did not comply with this requirement.</w:t>
      </w:r>
    </w:p>
    <w:p w:rsidR="00A62C85" w:rsidRDefault="00A62C85" w:rsidP="004C63A6">
      <w:pPr>
        <w:spacing w:line="360" w:lineRule="auto"/>
        <w:jc w:val="both"/>
      </w:pPr>
    </w:p>
    <w:p w:rsidR="00152C18" w:rsidRDefault="00A62C85" w:rsidP="004C63A6">
      <w:pPr>
        <w:spacing w:line="360" w:lineRule="auto"/>
        <w:jc w:val="both"/>
      </w:pPr>
      <w:r>
        <w:lastRenderedPageBreak/>
        <w:tab/>
      </w:r>
      <w:r w:rsidR="00584FEB">
        <w:t>On 14</w:t>
      </w:r>
      <w:r>
        <w:t xml:space="preserve"> October 2016 Counsel for </w:t>
      </w:r>
      <w:r w:rsidR="00A6020B">
        <w:t xml:space="preserve">Appellant filed heads of argument raising a point </w:t>
      </w:r>
      <w:r w:rsidR="00A6020B" w:rsidRPr="00C140D4">
        <w:rPr>
          <w:i/>
        </w:rPr>
        <w:t>in limine</w:t>
      </w:r>
      <w:r w:rsidR="00A6020B">
        <w:t xml:space="preserve"> that Respondent is barred for non-compliance with Rule 19 (2) (a) (ii).  At the hearing of the matter Counsel for Appellant persisted with</w:t>
      </w:r>
      <w:r w:rsidR="00A84C72">
        <w:t xml:space="preserve"> the point </w:t>
      </w:r>
      <w:r w:rsidR="00A84C72" w:rsidRPr="00C140D4">
        <w:rPr>
          <w:i/>
        </w:rPr>
        <w:t xml:space="preserve">in </w:t>
      </w:r>
      <w:r w:rsidR="00C140D4" w:rsidRPr="00C140D4">
        <w:rPr>
          <w:i/>
        </w:rPr>
        <w:t>limine</w:t>
      </w:r>
      <w:r w:rsidR="00C140D4">
        <w:t>.  Counsel for respondent was of the view that he should be given</w:t>
      </w:r>
      <w:r w:rsidR="00CA39E0">
        <w:t xml:space="preserve"> </w:t>
      </w:r>
      <w:r w:rsidR="00316271">
        <w:t xml:space="preserve">time to </w:t>
      </w:r>
      <w:r w:rsidR="00B915AB">
        <w:t>file</w:t>
      </w:r>
      <w:r w:rsidR="00316271">
        <w:t xml:space="preserve"> heads of argument in response to the </w:t>
      </w:r>
      <w:r w:rsidR="008F1E16">
        <w:t>Appellant’s heads of argument.  In his view Rule 19 (2) (a) (i</w:t>
      </w:r>
      <w:r w:rsidR="00486358">
        <w:t xml:space="preserve">i) was immaterial and he ought to have been allowed to file heads of </w:t>
      </w:r>
      <w:r w:rsidR="009C15E0">
        <w:t>argument in response. I find Counsel for</w:t>
      </w:r>
      <w:r w:rsidR="009749D0">
        <w:t xml:space="preserve"> Respondent’s attitude appalling.  Despite it being pointed out that he had not complied</w:t>
      </w:r>
      <w:r w:rsidR="00F24B4F">
        <w:t xml:space="preserve"> with the rules, he did not seek to be condoned.  All he did was to insist on being given an opportunity to respond to heads or argument.  Such</w:t>
      </w:r>
      <w:r w:rsidR="00DF5C62">
        <w:t xml:space="preserve"> wanton disregard </w:t>
      </w:r>
      <w:r w:rsidR="000D72B8">
        <w:t>of the</w:t>
      </w:r>
      <w:r w:rsidR="00DF5C62">
        <w:t xml:space="preserve"> rules of this Court will not be </w:t>
      </w:r>
      <w:r w:rsidR="00B3167A">
        <w:t>tolerated. Consequently the</w:t>
      </w:r>
      <w:r w:rsidR="00152C18">
        <w:t xml:space="preserve"> Respondent was barred and could not be given audience.</w:t>
      </w:r>
    </w:p>
    <w:p w:rsidR="00152C18" w:rsidRDefault="00152C18" w:rsidP="00584FEB">
      <w:pPr>
        <w:jc w:val="both"/>
      </w:pPr>
    </w:p>
    <w:p w:rsidR="00B91DF2" w:rsidRDefault="00152C18" w:rsidP="004C63A6">
      <w:pPr>
        <w:spacing w:line="360" w:lineRule="auto"/>
        <w:jc w:val="both"/>
      </w:pPr>
      <w:r>
        <w:tab/>
        <w:t>Counsel for Appellant made submissions on the merits of both the appeal and the application for review.  In the absence of submission from Respondent or heads of argument</w:t>
      </w:r>
      <w:r w:rsidR="00A76A9E">
        <w:t xml:space="preserve"> controverting the submission the Court was left with no option but to grant both appeal and application for review unopposed.</w:t>
      </w:r>
    </w:p>
    <w:p w:rsidR="00B91DF2" w:rsidRDefault="00B91DF2" w:rsidP="00584FEB">
      <w:pPr>
        <w:jc w:val="both"/>
      </w:pPr>
    </w:p>
    <w:p w:rsidR="002F7CE3" w:rsidRDefault="00B91DF2" w:rsidP="00B91DF2">
      <w:pPr>
        <w:spacing w:line="360" w:lineRule="auto"/>
        <w:jc w:val="both"/>
      </w:pPr>
      <w:r>
        <w:t xml:space="preserve">Consequently the </w:t>
      </w:r>
      <w:r w:rsidR="00584FEB">
        <w:t>following order is appropriate.</w:t>
      </w:r>
    </w:p>
    <w:p w:rsidR="00584FEB" w:rsidRDefault="00584FEB" w:rsidP="00584FEB">
      <w:pPr>
        <w:jc w:val="both"/>
      </w:pPr>
    </w:p>
    <w:p w:rsidR="00B91DF2" w:rsidRDefault="00B91DF2" w:rsidP="00B91DF2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appeal be and is hereby</w:t>
      </w:r>
      <w:r w:rsidR="00A12B74">
        <w:t xml:space="preserve"> upheld.</w:t>
      </w:r>
    </w:p>
    <w:p w:rsidR="00A12B74" w:rsidRDefault="00A12B74" w:rsidP="00B91DF2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application for review be and is hereby granted.</w:t>
      </w:r>
    </w:p>
    <w:p w:rsidR="00A12B74" w:rsidRDefault="00A12B74" w:rsidP="00B91DF2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decision of the disciplinary authority be and is hereby set aside.</w:t>
      </w:r>
    </w:p>
    <w:p w:rsidR="0003135F" w:rsidRDefault="00E147AD" w:rsidP="00B91DF2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Respondent be and is hereby ordered to reinstate Appellant without loss of salary and benefit.  If reinstatement is not an option, </w:t>
      </w:r>
      <w:r w:rsidR="008616E0">
        <w:t>Respondent is to pay damages in lieu of reinstatement the quantum of which is to be agreed between</w:t>
      </w:r>
      <w:r w:rsidR="001B0FB8">
        <w:t xml:space="preserve"> </w:t>
      </w:r>
      <w:r w:rsidR="00760F4A">
        <w:t xml:space="preserve">the parties. If the parties fail </w:t>
      </w:r>
      <w:r w:rsidR="0003135F">
        <w:t>to agree on the quantum either party can approach the Court for quantification.</w:t>
      </w:r>
    </w:p>
    <w:p w:rsidR="00F26372" w:rsidRDefault="0003135F" w:rsidP="00B91DF2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Respondent be and is hereby </w:t>
      </w:r>
      <w:r w:rsidR="00884E0E">
        <w:t>to pay costs of suit.</w:t>
      </w:r>
    </w:p>
    <w:p w:rsidR="00F26372" w:rsidRDefault="00F26372" w:rsidP="00F26372">
      <w:pPr>
        <w:spacing w:line="360" w:lineRule="auto"/>
        <w:jc w:val="both"/>
      </w:pPr>
    </w:p>
    <w:p w:rsidR="00B705CA" w:rsidRDefault="00B705CA" w:rsidP="00F26372">
      <w:pPr>
        <w:spacing w:line="360" w:lineRule="auto"/>
        <w:jc w:val="both"/>
      </w:pPr>
    </w:p>
    <w:p w:rsidR="00F26372" w:rsidRDefault="00F26372" w:rsidP="00F26372">
      <w:pPr>
        <w:spacing w:line="360" w:lineRule="auto"/>
        <w:jc w:val="both"/>
      </w:pPr>
      <w:r w:rsidRPr="00584FEB">
        <w:rPr>
          <w:i/>
        </w:rPr>
        <w:t>Chibune &amp; Associates</w:t>
      </w:r>
      <w:r>
        <w:t>, applicant’s legal practitioners</w:t>
      </w:r>
    </w:p>
    <w:p w:rsidR="00A12B74" w:rsidRDefault="00B705CA" w:rsidP="00F26372">
      <w:pPr>
        <w:spacing w:line="360" w:lineRule="auto"/>
        <w:jc w:val="both"/>
      </w:pPr>
      <w:r w:rsidRPr="00584FEB">
        <w:rPr>
          <w:i/>
        </w:rPr>
        <w:t>Chambati, Matak</w:t>
      </w:r>
      <w:r w:rsidR="00E620F3">
        <w:rPr>
          <w:i/>
        </w:rPr>
        <w:t>a</w:t>
      </w:r>
      <w:r w:rsidRPr="00584FEB">
        <w:rPr>
          <w:i/>
        </w:rPr>
        <w:t xml:space="preserve"> &amp; Makomnese</w:t>
      </w:r>
      <w:r>
        <w:t>, respondent’s legal practitioners</w:t>
      </w:r>
      <w:r w:rsidR="008616E0">
        <w:t xml:space="preserve"> </w:t>
      </w:r>
    </w:p>
    <w:sectPr w:rsidR="00A12B74" w:rsidSect="00DE1968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66" w:rsidRDefault="009C2E66" w:rsidP="00DE1968">
      <w:r>
        <w:separator/>
      </w:r>
    </w:p>
  </w:endnote>
  <w:endnote w:type="continuationSeparator" w:id="0">
    <w:p w:rsidR="009C2E66" w:rsidRDefault="009C2E66" w:rsidP="00DE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677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DF2" w:rsidRDefault="00B91D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DF2" w:rsidRDefault="00B91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66" w:rsidRDefault="009C2E66" w:rsidP="00DE1968">
      <w:r>
        <w:separator/>
      </w:r>
    </w:p>
  </w:footnote>
  <w:footnote w:type="continuationSeparator" w:id="0">
    <w:p w:rsidR="009C2E66" w:rsidRDefault="009C2E66" w:rsidP="00DE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DF2" w:rsidRPr="00DE1968" w:rsidRDefault="00B91DF2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B15466">
      <w:rPr>
        <w:lang w:val="en-ZW"/>
      </w:rPr>
      <w:t>768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039"/>
    <w:multiLevelType w:val="hybridMultilevel"/>
    <w:tmpl w:val="B754C7F2"/>
    <w:lvl w:ilvl="0" w:tplc="3009000F">
      <w:start w:val="1"/>
      <w:numFmt w:val="decimal"/>
      <w:lvlText w:val="%1."/>
      <w:lvlJc w:val="left"/>
      <w:pPr>
        <w:ind w:left="1620" w:hanging="360"/>
      </w:pPr>
    </w:lvl>
    <w:lvl w:ilvl="1" w:tplc="30090019" w:tentative="1">
      <w:start w:val="1"/>
      <w:numFmt w:val="lowerLetter"/>
      <w:lvlText w:val="%2."/>
      <w:lvlJc w:val="left"/>
      <w:pPr>
        <w:ind w:left="2340" w:hanging="360"/>
      </w:pPr>
    </w:lvl>
    <w:lvl w:ilvl="2" w:tplc="3009001B" w:tentative="1">
      <w:start w:val="1"/>
      <w:numFmt w:val="lowerRoman"/>
      <w:lvlText w:val="%3."/>
      <w:lvlJc w:val="right"/>
      <w:pPr>
        <w:ind w:left="3060" w:hanging="180"/>
      </w:pPr>
    </w:lvl>
    <w:lvl w:ilvl="3" w:tplc="3009000F" w:tentative="1">
      <w:start w:val="1"/>
      <w:numFmt w:val="decimal"/>
      <w:lvlText w:val="%4."/>
      <w:lvlJc w:val="left"/>
      <w:pPr>
        <w:ind w:left="3780" w:hanging="360"/>
      </w:pPr>
    </w:lvl>
    <w:lvl w:ilvl="4" w:tplc="30090019" w:tentative="1">
      <w:start w:val="1"/>
      <w:numFmt w:val="lowerLetter"/>
      <w:lvlText w:val="%5."/>
      <w:lvlJc w:val="left"/>
      <w:pPr>
        <w:ind w:left="4500" w:hanging="360"/>
      </w:pPr>
    </w:lvl>
    <w:lvl w:ilvl="5" w:tplc="3009001B" w:tentative="1">
      <w:start w:val="1"/>
      <w:numFmt w:val="lowerRoman"/>
      <w:lvlText w:val="%6."/>
      <w:lvlJc w:val="right"/>
      <w:pPr>
        <w:ind w:left="5220" w:hanging="180"/>
      </w:pPr>
    </w:lvl>
    <w:lvl w:ilvl="6" w:tplc="3009000F" w:tentative="1">
      <w:start w:val="1"/>
      <w:numFmt w:val="decimal"/>
      <w:lvlText w:val="%7."/>
      <w:lvlJc w:val="left"/>
      <w:pPr>
        <w:ind w:left="5940" w:hanging="360"/>
      </w:pPr>
    </w:lvl>
    <w:lvl w:ilvl="7" w:tplc="30090019" w:tentative="1">
      <w:start w:val="1"/>
      <w:numFmt w:val="lowerLetter"/>
      <w:lvlText w:val="%8."/>
      <w:lvlJc w:val="left"/>
      <w:pPr>
        <w:ind w:left="6660" w:hanging="360"/>
      </w:pPr>
    </w:lvl>
    <w:lvl w:ilvl="8" w:tplc="3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DF353F1"/>
    <w:multiLevelType w:val="hybridMultilevel"/>
    <w:tmpl w:val="267A770E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C04D5"/>
    <w:multiLevelType w:val="hybridMultilevel"/>
    <w:tmpl w:val="BE045A1C"/>
    <w:lvl w:ilvl="0" w:tplc="30090011">
      <w:start w:val="1"/>
      <w:numFmt w:val="decimal"/>
      <w:lvlText w:val="%1)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B9205F"/>
    <w:multiLevelType w:val="hybridMultilevel"/>
    <w:tmpl w:val="3F8AF394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77"/>
    <w:rsid w:val="0003135F"/>
    <w:rsid w:val="0005494C"/>
    <w:rsid w:val="000570FE"/>
    <w:rsid w:val="00060A80"/>
    <w:rsid w:val="00074030"/>
    <w:rsid w:val="000D72B8"/>
    <w:rsid w:val="001068BF"/>
    <w:rsid w:val="001152B6"/>
    <w:rsid w:val="00152C18"/>
    <w:rsid w:val="001709D9"/>
    <w:rsid w:val="00192C49"/>
    <w:rsid w:val="00194E87"/>
    <w:rsid w:val="001B0FB8"/>
    <w:rsid w:val="001F1EC4"/>
    <w:rsid w:val="002951C3"/>
    <w:rsid w:val="002F7CE3"/>
    <w:rsid w:val="00316271"/>
    <w:rsid w:val="00377AA7"/>
    <w:rsid w:val="004378D1"/>
    <w:rsid w:val="004425A8"/>
    <w:rsid w:val="00463C41"/>
    <w:rsid w:val="00486358"/>
    <w:rsid w:val="00492A52"/>
    <w:rsid w:val="004C63A6"/>
    <w:rsid w:val="005147CE"/>
    <w:rsid w:val="00584FEB"/>
    <w:rsid w:val="00626820"/>
    <w:rsid w:val="00655831"/>
    <w:rsid w:val="006565FB"/>
    <w:rsid w:val="0066004F"/>
    <w:rsid w:val="006E36ED"/>
    <w:rsid w:val="00715815"/>
    <w:rsid w:val="00721C29"/>
    <w:rsid w:val="00760F4A"/>
    <w:rsid w:val="00773AC5"/>
    <w:rsid w:val="00797D77"/>
    <w:rsid w:val="008616E0"/>
    <w:rsid w:val="00881CBB"/>
    <w:rsid w:val="00884E0E"/>
    <w:rsid w:val="008E2B4B"/>
    <w:rsid w:val="008F1E16"/>
    <w:rsid w:val="00941265"/>
    <w:rsid w:val="009749D0"/>
    <w:rsid w:val="009C15E0"/>
    <w:rsid w:val="009C2E66"/>
    <w:rsid w:val="00A12B74"/>
    <w:rsid w:val="00A22E63"/>
    <w:rsid w:val="00A34583"/>
    <w:rsid w:val="00A47A6D"/>
    <w:rsid w:val="00A6020B"/>
    <w:rsid w:val="00A62C85"/>
    <w:rsid w:val="00A76A9E"/>
    <w:rsid w:val="00A84C72"/>
    <w:rsid w:val="00B13689"/>
    <w:rsid w:val="00B15466"/>
    <w:rsid w:val="00B3167A"/>
    <w:rsid w:val="00B705CA"/>
    <w:rsid w:val="00B915AB"/>
    <w:rsid w:val="00B91DF2"/>
    <w:rsid w:val="00BF11B5"/>
    <w:rsid w:val="00C140D4"/>
    <w:rsid w:val="00C16CA7"/>
    <w:rsid w:val="00C57BE2"/>
    <w:rsid w:val="00C95BC3"/>
    <w:rsid w:val="00C97F34"/>
    <w:rsid w:val="00CA39E0"/>
    <w:rsid w:val="00CF008C"/>
    <w:rsid w:val="00D503F5"/>
    <w:rsid w:val="00DE1968"/>
    <w:rsid w:val="00DF5C62"/>
    <w:rsid w:val="00E147AD"/>
    <w:rsid w:val="00E620F3"/>
    <w:rsid w:val="00E97EC5"/>
    <w:rsid w:val="00F24B4F"/>
    <w:rsid w:val="00F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77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96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1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968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77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96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1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968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1E40-9619-4782-ABCA-282F9A3F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2016-11-24T07:07:00Z</dcterms:created>
  <dcterms:modified xsi:type="dcterms:W3CDTF">2016-11-30T10:16:00Z</dcterms:modified>
</cp:coreProperties>
</file>