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39A5" w14:textId="77777777" w:rsidR="008331AB" w:rsidRDefault="007B2ACA">
      <w:pPr>
        <w:spacing w:before="62" w:line="360" w:lineRule="auto"/>
        <w:ind w:left="100" w:right="24"/>
        <w:rPr>
          <w:b/>
        </w:rPr>
      </w:pPr>
      <w:r>
        <w:rPr>
          <w:b/>
        </w:rPr>
        <w:t>THE LABOUR COURT OF ZIMBABWE</w:t>
      </w:r>
      <w:r>
        <w:rPr>
          <w:b/>
          <w:spacing w:val="-52"/>
        </w:rPr>
        <w:t xml:space="preserve"> </w:t>
      </w:r>
      <w:r>
        <w:rPr>
          <w:b/>
        </w:rPr>
        <w:t>HARARE</w:t>
      </w:r>
      <w:r>
        <w:rPr>
          <w:b/>
          <w:spacing w:val="-2"/>
        </w:rPr>
        <w:t xml:space="preserve"> </w:t>
      </w:r>
      <w:r>
        <w:rPr>
          <w:b/>
        </w:rPr>
        <w:t>13 NOVEMBER,2023</w:t>
      </w:r>
    </w:p>
    <w:p w14:paraId="360725F1" w14:textId="77777777" w:rsidR="008331AB" w:rsidRDefault="007B2ACA">
      <w:pPr>
        <w:ind w:left="100"/>
        <w:rPr>
          <w:b/>
        </w:rPr>
      </w:pP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</w:rPr>
        <w:t>JANUARY,</w:t>
      </w:r>
      <w:r>
        <w:rPr>
          <w:b/>
          <w:spacing w:val="-1"/>
        </w:rPr>
        <w:t xml:space="preserve"> </w:t>
      </w:r>
      <w:r>
        <w:rPr>
          <w:b/>
        </w:rPr>
        <w:t>2024</w:t>
      </w:r>
    </w:p>
    <w:p w14:paraId="4B474E77" w14:textId="77777777" w:rsidR="008331AB" w:rsidRDefault="008331AB">
      <w:pPr>
        <w:pStyle w:val="BodyText"/>
        <w:ind w:left="0"/>
        <w:rPr>
          <w:b/>
          <w:sz w:val="24"/>
        </w:rPr>
      </w:pPr>
    </w:p>
    <w:p w14:paraId="099A02C0" w14:textId="77777777" w:rsidR="008331AB" w:rsidRDefault="008331AB">
      <w:pPr>
        <w:pStyle w:val="BodyText"/>
        <w:spacing w:before="11"/>
        <w:ind w:left="0"/>
        <w:rPr>
          <w:b/>
        </w:rPr>
      </w:pPr>
    </w:p>
    <w:p w14:paraId="74683938" w14:textId="77777777" w:rsidR="008331AB" w:rsidRDefault="007B2ACA">
      <w:pPr>
        <w:pStyle w:val="Heading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between: -</w:t>
      </w:r>
    </w:p>
    <w:p w14:paraId="5D67FF65" w14:textId="77777777" w:rsidR="008331AB" w:rsidRDefault="007B2ACA">
      <w:pPr>
        <w:spacing w:before="62" w:line="360" w:lineRule="auto"/>
        <w:ind w:left="100" w:right="1028"/>
        <w:rPr>
          <w:b/>
        </w:rPr>
      </w:pPr>
      <w:r>
        <w:br w:type="column"/>
      </w:r>
      <w:r>
        <w:rPr>
          <w:b/>
        </w:rPr>
        <w:t>JUDGMENT NO. LC/H/48/24</w:t>
      </w:r>
      <w:r>
        <w:rPr>
          <w:b/>
          <w:spacing w:val="-52"/>
        </w:rPr>
        <w:t xml:space="preserve"> </w:t>
      </w: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</w:rPr>
        <w:t>LC/H/918/22</w:t>
      </w:r>
    </w:p>
    <w:p w14:paraId="79BDAED0" w14:textId="77777777" w:rsidR="008331AB" w:rsidRDefault="008331AB">
      <w:pPr>
        <w:spacing w:line="360" w:lineRule="auto"/>
        <w:sectPr w:rsidR="008331AB">
          <w:footerReference w:type="default" r:id="rId6"/>
          <w:type w:val="continuous"/>
          <w:pgSz w:w="11910" w:h="16840"/>
          <w:pgMar w:top="1360" w:right="1360" w:bottom="1180" w:left="1340" w:header="720" w:footer="992" w:gutter="0"/>
          <w:pgNumType w:start="1"/>
          <w:cols w:num="2" w:space="720" w:equalWidth="0">
            <w:col w:w="4129" w:space="1079"/>
            <w:col w:w="4002"/>
          </w:cols>
        </w:sectPr>
      </w:pPr>
    </w:p>
    <w:p w14:paraId="7CE85BB1" w14:textId="77777777" w:rsidR="008331AB" w:rsidRDefault="008331AB">
      <w:pPr>
        <w:pStyle w:val="BodyText"/>
        <w:ind w:left="0"/>
        <w:rPr>
          <w:b/>
          <w:sz w:val="20"/>
        </w:rPr>
      </w:pPr>
    </w:p>
    <w:p w14:paraId="7912987F" w14:textId="77777777" w:rsidR="008331AB" w:rsidRDefault="008331AB">
      <w:pPr>
        <w:pStyle w:val="BodyText"/>
        <w:spacing w:before="2"/>
        <w:ind w:left="0"/>
        <w:rPr>
          <w:b/>
          <w:sz w:val="20"/>
        </w:rPr>
      </w:pPr>
    </w:p>
    <w:p w14:paraId="59714270" w14:textId="77777777" w:rsidR="008331AB" w:rsidRDefault="007B2ACA">
      <w:pPr>
        <w:pStyle w:val="Heading1"/>
        <w:tabs>
          <w:tab w:val="left" w:pos="5457"/>
        </w:tabs>
        <w:spacing w:before="90"/>
      </w:pPr>
      <w:r>
        <w:t>Munyaradzi</w:t>
      </w:r>
      <w:r>
        <w:rPr>
          <w:spacing w:val="-2"/>
        </w:rPr>
        <w:t xml:space="preserve"> </w:t>
      </w:r>
      <w:r>
        <w:t>Donhedzai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others</w:t>
      </w:r>
      <w:r>
        <w:tab/>
        <w:t>Applicants</w:t>
      </w:r>
    </w:p>
    <w:p w14:paraId="690E97BB" w14:textId="77777777" w:rsidR="008331AB" w:rsidRDefault="008331AB">
      <w:pPr>
        <w:pStyle w:val="BodyText"/>
        <w:ind w:left="0"/>
        <w:rPr>
          <w:b/>
          <w:sz w:val="24"/>
        </w:rPr>
      </w:pPr>
    </w:p>
    <w:p w14:paraId="6FDFC0FD" w14:textId="77777777" w:rsidR="008331AB" w:rsidRDefault="007B2ACA">
      <w:pPr>
        <w:pStyle w:val="Heading2"/>
      </w:pPr>
      <w:r>
        <w:t>Versus</w:t>
      </w:r>
    </w:p>
    <w:p w14:paraId="75FBA4DD" w14:textId="77777777" w:rsidR="008331AB" w:rsidRDefault="008331AB">
      <w:pPr>
        <w:pStyle w:val="BodyText"/>
        <w:ind w:left="0"/>
        <w:rPr>
          <w:sz w:val="24"/>
        </w:rPr>
      </w:pPr>
    </w:p>
    <w:p w14:paraId="51F0B555" w14:textId="77777777" w:rsidR="008331AB" w:rsidRDefault="007B2ACA">
      <w:pPr>
        <w:tabs>
          <w:tab w:val="left" w:pos="6046"/>
        </w:tabs>
        <w:ind w:left="100"/>
        <w:rPr>
          <w:b/>
          <w:sz w:val="24"/>
        </w:rPr>
      </w:pPr>
      <w:r>
        <w:rPr>
          <w:b/>
        </w:rPr>
        <w:t>RURAL</w:t>
      </w:r>
      <w:r>
        <w:rPr>
          <w:b/>
          <w:spacing w:val="-3"/>
        </w:rPr>
        <w:t xml:space="preserve"> </w:t>
      </w:r>
      <w:r>
        <w:rPr>
          <w:b/>
        </w:rPr>
        <w:t>ELECTRIFICATION</w:t>
      </w:r>
      <w:r>
        <w:rPr>
          <w:b/>
          <w:spacing w:val="-3"/>
        </w:rPr>
        <w:t xml:space="preserve"> </w:t>
      </w:r>
      <w:r>
        <w:rPr>
          <w:b/>
        </w:rPr>
        <w:t>AUTHORITY</w:t>
      </w:r>
      <w:r>
        <w:rPr>
          <w:b/>
        </w:rPr>
        <w:tab/>
      </w:r>
      <w:r>
        <w:rPr>
          <w:b/>
          <w:sz w:val="24"/>
        </w:rPr>
        <w:t>Respondent</w:t>
      </w:r>
    </w:p>
    <w:p w14:paraId="1A69723F" w14:textId="77777777" w:rsidR="008331AB" w:rsidRDefault="008331AB">
      <w:pPr>
        <w:pStyle w:val="BodyText"/>
        <w:ind w:left="0"/>
        <w:rPr>
          <w:b/>
          <w:sz w:val="26"/>
        </w:rPr>
      </w:pPr>
    </w:p>
    <w:p w14:paraId="5A5091BC" w14:textId="77777777" w:rsidR="008331AB" w:rsidRDefault="008331AB">
      <w:pPr>
        <w:pStyle w:val="BodyText"/>
        <w:ind w:left="0"/>
        <w:rPr>
          <w:b/>
          <w:sz w:val="26"/>
        </w:rPr>
      </w:pPr>
    </w:p>
    <w:p w14:paraId="5FF3B1A3" w14:textId="77777777" w:rsidR="008331AB" w:rsidRDefault="008331AB">
      <w:pPr>
        <w:pStyle w:val="BodyText"/>
        <w:spacing w:before="5"/>
        <w:ind w:left="0"/>
        <w:rPr>
          <w:b/>
          <w:sz w:val="34"/>
        </w:rPr>
      </w:pPr>
    </w:p>
    <w:p w14:paraId="22F299FA" w14:textId="77777777" w:rsidR="008331AB" w:rsidRDefault="007B2ACA">
      <w:pPr>
        <w:pStyle w:val="Heading1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L.</w:t>
      </w:r>
      <w:r>
        <w:rPr>
          <w:spacing w:val="-1"/>
        </w:rPr>
        <w:t xml:space="preserve"> </w:t>
      </w:r>
      <w:r>
        <w:t>Hove,</w:t>
      </w:r>
      <w:r>
        <w:rPr>
          <w:spacing w:val="-1"/>
        </w:rPr>
        <w:t xml:space="preserve"> </w:t>
      </w:r>
      <w:r>
        <w:t>Judge:</w:t>
      </w:r>
    </w:p>
    <w:p w14:paraId="5009C48A" w14:textId="77777777" w:rsidR="008331AB" w:rsidRDefault="008331AB">
      <w:pPr>
        <w:pStyle w:val="BodyText"/>
        <w:spacing w:before="1"/>
        <w:ind w:left="0"/>
        <w:rPr>
          <w:b/>
          <w:sz w:val="31"/>
        </w:rPr>
      </w:pPr>
    </w:p>
    <w:p w14:paraId="21C5CF3B" w14:textId="77777777" w:rsidR="008331AB" w:rsidRDefault="007B2ACA">
      <w:pPr>
        <w:tabs>
          <w:tab w:val="left" w:pos="2506"/>
        </w:tabs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applicants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in person</w:t>
      </w:r>
    </w:p>
    <w:p w14:paraId="3CABCFE5" w14:textId="77777777" w:rsidR="008331AB" w:rsidRDefault="007B2ACA">
      <w:pPr>
        <w:pStyle w:val="Heading1"/>
        <w:tabs>
          <w:tab w:val="left" w:pos="2479"/>
        </w:tabs>
        <w:spacing w:before="41"/>
      </w:pPr>
      <w:r>
        <w:t>For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:</w:t>
      </w:r>
      <w:r>
        <w:tab/>
        <w:t>Ms H.Madzongwe</w:t>
      </w:r>
    </w:p>
    <w:p w14:paraId="26534648" w14:textId="77777777" w:rsidR="008331AB" w:rsidRDefault="008331AB">
      <w:pPr>
        <w:pStyle w:val="BodyText"/>
        <w:ind w:left="0"/>
        <w:rPr>
          <w:b/>
          <w:sz w:val="26"/>
        </w:rPr>
      </w:pPr>
    </w:p>
    <w:p w14:paraId="63BBF393" w14:textId="77777777" w:rsidR="008331AB" w:rsidRDefault="008331AB">
      <w:pPr>
        <w:pStyle w:val="BodyText"/>
        <w:ind w:left="0"/>
        <w:rPr>
          <w:b/>
          <w:sz w:val="26"/>
        </w:rPr>
      </w:pPr>
    </w:p>
    <w:p w14:paraId="3C7C29D1" w14:textId="77777777" w:rsidR="008331AB" w:rsidRDefault="008331AB">
      <w:pPr>
        <w:pStyle w:val="BodyText"/>
        <w:spacing w:before="3"/>
        <w:ind w:left="0"/>
        <w:rPr>
          <w:b/>
          <w:sz w:val="27"/>
        </w:rPr>
      </w:pPr>
    </w:p>
    <w:p w14:paraId="025D017C" w14:textId="77777777" w:rsidR="008331AB" w:rsidRDefault="007B2ACA">
      <w:pPr>
        <w:pStyle w:val="BodyText"/>
        <w:spacing w:line="256" w:lineRule="auto"/>
        <w:ind w:right="713"/>
      </w:pPr>
      <w:r>
        <w:t>This is an application by the applicants seeking condonation of late noting of an application for</w:t>
      </w:r>
      <w:r>
        <w:rPr>
          <w:spacing w:val="-52"/>
        </w:rPr>
        <w:t xml:space="preserve"> </w:t>
      </w:r>
      <w:r>
        <w:t>recession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LC/H/ORD/98/15.</w:t>
      </w:r>
    </w:p>
    <w:p w14:paraId="450E9B42" w14:textId="77777777" w:rsidR="008331AB" w:rsidRDefault="007B2ACA">
      <w:pPr>
        <w:pStyle w:val="BodyText"/>
        <w:spacing w:before="165" w:line="259" w:lineRule="auto"/>
        <w:ind w:right="169"/>
      </w:pPr>
      <w:r>
        <w:t>The applicants in their draft order however seek not only the setting aside of LC/H/ORD/98/15 but</w:t>
      </w:r>
      <w:r>
        <w:rPr>
          <w:spacing w:val="1"/>
        </w:rPr>
        <w:t xml:space="preserve"> </w:t>
      </w:r>
      <w:r>
        <w:t>also the setting aside of a judgment in case number LC/H/28/2017 and awards by arbitrators who had</w:t>
      </w:r>
      <w:r>
        <w:rPr>
          <w:spacing w:val="-5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dealt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before it was</w:t>
      </w:r>
      <w:r>
        <w:rPr>
          <w:spacing w:val="-2"/>
        </w:rPr>
        <w:t xml:space="preserve"> </w:t>
      </w:r>
      <w:r>
        <w:t>placed before</w:t>
      </w:r>
      <w:r>
        <w:rPr>
          <w:spacing w:val="-2"/>
        </w:rPr>
        <w:t xml:space="preserve"> </w:t>
      </w:r>
      <w:r>
        <w:t>the Labour Court.</w:t>
      </w:r>
    </w:p>
    <w:p w14:paraId="5C670912" w14:textId="77777777" w:rsidR="008331AB" w:rsidRDefault="007B2ACA">
      <w:pPr>
        <w:pStyle w:val="BodyText"/>
        <w:spacing w:before="159" w:line="256" w:lineRule="auto"/>
        <w:ind w:right="688"/>
      </w:pPr>
      <w:r>
        <w:t>The order that is being sought to be set aside was issued in 2015 on the basis that the applicants</w:t>
      </w:r>
      <w:r>
        <w:rPr>
          <w:spacing w:val="-52"/>
        </w:rPr>
        <w:t xml:space="preserve"> </w:t>
      </w:r>
      <w:r>
        <w:t>lacked</w:t>
      </w:r>
      <w:r>
        <w:rPr>
          <w:spacing w:val="-1"/>
        </w:rPr>
        <w:t xml:space="preserve"> </w:t>
      </w:r>
      <w:r>
        <w:t>good prospects</w:t>
      </w:r>
      <w:r>
        <w:rPr>
          <w:spacing w:val="-2"/>
        </w:rPr>
        <w:t xml:space="preserve"> </w:t>
      </w:r>
      <w:r>
        <w:t>of success.</w:t>
      </w:r>
    </w:p>
    <w:p w14:paraId="77D3DD10" w14:textId="77777777" w:rsidR="008331AB" w:rsidRDefault="007B2ACA">
      <w:pPr>
        <w:pStyle w:val="BodyText"/>
        <w:spacing w:before="165" w:line="259" w:lineRule="auto"/>
        <w:ind w:right="207"/>
      </w:pPr>
      <w:r>
        <w:t>The judgement that is also being sought to be set aside was handed down in January 2017. The</w:t>
      </w:r>
      <w:r>
        <w:rPr>
          <w:spacing w:val="1"/>
        </w:rPr>
        <w:t xml:space="preserve"> </w:t>
      </w:r>
      <w:r>
        <w:t>arbitrary awards to be set aside have not been specified needless to say that one cannot set aside a</w:t>
      </w:r>
      <w:r>
        <w:rPr>
          <w:spacing w:val="1"/>
        </w:rPr>
        <w:t xml:space="preserve"> </w:t>
      </w:r>
      <w:r>
        <w:t>judgement which is not the subject matter of the application for condonation. (the application only</w:t>
      </w:r>
      <w:r>
        <w:rPr>
          <w:spacing w:val="1"/>
        </w:rPr>
        <w:t xml:space="preserve"> </w:t>
      </w:r>
      <w:r>
        <w:t>seeks to have rescinded order LC/H/ORD/98/15). Further it goes without saying that the applicants</w:t>
      </w:r>
      <w:r>
        <w:rPr>
          <w:spacing w:val="1"/>
        </w:rPr>
        <w:t xml:space="preserve"> </w:t>
      </w:r>
      <w:r>
        <w:t>cannot seek to set aside arbitral awards which have not been specified and which are not related to in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</w:p>
    <w:p w14:paraId="15D4B3BD" w14:textId="77777777" w:rsidR="008331AB" w:rsidRDefault="007B2ACA">
      <w:pPr>
        <w:pStyle w:val="BodyText"/>
        <w:spacing w:before="159" w:line="259" w:lineRule="auto"/>
        <w:ind w:right="763"/>
      </w:pPr>
      <w:r>
        <w:t>There is a recklessness in the manner that the applicants have sought to bring their claims. The</w:t>
      </w:r>
      <w:r>
        <w:rPr>
          <w:spacing w:val="-52"/>
        </w:rPr>
        <w:t xml:space="preserve"> </w:t>
      </w:r>
      <w:r>
        <w:t>respondent opposed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 and</w:t>
      </w:r>
      <w:r>
        <w:rPr>
          <w:spacing w:val="-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preliminary</w:t>
      </w:r>
      <w:r>
        <w:rPr>
          <w:spacing w:val="-4"/>
        </w:rPr>
        <w:t xml:space="preserve"> </w:t>
      </w:r>
      <w:r>
        <w:t>points.</w:t>
      </w:r>
    </w:p>
    <w:p w14:paraId="1C001621" w14:textId="77777777" w:rsidR="008331AB" w:rsidRDefault="007B2ACA">
      <w:pPr>
        <w:pStyle w:val="BodyText"/>
        <w:spacing w:before="159"/>
      </w:pPr>
      <w:r>
        <w:rPr>
          <w:u w:val="single"/>
        </w:rPr>
        <w:t>Preliminary</w:t>
      </w:r>
      <w:r>
        <w:rPr>
          <w:spacing w:val="-4"/>
          <w:u w:val="single"/>
        </w:rPr>
        <w:t xml:space="preserve"> </w:t>
      </w:r>
      <w:r>
        <w:rPr>
          <w:u w:val="single"/>
        </w:rPr>
        <w:t>points</w:t>
      </w:r>
    </w:p>
    <w:p w14:paraId="4A5DB9DE" w14:textId="77777777" w:rsidR="008331AB" w:rsidRDefault="007B2ACA">
      <w:pPr>
        <w:pStyle w:val="BodyText"/>
        <w:spacing w:before="181" w:line="259" w:lineRule="auto"/>
        <w:ind w:right="170"/>
      </w:pPr>
      <w:r>
        <w:t>It was argued by the respondent that the relief sought is defective in that it is different to what has</w:t>
      </w:r>
      <w:r>
        <w:rPr>
          <w:spacing w:val="1"/>
        </w:rPr>
        <w:t xml:space="preserve"> </w:t>
      </w:r>
      <w:r>
        <w:t>been pleaded in the application for rescission. In the application the applicant allege that the</w:t>
      </w:r>
      <w:r>
        <w:rPr>
          <w:spacing w:val="1"/>
        </w:rPr>
        <w:t xml:space="preserve"> </w:t>
      </w:r>
      <w:r>
        <w:t>application is one seeking condonation and yet in the draft order they seek the setting aside of also an</w:t>
      </w:r>
      <w:r>
        <w:rPr>
          <w:spacing w:val="-52"/>
        </w:rPr>
        <w:t xml:space="preserve"> </w:t>
      </w:r>
      <w:r>
        <w:t>extant Judgement of this court and arbitral awards, one cannot plead something and pray for</w:t>
      </w:r>
      <w:r>
        <w:rPr>
          <w:spacing w:val="1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entirely</w:t>
      </w:r>
      <w:r>
        <w:rPr>
          <w:spacing w:val="-3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in the draft</w:t>
      </w:r>
      <w:r>
        <w:rPr>
          <w:spacing w:val="1"/>
        </w:rPr>
        <w:t xml:space="preserve"> </w:t>
      </w:r>
      <w:r>
        <w:t>order.</w:t>
      </w:r>
    </w:p>
    <w:p w14:paraId="08B0573D" w14:textId="77777777" w:rsidR="008331AB" w:rsidRDefault="008331AB">
      <w:pPr>
        <w:spacing w:line="259" w:lineRule="auto"/>
        <w:sectPr w:rsidR="008331AB">
          <w:type w:val="continuous"/>
          <w:pgSz w:w="11910" w:h="16840"/>
          <w:pgMar w:top="1360" w:right="1360" w:bottom="1180" w:left="1340" w:header="720" w:footer="720" w:gutter="0"/>
          <w:cols w:space="720"/>
        </w:sectPr>
      </w:pPr>
    </w:p>
    <w:p w14:paraId="700F6D9D" w14:textId="77777777" w:rsidR="008331AB" w:rsidRDefault="007B2ACA">
      <w:pPr>
        <w:spacing w:before="62" w:line="259" w:lineRule="auto"/>
        <w:ind w:left="100" w:right="229"/>
      </w:pPr>
      <w:r>
        <w:lastRenderedPageBreak/>
        <w:t xml:space="preserve">In </w:t>
      </w:r>
      <w:r>
        <w:rPr>
          <w:b/>
        </w:rPr>
        <w:t>Tradepass Marketing Services (pvt) Ltd t/n Agrisec Environmental Health v OK Zimbabwe</w:t>
      </w:r>
      <w:r>
        <w:rPr>
          <w:b/>
          <w:spacing w:val="-52"/>
        </w:rPr>
        <w:t xml:space="preserve"> </w:t>
      </w:r>
      <w:r>
        <w:rPr>
          <w:b/>
        </w:rPr>
        <w:t xml:space="preserve">and anor SC 157/18 </w:t>
      </w:r>
      <w:r>
        <w:t>the Court held that if a point in limine is sustained, this would dispose of the</w:t>
      </w:r>
      <w:r>
        <w:rPr>
          <w:spacing w:val="1"/>
        </w:rPr>
        <w:t xml:space="preserve"> </w:t>
      </w:r>
      <w:r>
        <w:t>whole matter without further ado. Several preliminary issues have been raised. The Court will first</w:t>
      </w:r>
      <w:r>
        <w:rPr>
          <w:spacing w:val="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if the relief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is defective.</w:t>
      </w:r>
    </w:p>
    <w:p w14:paraId="1AED118E" w14:textId="77777777" w:rsidR="008331AB" w:rsidRDefault="007B2ACA">
      <w:pPr>
        <w:pStyle w:val="BodyText"/>
        <w:spacing w:before="161" w:line="259" w:lineRule="auto"/>
        <w:ind w:right="452"/>
      </w:pPr>
      <w:r>
        <w:t>The relief sought is clearly defective in that the relief sought is different from the case that the</w:t>
      </w:r>
      <w:r>
        <w:rPr>
          <w:spacing w:val="1"/>
        </w:rPr>
        <w:t xml:space="preserve"> </w:t>
      </w:r>
      <w:r>
        <w:t>applicants have pleaded. This renders the whole application fatally defective. The result is that the</w:t>
      </w:r>
      <w:r>
        <w:rPr>
          <w:spacing w:val="-52"/>
        </w:rPr>
        <w:t xml:space="preserve"> </w:t>
      </w:r>
      <w:r>
        <w:t>matter 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struck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 roll.</w:t>
      </w:r>
    </w:p>
    <w:p w14:paraId="13C72F42" w14:textId="77777777" w:rsidR="008331AB" w:rsidRDefault="007B2ACA">
      <w:pPr>
        <w:pStyle w:val="BodyText"/>
        <w:spacing w:before="159" w:line="259" w:lineRule="auto"/>
        <w:ind w:right="359"/>
      </w:pPr>
      <w:r>
        <w:t>The application is also fatally defective for the applicants’ failure to bring it in terms of the rules</w:t>
      </w:r>
      <w:r>
        <w:rPr>
          <w:spacing w:val="1"/>
        </w:rPr>
        <w:t xml:space="preserve"> </w:t>
      </w:r>
      <w:r>
        <w:t>which require that an application should be brought in form LCI see rule 14(1) of the Labour Court</w:t>
      </w:r>
      <w:r>
        <w:rPr>
          <w:spacing w:val="-52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2017.</w:t>
      </w:r>
    </w:p>
    <w:p w14:paraId="5B6CB311" w14:textId="77777777" w:rsidR="008331AB" w:rsidRDefault="007B2ACA">
      <w:pPr>
        <w:pStyle w:val="BodyText"/>
        <w:spacing w:before="160" w:line="259" w:lineRule="auto"/>
        <w:ind w:right="91"/>
      </w:pPr>
      <w:r>
        <w:t>The application is further fatally defective in that the other applicants did not file supporting affidavits</w:t>
      </w:r>
      <w:r>
        <w:rPr>
          <w:spacing w:val="-52"/>
        </w:rPr>
        <w:t xml:space="preserve"> </w:t>
      </w:r>
      <w:r>
        <w:t>at the time of the filing of the application. The other applicants only sought to file the supporting</w:t>
      </w:r>
      <w:r>
        <w:rPr>
          <w:spacing w:val="1"/>
        </w:rPr>
        <w:t xml:space="preserve"> </w:t>
      </w:r>
      <w:r>
        <w:t>affidavits after the filing of the application. The application was filed in October 2022 and the other</w:t>
      </w:r>
      <w:r>
        <w:rPr>
          <w:spacing w:val="1"/>
        </w:rPr>
        <w:t xml:space="preserve"> </w:t>
      </w:r>
      <w:r>
        <w:t>applicants only filed their supporting affidavits in an application to file supplementary affidavit after</w:t>
      </w:r>
      <w:r>
        <w:rPr>
          <w:spacing w:val="1"/>
        </w:rPr>
        <w:t xml:space="preserve"> </w:t>
      </w:r>
      <w:r>
        <w:t>the effect. This makes the application fatally defective in relation the other purported applicants. The</w:t>
      </w:r>
      <w:r>
        <w:rPr>
          <w:spacing w:val="1"/>
        </w:rPr>
        <w:t xml:space="preserve"> </w:t>
      </w:r>
      <w:r>
        <w:t xml:space="preserve">supplementary affidavits were filed by way of an application to file supplementary affidavits </w:t>
      </w:r>
      <w:r>
        <w:t>in</w:t>
      </w:r>
      <w:r>
        <w:rPr>
          <w:spacing w:val="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affidavits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later.</w:t>
      </w:r>
    </w:p>
    <w:p w14:paraId="741E86F0" w14:textId="77777777" w:rsidR="008331AB" w:rsidRDefault="007B2ACA">
      <w:pPr>
        <w:pStyle w:val="BodyText"/>
        <w:spacing w:line="251" w:lineRule="exact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fatal 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Court.</w:t>
      </w:r>
    </w:p>
    <w:p w14:paraId="522B9761" w14:textId="77777777" w:rsidR="008331AB" w:rsidRDefault="007B2ACA">
      <w:pPr>
        <w:pStyle w:val="BodyText"/>
        <w:spacing w:before="179" w:line="259" w:lineRule="auto"/>
        <w:ind w:right="188"/>
      </w:pPr>
      <w:r>
        <w:t>Further, the application was served on the respondents way out of time. Rule 14 (4) provides that</w:t>
      </w:r>
      <w:r>
        <w:rPr>
          <w:spacing w:val="1"/>
        </w:rPr>
        <w:t xml:space="preserve"> </w:t>
      </w:r>
      <w:r>
        <w:t>service must be within 5 days of the filing of the application but applicants’ served the respondent on</w:t>
      </w:r>
      <w:r>
        <w:rPr>
          <w:spacing w:val="-5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2022 after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had filed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application on 4</w:t>
      </w:r>
      <w:r>
        <w:rPr>
          <w:spacing w:val="-3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2022.</w:t>
      </w:r>
    </w:p>
    <w:p w14:paraId="6D5B372E" w14:textId="77777777" w:rsidR="008331AB" w:rsidRDefault="007B2ACA">
      <w:pPr>
        <w:pStyle w:val="BodyText"/>
        <w:spacing w:before="159" w:line="412" w:lineRule="auto"/>
        <w:ind w:right="3705"/>
      </w:pPr>
      <w:r>
        <w:t>All these fatal defects were not denied by the applicants.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in any</w:t>
      </w:r>
      <w:r>
        <w:rPr>
          <w:spacing w:val="-2"/>
        </w:rPr>
        <w:t xml:space="preserve"> </w:t>
      </w:r>
      <w:r>
        <w:t>case evident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papers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record.</w:t>
      </w:r>
    </w:p>
    <w:p w14:paraId="5F60E2D5" w14:textId="77777777" w:rsidR="008331AB" w:rsidRDefault="007B2ACA">
      <w:pPr>
        <w:pStyle w:val="BodyText"/>
        <w:spacing w:line="259" w:lineRule="auto"/>
        <w:ind w:right="140"/>
      </w:pPr>
      <w:r>
        <w:t>Failure to comply with rules of the court renders the application fatally defective and therefore nullity</w:t>
      </w:r>
      <w:r>
        <w:rPr>
          <w:spacing w:val="-5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even allow</w:t>
      </w:r>
      <w:r>
        <w:rPr>
          <w:spacing w:val="-1"/>
        </w:rPr>
        <w:t xml:space="preserve"> </w:t>
      </w:r>
      <w:r>
        <w:t>the amendment of a</w:t>
      </w:r>
      <w:r>
        <w:rPr>
          <w:spacing w:val="-2"/>
        </w:rPr>
        <w:t xml:space="preserve"> </w:t>
      </w:r>
      <w:r>
        <w:t>nullity.</w:t>
      </w:r>
    </w:p>
    <w:p w14:paraId="22EB00CA" w14:textId="77777777" w:rsidR="008331AB" w:rsidRDefault="007B2ACA">
      <w:pPr>
        <w:pStyle w:val="BodyText"/>
        <w:spacing w:before="156" w:line="259" w:lineRule="auto"/>
        <w:ind w:right="542"/>
      </w:pPr>
      <w:r>
        <w:t>See in this regard the case of Print Africa (pvt) Ltd v Moses Mpofu &amp; anor HH 249/10 where the</w:t>
      </w:r>
      <w:r>
        <w:rPr>
          <w:spacing w:val="-5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said</w:t>
      </w:r>
    </w:p>
    <w:p w14:paraId="2C89FF14" w14:textId="705F8622" w:rsidR="008331AB" w:rsidRDefault="007B2ACA">
      <w:pPr>
        <w:spacing w:before="159" w:line="259" w:lineRule="auto"/>
        <w:ind w:left="820" w:right="218"/>
        <w:rPr>
          <w:i/>
        </w:rPr>
      </w:pPr>
      <w:r>
        <w:rPr>
          <w:i/>
        </w:rPr>
        <w:t>“it is my opinion that laxity on the part of the Court in dealing with non-observance of the</w:t>
      </w:r>
      <w:r>
        <w:rPr>
          <w:i/>
          <w:spacing w:val="1"/>
        </w:rPr>
        <w:t xml:space="preserve"> </w:t>
      </w:r>
      <w:r>
        <w:rPr>
          <w:i/>
        </w:rPr>
        <w:t>rules will encourage some legal practitioners (or litigants) to disregard the rules of Court to</w:t>
      </w:r>
      <w:r>
        <w:rPr>
          <w:i/>
          <w:spacing w:val="-5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detriment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 good</w:t>
      </w:r>
      <w:r>
        <w:rPr>
          <w:i/>
          <w:spacing w:val="-3"/>
        </w:rPr>
        <w:t xml:space="preserve"> </w:t>
      </w:r>
      <w:r>
        <w:rPr>
          <w:i/>
        </w:rPr>
        <w:t>administration of</w:t>
      </w:r>
      <w:r>
        <w:rPr>
          <w:i/>
          <w:spacing w:val="1"/>
        </w:rPr>
        <w:t xml:space="preserve"> </w:t>
      </w:r>
      <w:r>
        <w:rPr>
          <w:i/>
        </w:rPr>
        <w:t>Justice.”</w:t>
      </w:r>
    </w:p>
    <w:p w14:paraId="450B76DC" w14:textId="77777777" w:rsidR="008331AB" w:rsidRDefault="007B2ACA">
      <w:pPr>
        <w:pStyle w:val="BodyText"/>
        <w:spacing w:before="16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fatally</w:t>
      </w:r>
      <w:r>
        <w:rPr>
          <w:spacing w:val="-3"/>
        </w:rPr>
        <w:t xml:space="preserve"> </w:t>
      </w:r>
      <w:r>
        <w:t>defective.</w:t>
      </w:r>
    </w:p>
    <w:sectPr w:rsidR="008331AB">
      <w:pgSz w:w="11910" w:h="16840"/>
      <w:pgMar w:top="1360" w:right="136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724B" w14:textId="77777777" w:rsidR="007B2ACA" w:rsidRDefault="007B2ACA">
      <w:r>
        <w:separator/>
      </w:r>
    </w:p>
  </w:endnote>
  <w:endnote w:type="continuationSeparator" w:id="0">
    <w:p w14:paraId="5050DCA9" w14:textId="77777777" w:rsidR="007B2ACA" w:rsidRDefault="007B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A013" w14:textId="2AFA7FCB" w:rsidR="008331AB" w:rsidRDefault="007B2AC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5856" behindDoc="1" locked="0" layoutInCell="1" allowOverlap="1" wp14:anchorId="31FAA761" wp14:editId="71DC4972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8975" cy="6350"/>
              <wp:effectExtent l="0" t="0" r="0" b="0"/>
              <wp:wrapNone/>
              <wp:docPr id="56482334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2AADA" id="Rectangle 2" o:spid="_x0000_s1026" style="position:absolute;margin-left:70.6pt;margin-top:778.3pt;width:454.25pt;height:.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6368" behindDoc="1" locked="0" layoutInCell="1" allowOverlap="1" wp14:anchorId="77F4041C" wp14:editId="43C4C739">
              <wp:simplePos x="0" y="0"/>
              <wp:positionH relativeFrom="page">
                <wp:posOffset>876300</wp:posOffset>
              </wp:positionH>
              <wp:positionV relativeFrom="page">
                <wp:posOffset>9917430</wp:posOffset>
              </wp:positionV>
              <wp:extent cx="679450" cy="165735"/>
              <wp:effectExtent l="0" t="0" r="0" b="0"/>
              <wp:wrapNone/>
              <wp:docPr id="20410999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9823" w14:textId="77777777" w:rsidR="008331AB" w:rsidRDefault="007B2AC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404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780.9pt;width:53.5pt;height:13.05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" filled="f" stroked="f">
              <v:textbox inset="0,0,0,0">
                <w:txbxContent>
                  <w:p w14:paraId="674E9823" w14:textId="77777777" w:rsidR="008331AB" w:rsidRDefault="007B2AC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9A0F" w14:textId="77777777" w:rsidR="007B2ACA" w:rsidRDefault="007B2ACA">
      <w:r>
        <w:separator/>
      </w:r>
    </w:p>
  </w:footnote>
  <w:footnote w:type="continuationSeparator" w:id="0">
    <w:p w14:paraId="71AF5FD9" w14:textId="77777777" w:rsidR="007B2ACA" w:rsidRDefault="007B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AB"/>
    <w:rsid w:val="007B2ACA"/>
    <w:rsid w:val="0083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73B2B"/>
  <w15:docId w15:val="{5ECDE035-7FDC-4C3E-9EB9-612355CF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2024-02-26T08:22:00Z</dcterms:created>
  <dcterms:modified xsi:type="dcterms:W3CDTF">2024-02-26T08:22:00Z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2024-02-26T00:00:00Z</vt:filetime>
  </property>
</Properties>
</file>