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BEB1" w14:textId="77777777" w:rsidR="00BC529B" w:rsidRDefault="00000000">
      <w:pPr>
        <w:pStyle w:val="Heading1"/>
        <w:spacing w:before="82" w:line="360" w:lineRule="auto"/>
        <w:ind w:right="30"/>
      </w:pP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67"/>
        </w:rPr>
        <w:t xml:space="preserve"> </w:t>
      </w:r>
      <w:r>
        <w:t>HARARE,</w:t>
      </w:r>
      <w:r>
        <w:rPr>
          <w:spacing w:val="-2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JULY,</w:t>
      </w:r>
      <w:r>
        <w:rPr>
          <w:spacing w:val="-2"/>
        </w:rPr>
        <w:t xml:space="preserve"> </w:t>
      </w:r>
      <w:r>
        <w:t>2023</w:t>
      </w:r>
    </w:p>
    <w:p w14:paraId="099B5210" w14:textId="77777777" w:rsidR="00BC529B" w:rsidRDefault="00000000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03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OCTOBER,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26A7E769" w14:textId="77777777" w:rsidR="00BC529B" w:rsidRDefault="00BC529B">
      <w:pPr>
        <w:pStyle w:val="BodyText"/>
        <w:rPr>
          <w:rFonts w:ascii="Tahoma"/>
          <w:b/>
          <w:sz w:val="28"/>
        </w:rPr>
      </w:pPr>
    </w:p>
    <w:p w14:paraId="12657872" w14:textId="77777777" w:rsidR="00BC529B" w:rsidRDefault="00000000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between:-</w:t>
      </w:r>
    </w:p>
    <w:p w14:paraId="59CA63F6" w14:textId="77777777" w:rsidR="00BC529B" w:rsidRDefault="00000000">
      <w:pPr>
        <w:pStyle w:val="Heading1"/>
        <w:spacing w:before="80" w:line="360" w:lineRule="auto"/>
        <w:ind w:firstLine="70"/>
      </w:pPr>
      <w:r>
        <w:rPr>
          <w:b w:val="0"/>
        </w:rPr>
        <w:br w:type="column"/>
      </w:r>
      <w:r>
        <w:t>JUDGMENT</w:t>
      </w:r>
      <w:r>
        <w:rPr>
          <w:spacing w:val="-15"/>
        </w:rPr>
        <w:t xml:space="preserve"> </w:t>
      </w:r>
      <w:r>
        <w:t>NO.</w:t>
      </w:r>
      <w:r>
        <w:rPr>
          <w:spacing w:val="-14"/>
        </w:rPr>
        <w:t xml:space="preserve"> </w:t>
      </w:r>
      <w:r>
        <w:t>LC/H/291/23</w:t>
      </w:r>
      <w:r>
        <w:rPr>
          <w:spacing w:val="-68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LC/H/1197/22</w:t>
      </w:r>
    </w:p>
    <w:p w14:paraId="4469B733" w14:textId="77777777" w:rsidR="00BC529B" w:rsidRDefault="00BC529B">
      <w:pPr>
        <w:spacing w:line="360" w:lineRule="auto"/>
        <w:sectPr w:rsidR="00BC529B">
          <w:footerReference w:type="default" r:id="rId7"/>
          <w:type w:val="continuous"/>
          <w:pgSz w:w="11910" w:h="16840"/>
          <w:pgMar w:top="1340" w:right="1320" w:bottom="1180" w:left="1340" w:header="720" w:footer="992" w:gutter="0"/>
          <w:pgNumType w:start="1"/>
          <w:cols w:num="2" w:space="720" w:equalWidth="0">
            <w:col w:w="4436" w:space="939"/>
            <w:col w:w="3875"/>
          </w:cols>
        </w:sectPr>
      </w:pPr>
    </w:p>
    <w:p w14:paraId="26A5E969" w14:textId="77777777" w:rsidR="00BC529B" w:rsidRDefault="00BC529B">
      <w:pPr>
        <w:pStyle w:val="BodyText"/>
        <w:rPr>
          <w:rFonts w:ascii="Tahoma"/>
          <w:b/>
          <w:sz w:val="20"/>
        </w:rPr>
      </w:pPr>
    </w:p>
    <w:p w14:paraId="45F8185E" w14:textId="77777777" w:rsidR="00BC529B" w:rsidRDefault="00BC529B">
      <w:pPr>
        <w:pStyle w:val="BodyText"/>
        <w:spacing w:before="8"/>
        <w:rPr>
          <w:rFonts w:ascii="Tahoma"/>
          <w:b/>
          <w:sz w:val="19"/>
        </w:rPr>
      </w:pPr>
    </w:p>
    <w:p w14:paraId="59CBA2F7" w14:textId="77777777" w:rsidR="00BC529B" w:rsidRDefault="00000000">
      <w:pPr>
        <w:tabs>
          <w:tab w:val="left" w:pos="5966"/>
        </w:tabs>
        <w:spacing w:before="100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Muhle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Dube</w:t>
      </w:r>
      <w:r>
        <w:rPr>
          <w:rFonts w:ascii="Tahoma"/>
          <w:b/>
          <w:sz w:val="24"/>
        </w:rPr>
        <w:tab/>
        <w:t>Applicant</w:t>
      </w:r>
    </w:p>
    <w:p w14:paraId="7437CF3E" w14:textId="77777777" w:rsidR="00BC529B" w:rsidRDefault="00BC529B">
      <w:pPr>
        <w:pStyle w:val="BodyText"/>
        <w:spacing w:before="1"/>
        <w:rPr>
          <w:rFonts w:ascii="Tahoma"/>
          <w:b/>
          <w:sz w:val="24"/>
        </w:rPr>
      </w:pPr>
    </w:p>
    <w:p w14:paraId="1C1684D9" w14:textId="77777777" w:rsidR="00BC529B" w:rsidRDefault="00000000">
      <w:pPr>
        <w:spacing w:before="1"/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14:paraId="26F32E1C" w14:textId="77777777" w:rsidR="00BC529B" w:rsidRDefault="00BC529B">
      <w:pPr>
        <w:pStyle w:val="BodyText"/>
        <w:spacing w:before="11"/>
        <w:rPr>
          <w:rFonts w:ascii="Tahoma"/>
          <w:sz w:val="23"/>
        </w:rPr>
      </w:pPr>
    </w:p>
    <w:p w14:paraId="5A3CA144" w14:textId="77777777" w:rsidR="00BC529B" w:rsidRDefault="00000000">
      <w:pPr>
        <w:tabs>
          <w:tab w:val="left" w:pos="5971"/>
        </w:tabs>
        <w:ind w:left="100"/>
        <w:rPr>
          <w:rFonts w:ascii="Tahoma"/>
          <w:b/>
          <w:sz w:val="24"/>
        </w:rPr>
      </w:pPr>
      <w:r>
        <w:rPr>
          <w:rFonts w:ascii="Tahoma"/>
          <w:b/>
        </w:rPr>
        <w:t>National</w:t>
      </w:r>
      <w:r>
        <w:rPr>
          <w:rFonts w:ascii="Tahoma"/>
          <w:b/>
          <w:spacing w:val="-3"/>
        </w:rPr>
        <w:t xml:space="preserve"> </w:t>
      </w:r>
      <w:r>
        <w:rPr>
          <w:rFonts w:ascii="Tahoma"/>
          <w:b/>
        </w:rPr>
        <w:t>Pharmaceutic</w:t>
      </w:r>
      <w:r>
        <w:rPr>
          <w:rFonts w:ascii="Tahoma"/>
          <w:b/>
          <w:spacing w:val="-2"/>
        </w:rPr>
        <w:t xml:space="preserve"> </w:t>
      </w:r>
      <w:r>
        <w:rPr>
          <w:rFonts w:ascii="Tahoma"/>
          <w:b/>
        </w:rPr>
        <w:t>company</w:t>
      </w:r>
      <w:r>
        <w:rPr>
          <w:rFonts w:ascii="Tahoma"/>
          <w:b/>
        </w:rPr>
        <w:tab/>
      </w:r>
      <w:r>
        <w:rPr>
          <w:rFonts w:ascii="Tahoma"/>
          <w:b/>
          <w:sz w:val="24"/>
        </w:rPr>
        <w:t>Respondent</w:t>
      </w:r>
    </w:p>
    <w:p w14:paraId="63039746" w14:textId="77777777" w:rsidR="00BC529B" w:rsidRDefault="00BC529B">
      <w:pPr>
        <w:pStyle w:val="BodyText"/>
        <w:rPr>
          <w:rFonts w:ascii="Tahoma"/>
          <w:b/>
          <w:sz w:val="28"/>
        </w:rPr>
      </w:pPr>
    </w:p>
    <w:p w14:paraId="1BCF5603" w14:textId="77777777" w:rsidR="00BC529B" w:rsidRDefault="00BC529B">
      <w:pPr>
        <w:pStyle w:val="BodyText"/>
        <w:rPr>
          <w:rFonts w:ascii="Tahoma"/>
          <w:b/>
          <w:sz w:val="28"/>
        </w:rPr>
      </w:pPr>
    </w:p>
    <w:p w14:paraId="7C23750C" w14:textId="77777777" w:rsidR="00BC529B" w:rsidRDefault="00BC529B">
      <w:pPr>
        <w:pStyle w:val="BodyText"/>
        <w:spacing w:before="4"/>
        <w:rPr>
          <w:rFonts w:ascii="Tahoma"/>
          <w:b/>
          <w:sz w:val="30"/>
        </w:rPr>
      </w:pPr>
    </w:p>
    <w:p w14:paraId="774E43E5" w14:textId="77777777" w:rsidR="00BC529B" w:rsidRDefault="00000000">
      <w:pPr>
        <w:pStyle w:val="Heading1"/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Honourable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Hove,</w:t>
      </w:r>
      <w:r>
        <w:rPr>
          <w:spacing w:val="-2"/>
        </w:rPr>
        <w:t xml:space="preserve"> </w:t>
      </w:r>
      <w:r>
        <w:t>Judge:</w:t>
      </w:r>
    </w:p>
    <w:p w14:paraId="108F8FD2" w14:textId="77777777" w:rsidR="00BC529B" w:rsidRDefault="00BC529B">
      <w:pPr>
        <w:pStyle w:val="BodyText"/>
        <w:spacing w:before="8"/>
        <w:rPr>
          <w:rFonts w:ascii="Tahoma"/>
          <w:b/>
          <w:sz w:val="39"/>
        </w:rPr>
      </w:pPr>
    </w:p>
    <w:p w14:paraId="6E8D26DB" w14:textId="77777777" w:rsidR="00BC529B" w:rsidRDefault="00000000">
      <w:pPr>
        <w:tabs>
          <w:tab w:val="left" w:pos="1993"/>
        </w:tabs>
        <w:spacing w:line="360" w:lineRule="auto"/>
        <w:ind w:left="100" w:right="5531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Applicant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Mr.E. Chigova</w:t>
      </w:r>
      <w:r>
        <w:rPr>
          <w:rFonts w:ascii="Tahoma"/>
          <w:spacing w:val="-72"/>
          <w:sz w:val="24"/>
        </w:rPr>
        <w:t xml:space="preserve"> </w:t>
      </w: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63"/>
          <w:sz w:val="24"/>
        </w:rPr>
        <w:t xml:space="preserve"> </w:t>
      </w:r>
      <w:r>
        <w:rPr>
          <w:rFonts w:ascii="Tahoma"/>
          <w:sz w:val="24"/>
        </w:rPr>
        <w:t>Mr.P.Nyeperai</w:t>
      </w:r>
    </w:p>
    <w:p w14:paraId="381888E9" w14:textId="77777777" w:rsidR="00BC529B" w:rsidRDefault="00BC529B">
      <w:pPr>
        <w:pStyle w:val="BodyText"/>
        <w:rPr>
          <w:rFonts w:ascii="Tahoma"/>
          <w:sz w:val="36"/>
        </w:rPr>
      </w:pPr>
    </w:p>
    <w:p w14:paraId="2049151C" w14:textId="77777777" w:rsidR="00BC529B" w:rsidRDefault="00000000">
      <w:pPr>
        <w:pStyle w:val="Heading1"/>
      </w:pPr>
      <w:r>
        <w:t>HOVE</w:t>
      </w:r>
      <w:r>
        <w:rPr>
          <w:spacing w:val="-3"/>
        </w:rPr>
        <w:t xml:space="preserve"> </w:t>
      </w:r>
      <w:r>
        <w:t>J:</w:t>
      </w:r>
    </w:p>
    <w:p w14:paraId="2EBB8B12" w14:textId="77777777" w:rsidR="00BC529B" w:rsidRDefault="00000000">
      <w:pPr>
        <w:pStyle w:val="BodyText"/>
        <w:spacing w:before="144"/>
        <w:ind w:left="100"/>
      </w:pPr>
      <w:r>
        <w:t>The</w:t>
      </w:r>
      <w:r>
        <w:rPr>
          <w:spacing w:val="-3"/>
        </w:rPr>
        <w:t xml:space="preserve"> </w:t>
      </w:r>
      <w:r>
        <w:t>matter initially</w:t>
      </w:r>
      <w:r>
        <w:rPr>
          <w:spacing w:val="-2"/>
        </w:rPr>
        <w:t xml:space="preserve"> </w:t>
      </w:r>
      <w:r>
        <w:t>came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 Court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ruling.</w:t>
      </w:r>
    </w:p>
    <w:p w14:paraId="6BD2F858" w14:textId="77777777" w:rsidR="00BC529B" w:rsidRDefault="00000000">
      <w:pPr>
        <w:pStyle w:val="BodyText"/>
        <w:spacing w:before="178" w:line="254" w:lineRule="auto"/>
        <w:ind w:left="100" w:right="113"/>
      </w:pPr>
      <w:r>
        <w:t>The Court dismissed that application on the basis that the applicant had exceeded his jurisdiction. He</w:t>
      </w:r>
      <w:r>
        <w:rPr>
          <w:spacing w:val="-47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decided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 that</w:t>
      </w:r>
      <w:r>
        <w:rPr>
          <w:spacing w:val="1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referred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him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that,</w:t>
      </w:r>
      <w:r>
        <w:rPr>
          <w:spacing w:val="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had created</w:t>
      </w:r>
      <w:r>
        <w:rPr>
          <w:spacing w:val="3"/>
        </w:rPr>
        <w:t xml:space="preserve"> </w:t>
      </w:r>
      <w:r>
        <w:t>another</w:t>
      </w:r>
      <w:r>
        <w:rPr>
          <w:spacing w:val="2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and decided the case on the basis of that issue which was not properly before him. The Court found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 irregular.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result,</w:t>
      </w:r>
      <w:r>
        <w:rPr>
          <w:spacing w:val="-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declined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confirm the</w:t>
      </w:r>
      <w:r>
        <w:rPr>
          <w:spacing w:val="1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ruling.</w:t>
      </w:r>
      <w:r>
        <w:rPr>
          <w:spacing w:val="-1"/>
        </w:rPr>
        <w:t xml:space="preserve"> </w:t>
      </w:r>
      <w:r>
        <w:t>This was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2021.</w:t>
      </w:r>
    </w:p>
    <w:p w14:paraId="178E3AC3" w14:textId="77777777" w:rsidR="00BC529B" w:rsidRDefault="00000000">
      <w:pPr>
        <w:pStyle w:val="BodyText"/>
        <w:spacing w:before="157"/>
        <w:ind w:left="100"/>
      </w:pPr>
      <w:r>
        <w:t>Neither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appealed</w:t>
      </w:r>
      <w:r>
        <w:rPr>
          <w:spacing w:val="-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Labour Court.</w:t>
      </w:r>
    </w:p>
    <w:p w14:paraId="467108CE" w14:textId="77777777" w:rsidR="00BC529B" w:rsidRDefault="00000000">
      <w:pPr>
        <w:pStyle w:val="BodyText"/>
        <w:spacing w:before="176"/>
        <w:ind w:left="100"/>
      </w:pP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founding</w:t>
      </w:r>
      <w:r>
        <w:rPr>
          <w:spacing w:val="-2"/>
        </w:rPr>
        <w:t xml:space="preserve"> </w:t>
      </w:r>
      <w:r>
        <w:t>affidavit,</w:t>
      </w:r>
      <w:r>
        <w:rPr>
          <w:spacing w:val="-4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gave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application.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</w:p>
    <w:p w14:paraId="796BA8FD" w14:textId="77777777" w:rsidR="00BC529B" w:rsidRDefault="00000000">
      <w:pPr>
        <w:pStyle w:val="BodyText"/>
        <w:spacing w:before="14"/>
        <w:ind w:left="100"/>
      </w:pPr>
      <w:r>
        <w:t>background</w:t>
      </w:r>
      <w:r>
        <w:rPr>
          <w:spacing w:val="-3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include this</w:t>
      </w:r>
      <w:r>
        <w:rPr>
          <w:spacing w:val="-1"/>
        </w:rPr>
        <w:t xml:space="preserve"> </w:t>
      </w:r>
      <w:r>
        <w:t>statement;</w:t>
      </w:r>
    </w:p>
    <w:p w14:paraId="323EF02A" w14:textId="77777777" w:rsidR="00BC529B" w:rsidRDefault="00000000">
      <w:pPr>
        <w:spacing w:before="178"/>
        <w:ind w:left="820"/>
        <w:rPr>
          <w:i/>
        </w:rPr>
      </w:pPr>
      <w:r>
        <w:rPr>
          <w:i/>
        </w:rPr>
        <w:t>“it</w:t>
      </w:r>
      <w:r>
        <w:rPr>
          <w:i/>
          <w:spacing w:val="-2"/>
        </w:rPr>
        <w:t xml:space="preserve"> </w:t>
      </w:r>
      <w:r>
        <w:rPr>
          <w:i/>
        </w:rPr>
        <w:t>therefore</w:t>
      </w:r>
      <w:r>
        <w:rPr>
          <w:i/>
          <w:spacing w:val="-2"/>
        </w:rPr>
        <w:t xml:space="preserve"> </w:t>
      </w:r>
      <w:r>
        <w:rPr>
          <w:i/>
        </w:rPr>
        <w:t>follows</w:t>
      </w:r>
      <w:r>
        <w:rPr>
          <w:i/>
          <w:spacing w:val="-2"/>
        </w:rPr>
        <w:t xml:space="preserve"> </w:t>
      </w:r>
      <w:r>
        <w:rPr>
          <w:i/>
        </w:rPr>
        <w:t>that</w:t>
      </w:r>
      <w:r>
        <w:rPr>
          <w:i/>
          <w:spacing w:val="-2"/>
        </w:rPr>
        <w:t xml:space="preserve"> </w:t>
      </w:r>
      <w:r>
        <w:rPr>
          <w:i/>
        </w:rPr>
        <w:t>even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Court’s</w:t>
      </w:r>
      <w:r>
        <w:rPr>
          <w:i/>
          <w:spacing w:val="-4"/>
        </w:rPr>
        <w:t xml:space="preserve"> </w:t>
      </w:r>
      <w:r>
        <w:rPr>
          <w:i/>
        </w:rPr>
        <w:t>determination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matter is</w:t>
      </w:r>
      <w:r>
        <w:rPr>
          <w:i/>
          <w:spacing w:val="-1"/>
        </w:rPr>
        <w:t xml:space="preserve"> </w:t>
      </w:r>
      <w:r>
        <w:rPr>
          <w:i/>
        </w:rPr>
        <w:t>also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nullity</w:t>
      </w:r>
      <w:r>
        <w:rPr>
          <w:i/>
          <w:spacing w:val="-2"/>
        </w:rPr>
        <w:t xml:space="preserve"> </w:t>
      </w:r>
      <w:r>
        <w:rPr>
          <w:i/>
        </w:rPr>
        <w:t>since</w:t>
      </w:r>
    </w:p>
    <w:p w14:paraId="339057A5" w14:textId="77777777" w:rsidR="00BC529B" w:rsidRDefault="00000000">
      <w:pPr>
        <w:spacing w:before="16"/>
        <w:ind w:left="820"/>
        <w:rPr>
          <w:i/>
        </w:rPr>
      </w:pP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decision</w:t>
      </w:r>
      <w:r>
        <w:rPr>
          <w:i/>
          <w:spacing w:val="-3"/>
        </w:rPr>
        <w:t xml:space="preserve"> </w:t>
      </w:r>
      <w:r>
        <w:rPr>
          <w:i/>
        </w:rPr>
        <w:t>flows</w:t>
      </w:r>
      <w:r>
        <w:rPr>
          <w:i/>
          <w:spacing w:val="-1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nullity”</w:t>
      </w:r>
    </w:p>
    <w:p w14:paraId="437F2D5B" w14:textId="77777777" w:rsidR="00BC529B" w:rsidRDefault="00000000">
      <w:pPr>
        <w:pStyle w:val="BodyText"/>
        <w:spacing w:before="175" w:line="254" w:lineRule="auto"/>
        <w:ind w:left="100" w:right="112"/>
      </w:pPr>
      <w:r>
        <w:t>This was in relation to the judgement of the labour court. It is however, not for a litigant to declare</w:t>
      </w:r>
      <w:r>
        <w:rPr>
          <w:spacing w:val="1"/>
        </w:rPr>
        <w:t xml:space="preserve"> </w:t>
      </w:r>
      <w:r>
        <w:t>an extant decision of the Court to be a nullity. If the applicant was of that view, he could have</w:t>
      </w:r>
      <w:r>
        <w:rPr>
          <w:spacing w:val="1"/>
        </w:rPr>
        <w:t xml:space="preserve"> </w:t>
      </w:r>
      <w:r>
        <w:t>challenged the decision of the Court on appeal as prescribed by law. He did not. He is therefore</w:t>
      </w:r>
      <w:r>
        <w:rPr>
          <w:spacing w:val="1"/>
        </w:rPr>
        <w:t xml:space="preserve"> </w:t>
      </w:r>
      <w:r>
        <w:t>bound by that judgement. The decision of the Court remains binding unless set aside by a competent</w:t>
      </w:r>
      <w:r>
        <w:rPr>
          <w:spacing w:val="-47"/>
        </w:rPr>
        <w:t xml:space="preserve"> </w:t>
      </w:r>
      <w:r>
        <w:t>court. The Labour Court is certainly not a competent Court for the purposes of setting aside Labour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decisions.</w:t>
      </w:r>
    </w:p>
    <w:p w14:paraId="00FBE2CA" w14:textId="77777777" w:rsidR="00BC529B" w:rsidRDefault="00000000">
      <w:pPr>
        <w:pStyle w:val="BodyText"/>
        <w:spacing w:before="157" w:line="254" w:lineRule="auto"/>
        <w:ind w:left="100" w:right="159"/>
      </w:pPr>
      <w:r>
        <w:t>The applicant, against this background, filed an applicant with the Court. The founding affidavit does</w:t>
      </w:r>
      <w:r>
        <w:rPr>
          <w:spacing w:val="-47"/>
        </w:rPr>
        <w:t xml:space="preserve"> </w:t>
      </w:r>
      <w:r>
        <w:t>not explain what the application sought to achieve. Be that as it may, that application was deemed</w:t>
      </w:r>
      <w:r>
        <w:rPr>
          <w:spacing w:val="1"/>
        </w:rPr>
        <w:t xml:space="preserve"> </w:t>
      </w:r>
      <w:r>
        <w:t>abandoned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46 (b)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 Rules,</w:t>
      </w:r>
      <w:r>
        <w:rPr>
          <w:spacing w:val="-2"/>
        </w:rPr>
        <w:t xml:space="preserve"> </w:t>
      </w:r>
      <w:r>
        <w:t>2017.</w:t>
      </w:r>
    </w:p>
    <w:p w14:paraId="5A3813FB" w14:textId="77777777" w:rsidR="00BC529B" w:rsidRDefault="00BC529B">
      <w:pPr>
        <w:spacing w:line="254" w:lineRule="auto"/>
        <w:sectPr w:rsidR="00BC529B">
          <w:type w:val="continuous"/>
          <w:pgSz w:w="11910" w:h="16840"/>
          <w:pgMar w:top="1340" w:right="1320" w:bottom="1180" w:left="1340" w:header="720" w:footer="720" w:gutter="0"/>
          <w:cols w:space="720"/>
        </w:sectPr>
      </w:pPr>
    </w:p>
    <w:p w14:paraId="346371A8" w14:textId="77777777" w:rsidR="00BC529B" w:rsidRDefault="00000000">
      <w:pPr>
        <w:pStyle w:val="BodyText"/>
        <w:spacing w:before="41" w:line="254" w:lineRule="auto"/>
        <w:ind w:left="100" w:right="168"/>
      </w:pPr>
      <w:r>
        <w:lastRenderedPageBreak/>
        <w:t>The applicant then filed the current application for condonation for him to seek reinstatement of his</w:t>
      </w:r>
      <w:r>
        <w:rPr>
          <w:spacing w:val="-47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application.</w:t>
      </w:r>
    </w:p>
    <w:p w14:paraId="660C076E" w14:textId="77777777" w:rsidR="00BC529B" w:rsidRDefault="00000000">
      <w:pPr>
        <w:pStyle w:val="BodyText"/>
        <w:spacing w:before="160"/>
        <w:ind w:left="100"/>
      </w:pP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condonation</w:t>
      </w:r>
    </w:p>
    <w:p w14:paraId="7685F926" w14:textId="77777777" w:rsidR="00BC529B" w:rsidRDefault="00BC529B">
      <w:pPr>
        <w:pStyle w:val="BodyText"/>
        <w:spacing w:before="10"/>
        <w:rPr>
          <w:sz w:val="9"/>
        </w:rPr>
      </w:pPr>
    </w:p>
    <w:p w14:paraId="0CB4201E" w14:textId="77777777" w:rsidR="00BC529B" w:rsidRDefault="00000000">
      <w:pPr>
        <w:spacing w:before="56" w:line="252" w:lineRule="auto"/>
        <w:ind w:left="100" w:right="920"/>
        <w:rPr>
          <w:b/>
        </w:rPr>
      </w:pPr>
      <w:r>
        <w:t xml:space="preserve">The requirements for an application for condonation were dealt with in the case of </w:t>
      </w:r>
      <w:r>
        <w:rPr>
          <w:b/>
        </w:rPr>
        <w:t>Forestry</w:t>
      </w:r>
      <w:r>
        <w:rPr>
          <w:b/>
          <w:spacing w:val="-47"/>
        </w:rPr>
        <w:t xml:space="preserve"> </w:t>
      </w:r>
      <w:r>
        <w:rPr>
          <w:b/>
        </w:rPr>
        <w:t>Commission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Moyo</w:t>
      </w:r>
      <w:r>
        <w:rPr>
          <w:b/>
          <w:spacing w:val="-1"/>
        </w:rPr>
        <w:t xml:space="preserve"> </w:t>
      </w:r>
      <w:r>
        <w:rPr>
          <w:b/>
        </w:rPr>
        <w:t>1997</w:t>
      </w:r>
      <w:r>
        <w:rPr>
          <w:b/>
          <w:spacing w:val="-2"/>
        </w:rPr>
        <w:t xml:space="preserve"> </w:t>
      </w:r>
      <w:r>
        <w:rPr>
          <w:b/>
        </w:rPr>
        <w:t>(1)</w:t>
      </w:r>
      <w:r>
        <w:rPr>
          <w:b/>
          <w:spacing w:val="-2"/>
        </w:rPr>
        <w:t xml:space="preserve"> </w:t>
      </w:r>
      <w:r>
        <w:rPr>
          <w:b/>
        </w:rPr>
        <w:t>ZLR</w:t>
      </w:r>
      <w:r>
        <w:rPr>
          <w:b/>
          <w:spacing w:val="1"/>
        </w:rPr>
        <w:t xml:space="preserve"> </w:t>
      </w:r>
      <w:r>
        <w:rPr>
          <w:b/>
        </w:rPr>
        <w:t>254</w:t>
      </w:r>
    </w:p>
    <w:p w14:paraId="7540D55E" w14:textId="77777777" w:rsidR="00BC529B" w:rsidRDefault="00000000">
      <w:pPr>
        <w:pStyle w:val="BodyText"/>
        <w:spacing w:before="163"/>
        <w:ind w:left="100"/>
      </w:pP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considerations</w:t>
      </w:r>
      <w:r>
        <w:rPr>
          <w:spacing w:val="-4"/>
        </w:rPr>
        <w:t xml:space="preserve"> </w:t>
      </w:r>
      <w:r>
        <w:t>were;</w:t>
      </w:r>
    </w:p>
    <w:p w14:paraId="5346795F" w14:textId="77777777" w:rsidR="00BC529B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6"/>
        <w:ind w:hanging="467"/>
        <w:jc w:val="left"/>
      </w:pP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inordinate</w:t>
      </w:r>
    </w:p>
    <w:p w14:paraId="51AB2606" w14:textId="77777777" w:rsidR="00BC529B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"/>
        <w:ind w:hanging="517"/>
        <w:jc w:val="left"/>
      </w:pP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reasonable</w:t>
      </w:r>
      <w:r>
        <w:rPr>
          <w:spacing w:val="-2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circumstances</w:t>
      </w:r>
    </w:p>
    <w:p w14:paraId="2DDE9F54" w14:textId="77777777" w:rsidR="00BC529B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567"/>
        <w:jc w:val="left"/>
      </w:pP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reasonable</w:t>
      </w:r>
    </w:p>
    <w:p w14:paraId="5093299D" w14:textId="77777777" w:rsidR="00BC529B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" w:line="398" w:lineRule="auto"/>
        <w:ind w:left="100" w:right="4773" w:firstLine="153"/>
        <w:jc w:val="left"/>
      </w:pPr>
      <w:r>
        <w:t>The possible prejudice to the other party</w:t>
      </w:r>
      <w:r>
        <w:rPr>
          <w:spacing w:val="-4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seriatim</w:t>
      </w:r>
    </w:p>
    <w:p w14:paraId="38B04C8B" w14:textId="77777777" w:rsidR="00BC529B" w:rsidRDefault="00000000">
      <w:pPr>
        <w:pStyle w:val="BodyText"/>
        <w:spacing w:line="268" w:lineRule="exact"/>
        <w:ind w:left="100"/>
      </w:pP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delay</w:t>
      </w:r>
      <w:r>
        <w:rPr>
          <w:spacing w:val="-1"/>
          <w:u w:val="single"/>
        </w:rPr>
        <w:t xml:space="preserve"> </w:t>
      </w:r>
      <w:r>
        <w:rPr>
          <w:u w:val="single"/>
        </w:rPr>
        <w:t>involved and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explanation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thereof</w:t>
      </w:r>
    </w:p>
    <w:p w14:paraId="5E754889" w14:textId="77777777" w:rsidR="00BC529B" w:rsidRDefault="00BC529B">
      <w:pPr>
        <w:pStyle w:val="BodyText"/>
        <w:spacing w:before="9"/>
        <w:rPr>
          <w:sz w:val="9"/>
        </w:rPr>
      </w:pPr>
    </w:p>
    <w:p w14:paraId="546C9A04" w14:textId="77777777" w:rsidR="00BC529B" w:rsidRDefault="00000000">
      <w:pPr>
        <w:pStyle w:val="BodyText"/>
        <w:spacing w:before="56"/>
        <w:ind w:left="100"/>
      </w:pPr>
      <w:r>
        <w:t>The</w:t>
      </w:r>
      <w:r>
        <w:rPr>
          <w:spacing w:val="-1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is said</w:t>
      </w:r>
      <w:r>
        <w:rPr>
          <w:spacing w:val="-5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months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however not</w:t>
      </w:r>
      <w:r>
        <w:rPr>
          <w:spacing w:val="-3"/>
        </w:rPr>
        <w:t xml:space="preserve"> </w:t>
      </w:r>
      <w:r>
        <w:t>be true</w:t>
      </w:r>
      <w:r>
        <w:rPr>
          <w:spacing w:val="-3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</w:p>
    <w:p w14:paraId="655D7B05" w14:textId="77777777" w:rsidR="00BC529B" w:rsidRDefault="00000000">
      <w:pPr>
        <w:pStyle w:val="BodyText"/>
        <w:spacing w:before="15" w:line="254" w:lineRule="auto"/>
        <w:ind w:left="100" w:right="132"/>
      </w:pPr>
      <w:r>
        <w:t>applicant’s heads of arguments he speaks of a delay of 6 months as he was finding a buyer for his</w:t>
      </w:r>
      <w:r>
        <w:rPr>
          <w:spacing w:val="1"/>
        </w:rPr>
        <w:t xml:space="preserve"> </w:t>
      </w:r>
      <w:r>
        <w:t>television. This was to raise money to mount the application. So, it cannot be true that the delay was</w:t>
      </w:r>
      <w:r>
        <w:rPr>
          <w:spacing w:val="-47"/>
        </w:rPr>
        <w:t xml:space="preserve"> </w:t>
      </w:r>
      <w:r>
        <w:t>for 2 months. The respondent disputes this and states that the delay was from 6 March 2022 to 29</w:t>
      </w:r>
      <w:r>
        <w:rPr>
          <w:spacing w:val="1"/>
        </w:rPr>
        <w:t xml:space="preserve"> </w:t>
      </w:r>
      <w:r>
        <w:t>December 2022. The respondent fails to elaborate on its submission in its heads of arguments. It</w:t>
      </w:r>
      <w:r>
        <w:rPr>
          <w:spacing w:val="1"/>
        </w:rPr>
        <w:t xml:space="preserve"> </w:t>
      </w:r>
      <w:r>
        <w:t>appears the respondent is wearied by what it calls numerous and hopeless applications since the</w:t>
      </w:r>
      <w:r>
        <w:rPr>
          <w:spacing w:val="1"/>
        </w:rPr>
        <w:t xml:space="preserve"> </w:t>
      </w:r>
      <w:r>
        <w:t>dispute between the parties started in 2016. The respondent omits the factual basis of its objection</w:t>
      </w:r>
      <w:r>
        <w:rPr>
          <w:spacing w:val="1"/>
        </w:rPr>
        <w:t xml:space="preserve"> </w:t>
      </w:r>
      <w:r>
        <w:t>to the period. The Court therefore is left in the dark as to the extent of the delay.it must have been</w:t>
      </w:r>
      <w:r>
        <w:rPr>
          <w:spacing w:val="1"/>
        </w:rPr>
        <w:t xml:space="preserve"> </w:t>
      </w:r>
      <w:r>
        <w:t>at least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inordinate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who was</w:t>
      </w:r>
      <w:r>
        <w:rPr>
          <w:spacing w:val="-1"/>
        </w:rPr>
        <w:t xml:space="preserve"> </w:t>
      </w:r>
      <w:r>
        <w:t>actively</w:t>
      </w:r>
      <w:r>
        <w:rPr>
          <w:spacing w:val="-1"/>
        </w:rPr>
        <w:t xml:space="preserve"> </w:t>
      </w:r>
      <w:r>
        <w:t>pursuing</w:t>
      </w:r>
      <w:r>
        <w:rPr>
          <w:spacing w:val="-1"/>
        </w:rPr>
        <w:t xml:space="preserve"> </w:t>
      </w:r>
      <w:r>
        <w:t>the case since</w:t>
      </w:r>
      <w:r>
        <w:rPr>
          <w:spacing w:val="-3"/>
        </w:rPr>
        <w:t xml:space="preserve"> </w:t>
      </w:r>
      <w:r>
        <w:t>2016.</w:t>
      </w:r>
    </w:p>
    <w:p w14:paraId="4E455A6A" w14:textId="77777777" w:rsidR="00BC529B" w:rsidRDefault="00000000">
      <w:pPr>
        <w:pStyle w:val="BodyText"/>
        <w:spacing w:before="157" w:line="254" w:lineRule="auto"/>
        <w:ind w:left="100" w:right="138"/>
      </w:pPr>
      <w:r>
        <w:t>The explanation for the delay is that the applicant filed its heads outside the given period. He lay</w:t>
      </w:r>
      <w:r>
        <w:rPr>
          <w:spacing w:val="1"/>
        </w:rPr>
        <w:t xml:space="preserve"> </w:t>
      </w:r>
      <w:r>
        <w:t>back expecting that the matter will be set down. For a litigant who has been litigating with the help</w:t>
      </w:r>
      <w:r>
        <w:rPr>
          <w:spacing w:val="1"/>
        </w:rPr>
        <w:t xml:space="preserve"> </w:t>
      </w:r>
      <w:r>
        <w:t>of his capable trade union, the failure to comply with the rule is not acceptable. The rules have been</w:t>
      </w:r>
      <w:r>
        <w:rPr>
          <w:spacing w:val="-47"/>
        </w:rPr>
        <w:t xml:space="preserve"> </w:t>
      </w:r>
      <w:r>
        <w:t>in place since 2017. His ignorance or that of his representatives is unreasonable. In any event</w:t>
      </w:r>
      <w:r>
        <w:rPr>
          <w:spacing w:val="1"/>
        </w:rPr>
        <w:t xml:space="preserve"> </w:t>
      </w:r>
      <w:r>
        <w:t>ignorance of the law is, in circumstances such as these, not acceptable as a reason for failure to</w:t>
      </w:r>
      <w:r>
        <w:rPr>
          <w:spacing w:val="1"/>
        </w:rPr>
        <w:t xml:space="preserve"> </w:t>
      </w:r>
      <w:r>
        <w:t>comply with the rules. Applicant ought to have realized that he was out of time and sought</w:t>
      </w:r>
      <w:r>
        <w:rPr>
          <w:spacing w:val="1"/>
        </w:rPr>
        <w:t xml:space="preserve"> </w:t>
      </w:r>
      <w:r>
        <w:t>condonation before just filing the heads out of time. This application was filed on 30 December 2022</w:t>
      </w:r>
      <w:r>
        <w:rPr>
          <w:spacing w:val="-47"/>
        </w:rPr>
        <w:t xml:space="preserve"> </w:t>
      </w:r>
      <w:r>
        <w:t>and there is no explanation for all of the delays from when he became aware that he had failed to</w:t>
      </w:r>
      <w:r>
        <w:rPr>
          <w:spacing w:val="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 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actually sought</w:t>
      </w:r>
      <w:r>
        <w:rPr>
          <w:spacing w:val="-1"/>
        </w:rPr>
        <w:t xml:space="preserve"> </w:t>
      </w:r>
      <w:r>
        <w:t>condonation.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 failed</w:t>
      </w:r>
      <w:r>
        <w:rPr>
          <w:spacing w:val="-1"/>
        </w:rPr>
        <w:t xml:space="preserve"> </w:t>
      </w:r>
      <w:r>
        <w:t>to act expeditiously.</w:t>
      </w:r>
    </w:p>
    <w:p w14:paraId="55AA680D" w14:textId="77777777" w:rsidR="00BC529B" w:rsidRDefault="00000000">
      <w:pPr>
        <w:pStyle w:val="BodyText"/>
        <w:spacing w:before="157" w:line="254" w:lineRule="auto"/>
        <w:ind w:left="100" w:right="429"/>
      </w:pPr>
      <w:r>
        <w:t xml:space="preserve">In </w:t>
      </w:r>
      <w:r>
        <w:rPr>
          <w:b/>
        </w:rPr>
        <w:t>T.Gova vs Zimabwe Mining and Smelting HC/B/1/98</w:t>
      </w:r>
      <w:r>
        <w:rPr>
          <w:b/>
          <w:spacing w:val="1"/>
        </w:rPr>
        <w:t xml:space="preserve"> </w:t>
      </w:r>
      <w:r>
        <w:t>the Court stated that if appears that the</w:t>
      </w:r>
      <w:r>
        <w:rPr>
          <w:spacing w:val="1"/>
        </w:rPr>
        <w:t xml:space="preserve"> </w:t>
      </w:r>
      <w:r>
        <w:t>default was due to his negligence the Court should not come to his assistance. The applicant was</w:t>
      </w:r>
      <w:r>
        <w:rPr>
          <w:spacing w:val="1"/>
        </w:rPr>
        <w:t xml:space="preserve"> </w:t>
      </w:r>
      <w:r>
        <w:t>negligent in not ensuring that his heads were filed within the prescribed period. All the periods of</w:t>
      </w:r>
      <w:r>
        <w:rPr>
          <w:spacing w:val="-47"/>
        </w:rPr>
        <w:t xml:space="preserve"> </w:t>
      </w:r>
      <w:r>
        <w:t>delay ought to have been explained. They were not, in the result, the explanation is found to be</w:t>
      </w:r>
      <w:r>
        <w:rPr>
          <w:spacing w:val="1"/>
        </w:rPr>
        <w:t xml:space="preserve"> </w:t>
      </w:r>
      <w:r>
        <w:t>unacceptable.</w:t>
      </w:r>
      <w:r>
        <w:rPr>
          <w:spacing w:val="-3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funds on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 reasonable</w:t>
      </w:r>
      <w:r>
        <w:rPr>
          <w:spacing w:val="-2"/>
        </w:rPr>
        <w:t xml:space="preserve"> </w:t>
      </w:r>
      <w:r>
        <w:t>explanation.</w:t>
      </w:r>
    </w:p>
    <w:p w14:paraId="0566A8DF" w14:textId="77777777" w:rsidR="00BC529B" w:rsidRDefault="00000000">
      <w:pPr>
        <w:pStyle w:val="BodyText"/>
        <w:spacing w:before="159"/>
        <w:ind w:left="100"/>
      </w:pP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prospects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success</w:t>
      </w:r>
    </w:p>
    <w:p w14:paraId="4E6926F0" w14:textId="77777777" w:rsidR="00BC529B" w:rsidRDefault="00BC529B">
      <w:pPr>
        <w:pStyle w:val="BodyText"/>
        <w:spacing w:before="9"/>
        <w:rPr>
          <w:sz w:val="9"/>
        </w:rPr>
      </w:pPr>
    </w:p>
    <w:p w14:paraId="33079A4F" w14:textId="77777777" w:rsidR="00BC529B" w:rsidRDefault="00000000">
      <w:pPr>
        <w:pStyle w:val="BodyText"/>
        <w:spacing w:before="56" w:line="254" w:lineRule="auto"/>
        <w:ind w:left="100" w:right="168"/>
      </w:pPr>
      <w:r>
        <w:t>This case is premised on a case that the Labour Court pronounced itself on in 2021. Judgment no.</w:t>
      </w:r>
      <w:r>
        <w:rPr>
          <w:spacing w:val="1"/>
        </w:rPr>
        <w:t xml:space="preserve"> </w:t>
      </w:r>
      <w:r>
        <w:t>LC/H/43/2021. That decision has not been appealed against and remains extant. The applicant</w:t>
      </w:r>
      <w:r>
        <w:rPr>
          <w:spacing w:val="1"/>
        </w:rPr>
        <w:t xml:space="preserve"> </w:t>
      </w:r>
      <w:r>
        <w:t>cannot assume on the basis of his representatives advise that the judgement is a legal nullity, if he</w:t>
      </w:r>
      <w:r>
        <w:rPr>
          <w:spacing w:val="1"/>
        </w:rPr>
        <w:t xml:space="preserve"> </w:t>
      </w:r>
      <w:r>
        <w:t>believed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have challenged the</w:t>
      </w:r>
      <w:r>
        <w:rPr>
          <w:spacing w:val="-1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 it</w:t>
      </w:r>
      <w:r>
        <w:rPr>
          <w:spacing w:val="-2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a nullity.</w:t>
      </w:r>
    </w:p>
    <w:p w14:paraId="45B7895D" w14:textId="77777777" w:rsidR="00BC529B" w:rsidRDefault="00000000">
      <w:pPr>
        <w:pStyle w:val="BodyText"/>
        <w:spacing w:before="158"/>
        <w:ind w:left="100"/>
      </w:pPr>
      <w:r>
        <w:t>Nothing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 Court</w:t>
      </w:r>
      <w:r>
        <w:rPr>
          <w:spacing w:val="-1"/>
        </w:rPr>
        <w:t xml:space="preserve"> </w:t>
      </w:r>
      <w:r>
        <w:t>Judgement</w:t>
      </w:r>
      <w:r>
        <w:rPr>
          <w:spacing w:val="-2"/>
        </w:rPr>
        <w:t xml:space="preserve"> </w:t>
      </w:r>
      <w:r>
        <w:t>remains extant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 parties.</w:t>
      </w:r>
    </w:p>
    <w:p w14:paraId="2D1D8542" w14:textId="77777777" w:rsidR="00BC529B" w:rsidRDefault="00BC529B">
      <w:pPr>
        <w:sectPr w:rsidR="00BC529B">
          <w:pgSz w:w="11910" w:h="16840"/>
          <w:pgMar w:top="1380" w:right="1320" w:bottom="1180" w:left="1340" w:header="0" w:footer="992" w:gutter="0"/>
          <w:cols w:space="720"/>
        </w:sectPr>
      </w:pPr>
    </w:p>
    <w:p w14:paraId="608E11F6" w14:textId="77777777" w:rsidR="00BC529B" w:rsidRDefault="00000000">
      <w:pPr>
        <w:pStyle w:val="BodyText"/>
        <w:spacing w:before="41" w:line="254" w:lineRule="auto"/>
        <w:ind w:left="100" w:right="372"/>
      </w:pPr>
      <w:r>
        <w:lastRenderedPageBreak/>
        <w:t>The applicant cannot hope to have this, Court re-consider its Judgement. The prospects of success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non-existent.</w:t>
      </w:r>
    </w:p>
    <w:p w14:paraId="4553F42A" w14:textId="77777777" w:rsidR="00BC529B" w:rsidRDefault="00000000">
      <w:pPr>
        <w:pStyle w:val="BodyText"/>
        <w:spacing w:before="160"/>
        <w:ind w:left="100"/>
      </w:pPr>
      <w:r>
        <w:rPr>
          <w:u w:val="single"/>
        </w:rPr>
        <w:t>Prejudice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other side</w:t>
      </w:r>
    </w:p>
    <w:p w14:paraId="40CADB61" w14:textId="77777777" w:rsidR="00BC529B" w:rsidRDefault="00BC529B">
      <w:pPr>
        <w:pStyle w:val="BodyText"/>
        <w:spacing w:before="10"/>
        <w:rPr>
          <w:sz w:val="9"/>
        </w:rPr>
      </w:pPr>
    </w:p>
    <w:p w14:paraId="414EF633" w14:textId="77777777" w:rsidR="00BC529B" w:rsidRDefault="00000000">
      <w:pPr>
        <w:pStyle w:val="BodyText"/>
        <w:spacing w:before="56" w:line="252" w:lineRule="auto"/>
        <w:ind w:left="100" w:right="311"/>
      </w:pPr>
      <w:r>
        <w:t>The granting of this application will prejudice the respondent who is having to defend itself against</w:t>
      </w:r>
      <w:r>
        <w:rPr>
          <w:spacing w:val="-47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applications.</w:t>
      </w:r>
    </w:p>
    <w:p w14:paraId="0D47D3D4" w14:textId="77777777" w:rsidR="00BC529B" w:rsidRDefault="00000000">
      <w:pPr>
        <w:pStyle w:val="BodyText"/>
        <w:spacing w:before="163" w:line="254" w:lineRule="auto"/>
        <w:ind w:left="100" w:right="138"/>
      </w:pPr>
      <w:r>
        <w:t>The applicant has failed to establish the requirements for an application for condonation. Its</w:t>
      </w:r>
      <w:r>
        <w:rPr>
          <w:spacing w:val="1"/>
        </w:rPr>
        <w:t xml:space="preserve"> </w:t>
      </w:r>
      <w:r>
        <w:t>application can therefore not succeed with no reasonable explanation for the delay and also without</w:t>
      </w:r>
      <w:r>
        <w:rPr>
          <w:spacing w:val="-47"/>
        </w:rPr>
        <w:t xml:space="preserve"> </w:t>
      </w:r>
      <w:r>
        <w:t>viable</w:t>
      </w:r>
      <w:r>
        <w:rPr>
          <w:spacing w:val="-1"/>
        </w:rPr>
        <w:t xml:space="preserve"> </w:t>
      </w:r>
      <w:r>
        <w:t>prospects</w:t>
      </w:r>
      <w:r>
        <w:rPr>
          <w:spacing w:val="-2"/>
        </w:rPr>
        <w:t xml:space="preserve"> </w:t>
      </w:r>
      <w:r>
        <w:t>of success</w:t>
      </w:r>
    </w:p>
    <w:p w14:paraId="17962291" w14:textId="2549D3E9" w:rsidR="00BC529B" w:rsidRDefault="00000000">
      <w:pPr>
        <w:pStyle w:val="BodyText"/>
        <w:spacing w:before="159"/>
        <w:ind w:left="100"/>
      </w:pPr>
      <w:r>
        <w:t>In</w:t>
      </w:r>
      <w:r>
        <w:rPr>
          <w:spacing w:val="-2"/>
        </w:rPr>
        <w:t xml:space="preserve"> </w:t>
      </w:r>
      <w:r>
        <w:t>the result,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dismissed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costs.</w:t>
      </w:r>
    </w:p>
    <w:p w14:paraId="75B8D124" w14:textId="77777777" w:rsidR="00BC529B" w:rsidRDefault="00BC529B">
      <w:pPr>
        <w:pStyle w:val="BodyText"/>
        <w:rPr>
          <w:sz w:val="20"/>
        </w:rPr>
      </w:pPr>
    </w:p>
    <w:p w14:paraId="4E3C4252" w14:textId="77777777" w:rsidR="00BC529B" w:rsidRDefault="00BC529B">
      <w:pPr>
        <w:pStyle w:val="BodyText"/>
        <w:rPr>
          <w:sz w:val="20"/>
        </w:rPr>
      </w:pPr>
    </w:p>
    <w:p w14:paraId="78C92185" w14:textId="77777777" w:rsidR="00BC529B" w:rsidRDefault="00BC529B">
      <w:pPr>
        <w:pStyle w:val="BodyText"/>
        <w:rPr>
          <w:sz w:val="20"/>
        </w:rPr>
      </w:pPr>
    </w:p>
    <w:p w14:paraId="5717F46F" w14:textId="77777777" w:rsidR="00BC529B" w:rsidRDefault="00BC529B">
      <w:pPr>
        <w:pStyle w:val="BodyText"/>
        <w:rPr>
          <w:sz w:val="20"/>
        </w:rPr>
      </w:pPr>
    </w:p>
    <w:p w14:paraId="4D092FBF" w14:textId="77777777" w:rsidR="00BC529B" w:rsidRDefault="00BC529B">
      <w:pPr>
        <w:pStyle w:val="BodyText"/>
        <w:rPr>
          <w:sz w:val="20"/>
        </w:rPr>
      </w:pPr>
    </w:p>
    <w:p w14:paraId="7479A207" w14:textId="77777777" w:rsidR="00BC529B" w:rsidRDefault="00BC529B">
      <w:pPr>
        <w:pStyle w:val="BodyText"/>
        <w:rPr>
          <w:sz w:val="20"/>
        </w:rPr>
      </w:pPr>
    </w:p>
    <w:p w14:paraId="7949D91B" w14:textId="77777777" w:rsidR="00BC529B" w:rsidRDefault="00000000">
      <w:pPr>
        <w:pStyle w:val="BodyText"/>
        <w:spacing w:before="3"/>
        <w:rPr>
          <w:sz w:val="15"/>
        </w:rPr>
      </w:pPr>
      <w:r>
        <w:pict w14:anchorId="2A593A3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97.75pt;margin-top:11.25pt;width:290.9pt;height:113.5pt;z-index:-251658240;mso-wrap-distance-left:0;mso-wrap-distance-right:0;mso-position-horizontal-relative:page" filled="f" stroked="f">
            <v:textbox inset="0,0,0,0">
              <w:txbxContent>
                <w:p w14:paraId="61BD689F" w14:textId="77777777" w:rsidR="00BC529B" w:rsidRDefault="00BC529B">
                  <w:pPr>
                    <w:pStyle w:val="BodyText"/>
                  </w:pPr>
                </w:p>
                <w:p w14:paraId="3A638975" w14:textId="77777777" w:rsidR="00BC529B" w:rsidRDefault="00BC529B">
                  <w:pPr>
                    <w:pStyle w:val="BodyText"/>
                  </w:pPr>
                </w:p>
                <w:p w14:paraId="179D2459" w14:textId="77777777" w:rsidR="00BC529B" w:rsidRDefault="00BC529B">
                  <w:pPr>
                    <w:pStyle w:val="BodyText"/>
                  </w:pPr>
                </w:p>
                <w:p w14:paraId="028831D1" w14:textId="77777777" w:rsidR="00BC529B" w:rsidRDefault="00BC529B">
                  <w:pPr>
                    <w:pStyle w:val="BodyText"/>
                    <w:spacing w:before="5"/>
                    <w:rPr>
                      <w:sz w:val="28"/>
                    </w:rPr>
                  </w:pPr>
                </w:p>
                <w:p w14:paraId="3DEBDD57" w14:textId="77777777" w:rsidR="00BC529B" w:rsidRDefault="00000000">
                  <w:pPr>
                    <w:pStyle w:val="BodyText"/>
                    <w:ind w:left="1149" w:right="1782"/>
                    <w:jc w:val="center"/>
                  </w:pPr>
                  <w:r>
                    <w:t>………………………………………………..</w:t>
                  </w:r>
                </w:p>
                <w:p w14:paraId="1C973837" w14:textId="77777777" w:rsidR="00BC529B" w:rsidRDefault="00000000">
                  <w:pPr>
                    <w:spacing w:before="175" w:line="673" w:lineRule="exact"/>
                    <w:ind w:left="1107" w:right="1782"/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JUDGE</w:t>
                  </w:r>
                </w:p>
              </w:txbxContent>
            </v:textbox>
            <w10:wrap type="topAndBottom" anchorx="page"/>
          </v:shape>
        </w:pict>
      </w:r>
    </w:p>
    <w:sectPr w:rsidR="00BC529B">
      <w:pgSz w:w="11910" w:h="16840"/>
      <w:pgMar w:top="1380" w:right="132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40C9" w14:textId="77777777" w:rsidR="00DD2326" w:rsidRDefault="00DD2326">
      <w:r>
        <w:separator/>
      </w:r>
    </w:p>
  </w:endnote>
  <w:endnote w:type="continuationSeparator" w:id="0">
    <w:p w14:paraId="3401D6EF" w14:textId="77777777" w:rsidR="00DD2326" w:rsidRDefault="00DD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B535" w14:textId="77777777" w:rsidR="00BC529B" w:rsidRDefault="00000000">
    <w:pPr>
      <w:pStyle w:val="BodyText"/>
      <w:spacing w:line="14" w:lineRule="auto"/>
      <w:rPr>
        <w:sz w:val="20"/>
      </w:rPr>
    </w:pPr>
    <w:r>
      <w:pict w14:anchorId="195E0743">
        <v:rect id="_x0000_s1026" style="position:absolute;margin-left:70.6pt;margin-top:778.3pt;width:454.25pt;height:.5pt;z-index:-15787520;mso-position-horizontal-relative:page;mso-position-vertical-relative:page" fillcolor="#d9d9d9" stroked="f">
          <w10:wrap anchorx="page" anchory="page"/>
        </v:rect>
      </w:pict>
    </w:r>
    <w:r>
      <w:pict w14:anchorId="47494A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2pt;margin-top:780.9pt;width:53.3pt;height:13.05pt;z-index:-15787008;mso-position-horizontal-relative:page;mso-position-vertical-relative:page" filled="f" stroked="f">
          <v:textbox inset="0,0,0,0">
            <w:txbxContent>
              <w:p w14:paraId="3E0E562C" w14:textId="77777777" w:rsidR="00BC529B" w:rsidRDefault="00000000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6D62" w14:textId="77777777" w:rsidR="00DD2326" w:rsidRDefault="00DD2326">
      <w:r>
        <w:separator/>
      </w:r>
    </w:p>
  </w:footnote>
  <w:footnote w:type="continuationSeparator" w:id="0">
    <w:p w14:paraId="1C194E83" w14:textId="77777777" w:rsidR="00DD2326" w:rsidRDefault="00DD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D08EB"/>
    <w:multiLevelType w:val="hybridMultilevel"/>
    <w:tmpl w:val="A388330A"/>
    <w:lvl w:ilvl="0" w:tplc="8D8A4860">
      <w:start w:val="1"/>
      <w:numFmt w:val="lowerRoman"/>
      <w:lvlText w:val="%1."/>
      <w:lvlJc w:val="left"/>
      <w:pPr>
        <w:ind w:left="820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F496AB54">
      <w:numFmt w:val="bullet"/>
      <w:lvlText w:val="•"/>
      <w:lvlJc w:val="left"/>
      <w:pPr>
        <w:ind w:left="1662" w:hanging="466"/>
      </w:pPr>
      <w:rPr>
        <w:rFonts w:hint="default"/>
        <w:lang w:val="en-US" w:eastAsia="en-US" w:bidi="ar-SA"/>
      </w:rPr>
    </w:lvl>
    <w:lvl w:ilvl="2" w:tplc="5DAA9940">
      <w:numFmt w:val="bullet"/>
      <w:lvlText w:val="•"/>
      <w:lvlJc w:val="left"/>
      <w:pPr>
        <w:ind w:left="2505" w:hanging="466"/>
      </w:pPr>
      <w:rPr>
        <w:rFonts w:hint="default"/>
        <w:lang w:val="en-US" w:eastAsia="en-US" w:bidi="ar-SA"/>
      </w:rPr>
    </w:lvl>
    <w:lvl w:ilvl="3" w:tplc="C66CC72E">
      <w:numFmt w:val="bullet"/>
      <w:lvlText w:val="•"/>
      <w:lvlJc w:val="left"/>
      <w:pPr>
        <w:ind w:left="3347" w:hanging="466"/>
      </w:pPr>
      <w:rPr>
        <w:rFonts w:hint="default"/>
        <w:lang w:val="en-US" w:eastAsia="en-US" w:bidi="ar-SA"/>
      </w:rPr>
    </w:lvl>
    <w:lvl w:ilvl="4" w:tplc="B136D2F4">
      <w:numFmt w:val="bullet"/>
      <w:lvlText w:val="•"/>
      <w:lvlJc w:val="left"/>
      <w:pPr>
        <w:ind w:left="4190" w:hanging="466"/>
      </w:pPr>
      <w:rPr>
        <w:rFonts w:hint="default"/>
        <w:lang w:val="en-US" w:eastAsia="en-US" w:bidi="ar-SA"/>
      </w:rPr>
    </w:lvl>
    <w:lvl w:ilvl="5" w:tplc="984AF614">
      <w:numFmt w:val="bullet"/>
      <w:lvlText w:val="•"/>
      <w:lvlJc w:val="left"/>
      <w:pPr>
        <w:ind w:left="5033" w:hanging="466"/>
      </w:pPr>
      <w:rPr>
        <w:rFonts w:hint="default"/>
        <w:lang w:val="en-US" w:eastAsia="en-US" w:bidi="ar-SA"/>
      </w:rPr>
    </w:lvl>
    <w:lvl w:ilvl="6" w:tplc="1D743DE2">
      <w:numFmt w:val="bullet"/>
      <w:lvlText w:val="•"/>
      <w:lvlJc w:val="left"/>
      <w:pPr>
        <w:ind w:left="5875" w:hanging="466"/>
      </w:pPr>
      <w:rPr>
        <w:rFonts w:hint="default"/>
        <w:lang w:val="en-US" w:eastAsia="en-US" w:bidi="ar-SA"/>
      </w:rPr>
    </w:lvl>
    <w:lvl w:ilvl="7" w:tplc="63AEA014">
      <w:numFmt w:val="bullet"/>
      <w:lvlText w:val="•"/>
      <w:lvlJc w:val="left"/>
      <w:pPr>
        <w:ind w:left="6718" w:hanging="466"/>
      </w:pPr>
      <w:rPr>
        <w:rFonts w:hint="default"/>
        <w:lang w:val="en-US" w:eastAsia="en-US" w:bidi="ar-SA"/>
      </w:rPr>
    </w:lvl>
    <w:lvl w:ilvl="8" w:tplc="CCC66B6E">
      <w:numFmt w:val="bullet"/>
      <w:lvlText w:val="•"/>
      <w:lvlJc w:val="left"/>
      <w:pPr>
        <w:ind w:left="7561" w:hanging="466"/>
      </w:pPr>
      <w:rPr>
        <w:rFonts w:hint="default"/>
        <w:lang w:val="en-US" w:eastAsia="en-US" w:bidi="ar-SA"/>
      </w:rPr>
    </w:lvl>
  </w:abstractNum>
  <w:num w:numId="1" w16cid:durableId="76665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29B"/>
    <w:rsid w:val="008B5923"/>
    <w:rsid w:val="00BC529B"/>
    <w:rsid w:val="00DD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07AA4AE"/>
  <w15:docId w15:val="{81FB3171-C0ED-4B3D-93F5-A284AAE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"/>
      <w:ind w:left="820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 Tokowoyo</cp:lastModifiedBy>
  <cp:revision>3</cp:revision>
  <dcterms:created xsi:type="dcterms:W3CDTF">2023-10-06T10:05:00Z</dcterms:created>
  <dcterms:modified xsi:type="dcterms:W3CDTF">2023-10-06T10:08:00Z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