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6C2" w:rsidRDefault="00BE06C2" w:rsidP="00BE06C2">
      <w:pPr>
        <w:spacing w:line="360" w:lineRule="auto"/>
        <w:jc w:val="both"/>
        <w:rPr>
          <w:b/>
          <w:sz w:val="22"/>
          <w:szCs w:val="22"/>
        </w:rPr>
      </w:pPr>
      <w:bookmarkStart w:id="0" w:name="_GoBack"/>
      <w:bookmarkEnd w:id="0"/>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966004">
        <w:rPr>
          <w:b/>
          <w:sz w:val="22"/>
          <w:szCs w:val="22"/>
        </w:rPr>
        <w:t>692</w:t>
      </w:r>
      <w:r>
        <w:rPr>
          <w:b/>
          <w:sz w:val="22"/>
          <w:szCs w:val="22"/>
        </w:rPr>
        <w:t>/2014</w:t>
      </w:r>
    </w:p>
    <w:p w:rsidR="00BE06C2" w:rsidRDefault="00BE06C2" w:rsidP="00BE06C2">
      <w:pPr>
        <w:spacing w:line="360" w:lineRule="auto"/>
        <w:jc w:val="both"/>
        <w:rPr>
          <w:b/>
          <w:sz w:val="22"/>
          <w:szCs w:val="22"/>
        </w:rPr>
      </w:pPr>
      <w:r>
        <w:rPr>
          <w:b/>
          <w:sz w:val="22"/>
          <w:szCs w:val="22"/>
        </w:rPr>
        <w:t>HARARE, 16 SEPTEMBER 2014</w:t>
      </w:r>
      <w:r>
        <w:rPr>
          <w:b/>
          <w:sz w:val="22"/>
          <w:szCs w:val="22"/>
        </w:rPr>
        <w:tab/>
      </w:r>
      <w:r>
        <w:rPr>
          <w:b/>
          <w:sz w:val="22"/>
          <w:szCs w:val="22"/>
        </w:rPr>
        <w:tab/>
        <w:t xml:space="preserve">           </w:t>
      </w:r>
      <w:r>
        <w:rPr>
          <w:b/>
          <w:sz w:val="22"/>
          <w:szCs w:val="22"/>
        </w:rPr>
        <w:tab/>
      </w:r>
      <w:r>
        <w:rPr>
          <w:b/>
          <w:sz w:val="22"/>
          <w:szCs w:val="22"/>
        </w:rPr>
        <w:tab/>
        <w:t xml:space="preserve">         CASE NO. LC/H/950/13</w:t>
      </w:r>
    </w:p>
    <w:p w:rsidR="000427E6" w:rsidRDefault="000427E6" w:rsidP="00BE06C2">
      <w:pPr>
        <w:spacing w:line="360" w:lineRule="auto"/>
        <w:jc w:val="both"/>
        <w:rPr>
          <w:b/>
          <w:sz w:val="22"/>
          <w:szCs w:val="22"/>
        </w:rPr>
      </w:pPr>
      <w:r>
        <w:rPr>
          <w:b/>
          <w:sz w:val="22"/>
          <w:szCs w:val="22"/>
        </w:rPr>
        <w:t xml:space="preserve">AND </w:t>
      </w:r>
      <w:r w:rsidR="00966004">
        <w:rPr>
          <w:b/>
          <w:sz w:val="22"/>
          <w:szCs w:val="22"/>
        </w:rPr>
        <w:t>24</w:t>
      </w:r>
      <w:r>
        <w:rPr>
          <w:b/>
          <w:sz w:val="22"/>
          <w:szCs w:val="22"/>
        </w:rPr>
        <w:t xml:space="preserve"> OCTOBER 2014</w:t>
      </w:r>
    </w:p>
    <w:p w:rsidR="00BE06C2" w:rsidRDefault="00BE06C2" w:rsidP="00BE06C2">
      <w:pPr>
        <w:spacing w:line="360" w:lineRule="auto"/>
        <w:jc w:val="both"/>
      </w:pPr>
      <w:r>
        <w:t>In the matter between:-</w:t>
      </w:r>
    </w:p>
    <w:p w:rsidR="00BE06C2" w:rsidRDefault="00BE06C2" w:rsidP="00BE06C2">
      <w:pPr>
        <w:spacing w:line="360" w:lineRule="auto"/>
        <w:jc w:val="both"/>
      </w:pPr>
    </w:p>
    <w:p w:rsidR="00BE06C2" w:rsidRDefault="00BE06C2" w:rsidP="00BE06C2">
      <w:pPr>
        <w:spacing w:line="360" w:lineRule="auto"/>
        <w:jc w:val="both"/>
        <w:rPr>
          <w:b/>
        </w:rPr>
      </w:pPr>
      <w:r>
        <w:rPr>
          <w:b/>
        </w:rPr>
        <w:t>MUGOVE CHATIZEMBWA</w:t>
      </w:r>
      <w:r>
        <w:rPr>
          <w:b/>
        </w:rPr>
        <w:tab/>
      </w:r>
      <w:r>
        <w:rPr>
          <w:b/>
        </w:rPr>
        <w:tab/>
      </w:r>
      <w:r>
        <w:rPr>
          <w:b/>
        </w:rPr>
        <w:tab/>
      </w:r>
      <w:r>
        <w:rPr>
          <w:b/>
        </w:rPr>
        <w:tab/>
      </w:r>
      <w:r>
        <w:rPr>
          <w:b/>
        </w:rPr>
        <w:tab/>
        <w:t>Appellant</w:t>
      </w:r>
    </w:p>
    <w:p w:rsidR="00BE06C2" w:rsidRDefault="00BE06C2" w:rsidP="00BE06C2">
      <w:pPr>
        <w:spacing w:line="360" w:lineRule="auto"/>
        <w:jc w:val="both"/>
        <w:rPr>
          <w:sz w:val="22"/>
          <w:szCs w:val="22"/>
        </w:rPr>
      </w:pPr>
      <w:r>
        <w:rPr>
          <w:sz w:val="22"/>
          <w:szCs w:val="22"/>
        </w:rPr>
        <w:t>And</w:t>
      </w:r>
    </w:p>
    <w:p w:rsidR="00BE06C2" w:rsidRDefault="005D4CCF" w:rsidP="00BE06C2">
      <w:pPr>
        <w:spacing w:line="360" w:lineRule="auto"/>
        <w:jc w:val="both"/>
        <w:rPr>
          <w:b/>
        </w:rPr>
      </w:pPr>
      <w:r>
        <w:rPr>
          <w:b/>
        </w:rPr>
        <w:t>LAFARGE CEMENT ZIMBABWE LTD</w:t>
      </w:r>
      <w:r>
        <w:rPr>
          <w:b/>
        </w:rPr>
        <w:tab/>
      </w:r>
      <w:r>
        <w:rPr>
          <w:b/>
        </w:rPr>
        <w:tab/>
      </w:r>
      <w:r>
        <w:rPr>
          <w:b/>
        </w:rPr>
        <w:tab/>
      </w:r>
      <w:r>
        <w:rPr>
          <w:b/>
        </w:rPr>
        <w:tab/>
      </w:r>
      <w:r w:rsidR="00BE06C2">
        <w:rPr>
          <w:b/>
        </w:rPr>
        <w:t>Respondent</w:t>
      </w:r>
    </w:p>
    <w:p w:rsidR="00BE06C2" w:rsidRDefault="00BE06C2" w:rsidP="00BE06C2">
      <w:pPr>
        <w:spacing w:line="360" w:lineRule="auto"/>
        <w:jc w:val="both"/>
        <w:rPr>
          <w:b/>
        </w:rPr>
      </w:pPr>
    </w:p>
    <w:p w:rsidR="00BE06C2" w:rsidRDefault="00BE06C2" w:rsidP="00BE06C2">
      <w:pPr>
        <w:spacing w:line="360" w:lineRule="auto"/>
        <w:jc w:val="both"/>
      </w:pPr>
      <w:r>
        <w:t>Before The Honourable</w:t>
      </w:r>
      <w:r w:rsidR="005D4CCF">
        <w:t xml:space="preserve"> E.</w:t>
      </w:r>
      <w:r>
        <w:t xml:space="preserve"> </w:t>
      </w:r>
      <w:proofErr w:type="spellStart"/>
      <w:r>
        <w:t>Makamure</w:t>
      </w:r>
      <w:proofErr w:type="spellEnd"/>
      <w:r>
        <w:t>, Judge</w:t>
      </w:r>
    </w:p>
    <w:p w:rsidR="00BE06C2" w:rsidRDefault="00BE06C2" w:rsidP="00BE06C2">
      <w:pPr>
        <w:spacing w:line="360" w:lineRule="auto"/>
        <w:jc w:val="both"/>
      </w:pPr>
    </w:p>
    <w:p w:rsidR="00BE06C2" w:rsidRDefault="005D4CCF" w:rsidP="00BE06C2">
      <w:pPr>
        <w:spacing w:line="360" w:lineRule="auto"/>
        <w:jc w:val="both"/>
        <w:rPr>
          <w:b/>
        </w:rPr>
      </w:pPr>
      <w:r>
        <w:rPr>
          <w:b/>
        </w:rPr>
        <w:t>For Appellant</w:t>
      </w:r>
      <w:r w:rsidR="00BE06C2">
        <w:rPr>
          <w:b/>
        </w:rPr>
        <w:tab/>
      </w:r>
      <w:r w:rsidR="00BE06C2">
        <w:rPr>
          <w:b/>
        </w:rPr>
        <w:tab/>
      </w:r>
      <w:r w:rsidR="00EA704F">
        <w:rPr>
          <w:b/>
        </w:rPr>
        <w:t xml:space="preserve">Mr. A. </w:t>
      </w:r>
      <w:proofErr w:type="spellStart"/>
      <w:r w:rsidR="00EA704F">
        <w:rPr>
          <w:b/>
        </w:rPr>
        <w:t>Taruvinga</w:t>
      </w:r>
      <w:proofErr w:type="spellEnd"/>
      <w:r w:rsidR="00BE06C2">
        <w:rPr>
          <w:b/>
        </w:rPr>
        <w:t xml:space="preserve"> (Legal Practitioner)</w:t>
      </w:r>
      <w:r w:rsidR="00BE06C2">
        <w:rPr>
          <w:b/>
        </w:rPr>
        <w:tab/>
      </w:r>
      <w:r w:rsidR="00BE06C2">
        <w:rPr>
          <w:b/>
        </w:rPr>
        <w:tab/>
      </w:r>
      <w:r w:rsidR="00BE06C2">
        <w:rPr>
          <w:b/>
        </w:rPr>
        <w:tab/>
      </w:r>
    </w:p>
    <w:p w:rsidR="00BE06C2" w:rsidRDefault="00BE06C2" w:rsidP="00BE06C2">
      <w:pPr>
        <w:spacing w:line="360" w:lineRule="auto"/>
        <w:jc w:val="both"/>
        <w:rPr>
          <w:b/>
        </w:rPr>
      </w:pPr>
      <w:r>
        <w:rPr>
          <w:b/>
        </w:rPr>
        <w:t>For Respondent</w:t>
      </w:r>
      <w:r>
        <w:rPr>
          <w:b/>
        </w:rPr>
        <w:tab/>
      </w:r>
      <w:r>
        <w:rPr>
          <w:b/>
        </w:rPr>
        <w:tab/>
        <w:t xml:space="preserve">Mr. </w:t>
      </w:r>
      <w:r w:rsidR="00EA704F">
        <w:rPr>
          <w:b/>
        </w:rPr>
        <w:t>T. Hussein</w:t>
      </w:r>
      <w:r>
        <w:rPr>
          <w:b/>
        </w:rPr>
        <w:t xml:space="preserve"> (Legal Practitioner)</w:t>
      </w:r>
      <w:r>
        <w:rPr>
          <w:b/>
        </w:rPr>
        <w:tab/>
      </w:r>
      <w:r>
        <w:rPr>
          <w:b/>
        </w:rPr>
        <w:tab/>
      </w:r>
      <w:r>
        <w:rPr>
          <w:b/>
        </w:rPr>
        <w:tab/>
      </w:r>
    </w:p>
    <w:p w:rsidR="00BE06C2" w:rsidRDefault="00BE06C2" w:rsidP="00BE06C2">
      <w:pPr>
        <w:spacing w:line="360" w:lineRule="auto"/>
        <w:jc w:val="both"/>
        <w:rPr>
          <w:b/>
          <w:sz w:val="28"/>
          <w:szCs w:val="28"/>
        </w:rPr>
      </w:pPr>
    </w:p>
    <w:p w:rsidR="00BE06C2" w:rsidRDefault="00BE06C2" w:rsidP="00BE06C2">
      <w:pPr>
        <w:spacing w:line="360" w:lineRule="auto"/>
        <w:jc w:val="both"/>
        <w:rPr>
          <w:b/>
        </w:rPr>
      </w:pPr>
      <w:r>
        <w:rPr>
          <w:b/>
        </w:rPr>
        <w:t>MAKAMURE</w:t>
      </w:r>
      <w:r w:rsidR="00EA704F">
        <w:rPr>
          <w:b/>
        </w:rPr>
        <w:t>,</w:t>
      </w:r>
      <w:r>
        <w:rPr>
          <w:b/>
        </w:rPr>
        <w:t xml:space="preserve"> J:</w:t>
      </w:r>
    </w:p>
    <w:p w:rsidR="003C4620" w:rsidRDefault="003C4620" w:rsidP="00BE06C2">
      <w:pPr>
        <w:jc w:val="both"/>
      </w:pPr>
    </w:p>
    <w:p w:rsidR="00757D62" w:rsidRDefault="00757D62" w:rsidP="00BE06C2">
      <w:pPr>
        <w:jc w:val="both"/>
      </w:pPr>
    </w:p>
    <w:p w:rsidR="00FD0E4F" w:rsidRDefault="00757D62" w:rsidP="00FD0E4F">
      <w:pPr>
        <w:spacing w:line="360" w:lineRule="auto"/>
        <w:jc w:val="both"/>
      </w:pPr>
      <w:r>
        <w:tab/>
      </w:r>
      <w:r w:rsidR="00FD0E4F">
        <w:t xml:space="preserve">The appellant, </w:t>
      </w:r>
      <w:proofErr w:type="spellStart"/>
      <w:r w:rsidR="00FD0E4F">
        <w:t>Mr</w:t>
      </w:r>
      <w:proofErr w:type="spellEnd"/>
      <w:r w:rsidR="00FD0E4F">
        <w:t xml:space="preserve"> </w:t>
      </w:r>
      <w:proofErr w:type="spellStart"/>
      <w:r w:rsidR="00FD0E4F">
        <w:t>Mugove</w:t>
      </w:r>
      <w:proofErr w:type="spellEnd"/>
      <w:r w:rsidR="00FD0E4F">
        <w:t xml:space="preserve"> </w:t>
      </w:r>
      <w:proofErr w:type="spellStart"/>
      <w:r w:rsidR="00FD0E4F">
        <w:t>Chatizembwa</w:t>
      </w:r>
      <w:proofErr w:type="spellEnd"/>
      <w:r w:rsidR="00FD0E4F">
        <w:t xml:space="preserve">, was employed by the respondent as a </w:t>
      </w:r>
      <w:r w:rsidR="009913CF">
        <w:t>quarry</w:t>
      </w:r>
      <w:r w:rsidR="00FD0E4F">
        <w:t xml:space="preserve"> superintendent.  On 21 April 2013 he was on duty.  Without seeking his superior</w:t>
      </w:r>
      <w:r w:rsidR="00D23E57">
        <w:t>’</w:t>
      </w:r>
      <w:r w:rsidR="00FD0E4F">
        <w:t xml:space="preserve">s </w:t>
      </w:r>
      <w:r w:rsidR="00D23E57">
        <w:t xml:space="preserve">authority </w:t>
      </w:r>
      <w:r w:rsidR="00FD0E4F">
        <w:t>he took a company vehicle and</w:t>
      </w:r>
      <w:r w:rsidR="00D23E57">
        <w:t xml:space="preserve"> went</w:t>
      </w:r>
      <w:r w:rsidR="00FD0E4F">
        <w:t xml:space="preserve"> to a certain farm which is about 25 kilometers from his work place.  The purpose of this trip </w:t>
      </w:r>
      <w:proofErr w:type="gramStart"/>
      <w:r w:rsidR="00FD0E4F">
        <w:t xml:space="preserve">was  </w:t>
      </w:r>
      <w:r w:rsidR="00D23E57">
        <w:t>personal</w:t>
      </w:r>
      <w:proofErr w:type="gramEnd"/>
      <w:r w:rsidR="00D23E57">
        <w:t xml:space="preserve"> to him</w:t>
      </w:r>
      <w:r w:rsidR="000427E6">
        <w:t>.</w:t>
      </w:r>
      <w:r w:rsidR="00FD0E4F">
        <w:t xml:space="preserve">  </w:t>
      </w:r>
      <w:proofErr w:type="gramStart"/>
      <w:r w:rsidR="000427E6">
        <w:t>W</w:t>
      </w:r>
      <w:r w:rsidR="00FD0E4F">
        <w:t>hilst there he met one of his superiors.</w:t>
      </w:r>
      <w:proofErr w:type="gramEnd"/>
      <w:r w:rsidR="00FD0E4F">
        <w:t xml:space="preserve">   </w:t>
      </w:r>
      <w:r w:rsidR="00CD354A">
        <w:t xml:space="preserve">They exchanged greetings.  Thereafter they discussed his presence at that place at the material time.  What </w:t>
      </w:r>
      <w:r w:rsidR="00A843E1">
        <w:t>transpired at that venue is best</w:t>
      </w:r>
      <w:r w:rsidR="00E65A64">
        <w:t xml:space="preserve"> captured by his report to the M</w:t>
      </w:r>
      <w:r w:rsidR="00A843E1">
        <w:t>ine</w:t>
      </w:r>
      <w:r w:rsidR="00E65A64">
        <w:t>s</w:t>
      </w:r>
      <w:r w:rsidR="00A843E1">
        <w:t xml:space="preserve"> Engineer which I will quote in full.  It reads:</w:t>
      </w:r>
    </w:p>
    <w:p w:rsidR="00A843E1" w:rsidRDefault="00A843E1" w:rsidP="004D462D">
      <w:pPr>
        <w:jc w:val="both"/>
      </w:pPr>
    </w:p>
    <w:p w:rsidR="00A843E1" w:rsidRDefault="00A843E1" w:rsidP="00E64268">
      <w:pPr>
        <w:spacing w:line="276" w:lineRule="auto"/>
        <w:ind w:left="720"/>
        <w:jc w:val="both"/>
      </w:pPr>
      <w:r>
        <w:t>“</w:t>
      </w:r>
      <w:r w:rsidRPr="00E64268">
        <w:rPr>
          <w:sz w:val="22"/>
          <w:szCs w:val="22"/>
        </w:rPr>
        <w:t xml:space="preserve">On the above mentioned day I was at work and around 11.15 hours I took the Nissan hard body truck </w:t>
      </w:r>
      <w:r w:rsidRPr="00E64268">
        <w:rPr>
          <w:b/>
          <w:sz w:val="22"/>
          <w:szCs w:val="22"/>
        </w:rPr>
        <w:t>unauthorized</w:t>
      </w:r>
      <w:r w:rsidRPr="00E64268">
        <w:rPr>
          <w:sz w:val="22"/>
          <w:szCs w:val="22"/>
        </w:rPr>
        <w:t xml:space="preserve"> to buy personal goodies for my family at a farm in </w:t>
      </w:r>
      <w:proofErr w:type="spellStart"/>
      <w:r w:rsidRPr="00E64268">
        <w:rPr>
          <w:sz w:val="22"/>
          <w:szCs w:val="22"/>
        </w:rPr>
        <w:t>Ruwa</w:t>
      </w:r>
      <w:proofErr w:type="spellEnd"/>
      <w:r w:rsidRPr="00E64268">
        <w:rPr>
          <w:sz w:val="22"/>
          <w:szCs w:val="22"/>
        </w:rPr>
        <w:t xml:space="preserve"> which is roughly +- 25 </w:t>
      </w:r>
      <w:proofErr w:type="spellStart"/>
      <w:r w:rsidRPr="00E64268">
        <w:rPr>
          <w:sz w:val="22"/>
          <w:szCs w:val="22"/>
        </w:rPr>
        <w:t>kms</w:t>
      </w:r>
      <w:proofErr w:type="spellEnd"/>
      <w:r w:rsidRPr="00E64268">
        <w:rPr>
          <w:sz w:val="22"/>
          <w:szCs w:val="22"/>
        </w:rPr>
        <w:t xml:space="preserve"> from Factory.  I didn’t inform or seek authority from my boss I thought it not necessary distance wise and wasn’t going to affect plant performance (Pit Superintendent in charge of all </w:t>
      </w:r>
      <w:proofErr w:type="gramStart"/>
      <w:r w:rsidRPr="00E64268">
        <w:rPr>
          <w:sz w:val="22"/>
          <w:szCs w:val="22"/>
        </w:rPr>
        <w:t>Quarry</w:t>
      </w:r>
      <w:proofErr w:type="gramEnd"/>
      <w:r w:rsidRPr="00E64268">
        <w:rPr>
          <w:sz w:val="22"/>
          <w:szCs w:val="22"/>
        </w:rPr>
        <w:t xml:space="preserve"> opt for the time.  I was not around 1 hour 30 minutes).  In the farm on my way from the farm kiosk I saw Mr. </w:t>
      </w:r>
      <w:proofErr w:type="spellStart"/>
      <w:r w:rsidRPr="00E64268">
        <w:rPr>
          <w:sz w:val="22"/>
          <w:szCs w:val="22"/>
        </w:rPr>
        <w:t>Mutasa’s</w:t>
      </w:r>
      <w:proofErr w:type="spellEnd"/>
      <w:r w:rsidRPr="00E64268">
        <w:rPr>
          <w:sz w:val="22"/>
          <w:szCs w:val="22"/>
        </w:rPr>
        <w:t xml:space="preserve"> jeep we met and after greeting him he asked me the type of car I had used I pointed to the Nissan, again he asked if I had seek authority I admit (sic), </w:t>
      </w:r>
      <w:r w:rsidRPr="00E64268">
        <w:rPr>
          <w:sz w:val="22"/>
          <w:szCs w:val="22"/>
        </w:rPr>
        <w:lastRenderedPageBreak/>
        <w:t xml:space="preserve">like anybody I panicked, then he warned me against such behaviour and his disappointment, </w:t>
      </w:r>
      <w:r w:rsidR="004D462D" w:rsidRPr="00E64268">
        <w:rPr>
          <w:sz w:val="22"/>
          <w:szCs w:val="22"/>
        </w:rPr>
        <w:t>citing recent incidents that had happened in Quarry.</w:t>
      </w:r>
    </w:p>
    <w:p w:rsidR="004D462D" w:rsidRDefault="004D462D" w:rsidP="004D462D">
      <w:pPr>
        <w:jc w:val="both"/>
      </w:pPr>
    </w:p>
    <w:p w:rsidR="004D462D" w:rsidRPr="00D23E57" w:rsidRDefault="004D462D" w:rsidP="00D23E57">
      <w:pPr>
        <w:spacing w:line="276" w:lineRule="auto"/>
        <w:ind w:left="720"/>
        <w:jc w:val="both"/>
        <w:rPr>
          <w:sz w:val="22"/>
          <w:szCs w:val="22"/>
        </w:rPr>
      </w:pPr>
      <w:r w:rsidRPr="00D23E57">
        <w:rPr>
          <w:sz w:val="22"/>
          <w:szCs w:val="22"/>
        </w:rPr>
        <w:t>I then informed my boss about the incident who was equally disappointed about the unsanctioned trip, then requested a written statement.</w:t>
      </w:r>
    </w:p>
    <w:p w:rsidR="004D462D" w:rsidRPr="00D23E57" w:rsidRDefault="004D462D" w:rsidP="00D23E57">
      <w:pPr>
        <w:spacing w:line="276" w:lineRule="auto"/>
        <w:jc w:val="both"/>
        <w:rPr>
          <w:sz w:val="22"/>
          <w:szCs w:val="22"/>
        </w:rPr>
      </w:pPr>
    </w:p>
    <w:p w:rsidR="004D462D" w:rsidRPr="00D23E57" w:rsidRDefault="004D462D" w:rsidP="00D23E57">
      <w:pPr>
        <w:spacing w:line="276" w:lineRule="auto"/>
        <w:ind w:left="720"/>
        <w:jc w:val="both"/>
        <w:rPr>
          <w:sz w:val="22"/>
          <w:szCs w:val="22"/>
        </w:rPr>
      </w:pPr>
      <w:r w:rsidRPr="00D23E57">
        <w:rPr>
          <w:sz w:val="22"/>
          <w:szCs w:val="22"/>
        </w:rPr>
        <w:t xml:space="preserve">I therefore sincerely </w:t>
      </w:r>
      <w:proofErr w:type="spellStart"/>
      <w:r w:rsidRPr="00D23E57">
        <w:rPr>
          <w:sz w:val="22"/>
          <w:szCs w:val="22"/>
        </w:rPr>
        <w:t>apologise</w:t>
      </w:r>
      <w:proofErr w:type="spellEnd"/>
      <w:r w:rsidRPr="00D23E57">
        <w:rPr>
          <w:sz w:val="22"/>
          <w:szCs w:val="22"/>
        </w:rPr>
        <w:t xml:space="preserve"> to Mr. </w:t>
      </w:r>
      <w:proofErr w:type="spellStart"/>
      <w:r w:rsidRPr="00D23E57">
        <w:rPr>
          <w:sz w:val="22"/>
          <w:szCs w:val="22"/>
        </w:rPr>
        <w:t>Mutasa</w:t>
      </w:r>
      <w:proofErr w:type="spellEnd"/>
      <w:r w:rsidRPr="00D23E57">
        <w:rPr>
          <w:sz w:val="22"/>
          <w:szCs w:val="22"/>
        </w:rPr>
        <w:t xml:space="preserve"> for not telling the truth in the first instance although I later phoned to narrate the </w:t>
      </w:r>
      <w:r w:rsidR="009913CF">
        <w:rPr>
          <w:sz w:val="22"/>
          <w:szCs w:val="22"/>
        </w:rPr>
        <w:t>true story</w:t>
      </w:r>
      <w:r w:rsidRPr="00D23E57">
        <w:rPr>
          <w:sz w:val="22"/>
          <w:szCs w:val="22"/>
        </w:rPr>
        <w:t xml:space="preserve"> because I had panicked in the first instance, the Quarry Mines Engineer who is acting </w:t>
      </w:r>
      <w:proofErr w:type="spellStart"/>
      <w:r w:rsidRPr="00D23E57">
        <w:rPr>
          <w:sz w:val="22"/>
          <w:szCs w:val="22"/>
        </w:rPr>
        <w:t>Quary</w:t>
      </w:r>
      <w:proofErr w:type="spellEnd"/>
      <w:r w:rsidRPr="00D23E57">
        <w:rPr>
          <w:sz w:val="22"/>
          <w:szCs w:val="22"/>
        </w:rPr>
        <w:t xml:space="preserve"> Manager on the day and to all about my actions – for not reciproc</w:t>
      </w:r>
      <w:r w:rsidR="00D23E57">
        <w:rPr>
          <w:sz w:val="22"/>
          <w:szCs w:val="22"/>
        </w:rPr>
        <w:t>ate (</w:t>
      </w:r>
      <w:proofErr w:type="spellStart"/>
      <w:r w:rsidR="00D23E57">
        <w:rPr>
          <w:sz w:val="22"/>
          <w:szCs w:val="22"/>
        </w:rPr>
        <w:t>ing</w:t>
      </w:r>
      <w:proofErr w:type="spellEnd"/>
      <w:r w:rsidR="00D23E57">
        <w:rPr>
          <w:sz w:val="22"/>
          <w:szCs w:val="22"/>
        </w:rPr>
        <w:t>) the trust</w:t>
      </w:r>
      <w:r w:rsidRPr="00D23E57">
        <w:rPr>
          <w:sz w:val="22"/>
          <w:szCs w:val="22"/>
        </w:rPr>
        <w:t xml:space="preserve"> and faith shown by all above me.</w:t>
      </w:r>
    </w:p>
    <w:p w:rsidR="004D462D" w:rsidRPr="00D23E57" w:rsidRDefault="004D462D" w:rsidP="00D23E57">
      <w:pPr>
        <w:spacing w:line="276" w:lineRule="auto"/>
        <w:jc w:val="both"/>
        <w:rPr>
          <w:sz w:val="22"/>
          <w:szCs w:val="22"/>
        </w:rPr>
      </w:pPr>
    </w:p>
    <w:p w:rsidR="004D462D" w:rsidRPr="00D23E57" w:rsidRDefault="004D462D" w:rsidP="00D23E57">
      <w:pPr>
        <w:spacing w:line="276" w:lineRule="auto"/>
        <w:ind w:left="720"/>
        <w:jc w:val="both"/>
      </w:pPr>
      <w:r w:rsidRPr="00D23E57">
        <w:rPr>
          <w:sz w:val="22"/>
          <w:szCs w:val="22"/>
        </w:rPr>
        <w:t xml:space="preserve">Once again my apology to </w:t>
      </w:r>
      <w:r w:rsidR="00F22E9A" w:rsidRPr="00D23E57">
        <w:rPr>
          <w:sz w:val="22"/>
          <w:szCs w:val="22"/>
        </w:rPr>
        <w:t xml:space="preserve">all, it was an oversight and wasn’t meant to undermine </w:t>
      </w:r>
      <w:r w:rsidR="00D23E57">
        <w:rPr>
          <w:sz w:val="22"/>
          <w:szCs w:val="22"/>
        </w:rPr>
        <w:t>the Quarry Manager’s or</w:t>
      </w:r>
      <w:r w:rsidR="00F22E9A" w:rsidRPr="00D23E57">
        <w:rPr>
          <w:sz w:val="22"/>
          <w:szCs w:val="22"/>
        </w:rPr>
        <w:t xml:space="preserve"> anybody’s authority</w:t>
      </w:r>
      <w:r w:rsidR="00BE5A46" w:rsidRPr="00D23E57">
        <w:rPr>
          <w:sz w:val="22"/>
          <w:szCs w:val="22"/>
        </w:rPr>
        <w:t>”</w:t>
      </w:r>
      <w:r w:rsidR="00D23E57">
        <w:rPr>
          <w:sz w:val="22"/>
          <w:szCs w:val="22"/>
        </w:rPr>
        <w:t xml:space="preserve"> </w:t>
      </w:r>
      <w:r w:rsidR="00D23E57">
        <w:t>(Emphasis added)</w:t>
      </w:r>
    </w:p>
    <w:p w:rsidR="00BE5A46" w:rsidRDefault="00BE5A46" w:rsidP="0040089D">
      <w:pPr>
        <w:jc w:val="both"/>
      </w:pPr>
    </w:p>
    <w:p w:rsidR="00BE5A46" w:rsidRDefault="00BE5A46" w:rsidP="00FD0E4F">
      <w:pPr>
        <w:spacing w:line="360" w:lineRule="auto"/>
        <w:jc w:val="both"/>
      </w:pPr>
      <w:r>
        <w:tab/>
        <w:t>As a result of that unsanctioned trip disciplinary proceeding</w:t>
      </w:r>
      <w:r w:rsidR="00D23E57">
        <w:t>s</w:t>
      </w:r>
      <w:r>
        <w:t xml:space="preserve"> were conducted against him</w:t>
      </w:r>
      <w:r w:rsidR="00E65A64">
        <w:t xml:space="preserve">. </w:t>
      </w:r>
      <w:r>
        <w:t xml:space="preserve"> He was charged with</w:t>
      </w:r>
      <w:r w:rsidR="00E65A64">
        <w:t>:</w:t>
      </w:r>
    </w:p>
    <w:p w:rsidR="00BE5A46" w:rsidRPr="00E64268" w:rsidRDefault="0040089D" w:rsidP="00E64268">
      <w:pPr>
        <w:spacing w:line="276" w:lineRule="auto"/>
        <w:jc w:val="both"/>
        <w:rPr>
          <w:sz w:val="22"/>
          <w:szCs w:val="22"/>
        </w:rPr>
      </w:pPr>
      <w:r>
        <w:t xml:space="preserve">    </w:t>
      </w:r>
      <w:r w:rsidRPr="00E64268">
        <w:rPr>
          <w:sz w:val="22"/>
          <w:szCs w:val="22"/>
        </w:rPr>
        <w:t>“(i)</w:t>
      </w:r>
      <w:r w:rsidRPr="00E64268">
        <w:rPr>
          <w:sz w:val="22"/>
          <w:szCs w:val="22"/>
        </w:rPr>
        <w:tab/>
        <w:t xml:space="preserve">     willful damage, misuse or loss of company property and</w:t>
      </w:r>
    </w:p>
    <w:p w:rsidR="0040089D" w:rsidRPr="00E64268" w:rsidRDefault="0040089D" w:rsidP="00E64268">
      <w:pPr>
        <w:pStyle w:val="ListParagraph"/>
        <w:numPr>
          <w:ilvl w:val="0"/>
          <w:numId w:val="2"/>
        </w:numPr>
        <w:spacing w:line="276" w:lineRule="auto"/>
        <w:jc w:val="both"/>
        <w:rPr>
          <w:sz w:val="22"/>
          <w:szCs w:val="22"/>
        </w:rPr>
      </w:pPr>
      <w:proofErr w:type="gramStart"/>
      <w:r w:rsidRPr="00E64268">
        <w:rPr>
          <w:sz w:val="22"/>
          <w:szCs w:val="22"/>
        </w:rPr>
        <w:t>leaving</w:t>
      </w:r>
      <w:proofErr w:type="gramEnd"/>
      <w:r w:rsidRPr="00E64268">
        <w:rPr>
          <w:sz w:val="22"/>
          <w:szCs w:val="22"/>
        </w:rPr>
        <w:t xml:space="preserve"> work situation without permission.”</w:t>
      </w:r>
    </w:p>
    <w:p w:rsidR="0040089D" w:rsidRDefault="0040089D" w:rsidP="0040089D">
      <w:pPr>
        <w:jc w:val="both"/>
      </w:pPr>
    </w:p>
    <w:p w:rsidR="0040089D" w:rsidRDefault="00E65A64" w:rsidP="0040089D">
      <w:pPr>
        <w:spacing w:line="360" w:lineRule="auto"/>
        <w:jc w:val="both"/>
      </w:pPr>
      <w:r>
        <w:t>Thes</w:t>
      </w:r>
      <w:r w:rsidR="0040089D">
        <w:t xml:space="preserve">e were violations of </w:t>
      </w:r>
      <w:r w:rsidR="00D23E57">
        <w:t>paragraph 4 (</w:t>
      </w:r>
      <w:r w:rsidR="0040089D">
        <w:t>d</w:t>
      </w:r>
      <w:r w:rsidR="00D23E57">
        <w:t>)</w:t>
      </w:r>
      <w:r w:rsidR="0040089D">
        <w:t xml:space="preserve"> </w:t>
      </w:r>
      <w:r w:rsidR="00D23E57">
        <w:t>and</w:t>
      </w:r>
      <w:r w:rsidR="00423F25">
        <w:t xml:space="preserve"> 5</w:t>
      </w:r>
      <w:r w:rsidR="00D23E57">
        <w:t xml:space="preserve"> (</w:t>
      </w:r>
      <w:r w:rsidR="00423F25">
        <w:t>c</w:t>
      </w:r>
      <w:r w:rsidR="00D23E57">
        <w:t>)</w:t>
      </w:r>
      <w:r w:rsidR="00423F25">
        <w:t xml:space="preserve"> respectively of the respondent’s code of </w:t>
      </w:r>
      <w:r w:rsidR="00D23E57">
        <w:t>conduc</w:t>
      </w:r>
      <w:r w:rsidR="00423F25">
        <w:t>t.  The appellant was found guilty and penalized with dismissal.  He was aggrieved by the decision</w:t>
      </w:r>
      <w:r w:rsidR="00D23E57">
        <w:t>.</w:t>
      </w:r>
      <w:r w:rsidR="00423F25">
        <w:t xml:space="preserve"> </w:t>
      </w:r>
      <w:r w:rsidR="00D23E57">
        <w:t xml:space="preserve"> He</w:t>
      </w:r>
      <w:r w:rsidR="00423F25">
        <w:t xml:space="preserve"> appeals to this court on the basis that: a wrong employment code was used to discipline him; the charges were improperly </w:t>
      </w:r>
      <w:r w:rsidR="00D23E57">
        <w:t>and arbitrarily preferred against him; t</w:t>
      </w:r>
      <w:r w:rsidR="003D4E91">
        <w:t>here was no motor vehicle policy at the workplace and that mitigatory features were not given adequate consideration.</w:t>
      </w:r>
    </w:p>
    <w:p w:rsidR="003D4E91" w:rsidRDefault="003D4E91" w:rsidP="003D4E91">
      <w:pPr>
        <w:jc w:val="both"/>
      </w:pPr>
    </w:p>
    <w:p w:rsidR="003D4E91" w:rsidRDefault="003D4E91" w:rsidP="0040089D">
      <w:pPr>
        <w:spacing w:line="360" w:lineRule="auto"/>
        <w:jc w:val="both"/>
      </w:pPr>
      <w:r>
        <w:tab/>
        <w:t xml:space="preserve">It is clear from the appellant’s report that he was aware of the need to seek authority when taking his employer’s vehicle out.  It is equally clear that he needed authority to leave the workplace.  From these two considerations alone, the appellant cannot turn around and start questioning whether or not there was a vehicle policy.  There is no way he can </w:t>
      </w:r>
      <w:r w:rsidR="00622C89">
        <w:t xml:space="preserve">now allege </w:t>
      </w:r>
      <w:r w:rsidR="00D23E57">
        <w:t>ignorance</w:t>
      </w:r>
      <w:r w:rsidR="00622C89">
        <w:t xml:space="preserve"> of facts which he confessed to himself. </w:t>
      </w:r>
      <w:r w:rsidR="000427E6">
        <w:t>Further, once</w:t>
      </w:r>
      <w:r w:rsidR="00622C89">
        <w:t xml:space="preserve"> a wrong has been committed, it is up to the employer to </w:t>
      </w:r>
      <w:r w:rsidR="00D23E57">
        <w:t>either prefer or not prefer char</w:t>
      </w:r>
      <w:r w:rsidR="002108A5">
        <w:t xml:space="preserve">ges.  </w:t>
      </w:r>
      <w:r w:rsidR="00D23E57">
        <w:t>As such therefore it cannot then be</w:t>
      </w:r>
      <w:r w:rsidR="002108A5">
        <w:t xml:space="preserve"> suggest</w:t>
      </w:r>
      <w:r w:rsidR="00D23E57">
        <w:t>ed</w:t>
      </w:r>
      <w:r w:rsidR="00E65A64">
        <w:t xml:space="preserve"> that the charges are</w:t>
      </w:r>
      <w:r w:rsidR="002108A5">
        <w:t xml:space="preserve"> either improper or arbitrary.  The record of proceedings shows that the appellant genuinely apologized for his wrong doing (p</w:t>
      </w:r>
      <w:r w:rsidR="00D23E57">
        <w:t xml:space="preserve"> </w:t>
      </w:r>
      <w:r w:rsidR="00462175">
        <w:t>21</w:t>
      </w:r>
      <w:r w:rsidR="002108A5">
        <w:t>)</w:t>
      </w:r>
      <w:r w:rsidR="00462175">
        <w:t>.  T</w:t>
      </w:r>
      <w:r w:rsidR="002108A5">
        <w:t xml:space="preserve">his lead to a stalemate </w:t>
      </w:r>
      <w:r w:rsidR="00462175">
        <w:t>as the disciplinary committee con</w:t>
      </w:r>
      <w:r w:rsidR="009913CF">
        <w:t>sidered the appropriate penalty,</w:t>
      </w:r>
      <w:r w:rsidR="00462175">
        <w:t xml:space="preserve"> </w:t>
      </w:r>
      <w:r w:rsidR="009913CF">
        <w:t xml:space="preserve">and resulted in </w:t>
      </w:r>
      <w:r w:rsidR="00462175">
        <w:t xml:space="preserve">the chairperson </w:t>
      </w:r>
      <w:r w:rsidR="00E65A64">
        <w:t xml:space="preserve">of the Grievance and </w:t>
      </w:r>
      <w:r w:rsidR="00E65A64">
        <w:lastRenderedPageBreak/>
        <w:t>Disciplinary Committee (GD</w:t>
      </w:r>
      <w:r w:rsidR="009913CF">
        <w:t>C</w:t>
      </w:r>
      <w:r w:rsidR="00E65A64">
        <w:t>) writing</w:t>
      </w:r>
      <w:r w:rsidR="00462175">
        <w:t xml:space="preserve"> to the M</w:t>
      </w:r>
      <w:r w:rsidR="002108A5">
        <w:t xml:space="preserve">anaging </w:t>
      </w:r>
      <w:r w:rsidR="00462175">
        <w:t xml:space="preserve">Director. </w:t>
      </w:r>
      <w:r w:rsidR="002108A5">
        <w:t xml:space="preserve"> </w:t>
      </w:r>
      <w:r w:rsidR="00462175">
        <w:t xml:space="preserve"> It was the Managing Director </w:t>
      </w:r>
      <w:r w:rsidR="002108A5">
        <w:t xml:space="preserve">who recommended dismissal.  The final decision was that the appellant be dismissed, so he was dismissed.  The record therefore speaks for itself.  Mitigation was appropriately considered but the employer proceeded to impose the ultimate penalty of dismissal.  In </w:t>
      </w:r>
      <w:r w:rsidR="002108A5" w:rsidRPr="00E64268">
        <w:rPr>
          <w:i/>
        </w:rPr>
        <w:t>Circle Cement (</w:t>
      </w:r>
      <w:proofErr w:type="spellStart"/>
      <w:r w:rsidR="002108A5" w:rsidRPr="00E64268">
        <w:rPr>
          <w:i/>
        </w:rPr>
        <w:t>Pvt</w:t>
      </w:r>
      <w:proofErr w:type="spellEnd"/>
      <w:r w:rsidR="002108A5" w:rsidRPr="00E64268">
        <w:rPr>
          <w:i/>
        </w:rPr>
        <w:t>) Ltd</w:t>
      </w:r>
      <w:r w:rsidR="002108A5">
        <w:t xml:space="preserve"> v </w:t>
      </w:r>
      <w:proofErr w:type="spellStart"/>
      <w:r w:rsidR="002108A5" w:rsidRPr="00E64268">
        <w:rPr>
          <w:i/>
        </w:rPr>
        <w:t>Chipo</w:t>
      </w:r>
      <w:proofErr w:type="spellEnd"/>
      <w:r w:rsidR="002108A5" w:rsidRPr="00E64268">
        <w:rPr>
          <w:i/>
        </w:rPr>
        <w:t xml:space="preserve"> </w:t>
      </w:r>
      <w:proofErr w:type="spellStart"/>
      <w:r w:rsidR="002108A5" w:rsidRPr="00E64268">
        <w:rPr>
          <w:i/>
        </w:rPr>
        <w:t>Nyawasha</w:t>
      </w:r>
      <w:proofErr w:type="spellEnd"/>
      <w:r w:rsidR="00E65A64">
        <w:t xml:space="preserve"> SC 60/03 t</w:t>
      </w:r>
      <w:r w:rsidR="002108A5">
        <w:t>he Supreme Court held that</w:t>
      </w:r>
    </w:p>
    <w:p w:rsidR="002108A5" w:rsidRDefault="002108A5" w:rsidP="00F56268">
      <w:pPr>
        <w:jc w:val="both"/>
      </w:pPr>
    </w:p>
    <w:p w:rsidR="002108A5" w:rsidRDefault="002108A5" w:rsidP="00E64268">
      <w:pPr>
        <w:spacing w:line="276" w:lineRule="auto"/>
        <w:ind w:left="720"/>
        <w:jc w:val="both"/>
      </w:pPr>
      <w:r>
        <w:t>“</w:t>
      </w:r>
      <w:r w:rsidRPr="00E64268">
        <w:rPr>
          <w:sz w:val="22"/>
          <w:szCs w:val="22"/>
        </w:rPr>
        <w:t xml:space="preserve">Once an employer has taken a serious view of the act by the employee to the extent that it considered it to be a </w:t>
      </w:r>
      <w:proofErr w:type="spellStart"/>
      <w:r w:rsidR="00462175">
        <w:rPr>
          <w:sz w:val="22"/>
          <w:szCs w:val="22"/>
        </w:rPr>
        <w:t>pepudiation</w:t>
      </w:r>
      <w:proofErr w:type="spellEnd"/>
      <w:r w:rsidRPr="00E64268">
        <w:rPr>
          <w:sz w:val="22"/>
          <w:szCs w:val="22"/>
        </w:rPr>
        <w:t xml:space="preserve"> of contract which it accepted by dismissing her from employment, the question of a penalty less severe than dismissal being available for consideration would not arise …”</w:t>
      </w:r>
    </w:p>
    <w:p w:rsidR="00F56268" w:rsidRDefault="00F56268" w:rsidP="00F56268">
      <w:pPr>
        <w:spacing w:line="276" w:lineRule="auto"/>
        <w:jc w:val="both"/>
      </w:pPr>
    </w:p>
    <w:p w:rsidR="00F56268" w:rsidRDefault="00462175" w:rsidP="0040089D">
      <w:pPr>
        <w:spacing w:line="360" w:lineRule="auto"/>
        <w:jc w:val="both"/>
      </w:pPr>
      <w:r>
        <w:t>Considering</w:t>
      </w:r>
      <w:r w:rsidR="00F56268">
        <w:t xml:space="preserve"> the circumstances of this case</w:t>
      </w:r>
      <w:r w:rsidR="00E65A64">
        <w:t xml:space="preserve"> in view of the above cited authority,</w:t>
      </w:r>
      <w:r w:rsidR="00F56268">
        <w:t xml:space="preserve"> the question of a lesser penalty cannot arise.</w:t>
      </w:r>
    </w:p>
    <w:p w:rsidR="00F56268" w:rsidRDefault="00F56268" w:rsidP="00E64268">
      <w:pPr>
        <w:jc w:val="both"/>
      </w:pPr>
    </w:p>
    <w:p w:rsidR="00F56268" w:rsidRDefault="00F56268" w:rsidP="0040089D">
      <w:pPr>
        <w:spacing w:line="360" w:lineRule="auto"/>
        <w:jc w:val="both"/>
      </w:pPr>
      <w:r>
        <w:tab/>
        <w:t xml:space="preserve">It has been argued on behalf of the appellant that </w:t>
      </w:r>
      <w:r w:rsidR="000427E6">
        <w:t>he</w:t>
      </w:r>
      <w:r>
        <w:t xml:space="preserve"> was a managerial employee and should not have been disciplined in terms of the applicable c</w:t>
      </w:r>
      <w:r w:rsidR="00462175">
        <w:t xml:space="preserve">ode.  The argument was </w:t>
      </w:r>
      <w:r w:rsidR="009A718F">
        <w:t>advanced that</w:t>
      </w:r>
      <w:r>
        <w:t xml:space="preserve"> since the appellant was authorise</w:t>
      </w:r>
      <w:r w:rsidR="00462175">
        <w:t>d to supervise</w:t>
      </w:r>
      <w:r>
        <w:t xml:space="preserve"> others, he could not be disciplined by the applicable code.  Firstly the code provides that “the provisions of the code are applicable to all employees” of the respondent.  </w:t>
      </w:r>
      <w:r w:rsidR="00E65A64">
        <w:t>Secondly, the</w:t>
      </w:r>
      <w:r w:rsidR="009913CF">
        <w:t xml:space="preserve"> same Code in l</w:t>
      </w:r>
      <w:r>
        <w:t xml:space="preserve">abour </w:t>
      </w:r>
      <w:proofErr w:type="gramStart"/>
      <w:r>
        <w:t>matters</w:t>
      </w:r>
      <w:r w:rsidR="009913CF">
        <w:t>,</w:t>
      </w:r>
      <w:proofErr w:type="gramEnd"/>
      <w:r>
        <w:t xml:space="preserve"> provides that its provision apply to the employer, the employee’s representative and the employees.  So before looking elsewhere </w:t>
      </w:r>
      <w:r w:rsidR="004E2550">
        <w:t xml:space="preserve">for an answer, </w:t>
      </w:r>
      <w:r>
        <w:t xml:space="preserve">I am of the respectful view that the provisions of the code </w:t>
      </w:r>
      <w:r w:rsidR="0065582F">
        <w:t>make it abundantly clear that whosoever is employed by the respondent, be the employer’s representatives or the employee</w:t>
      </w:r>
      <w:r w:rsidR="004E2550">
        <w:t>s,</w:t>
      </w:r>
      <w:r w:rsidR="0065582F">
        <w:t xml:space="preserve"> </w:t>
      </w:r>
      <w:r w:rsidR="00462175">
        <w:t xml:space="preserve"> all are required to abide </w:t>
      </w:r>
      <w:r w:rsidR="0065582F">
        <w:t xml:space="preserve">by the provisions of the code.  </w:t>
      </w:r>
      <w:r w:rsidR="00E61524">
        <w:t>Mr.</w:t>
      </w:r>
      <w:r w:rsidR="0065582F">
        <w:t xml:space="preserve"> </w:t>
      </w:r>
      <w:proofErr w:type="spellStart"/>
      <w:r w:rsidR="0065582F">
        <w:t>Taruvinga</w:t>
      </w:r>
      <w:proofErr w:type="spellEnd"/>
      <w:r w:rsidR="0065582F">
        <w:t xml:space="preserve"> who appeared on behalf of the appellant strenuously argued and sought to persuade the court that it should apply the Golden Rule of </w:t>
      </w:r>
      <w:r w:rsidR="00E61524">
        <w:t>interpretation in interpreting</w:t>
      </w:r>
      <w:r w:rsidR="0065582F">
        <w:t xml:space="preserve"> the word ‘employee’ and find that the appellant is not one of the </w:t>
      </w:r>
      <w:r w:rsidR="00462175">
        <w:t>persons</w:t>
      </w:r>
      <w:r w:rsidR="0065582F">
        <w:t xml:space="preserve"> covered by the code.  Mr. Hussein who appeared on behalf of the respondent argued that the principles of interpretation enjoin the court to use words in their ordinary and grammatical meaning unless such </w:t>
      </w:r>
      <w:r w:rsidR="00E61524">
        <w:t>interpretation led to an ambiguity or absurdity.  I agree,</w:t>
      </w:r>
    </w:p>
    <w:p w:rsidR="00E61524" w:rsidRDefault="00E61524" w:rsidP="00E64268">
      <w:pPr>
        <w:jc w:val="both"/>
      </w:pPr>
    </w:p>
    <w:p w:rsidR="00E61524" w:rsidRDefault="00E61524" w:rsidP="00E64268">
      <w:pPr>
        <w:spacing w:line="276" w:lineRule="auto"/>
        <w:ind w:left="720"/>
        <w:jc w:val="both"/>
      </w:pPr>
      <w:r>
        <w:t>“</w:t>
      </w:r>
      <w:r w:rsidRPr="00E64268">
        <w:rPr>
          <w:sz w:val="22"/>
          <w:szCs w:val="22"/>
        </w:rPr>
        <w:t xml:space="preserve">The </w:t>
      </w:r>
      <w:r w:rsidR="00462175">
        <w:rPr>
          <w:sz w:val="22"/>
          <w:szCs w:val="22"/>
        </w:rPr>
        <w:t>cardinal</w:t>
      </w:r>
      <w:r w:rsidRPr="00E64268">
        <w:rPr>
          <w:sz w:val="22"/>
          <w:szCs w:val="22"/>
        </w:rPr>
        <w:t xml:space="preserve"> rule of construction is that words must be given then ordinary, literal grammatical meaning</w:t>
      </w:r>
      <w:r w:rsidR="009913CF">
        <w:rPr>
          <w:sz w:val="22"/>
          <w:szCs w:val="22"/>
        </w:rPr>
        <w:t>.</w:t>
      </w:r>
      <w:r>
        <w:t>”</w:t>
      </w:r>
    </w:p>
    <w:p w:rsidR="00E61524" w:rsidRDefault="00E61524" w:rsidP="00E64268">
      <w:pPr>
        <w:jc w:val="both"/>
      </w:pPr>
    </w:p>
    <w:p w:rsidR="00E70939" w:rsidRDefault="00E70939" w:rsidP="0040089D">
      <w:pPr>
        <w:spacing w:line="360" w:lineRule="auto"/>
        <w:jc w:val="both"/>
      </w:pPr>
      <w:r>
        <w:t xml:space="preserve">See </w:t>
      </w:r>
      <w:proofErr w:type="spellStart"/>
      <w:r w:rsidR="00462175">
        <w:rPr>
          <w:i/>
        </w:rPr>
        <w:t>Volschenk</w:t>
      </w:r>
      <w:proofErr w:type="spellEnd"/>
      <w:r w:rsidR="00462175">
        <w:rPr>
          <w:i/>
        </w:rPr>
        <w:t xml:space="preserve"> v </w:t>
      </w:r>
      <w:proofErr w:type="spellStart"/>
      <w:r w:rsidR="00462175">
        <w:rPr>
          <w:i/>
        </w:rPr>
        <w:t>Volschen</w:t>
      </w:r>
      <w:r w:rsidR="00E61524" w:rsidRPr="00E64268">
        <w:rPr>
          <w:i/>
        </w:rPr>
        <w:t>k</w:t>
      </w:r>
      <w:proofErr w:type="spellEnd"/>
      <w:r w:rsidR="00E61524">
        <w:t xml:space="preserve"> 1946 TPD 486 @ 487.  The Golden Rule will as Mr. Hussein correctly submitted</w:t>
      </w:r>
      <w:r w:rsidR="009913CF">
        <w:t xml:space="preserve"> should</w:t>
      </w:r>
      <w:r w:rsidR="00E61524">
        <w:t xml:space="preserve"> be used where the literal rule is </w:t>
      </w:r>
      <w:r w:rsidR="00E52FF8">
        <w:t>inadequate</w:t>
      </w:r>
      <w:r w:rsidR="00E61524">
        <w:t xml:space="preserve"> (</w:t>
      </w:r>
      <w:proofErr w:type="spellStart"/>
      <w:r w:rsidR="00E61524">
        <w:t>Volsche</w:t>
      </w:r>
      <w:r w:rsidR="00462175">
        <w:t>nk</w:t>
      </w:r>
      <w:proofErr w:type="spellEnd"/>
      <w:r w:rsidR="00462175">
        <w:t xml:space="preserve"> v </w:t>
      </w:r>
      <w:proofErr w:type="spellStart"/>
      <w:r w:rsidR="00462175">
        <w:t>Voslschen</w:t>
      </w:r>
      <w:r w:rsidR="00E64268">
        <w:t>k</w:t>
      </w:r>
      <w:proofErr w:type="spellEnd"/>
      <w:r>
        <w:t>)</w:t>
      </w:r>
      <w:r w:rsidR="00287141">
        <w:t xml:space="preserve"> (above).  In the </w:t>
      </w:r>
      <w:r>
        <w:t xml:space="preserve">present case if it is thought that the applicable code did not adequately </w:t>
      </w:r>
      <w:r w:rsidR="00462175">
        <w:t>define</w:t>
      </w:r>
      <w:r>
        <w:t xml:space="preserve"> an employee</w:t>
      </w:r>
      <w:r w:rsidR="004E2550">
        <w:t>,</w:t>
      </w:r>
      <w:r>
        <w:t xml:space="preserve"> it is </w:t>
      </w:r>
      <w:r w:rsidR="00462175">
        <w:t>important</w:t>
      </w:r>
      <w:r>
        <w:t xml:space="preserve"> to consult </w:t>
      </w:r>
      <w:r w:rsidR="00462175">
        <w:t>the enabling Act, T</w:t>
      </w:r>
      <w:r>
        <w:t>he Labour Act [Chapter 28:01] (The Act).  According to the Act an “employee” is defined as</w:t>
      </w:r>
    </w:p>
    <w:p w:rsidR="00E70939" w:rsidRDefault="00E70939" w:rsidP="00B70E41">
      <w:pPr>
        <w:jc w:val="both"/>
      </w:pPr>
    </w:p>
    <w:p w:rsidR="009A718F" w:rsidRDefault="00E70939" w:rsidP="00E64268">
      <w:pPr>
        <w:spacing w:line="276" w:lineRule="auto"/>
        <w:ind w:left="720"/>
        <w:jc w:val="both"/>
        <w:rPr>
          <w:sz w:val="22"/>
          <w:szCs w:val="22"/>
        </w:rPr>
      </w:pPr>
      <w:r>
        <w:t>“</w:t>
      </w:r>
      <w:r w:rsidRPr="00E64268">
        <w:rPr>
          <w:sz w:val="22"/>
          <w:szCs w:val="22"/>
        </w:rPr>
        <w:t>any person who performs work or services for another person for remuneration or record on such terms and conditions as agreed upon by the parties or as provided for in this Act,”</w:t>
      </w:r>
      <w:r w:rsidR="009A718F">
        <w:rPr>
          <w:sz w:val="22"/>
          <w:szCs w:val="22"/>
        </w:rPr>
        <w:t xml:space="preserve"> and</w:t>
      </w:r>
      <w:r w:rsidRPr="00E64268">
        <w:rPr>
          <w:sz w:val="22"/>
          <w:szCs w:val="22"/>
        </w:rPr>
        <w:t xml:space="preserve"> </w:t>
      </w:r>
    </w:p>
    <w:p w:rsidR="009A718F" w:rsidRDefault="009A718F" w:rsidP="009A718F">
      <w:pPr>
        <w:ind w:left="720"/>
        <w:jc w:val="both"/>
        <w:rPr>
          <w:sz w:val="22"/>
          <w:szCs w:val="22"/>
        </w:rPr>
      </w:pPr>
    </w:p>
    <w:p w:rsidR="00B70E41" w:rsidRDefault="00E70939" w:rsidP="00E64268">
      <w:pPr>
        <w:spacing w:line="276" w:lineRule="auto"/>
        <w:ind w:left="720"/>
        <w:jc w:val="both"/>
      </w:pPr>
      <w:r w:rsidRPr="00E64268">
        <w:rPr>
          <w:sz w:val="22"/>
          <w:szCs w:val="22"/>
        </w:rPr>
        <w:t>A “man</w:t>
      </w:r>
      <w:r w:rsidR="009A718F">
        <w:rPr>
          <w:sz w:val="22"/>
          <w:szCs w:val="22"/>
        </w:rPr>
        <w:t>agerial employee</w:t>
      </w:r>
      <w:r w:rsidRPr="00E64268">
        <w:rPr>
          <w:sz w:val="22"/>
          <w:szCs w:val="22"/>
        </w:rPr>
        <w:t xml:space="preserve">” “means an </w:t>
      </w:r>
      <w:r w:rsidRPr="009A718F">
        <w:rPr>
          <w:b/>
          <w:sz w:val="22"/>
          <w:szCs w:val="22"/>
        </w:rPr>
        <w:t>employee</w:t>
      </w:r>
      <w:r w:rsidR="00B70E41" w:rsidRPr="00E64268">
        <w:rPr>
          <w:sz w:val="22"/>
          <w:szCs w:val="22"/>
        </w:rPr>
        <w:t xml:space="preserve"> who by virtue of his contract of employment or of his seniority in an organization, may</w:t>
      </w:r>
      <w:r w:rsidR="009A718F">
        <w:rPr>
          <w:sz w:val="22"/>
          <w:szCs w:val="22"/>
        </w:rPr>
        <w:t xml:space="preserve"> be required or permitted to hire, </w:t>
      </w:r>
      <w:r w:rsidR="00B70E41" w:rsidRPr="00E64268">
        <w:rPr>
          <w:sz w:val="22"/>
          <w:szCs w:val="22"/>
        </w:rPr>
        <w:t xml:space="preserve"> transfer, promote suspend, lay off</w:t>
      </w:r>
      <w:r w:rsidR="004E2550">
        <w:rPr>
          <w:sz w:val="22"/>
          <w:szCs w:val="22"/>
        </w:rPr>
        <w:t>, dismiss, reward, discipline or</w:t>
      </w:r>
      <w:r w:rsidR="00B70E41" w:rsidRPr="00E64268">
        <w:rPr>
          <w:sz w:val="22"/>
          <w:szCs w:val="22"/>
        </w:rPr>
        <w:t xml:space="preserve"> adjudge the grievances of other employees</w:t>
      </w:r>
      <w:r w:rsidR="00B70E41">
        <w:t xml:space="preserve">”; (Emphasis added). </w:t>
      </w:r>
    </w:p>
    <w:p w:rsidR="00B70E41" w:rsidRDefault="00B70E41" w:rsidP="00B70E41">
      <w:pPr>
        <w:jc w:val="both"/>
      </w:pPr>
    </w:p>
    <w:p w:rsidR="00B70E41" w:rsidRDefault="00B70E41" w:rsidP="0040089D">
      <w:pPr>
        <w:spacing w:line="360" w:lineRule="auto"/>
        <w:jc w:val="both"/>
      </w:pPr>
      <w:r>
        <w:tab/>
        <w:t xml:space="preserve">What this means is that whether a person is managerial or non-managerial, they are an employee.    The applicant was therefore an employee of the respondent and </w:t>
      </w:r>
      <w:r w:rsidR="004E2550">
        <w:t xml:space="preserve">as </w:t>
      </w:r>
      <w:r>
        <w:t>such his conduct was governed by the applicable code.</w:t>
      </w:r>
    </w:p>
    <w:p w:rsidR="00B70E41" w:rsidRDefault="00B70E41" w:rsidP="00B70E41">
      <w:pPr>
        <w:jc w:val="both"/>
      </w:pPr>
    </w:p>
    <w:p w:rsidR="00B70E41" w:rsidRDefault="00B70E41" w:rsidP="0040089D">
      <w:pPr>
        <w:spacing w:line="360" w:lineRule="auto"/>
        <w:jc w:val="both"/>
      </w:pPr>
      <w:r>
        <w:tab/>
        <w:t>Having stated the above, all the grounds of appeal have been adequately considered.  There is no merit in all of them.  In the circumstances the appeal is devoid of merit.</w:t>
      </w:r>
    </w:p>
    <w:p w:rsidR="00B70E41" w:rsidRDefault="00B70E41" w:rsidP="0040089D">
      <w:pPr>
        <w:spacing w:line="360" w:lineRule="auto"/>
        <w:jc w:val="both"/>
      </w:pPr>
    </w:p>
    <w:p w:rsidR="00B70E41" w:rsidRDefault="00B70E41" w:rsidP="0040089D">
      <w:pPr>
        <w:spacing w:line="360" w:lineRule="auto"/>
        <w:jc w:val="both"/>
      </w:pPr>
      <w:r>
        <w:t>Accordingly it is ordered that the appeal be and is hereby dismissed.</w:t>
      </w:r>
    </w:p>
    <w:p w:rsidR="00B70E41" w:rsidRDefault="00B70E41" w:rsidP="0040089D">
      <w:pPr>
        <w:spacing w:line="360" w:lineRule="auto"/>
        <w:jc w:val="both"/>
      </w:pPr>
    </w:p>
    <w:p w:rsidR="00B70E41" w:rsidRDefault="00B70E41" w:rsidP="0040089D">
      <w:pPr>
        <w:spacing w:line="360" w:lineRule="auto"/>
        <w:jc w:val="both"/>
      </w:pPr>
    </w:p>
    <w:p w:rsidR="00B70E41" w:rsidRDefault="00B70E41" w:rsidP="0040089D">
      <w:pPr>
        <w:spacing w:line="360" w:lineRule="auto"/>
        <w:jc w:val="both"/>
      </w:pPr>
    </w:p>
    <w:p w:rsidR="00B70E41" w:rsidRDefault="00B70E41" w:rsidP="0040089D">
      <w:pPr>
        <w:spacing w:line="360" w:lineRule="auto"/>
        <w:jc w:val="both"/>
      </w:pPr>
      <w:r w:rsidRPr="00B70E41">
        <w:rPr>
          <w:b/>
          <w:i/>
        </w:rPr>
        <w:t>D.W. MHIRIBIDI &amp; COMPANY</w:t>
      </w:r>
      <w:r>
        <w:t>, Appellant’s legal practitioners</w:t>
      </w:r>
    </w:p>
    <w:p w:rsidR="00E61524" w:rsidRDefault="009A718F" w:rsidP="0040089D">
      <w:pPr>
        <w:spacing w:line="360" w:lineRule="auto"/>
        <w:jc w:val="both"/>
      </w:pPr>
      <w:r>
        <w:rPr>
          <w:b/>
          <w:i/>
        </w:rPr>
        <w:t>HUSSE</w:t>
      </w:r>
      <w:r w:rsidR="00B70E41" w:rsidRPr="00B70E41">
        <w:rPr>
          <w:b/>
          <w:i/>
        </w:rPr>
        <w:t>IN &amp; RANCHOD</w:t>
      </w:r>
      <w:r w:rsidR="00B70E41">
        <w:t>, Respondent’s legal practitioners</w:t>
      </w:r>
      <w:r w:rsidR="00E70939">
        <w:t xml:space="preserve"> </w:t>
      </w:r>
    </w:p>
    <w:p w:rsidR="0040089D" w:rsidRDefault="0040089D" w:rsidP="0040089D">
      <w:pPr>
        <w:spacing w:line="360" w:lineRule="auto"/>
        <w:jc w:val="both"/>
      </w:pPr>
    </w:p>
    <w:p w:rsidR="00A843E1" w:rsidRDefault="00A843E1" w:rsidP="00FD0E4F">
      <w:pPr>
        <w:spacing w:line="360" w:lineRule="auto"/>
        <w:jc w:val="both"/>
      </w:pPr>
    </w:p>
    <w:sectPr w:rsidR="00A843E1" w:rsidSect="00F22E9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56" w:rsidRDefault="00AE0156" w:rsidP="00F22E9A">
      <w:r>
        <w:separator/>
      </w:r>
    </w:p>
  </w:endnote>
  <w:endnote w:type="continuationSeparator" w:id="0">
    <w:p w:rsidR="00AE0156" w:rsidRDefault="00AE0156" w:rsidP="00F2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6511"/>
      <w:docPartObj>
        <w:docPartGallery w:val="Page Numbers (Bottom of Page)"/>
        <w:docPartUnique/>
      </w:docPartObj>
    </w:sdtPr>
    <w:sdtEndPr/>
    <w:sdtContent>
      <w:p w:rsidR="00B70E41" w:rsidRDefault="00AE0156">
        <w:pPr>
          <w:pStyle w:val="Footer"/>
          <w:jc w:val="center"/>
        </w:pPr>
        <w:r>
          <w:fldChar w:fldCharType="begin"/>
        </w:r>
        <w:r>
          <w:instrText xml:space="preserve"> PAGE   \* MERGEFORMAT </w:instrText>
        </w:r>
        <w:r>
          <w:fldChar w:fldCharType="separate"/>
        </w:r>
        <w:r w:rsidR="00B63AD6">
          <w:rPr>
            <w:noProof/>
          </w:rPr>
          <w:t>4</w:t>
        </w:r>
        <w:r>
          <w:rPr>
            <w:noProof/>
          </w:rPr>
          <w:fldChar w:fldCharType="end"/>
        </w:r>
      </w:p>
    </w:sdtContent>
  </w:sdt>
  <w:p w:rsidR="00B70E41" w:rsidRDefault="00B70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56" w:rsidRDefault="00AE0156" w:rsidP="00F22E9A">
      <w:r>
        <w:separator/>
      </w:r>
    </w:p>
  </w:footnote>
  <w:footnote w:type="continuationSeparator" w:id="0">
    <w:p w:rsidR="00AE0156" w:rsidRDefault="00AE0156" w:rsidP="00F22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41" w:rsidRPr="00966004" w:rsidRDefault="00B70E41">
    <w:pPr>
      <w:pStyle w:val="Header"/>
      <w:rPr>
        <w:sz w:val="22"/>
        <w:szCs w:val="22"/>
      </w:rPr>
    </w:pPr>
    <w:r>
      <w:tab/>
    </w:r>
    <w:r>
      <w:tab/>
    </w:r>
    <w:r w:rsidRPr="00966004">
      <w:rPr>
        <w:sz w:val="22"/>
        <w:szCs w:val="22"/>
      </w:rPr>
      <w:t>JUDGMENT NO. LC/H/</w:t>
    </w:r>
    <w:r w:rsidR="00966004" w:rsidRPr="00966004">
      <w:rPr>
        <w:sz w:val="22"/>
        <w:szCs w:val="22"/>
      </w:rPr>
      <w:t>692</w:t>
    </w:r>
    <w:r w:rsidRPr="00966004">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0697"/>
    <w:multiLevelType w:val="hybridMultilevel"/>
    <w:tmpl w:val="319C886C"/>
    <w:lvl w:ilvl="0" w:tplc="17C4F7C0">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21B3A34"/>
    <w:multiLevelType w:val="hybridMultilevel"/>
    <w:tmpl w:val="B7B2E068"/>
    <w:lvl w:ilvl="0" w:tplc="C6B2376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6C2"/>
    <w:rsid w:val="00006FDC"/>
    <w:rsid w:val="000427E6"/>
    <w:rsid w:val="00071B52"/>
    <w:rsid w:val="001B4615"/>
    <w:rsid w:val="001C3A22"/>
    <w:rsid w:val="001F5355"/>
    <w:rsid w:val="002108A5"/>
    <w:rsid w:val="00213FC9"/>
    <w:rsid w:val="002229D3"/>
    <w:rsid w:val="00287141"/>
    <w:rsid w:val="003638A1"/>
    <w:rsid w:val="00366437"/>
    <w:rsid w:val="003C4620"/>
    <w:rsid w:val="003C5F4D"/>
    <w:rsid w:val="003D4E91"/>
    <w:rsid w:val="0040089D"/>
    <w:rsid w:val="00423F25"/>
    <w:rsid w:val="00462175"/>
    <w:rsid w:val="004D462D"/>
    <w:rsid w:val="004E2550"/>
    <w:rsid w:val="004E3E53"/>
    <w:rsid w:val="00514BBB"/>
    <w:rsid w:val="005B3EC2"/>
    <w:rsid w:val="005D4CCF"/>
    <w:rsid w:val="00617825"/>
    <w:rsid w:val="00622C89"/>
    <w:rsid w:val="00652C73"/>
    <w:rsid w:val="0065338C"/>
    <w:rsid w:val="0065582F"/>
    <w:rsid w:val="006702A0"/>
    <w:rsid w:val="006E572D"/>
    <w:rsid w:val="00745E74"/>
    <w:rsid w:val="00757D62"/>
    <w:rsid w:val="007E6284"/>
    <w:rsid w:val="008F4756"/>
    <w:rsid w:val="00966004"/>
    <w:rsid w:val="00971031"/>
    <w:rsid w:val="009913CF"/>
    <w:rsid w:val="009A718F"/>
    <w:rsid w:val="009B43B2"/>
    <w:rsid w:val="00A843E1"/>
    <w:rsid w:val="00AA52C5"/>
    <w:rsid w:val="00AE0156"/>
    <w:rsid w:val="00AF4C1A"/>
    <w:rsid w:val="00B63AD6"/>
    <w:rsid w:val="00B70E41"/>
    <w:rsid w:val="00BE06C2"/>
    <w:rsid w:val="00BE5A46"/>
    <w:rsid w:val="00C66BA5"/>
    <w:rsid w:val="00CD354A"/>
    <w:rsid w:val="00D23E57"/>
    <w:rsid w:val="00E34C89"/>
    <w:rsid w:val="00E52FF8"/>
    <w:rsid w:val="00E61524"/>
    <w:rsid w:val="00E64268"/>
    <w:rsid w:val="00E65A64"/>
    <w:rsid w:val="00E70939"/>
    <w:rsid w:val="00EA704F"/>
    <w:rsid w:val="00EB14B6"/>
    <w:rsid w:val="00F22E9A"/>
    <w:rsid w:val="00F56268"/>
    <w:rsid w:val="00F60837"/>
    <w:rsid w:val="00FD0E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C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E9A"/>
    <w:pPr>
      <w:tabs>
        <w:tab w:val="center" w:pos="4513"/>
        <w:tab w:val="right" w:pos="9026"/>
      </w:tabs>
    </w:pPr>
  </w:style>
  <w:style w:type="character" w:customStyle="1" w:styleId="HeaderChar">
    <w:name w:val="Header Char"/>
    <w:basedOn w:val="DefaultParagraphFont"/>
    <w:link w:val="Header"/>
    <w:uiPriority w:val="99"/>
    <w:semiHidden/>
    <w:rsid w:val="00F22E9A"/>
    <w:rPr>
      <w:rFonts w:ascii="Tahoma" w:eastAsia="Times New Roman" w:hAnsi="Tahoma" w:cs="Times New Roman"/>
      <w:sz w:val="24"/>
      <w:szCs w:val="24"/>
      <w:lang w:val="en-US"/>
    </w:rPr>
  </w:style>
  <w:style w:type="paragraph" w:styleId="Footer">
    <w:name w:val="footer"/>
    <w:basedOn w:val="Normal"/>
    <w:link w:val="FooterChar"/>
    <w:uiPriority w:val="99"/>
    <w:unhideWhenUsed/>
    <w:rsid w:val="00F22E9A"/>
    <w:pPr>
      <w:tabs>
        <w:tab w:val="center" w:pos="4513"/>
        <w:tab w:val="right" w:pos="9026"/>
      </w:tabs>
    </w:pPr>
  </w:style>
  <w:style w:type="character" w:customStyle="1" w:styleId="FooterChar">
    <w:name w:val="Footer Char"/>
    <w:basedOn w:val="DefaultParagraphFont"/>
    <w:link w:val="Footer"/>
    <w:uiPriority w:val="99"/>
    <w:rsid w:val="00F22E9A"/>
    <w:rPr>
      <w:rFonts w:ascii="Tahoma" w:eastAsia="Times New Roman" w:hAnsi="Tahoma" w:cs="Times New Roman"/>
      <w:sz w:val="24"/>
      <w:szCs w:val="24"/>
      <w:lang w:val="en-US"/>
    </w:rPr>
  </w:style>
  <w:style w:type="paragraph" w:styleId="ListParagraph">
    <w:name w:val="List Paragraph"/>
    <w:basedOn w:val="Normal"/>
    <w:uiPriority w:val="34"/>
    <w:qFormat/>
    <w:rsid w:val="00BE5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C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E9A"/>
    <w:pPr>
      <w:tabs>
        <w:tab w:val="center" w:pos="4513"/>
        <w:tab w:val="right" w:pos="9026"/>
      </w:tabs>
    </w:pPr>
  </w:style>
  <w:style w:type="character" w:customStyle="1" w:styleId="HeaderChar">
    <w:name w:val="Header Char"/>
    <w:basedOn w:val="DefaultParagraphFont"/>
    <w:link w:val="Header"/>
    <w:uiPriority w:val="99"/>
    <w:semiHidden/>
    <w:rsid w:val="00F22E9A"/>
    <w:rPr>
      <w:rFonts w:ascii="Tahoma" w:eastAsia="Times New Roman" w:hAnsi="Tahoma" w:cs="Times New Roman"/>
      <w:sz w:val="24"/>
      <w:szCs w:val="24"/>
      <w:lang w:val="en-US"/>
    </w:rPr>
  </w:style>
  <w:style w:type="paragraph" w:styleId="Footer">
    <w:name w:val="footer"/>
    <w:basedOn w:val="Normal"/>
    <w:link w:val="FooterChar"/>
    <w:uiPriority w:val="99"/>
    <w:unhideWhenUsed/>
    <w:rsid w:val="00F22E9A"/>
    <w:pPr>
      <w:tabs>
        <w:tab w:val="center" w:pos="4513"/>
        <w:tab w:val="right" w:pos="9026"/>
      </w:tabs>
    </w:pPr>
  </w:style>
  <w:style w:type="character" w:customStyle="1" w:styleId="FooterChar">
    <w:name w:val="Footer Char"/>
    <w:basedOn w:val="DefaultParagraphFont"/>
    <w:link w:val="Footer"/>
    <w:uiPriority w:val="99"/>
    <w:rsid w:val="00F22E9A"/>
    <w:rPr>
      <w:rFonts w:ascii="Tahoma" w:eastAsia="Times New Roman" w:hAnsi="Tahoma" w:cs="Times New Roman"/>
      <w:sz w:val="24"/>
      <w:szCs w:val="24"/>
      <w:lang w:val="en-US"/>
    </w:rPr>
  </w:style>
  <w:style w:type="paragraph" w:styleId="ListParagraph">
    <w:name w:val="List Paragraph"/>
    <w:basedOn w:val="Normal"/>
    <w:uiPriority w:val="34"/>
    <w:qFormat/>
    <w:rsid w:val="00BE5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E285-FD9F-45A7-AE08-E2119D6F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2014-10-09T14:17:00Z</cp:lastPrinted>
  <dcterms:created xsi:type="dcterms:W3CDTF">2017-04-06T09:25:00Z</dcterms:created>
  <dcterms:modified xsi:type="dcterms:W3CDTF">2017-04-06T09:25:00Z</dcterms:modified>
</cp:coreProperties>
</file>