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4" w:rsidRDefault="00B249D0">
      <w:pPr>
        <w:pStyle w:val="Heading1"/>
        <w:tabs>
          <w:tab w:val="left" w:pos="5689"/>
          <w:tab w:val="left" w:pos="6119"/>
        </w:tabs>
        <w:spacing w:before="60" w:line="412" w:lineRule="auto"/>
        <w:ind w:right="2008"/>
      </w:pPr>
      <w:r>
        <w:t>IN THE LABOUR COURT OF ZIMBABWE</w:t>
      </w:r>
      <w:r>
        <w:tab/>
      </w:r>
      <w:r>
        <w:rPr>
          <w:spacing w:val="-6"/>
        </w:rPr>
        <w:t>JUDGMENT</w:t>
      </w:r>
      <w:r>
        <w:rPr>
          <w:spacing w:val="-9"/>
        </w:rPr>
        <w:t xml:space="preserve"> </w:t>
      </w:r>
      <w:r>
        <w:rPr>
          <w:spacing w:val="-6"/>
        </w:rPr>
        <w:t>NO.</w:t>
      </w:r>
      <w:r>
        <w:rPr>
          <w:spacing w:val="-9"/>
        </w:rPr>
        <w:t xml:space="preserve"> </w:t>
      </w:r>
      <w:r>
        <w:rPr>
          <w:spacing w:val="-6"/>
        </w:rPr>
        <w:t xml:space="preserve">LC/H/261/25 </w:t>
      </w:r>
      <w:r>
        <w:t>HARARE, 5 JUNE 2025</w:t>
      </w:r>
      <w:r>
        <w:tab/>
      </w:r>
      <w:r>
        <w:tab/>
        <w:t>CASE NO. LC/H/275/25</w:t>
      </w:r>
    </w:p>
    <w:p w:rsidR="00A01EE4" w:rsidRDefault="00A01EE4">
      <w:pPr>
        <w:pStyle w:val="BodyText"/>
        <w:rPr>
          <w:b/>
        </w:rPr>
      </w:pPr>
    </w:p>
    <w:p w:rsidR="00A01EE4" w:rsidRDefault="00A01EE4">
      <w:pPr>
        <w:pStyle w:val="BodyText"/>
        <w:rPr>
          <w:b/>
        </w:rPr>
      </w:pPr>
    </w:p>
    <w:p w:rsidR="00A01EE4" w:rsidRDefault="00A01EE4">
      <w:pPr>
        <w:pStyle w:val="BodyText"/>
        <w:rPr>
          <w:b/>
        </w:rPr>
      </w:pPr>
    </w:p>
    <w:p w:rsidR="00A01EE4" w:rsidRDefault="00A01EE4">
      <w:pPr>
        <w:pStyle w:val="BodyText"/>
        <w:rPr>
          <w:b/>
        </w:rPr>
      </w:pPr>
    </w:p>
    <w:p w:rsidR="00A01EE4" w:rsidRDefault="00A01EE4">
      <w:pPr>
        <w:pStyle w:val="BodyText"/>
        <w:spacing w:before="2"/>
        <w:rPr>
          <w:b/>
        </w:rPr>
      </w:pPr>
    </w:p>
    <w:p w:rsidR="00A01EE4" w:rsidRDefault="00B249D0">
      <w:pPr>
        <w:tabs>
          <w:tab w:val="left" w:pos="6119"/>
        </w:tabs>
        <w:ind w:left="360"/>
        <w:rPr>
          <w:b/>
          <w:sz w:val="24"/>
        </w:rPr>
      </w:pPr>
      <w:r>
        <w:rPr>
          <w:b/>
          <w:spacing w:val="-10"/>
          <w:sz w:val="24"/>
        </w:rPr>
        <w:t>MUDIWA</w:t>
      </w:r>
      <w:r>
        <w:rPr>
          <w:b/>
          <w:spacing w:val="2"/>
          <w:sz w:val="24"/>
        </w:rPr>
        <w:t xml:space="preserve"> </w:t>
      </w:r>
      <w:r>
        <w:rPr>
          <w:b/>
          <w:spacing w:val="-10"/>
          <w:sz w:val="24"/>
        </w:rPr>
        <w:t>CAROLINE</w:t>
      </w:r>
      <w:r>
        <w:rPr>
          <w:b/>
          <w:spacing w:val="4"/>
          <w:sz w:val="24"/>
        </w:rPr>
        <w:t xml:space="preserve"> </w:t>
      </w:r>
      <w:r>
        <w:rPr>
          <w:b/>
          <w:spacing w:val="-10"/>
          <w:sz w:val="24"/>
        </w:rPr>
        <w:t>MUZEMBE</w:t>
      </w:r>
      <w:r>
        <w:rPr>
          <w:b/>
          <w:sz w:val="24"/>
        </w:rPr>
        <w:tab/>
        <w:t>1</w:t>
      </w:r>
      <w:r>
        <w:rPr>
          <w:b/>
          <w:position w:val="7"/>
          <w:sz w:val="16"/>
        </w:rPr>
        <w:t>ST</w:t>
      </w:r>
      <w:r>
        <w:rPr>
          <w:b/>
          <w:spacing w:val="9"/>
          <w:position w:val="7"/>
          <w:sz w:val="16"/>
        </w:rPr>
        <w:t xml:space="preserve"> </w:t>
      </w:r>
      <w:r>
        <w:rPr>
          <w:b/>
          <w:spacing w:val="-2"/>
          <w:sz w:val="24"/>
        </w:rPr>
        <w:t>APPLICANT</w:t>
      </w:r>
    </w:p>
    <w:p w:rsidR="00A01EE4" w:rsidRDefault="00A01EE4">
      <w:pPr>
        <w:pStyle w:val="BodyText"/>
        <w:rPr>
          <w:b/>
        </w:rPr>
      </w:pPr>
    </w:p>
    <w:p w:rsidR="00A01EE4" w:rsidRDefault="00B249D0">
      <w:pPr>
        <w:ind w:left="360"/>
        <w:rPr>
          <w:b/>
          <w:sz w:val="24"/>
        </w:rPr>
      </w:pPr>
      <w:r>
        <w:rPr>
          <w:b/>
          <w:spacing w:val="-5"/>
          <w:sz w:val="24"/>
        </w:rPr>
        <w:t>And</w:t>
      </w:r>
    </w:p>
    <w:p w:rsidR="00A01EE4" w:rsidRDefault="00A01EE4">
      <w:pPr>
        <w:pStyle w:val="BodyText"/>
        <w:rPr>
          <w:b/>
        </w:rPr>
      </w:pPr>
    </w:p>
    <w:p w:rsidR="00A01EE4" w:rsidRDefault="00B249D0">
      <w:pPr>
        <w:pStyle w:val="Heading1"/>
        <w:tabs>
          <w:tab w:val="left" w:pos="6839"/>
        </w:tabs>
      </w:pPr>
      <w:r>
        <w:rPr>
          <w:spacing w:val="-7"/>
        </w:rPr>
        <w:t>CONRAD</w:t>
      </w:r>
      <w:r>
        <w:rPr>
          <w:spacing w:val="-6"/>
        </w:rPr>
        <w:t xml:space="preserve"> </w:t>
      </w:r>
      <w:r>
        <w:rPr>
          <w:spacing w:val="-2"/>
        </w:rPr>
        <w:t>MUCHENJE</w:t>
      </w:r>
      <w:r>
        <w:tab/>
        <w:t>2</w:t>
      </w:r>
      <w:r>
        <w:rPr>
          <w:position w:val="7"/>
          <w:sz w:val="16"/>
        </w:rPr>
        <w:t>ND</w:t>
      </w:r>
      <w:r>
        <w:rPr>
          <w:spacing w:val="17"/>
          <w:position w:val="7"/>
          <w:sz w:val="16"/>
        </w:rPr>
        <w:t xml:space="preserve"> </w:t>
      </w:r>
      <w:r>
        <w:rPr>
          <w:spacing w:val="-2"/>
        </w:rPr>
        <w:t>APPLICANT</w:t>
      </w:r>
    </w:p>
    <w:p w:rsidR="00A01EE4" w:rsidRDefault="00A01EE4">
      <w:pPr>
        <w:pStyle w:val="BodyText"/>
        <w:rPr>
          <w:b/>
        </w:rPr>
      </w:pPr>
    </w:p>
    <w:p w:rsidR="00A01EE4" w:rsidRDefault="00A01EE4">
      <w:pPr>
        <w:pStyle w:val="BodyText"/>
        <w:rPr>
          <w:b/>
        </w:rPr>
      </w:pPr>
    </w:p>
    <w:p w:rsidR="00A01EE4" w:rsidRDefault="00B249D0">
      <w:pPr>
        <w:pStyle w:val="BodyText"/>
        <w:ind w:left="360"/>
      </w:pPr>
      <w:r>
        <w:rPr>
          <w:spacing w:val="-5"/>
        </w:rPr>
        <w:t>And</w:t>
      </w:r>
    </w:p>
    <w:p w:rsidR="00A01EE4" w:rsidRDefault="00A01EE4">
      <w:pPr>
        <w:pStyle w:val="BodyText"/>
      </w:pPr>
    </w:p>
    <w:p w:rsidR="00A01EE4" w:rsidRDefault="00A01EE4">
      <w:pPr>
        <w:pStyle w:val="BodyText"/>
      </w:pPr>
    </w:p>
    <w:p w:rsidR="00A01EE4" w:rsidRDefault="00B249D0">
      <w:pPr>
        <w:pStyle w:val="Heading1"/>
        <w:tabs>
          <w:tab w:val="left" w:pos="6839"/>
        </w:tabs>
      </w:pPr>
      <w:r>
        <w:rPr>
          <w:w w:val="90"/>
        </w:rPr>
        <w:t>STAR</w:t>
      </w:r>
      <w:r>
        <w:rPr>
          <w:spacing w:val="36"/>
        </w:rPr>
        <w:t xml:space="preserve"> </w:t>
      </w:r>
      <w:r>
        <w:rPr>
          <w:w w:val="90"/>
        </w:rPr>
        <w:t>AFRICA</w:t>
      </w:r>
      <w:r>
        <w:rPr>
          <w:spacing w:val="37"/>
        </w:rPr>
        <w:t xml:space="preserve"> </w:t>
      </w:r>
      <w:r>
        <w:rPr>
          <w:w w:val="90"/>
        </w:rPr>
        <w:t>CORPORATION</w:t>
      </w:r>
      <w:r>
        <w:rPr>
          <w:spacing w:val="35"/>
        </w:rPr>
        <w:t xml:space="preserve"> </w:t>
      </w:r>
      <w:r>
        <w:rPr>
          <w:spacing w:val="-2"/>
          <w:w w:val="90"/>
        </w:rPr>
        <w:t>LIMITED</w:t>
      </w:r>
      <w:r>
        <w:tab/>
      </w:r>
      <w:r>
        <w:rPr>
          <w:spacing w:val="-2"/>
        </w:rPr>
        <w:t>RESPONDENT</w:t>
      </w:r>
    </w:p>
    <w:p w:rsidR="00A01EE4" w:rsidRDefault="00A01EE4">
      <w:pPr>
        <w:pStyle w:val="BodyText"/>
        <w:rPr>
          <w:b/>
        </w:rPr>
      </w:pPr>
    </w:p>
    <w:p w:rsidR="00A01EE4" w:rsidRDefault="00A01EE4">
      <w:pPr>
        <w:pStyle w:val="BodyText"/>
        <w:rPr>
          <w:b/>
        </w:rPr>
      </w:pPr>
    </w:p>
    <w:p w:rsidR="00A01EE4" w:rsidRDefault="00A01EE4">
      <w:pPr>
        <w:pStyle w:val="BodyText"/>
        <w:rPr>
          <w:b/>
        </w:rPr>
      </w:pPr>
    </w:p>
    <w:p w:rsidR="00A01EE4" w:rsidRDefault="00A01EE4">
      <w:pPr>
        <w:pStyle w:val="BodyText"/>
        <w:spacing w:before="200"/>
        <w:rPr>
          <w:b/>
        </w:rPr>
      </w:pPr>
    </w:p>
    <w:p w:rsidR="00A01EE4" w:rsidRDefault="00B249D0">
      <w:pPr>
        <w:pStyle w:val="Heading2"/>
      </w:pPr>
      <w:r>
        <w:rPr>
          <w:w w:val="90"/>
        </w:rPr>
        <w:t>Before</w:t>
      </w:r>
      <w:r>
        <w:rPr>
          <w:spacing w:val="18"/>
        </w:rPr>
        <w:t xml:space="preserve"> </w:t>
      </w:r>
      <w:r>
        <w:rPr>
          <w:w w:val="90"/>
        </w:rPr>
        <w:t>the</w:t>
      </w:r>
      <w:r>
        <w:rPr>
          <w:spacing w:val="19"/>
        </w:rPr>
        <w:t xml:space="preserve"> </w:t>
      </w:r>
      <w:r>
        <w:rPr>
          <w:w w:val="90"/>
        </w:rPr>
        <w:t>Honourable</w:t>
      </w:r>
      <w:r>
        <w:rPr>
          <w:spacing w:val="19"/>
        </w:rPr>
        <w:t xml:space="preserve"> </w:t>
      </w:r>
      <w:r>
        <w:rPr>
          <w:w w:val="90"/>
        </w:rPr>
        <w:t>Kudya</w:t>
      </w:r>
      <w:r>
        <w:rPr>
          <w:spacing w:val="19"/>
        </w:rPr>
        <w:t xml:space="preserve"> </w:t>
      </w:r>
      <w:r>
        <w:rPr>
          <w:spacing w:val="-5"/>
          <w:w w:val="90"/>
        </w:rPr>
        <w:t>J;</w:t>
      </w:r>
    </w:p>
    <w:p w:rsidR="00A01EE4" w:rsidRDefault="00A01EE4">
      <w:pPr>
        <w:pStyle w:val="BodyText"/>
        <w:rPr>
          <w:b/>
          <w:sz w:val="20"/>
        </w:rPr>
      </w:pPr>
    </w:p>
    <w:p w:rsidR="00A01EE4" w:rsidRDefault="00A01EE4">
      <w:pPr>
        <w:pStyle w:val="BodyText"/>
        <w:rPr>
          <w:b/>
          <w:sz w:val="20"/>
        </w:rPr>
      </w:pPr>
    </w:p>
    <w:p w:rsidR="00A01EE4" w:rsidRDefault="00A01EE4">
      <w:pPr>
        <w:pStyle w:val="BodyText"/>
        <w:spacing w:before="79"/>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2430"/>
        <w:gridCol w:w="2850"/>
        <w:gridCol w:w="2387"/>
      </w:tblGrid>
      <w:tr w:rsidR="00A01EE4">
        <w:trPr>
          <w:trHeight w:val="391"/>
        </w:trPr>
        <w:tc>
          <w:tcPr>
            <w:tcW w:w="2430" w:type="dxa"/>
          </w:tcPr>
          <w:p w:rsidR="00A01EE4" w:rsidRDefault="00B249D0">
            <w:pPr>
              <w:pStyle w:val="TableParagraph"/>
              <w:spacing w:line="266" w:lineRule="exact"/>
              <w:ind w:left="50"/>
              <w:rPr>
                <w:sz w:val="24"/>
              </w:rPr>
            </w:pPr>
            <w:r>
              <w:rPr>
                <w:sz w:val="24"/>
              </w:rPr>
              <w:t xml:space="preserve">For the </w:t>
            </w:r>
            <w:r>
              <w:rPr>
                <w:spacing w:val="-2"/>
                <w:sz w:val="24"/>
              </w:rPr>
              <w:t>Applicants</w:t>
            </w:r>
          </w:p>
        </w:tc>
        <w:tc>
          <w:tcPr>
            <w:tcW w:w="2850" w:type="dxa"/>
          </w:tcPr>
          <w:p w:rsidR="00A01EE4" w:rsidRDefault="00B249D0">
            <w:pPr>
              <w:pStyle w:val="TableParagraph"/>
              <w:spacing w:line="266" w:lineRule="exact"/>
              <w:ind w:left="500"/>
              <w:rPr>
                <w:sz w:val="24"/>
              </w:rPr>
            </w:pPr>
            <w:r>
              <w:rPr>
                <w:sz w:val="24"/>
              </w:rPr>
              <w:t>-</w:t>
            </w:r>
            <w:r>
              <w:rPr>
                <w:spacing w:val="-1"/>
                <w:sz w:val="24"/>
              </w:rPr>
              <w:t xml:space="preserve"> </w:t>
            </w:r>
            <w:r>
              <w:rPr>
                <w:sz w:val="24"/>
              </w:rPr>
              <w:t>Ms</w:t>
            </w:r>
            <w:r>
              <w:rPr>
                <w:spacing w:val="-1"/>
                <w:sz w:val="24"/>
              </w:rPr>
              <w:t xml:space="preserve"> </w:t>
            </w:r>
            <w:r>
              <w:rPr>
                <w:sz w:val="24"/>
              </w:rPr>
              <w:t xml:space="preserve">S. </w:t>
            </w:r>
            <w:r>
              <w:rPr>
                <w:spacing w:val="-2"/>
                <w:sz w:val="24"/>
              </w:rPr>
              <w:t>Chihombe</w:t>
            </w:r>
          </w:p>
        </w:tc>
        <w:tc>
          <w:tcPr>
            <w:tcW w:w="2387" w:type="dxa"/>
          </w:tcPr>
          <w:p w:rsidR="00A01EE4" w:rsidRDefault="00B249D0">
            <w:pPr>
              <w:pStyle w:val="TableParagraph"/>
              <w:spacing w:line="266" w:lineRule="exact"/>
              <w:ind w:right="48"/>
              <w:jc w:val="right"/>
              <w:rPr>
                <w:sz w:val="24"/>
              </w:rPr>
            </w:pPr>
            <w:r>
              <w:rPr>
                <w:sz w:val="24"/>
              </w:rPr>
              <w:t>Legal</w:t>
            </w:r>
            <w:r>
              <w:rPr>
                <w:spacing w:val="-1"/>
                <w:sz w:val="24"/>
              </w:rPr>
              <w:t xml:space="preserve"> </w:t>
            </w:r>
            <w:r>
              <w:rPr>
                <w:spacing w:val="-2"/>
                <w:sz w:val="24"/>
              </w:rPr>
              <w:t>Practitioner</w:t>
            </w:r>
          </w:p>
        </w:tc>
      </w:tr>
      <w:tr w:rsidR="00A01EE4">
        <w:trPr>
          <w:trHeight w:val="1426"/>
        </w:trPr>
        <w:tc>
          <w:tcPr>
            <w:tcW w:w="2430" w:type="dxa"/>
          </w:tcPr>
          <w:p w:rsidR="00A01EE4" w:rsidRDefault="00B249D0">
            <w:pPr>
              <w:pStyle w:val="TableParagraph"/>
              <w:spacing w:before="115"/>
              <w:ind w:left="50"/>
              <w:rPr>
                <w:sz w:val="24"/>
              </w:rPr>
            </w:pPr>
            <w:r>
              <w:rPr>
                <w:sz w:val="24"/>
              </w:rPr>
              <w:t xml:space="preserve">For the </w:t>
            </w:r>
            <w:r>
              <w:rPr>
                <w:spacing w:val="-2"/>
                <w:sz w:val="24"/>
              </w:rPr>
              <w:t>Respondent</w:t>
            </w:r>
          </w:p>
          <w:p w:rsidR="00A01EE4" w:rsidRDefault="00A01EE4">
            <w:pPr>
              <w:pStyle w:val="TableParagraph"/>
              <w:rPr>
                <w:b/>
                <w:sz w:val="24"/>
              </w:rPr>
            </w:pPr>
          </w:p>
          <w:p w:rsidR="00A01EE4" w:rsidRDefault="00A01EE4">
            <w:pPr>
              <w:pStyle w:val="TableParagraph"/>
              <w:spacing w:before="207"/>
              <w:rPr>
                <w:b/>
                <w:sz w:val="24"/>
              </w:rPr>
            </w:pPr>
          </w:p>
          <w:p w:rsidR="00A01EE4" w:rsidRDefault="00B249D0">
            <w:pPr>
              <w:pStyle w:val="TableParagraph"/>
              <w:spacing w:line="256" w:lineRule="exact"/>
              <w:ind w:left="50"/>
              <w:rPr>
                <w:b/>
                <w:sz w:val="24"/>
              </w:rPr>
            </w:pPr>
            <w:r>
              <w:rPr>
                <w:b/>
                <w:spacing w:val="-2"/>
                <w:sz w:val="24"/>
              </w:rPr>
              <w:t>KUDYA</w:t>
            </w:r>
            <w:r>
              <w:rPr>
                <w:b/>
                <w:spacing w:val="-10"/>
                <w:sz w:val="24"/>
              </w:rPr>
              <w:t xml:space="preserve"> </w:t>
            </w:r>
            <w:r>
              <w:rPr>
                <w:b/>
                <w:spacing w:val="-5"/>
                <w:sz w:val="24"/>
              </w:rPr>
              <w:t>J:</w:t>
            </w:r>
          </w:p>
        </w:tc>
        <w:tc>
          <w:tcPr>
            <w:tcW w:w="2850" w:type="dxa"/>
          </w:tcPr>
          <w:p w:rsidR="00A01EE4" w:rsidRDefault="00B249D0">
            <w:pPr>
              <w:pStyle w:val="TableParagraph"/>
              <w:spacing w:before="115"/>
              <w:ind w:left="500"/>
              <w:rPr>
                <w:sz w:val="24"/>
              </w:rPr>
            </w:pPr>
            <w:r>
              <w:rPr>
                <w:sz w:val="24"/>
              </w:rPr>
              <w:t xml:space="preserve">- H. </w:t>
            </w:r>
            <w:r>
              <w:rPr>
                <w:spacing w:val="-4"/>
                <w:sz w:val="24"/>
              </w:rPr>
              <w:t>Nare</w:t>
            </w:r>
          </w:p>
        </w:tc>
        <w:tc>
          <w:tcPr>
            <w:tcW w:w="2387" w:type="dxa"/>
          </w:tcPr>
          <w:p w:rsidR="00A01EE4" w:rsidRDefault="00B249D0">
            <w:pPr>
              <w:pStyle w:val="TableParagraph"/>
              <w:spacing w:before="115"/>
              <w:ind w:right="69"/>
              <w:jc w:val="right"/>
              <w:rPr>
                <w:sz w:val="24"/>
              </w:rPr>
            </w:pPr>
            <w:r>
              <w:rPr>
                <w:sz w:val="24"/>
              </w:rPr>
              <w:t>Legal</w:t>
            </w:r>
            <w:r>
              <w:rPr>
                <w:spacing w:val="-1"/>
                <w:sz w:val="24"/>
              </w:rPr>
              <w:t xml:space="preserve"> </w:t>
            </w:r>
            <w:r>
              <w:rPr>
                <w:spacing w:val="-2"/>
                <w:sz w:val="24"/>
              </w:rPr>
              <w:t>Practitioner</w:t>
            </w:r>
          </w:p>
        </w:tc>
      </w:tr>
    </w:tbl>
    <w:p w:rsidR="00A01EE4" w:rsidRDefault="00A01EE4">
      <w:pPr>
        <w:pStyle w:val="BodyText"/>
        <w:rPr>
          <w:b/>
        </w:rPr>
      </w:pPr>
    </w:p>
    <w:p w:rsidR="00A01EE4" w:rsidRDefault="00A01EE4">
      <w:pPr>
        <w:pStyle w:val="BodyText"/>
        <w:spacing w:before="148"/>
        <w:rPr>
          <w:b/>
        </w:rPr>
      </w:pPr>
    </w:p>
    <w:p w:rsidR="00A01EE4" w:rsidRDefault="00B249D0">
      <w:pPr>
        <w:pStyle w:val="BodyText"/>
        <w:spacing w:line="360" w:lineRule="auto"/>
        <w:ind w:left="360" w:right="1077" w:firstLine="720"/>
        <w:jc w:val="both"/>
      </w:pPr>
      <w:r>
        <w:t xml:space="preserve">On 5 June 2025 this court dismissed an application for leave to appeal to the Supreme Court at the behest of the applicant employees. A variety of points in limine were raised on the matter but all were eventually dropped to pave way for the resolution of </w:t>
      </w:r>
      <w:r>
        <w:t>the application on its merits. This judgment therefore addresses the merits of the leave to appeal application only.</w:t>
      </w:r>
    </w:p>
    <w:p w:rsidR="00A01EE4" w:rsidRDefault="00A01EE4">
      <w:pPr>
        <w:pStyle w:val="BodyText"/>
        <w:spacing w:line="360" w:lineRule="auto"/>
        <w:jc w:val="both"/>
        <w:sectPr w:rsidR="00A01EE4">
          <w:footerReference w:type="default" r:id="rId7"/>
          <w:type w:val="continuous"/>
          <w:pgSz w:w="12240" w:h="15840"/>
          <w:pgMar w:top="1380" w:right="360" w:bottom="940" w:left="1080" w:header="0" w:footer="744" w:gutter="0"/>
          <w:pgNumType w:start="1"/>
          <w:cols w:space="720"/>
        </w:sectPr>
      </w:pPr>
    </w:p>
    <w:p w:rsidR="00A01EE4" w:rsidRDefault="00B249D0">
      <w:pPr>
        <w:pStyle w:val="BodyText"/>
        <w:spacing w:before="60" w:line="360" w:lineRule="auto"/>
        <w:ind w:left="360" w:right="1077" w:firstLine="780"/>
        <w:jc w:val="both"/>
        <w:rPr>
          <w:b/>
        </w:rPr>
      </w:pPr>
      <w:r>
        <w:lastRenderedPageBreak/>
        <w:t xml:space="preserve">It is settled that, leave to appeal can only be granted where a point of law is raised and where there are reasonable prospects on the merits on appeal. See </w:t>
      </w:r>
      <w:r>
        <w:rPr>
          <w:b/>
        </w:rPr>
        <w:t>Ngazimbi v Murowa Diamonds SC27/13</w:t>
      </w:r>
    </w:p>
    <w:p w:rsidR="00A01EE4" w:rsidRDefault="00A01EE4">
      <w:pPr>
        <w:pStyle w:val="BodyText"/>
        <w:spacing w:before="137"/>
        <w:rPr>
          <w:b/>
        </w:rPr>
      </w:pPr>
    </w:p>
    <w:p w:rsidR="00A01EE4" w:rsidRDefault="00B249D0">
      <w:pPr>
        <w:spacing w:before="1"/>
        <w:ind w:left="1080"/>
        <w:rPr>
          <w:sz w:val="24"/>
        </w:rPr>
      </w:pPr>
      <w:r>
        <w:rPr>
          <w:sz w:val="24"/>
        </w:rPr>
        <w:t>A</w:t>
      </w:r>
      <w:r>
        <w:rPr>
          <w:spacing w:val="-9"/>
          <w:sz w:val="24"/>
        </w:rPr>
        <w:t xml:space="preserve"> </w:t>
      </w:r>
      <w:r>
        <w:rPr>
          <w:sz w:val="24"/>
        </w:rPr>
        <w:t>point</w:t>
      </w:r>
      <w:r>
        <w:rPr>
          <w:spacing w:val="-8"/>
          <w:sz w:val="24"/>
        </w:rPr>
        <w:t xml:space="preserve"> </w:t>
      </w:r>
      <w:r>
        <w:rPr>
          <w:sz w:val="24"/>
        </w:rPr>
        <w:t>of</w:t>
      </w:r>
      <w:r>
        <w:rPr>
          <w:spacing w:val="-8"/>
          <w:sz w:val="24"/>
        </w:rPr>
        <w:t xml:space="preserve"> </w:t>
      </w:r>
      <w:r>
        <w:rPr>
          <w:sz w:val="24"/>
        </w:rPr>
        <w:t>law</w:t>
      </w:r>
      <w:r>
        <w:rPr>
          <w:spacing w:val="-8"/>
          <w:sz w:val="24"/>
        </w:rPr>
        <w:t xml:space="preserve"> </w:t>
      </w:r>
      <w:r>
        <w:rPr>
          <w:sz w:val="24"/>
        </w:rPr>
        <w:t>has</w:t>
      </w:r>
      <w:r>
        <w:rPr>
          <w:spacing w:val="-9"/>
          <w:sz w:val="24"/>
        </w:rPr>
        <w:t xml:space="preserve"> </w:t>
      </w:r>
      <w:r>
        <w:rPr>
          <w:sz w:val="24"/>
        </w:rPr>
        <w:t>been</w:t>
      </w:r>
      <w:r>
        <w:rPr>
          <w:spacing w:val="-8"/>
          <w:sz w:val="24"/>
        </w:rPr>
        <w:t xml:space="preserve"> </w:t>
      </w:r>
      <w:r>
        <w:rPr>
          <w:sz w:val="24"/>
        </w:rPr>
        <w:t>defined</w:t>
      </w:r>
      <w:r>
        <w:rPr>
          <w:spacing w:val="-8"/>
          <w:sz w:val="24"/>
        </w:rPr>
        <w:t xml:space="preserve"> </w:t>
      </w:r>
      <w:r>
        <w:rPr>
          <w:sz w:val="24"/>
        </w:rPr>
        <w:t>in</w:t>
      </w:r>
      <w:r>
        <w:rPr>
          <w:spacing w:val="-8"/>
          <w:sz w:val="24"/>
        </w:rPr>
        <w:t xml:space="preserve"> </w:t>
      </w:r>
      <w:r>
        <w:rPr>
          <w:sz w:val="24"/>
        </w:rPr>
        <w:t>various</w:t>
      </w:r>
      <w:r>
        <w:rPr>
          <w:spacing w:val="-9"/>
          <w:sz w:val="24"/>
        </w:rPr>
        <w:t xml:space="preserve"> </w:t>
      </w:r>
      <w:r>
        <w:rPr>
          <w:sz w:val="24"/>
        </w:rPr>
        <w:t>cases</w:t>
      </w:r>
      <w:r>
        <w:rPr>
          <w:spacing w:val="-8"/>
          <w:sz w:val="24"/>
        </w:rPr>
        <w:t xml:space="preserve"> </w:t>
      </w:r>
      <w:r>
        <w:rPr>
          <w:sz w:val="24"/>
        </w:rPr>
        <w:t>including</w:t>
      </w:r>
      <w:r>
        <w:rPr>
          <w:spacing w:val="-7"/>
          <w:sz w:val="24"/>
        </w:rPr>
        <w:t xml:space="preserve"> </w:t>
      </w:r>
      <w:r>
        <w:rPr>
          <w:b/>
          <w:sz w:val="24"/>
        </w:rPr>
        <w:t>East</w:t>
      </w:r>
      <w:r>
        <w:rPr>
          <w:b/>
          <w:spacing w:val="-9"/>
          <w:sz w:val="24"/>
        </w:rPr>
        <w:t xml:space="preserve"> </w:t>
      </w:r>
      <w:r>
        <w:rPr>
          <w:b/>
          <w:sz w:val="24"/>
        </w:rPr>
        <w:t>brook</w:t>
      </w:r>
      <w:r>
        <w:rPr>
          <w:b/>
          <w:spacing w:val="-8"/>
          <w:sz w:val="24"/>
        </w:rPr>
        <w:t xml:space="preserve"> </w:t>
      </w:r>
      <w:r>
        <w:rPr>
          <w:b/>
          <w:sz w:val="24"/>
        </w:rPr>
        <w:t>v</w:t>
      </w:r>
      <w:r>
        <w:rPr>
          <w:b/>
          <w:spacing w:val="-8"/>
          <w:sz w:val="24"/>
        </w:rPr>
        <w:t xml:space="preserve"> </w:t>
      </w:r>
      <w:r>
        <w:rPr>
          <w:b/>
          <w:sz w:val="24"/>
        </w:rPr>
        <w:t>Sable</w:t>
      </w:r>
      <w:r>
        <w:rPr>
          <w:b/>
          <w:spacing w:val="-8"/>
          <w:sz w:val="24"/>
        </w:rPr>
        <w:t xml:space="preserve"> </w:t>
      </w:r>
      <w:r>
        <w:rPr>
          <w:b/>
          <w:spacing w:val="-2"/>
          <w:sz w:val="24"/>
        </w:rPr>
        <w:t>Chemicals</w:t>
      </w:r>
      <w:r>
        <w:rPr>
          <w:spacing w:val="-2"/>
          <w:sz w:val="24"/>
        </w:rPr>
        <w:t>.</w:t>
      </w:r>
    </w:p>
    <w:p w:rsidR="00A01EE4" w:rsidRDefault="00B249D0">
      <w:pPr>
        <w:pStyle w:val="Heading1"/>
        <w:spacing w:before="138"/>
        <w:jc w:val="both"/>
      </w:pPr>
      <w:r>
        <w:rPr>
          <w:spacing w:val="-2"/>
        </w:rPr>
        <w:t>SC</w:t>
      </w:r>
      <w:r>
        <w:rPr>
          <w:spacing w:val="-12"/>
        </w:rPr>
        <w:t xml:space="preserve"> </w:t>
      </w:r>
      <w:r>
        <w:rPr>
          <w:spacing w:val="-2"/>
        </w:rPr>
        <w:t>18/10.</w:t>
      </w:r>
    </w:p>
    <w:p w:rsidR="00A01EE4" w:rsidRDefault="00A01EE4">
      <w:pPr>
        <w:pStyle w:val="BodyText"/>
        <w:spacing w:before="275"/>
        <w:rPr>
          <w:b/>
        </w:rPr>
      </w:pPr>
    </w:p>
    <w:p w:rsidR="00A01EE4" w:rsidRDefault="00B249D0">
      <w:pPr>
        <w:pStyle w:val="BodyText"/>
        <w:spacing w:before="1"/>
        <w:ind w:left="1140"/>
      </w:pPr>
      <w:r>
        <w:t>Each</w:t>
      </w:r>
      <w:r>
        <w:rPr>
          <w:spacing w:val="-2"/>
        </w:rPr>
        <w:t xml:space="preserve"> </w:t>
      </w:r>
      <w:r>
        <w:t>of</w:t>
      </w:r>
      <w:r>
        <w:rPr>
          <w:spacing w:val="-1"/>
        </w:rPr>
        <w:t xml:space="preserve"> </w:t>
      </w:r>
      <w:r>
        <w:t>the</w:t>
      </w:r>
      <w:r>
        <w:rPr>
          <w:spacing w:val="-2"/>
        </w:rPr>
        <w:t xml:space="preserve"> </w:t>
      </w:r>
      <w:r>
        <w:t>tenets</w:t>
      </w:r>
      <w:r>
        <w:rPr>
          <w:spacing w:val="-2"/>
        </w:rPr>
        <w:t xml:space="preserve"> </w:t>
      </w:r>
      <w:r>
        <w:t>is</w:t>
      </w:r>
      <w:r>
        <w:rPr>
          <w:spacing w:val="-1"/>
        </w:rPr>
        <w:t xml:space="preserve"> </w:t>
      </w:r>
      <w:r>
        <w:t>addressed</w:t>
      </w:r>
      <w:r>
        <w:rPr>
          <w:spacing w:val="-1"/>
        </w:rPr>
        <w:t xml:space="preserve"> </w:t>
      </w:r>
      <w:r>
        <w:rPr>
          <w:spacing w:val="-2"/>
        </w:rPr>
        <w:t>below:-</w:t>
      </w:r>
    </w:p>
    <w:p w:rsidR="00A01EE4" w:rsidRDefault="00B249D0">
      <w:pPr>
        <w:pStyle w:val="Heading2"/>
        <w:spacing w:before="138"/>
        <w:jc w:val="both"/>
      </w:pPr>
      <w:r>
        <w:rPr>
          <w:spacing w:val="-4"/>
          <w:u w:val="single"/>
        </w:rPr>
        <w:t>Point</w:t>
      </w:r>
      <w:r>
        <w:rPr>
          <w:spacing w:val="-7"/>
          <w:u w:val="single"/>
        </w:rPr>
        <w:t xml:space="preserve"> </w:t>
      </w:r>
      <w:r>
        <w:rPr>
          <w:spacing w:val="-4"/>
          <w:u w:val="single"/>
        </w:rPr>
        <w:t>of</w:t>
      </w:r>
      <w:r>
        <w:rPr>
          <w:spacing w:val="-7"/>
          <w:u w:val="single"/>
        </w:rPr>
        <w:t xml:space="preserve"> </w:t>
      </w:r>
      <w:r>
        <w:rPr>
          <w:spacing w:val="-5"/>
          <w:u w:val="single"/>
        </w:rPr>
        <w:t>law</w:t>
      </w:r>
    </w:p>
    <w:p w:rsidR="00A01EE4" w:rsidRDefault="00B249D0">
      <w:pPr>
        <w:pStyle w:val="BodyText"/>
        <w:spacing w:before="138" w:line="360" w:lineRule="auto"/>
        <w:ind w:left="360" w:right="1079"/>
        <w:jc w:val="both"/>
      </w:pPr>
      <w:r>
        <w:t>The applicants put the following forward as the points of law which they intend to take up on appeal to the Supreme Court.</w:t>
      </w:r>
    </w:p>
    <w:p w:rsidR="00A01EE4" w:rsidRDefault="00B249D0">
      <w:pPr>
        <w:pStyle w:val="ListParagraph"/>
        <w:numPr>
          <w:ilvl w:val="0"/>
          <w:numId w:val="2"/>
        </w:numPr>
        <w:tabs>
          <w:tab w:val="left" w:pos="1080"/>
        </w:tabs>
        <w:spacing w:line="360" w:lineRule="auto"/>
        <w:jc w:val="both"/>
        <w:rPr>
          <w:sz w:val="24"/>
        </w:rPr>
      </w:pPr>
      <w:r>
        <w:rPr>
          <w:sz w:val="24"/>
        </w:rPr>
        <w:t>The Court a quo grossly erred and misdirect</w:t>
      </w:r>
      <w:r>
        <w:rPr>
          <w:sz w:val="24"/>
        </w:rPr>
        <w:t>ed itself at law in dismissing the application for condonation of late filing of an appeal and extension of time within which to file an appeal on the basis that the appellants had no prospects of success in the intended appeal.</w:t>
      </w:r>
    </w:p>
    <w:p w:rsidR="00A01EE4" w:rsidRDefault="00B249D0">
      <w:pPr>
        <w:pStyle w:val="ListParagraph"/>
        <w:numPr>
          <w:ilvl w:val="0"/>
          <w:numId w:val="2"/>
        </w:numPr>
        <w:tabs>
          <w:tab w:val="left" w:pos="1080"/>
        </w:tabs>
        <w:spacing w:line="360" w:lineRule="auto"/>
        <w:jc w:val="both"/>
        <w:rPr>
          <w:sz w:val="24"/>
        </w:rPr>
      </w:pPr>
      <w:r>
        <w:rPr>
          <w:sz w:val="24"/>
        </w:rPr>
        <w:t>The court a quo erred at la</w:t>
      </w:r>
      <w:r>
        <w:rPr>
          <w:sz w:val="24"/>
        </w:rPr>
        <w:t>w when it was clear that the termination of the appellants’ contracts was instituted by a non-existent entity and was therefore null and void.</w:t>
      </w:r>
    </w:p>
    <w:p w:rsidR="00A01EE4" w:rsidRDefault="00B249D0">
      <w:pPr>
        <w:pStyle w:val="ListParagraph"/>
        <w:numPr>
          <w:ilvl w:val="0"/>
          <w:numId w:val="2"/>
        </w:numPr>
        <w:tabs>
          <w:tab w:val="left" w:pos="1080"/>
        </w:tabs>
        <w:spacing w:line="360" w:lineRule="auto"/>
        <w:jc w:val="both"/>
        <w:rPr>
          <w:sz w:val="24"/>
        </w:rPr>
      </w:pPr>
      <w:r>
        <w:rPr>
          <w:sz w:val="24"/>
        </w:rPr>
        <w:t>The court a quo further erred at law by making a finding that the intended grounds of appeal were akin to a review when there were no reviewable issues on the arbitrator’s award dated 30 August 2024.</w:t>
      </w:r>
    </w:p>
    <w:p w:rsidR="00A01EE4" w:rsidRDefault="00B249D0">
      <w:pPr>
        <w:pStyle w:val="ListParagraph"/>
        <w:numPr>
          <w:ilvl w:val="0"/>
          <w:numId w:val="2"/>
        </w:numPr>
        <w:tabs>
          <w:tab w:val="left" w:pos="1080"/>
        </w:tabs>
        <w:spacing w:line="360" w:lineRule="auto"/>
        <w:jc w:val="both"/>
        <w:rPr>
          <w:sz w:val="24"/>
        </w:rPr>
      </w:pPr>
      <w:r>
        <w:rPr>
          <w:sz w:val="24"/>
        </w:rPr>
        <w:t>Further, the court erred at law when it made a finding t</w:t>
      </w:r>
      <w:r>
        <w:rPr>
          <w:sz w:val="24"/>
        </w:rPr>
        <w:t>hat the appellants waived their rights to challenge the termination when they accepted the money that was deposited in their respective bank accounts when it was clear that the money was paid unilaterally and there was no voluntary acceptance by the appell</w:t>
      </w:r>
      <w:r>
        <w:rPr>
          <w:sz w:val="24"/>
        </w:rPr>
        <w:t>ants.</w:t>
      </w:r>
    </w:p>
    <w:p w:rsidR="00A01EE4" w:rsidRDefault="00A01EE4">
      <w:pPr>
        <w:pStyle w:val="BodyText"/>
        <w:spacing w:before="137"/>
      </w:pPr>
    </w:p>
    <w:p w:rsidR="00A01EE4" w:rsidRDefault="00B249D0">
      <w:pPr>
        <w:pStyle w:val="BodyText"/>
        <w:ind w:left="360"/>
        <w:jc w:val="both"/>
      </w:pPr>
      <w:r>
        <w:t>On</w:t>
      </w:r>
      <w:r>
        <w:rPr>
          <w:spacing w:val="-5"/>
        </w:rPr>
        <w:t xml:space="preserve"> </w:t>
      </w:r>
      <w:r>
        <w:t>the</w:t>
      </w:r>
      <w:r>
        <w:rPr>
          <w:spacing w:val="-2"/>
        </w:rPr>
        <w:t xml:space="preserve"> </w:t>
      </w:r>
      <w:r>
        <w:t>prospects</w:t>
      </w:r>
      <w:r>
        <w:rPr>
          <w:spacing w:val="-3"/>
        </w:rPr>
        <w:t xml:space="preserve"> </w:t>
      </w:r>
      <w:r>
        <w:t>plane</w:t>
      </w:r>
      <w:r>
        <w:rPr>
          <w:spacing w:val="-2"/>
        </w:rPr>
        <w:t xml:space="preserve"> </w:t>
      </w:r>
      <w:r>
        <w:t>the</w:t>
      </w:r>
      <w:r>
        <w:rPr>
          <w:spacing w:val="-2"/>
        </w:rPr>
        <w:t xml:space="preserve"> </w:t>
      </w:r>
      <w:r>
        <w:t>applicants</w:t>
      </w:r>
      <w:r>
        <w:rPr>
          <w:spacing w:val="-3"/>
        </w:rPr>
        <w:t xml:space="preserve"> </w:t>
      </w:r>
      <w:r>
        <w:t>maintained</w:t>
      </w:r>
      <w:r>
        <w:rPr>
          <w:spacing w:val="-2"/>
        </w:rPr>
        <w:t xml:space="preserve"> that:-</w:t>
      </w:r>
    </w:p>
    <w:p w:rsidR="00A01EE4" w:rsidRDefault="00B249D0">
      <w:pPr>
        <w:pStyle w:val="ListParagraph"/>
        <w:numPr>
          <w:ilvl w:val="0"/>
          <w:numId w:val="1"/>
        </w:numPr>
        <w:tabs>
          <w:tab w:val="left" w:pos="1080"/>
        </w:tabs>
        <w:spacing w:before="138"/>
        <w:ind w:right="0"/>
        <w:jc w:val="both"/>
        <w:rPr>
          <w:sz w:val="24"/>
        </w:rPr>
      </w:pPr>
      <w:r>
        <w:rPr>
          <w:sz w:val="24"/>
        </w:rPr>
        <w:t>The</w:t>
      </w:r>
      <w:r>
        <w:rPr>
          <w:spacing w:val="-1"/>
          <w:sz w:val="24"/>
        </w:rPr>
        <w:t xml:space="preserve"> </w:t>
      </w:r>
      <w:r>
        <w:rPr>
          <w:sz w:val="24"/>
        </w:rPr>
        <w:t>court</w:t>
      </w:r>
      <w:r>
        <w:rPr>
          <w:spacing w:val="-2"/>
          <w:sz w:val="24"/>
        </w:rPr>
        <w:t xml:space="preserve"> </w:t>
      </w:r>
      <w:r>
        <w:rPr>
          <w:sz w:val="24"/>
        </w:rPr>
        <w:t>erred</w:t>
      </w:r>
      <w:r>
        <w:rPr>
          <w:spacing w:val="-1"/>
          <w:sz w:val="24"/>
        </w:rPr>
        <w:t xml:space="preserve"> </w:t>
      </w:r>
      <w:r>
        <w:rPr>
          <w:sz w:val="24"/>
        </w:rPr>
        <w:t>to</w:t>
      </w:r>
      <w:r>
        <w:rPr>
          <w:spacing w:val="-1"/>
          <w:sz w:val="24"/>
        </w:rPr>
        <w:t xml:space="preserve"> </w:t>
      </w:r>
      <w:r>
        <w:rPr>
          <w:sz w:val="24"/>
        </w:rPr>
        <w:t>rule</w:t>
      </w:r>
      <w:r>
        <w:rPr>
          <w:spacing w:val="-1"/>
          <w:sz w:val="24"/>
        </w:rPr>
        <w:t xml:space="preserve"> </w:t>
      </w:r>
      <w:r>
        <w:rPr>
          <w:sz w:val="24"/>
        </w:rPr>
        <w:t>that</w:t>
      </w:r>
      <w:r>
        <w:rPr>
          <w:spacing w:val="-2"/>
          <w:sz w:val="24"/>
        </w:rPr>
        <w:t xml:space="preserve"> </w:t>
      </w:r>
      <w:r>
        <w:rPr>
          <w:sz w:val="24"/>
        </w:rPr>
        <w:t>appeal</w:t>
      </w:r>
      <w:r>
        <w:rPr>
          <w:spacing w:val="-1"/>
          <w:sz w:val="24"/>
        </w:rPr>
        <w:t xml:space="preserve"> </w:t>
      </w:r>
      <w:r>
        <w:rPr>
          <w:sz w:val="24"/>
        </w:rPr>
        <w:t>grounds</w:t>
      </w:r>
      <w:r>
        <w:rPr>
          <w:spacing w:val="-1"/>
          <w:sz w:val="24"/>
        </w:rPr>
        <w:t xml:space="preserve"> </w:t>
      </w:r>
      <w:r>
        <w:rPr>
          <w:sz w:val="24"/>
        </w:rPr>
        <w:t>were</w:t>
      </w:r>
      <w:r>
        <w:rPr>
          <w:spacing w:val="-2"/>
          <w:sz w:val="24"/>
        </w:rPr>
        <w:t xml:space="preserve"> </w:t>
      </w:r>
      <w:r>
        <w:rPr>
          <w:sz w:val="24"/>
        </w:rPr>
        <w:t>more</w:t>
      </w:r>
      <w:r>
        <w:rPr>
          <w:spacing w:val="-1"/>
          <w:sz w:val="24"/>
        </w:rPr>
        <w:t xml:space="preserve"> </w:t>
      </w:r>
      <w:r>
        <w:rPr>
          <w:sz w:val="24"/>
        </w:rPr>
        <w:t>of</w:t>
      </w:r>
      <w:r>
        <w:rPr>
          <w:spacing w:val="-1"/>
          <w:sz w:val="24"/>
        </w:rPr>
        <w:t xml:space="preserve"> </w:t>
      </w:r>
      <w:r>
        <w:rPr>
          <w:sz w:val="24"/>
        </w:rPr>
        <w:t>review</w:t>
      </w:r>
      <w:r>
        <w:rPr>
          <w:spacing w:val="-2"/>
          <w:sz w:val="24"/>
        </w:rPr>
        <w:t xml:space="preserve"> </w:t>
      </w:r>
      <w:r>
        <w:rPr>
          <w:sz w:val="24"/>
        </w:rPr>
        <w:t>than</w:t>
      </w:r>
      <w:r>
        <w:rPr>
          <w:spacing w:val="-1"/>
          <w:sz w:val="24"/>
        </w:rPr>
        <w:t xml:space="preserve"> </w:t>
      </w:r>
      <w:r>
        <w:rPr>
          <w:spacing w:val="-2"/>
          <w:sz w:val="24"/>
        </w:rPr>
        <w:t>appeal.</w:t>
      </w:r>
    </w:p>
    <w:p w:rsidR="00A01EE4" w:rsidRDefault="00B249D0">
      <w:pPr>
        <w:pStyle w:val="ListParagraph"/>
        <w:numPr>
          <w:ilvl w:val="0"/>
          <w:numId w:val="1"/>
        </w:numPr>
        <w:tabs>
          <w:tab w:val="left" w:pos="1080"/>
        </w:tabs>
        <w:spacing w:before="138" w:line="360" w:lineRule="auto"/>
        <w:ind w:right="1077"/>
        <w:jc w:val="both"/>
        <w:rPr>
          <w:sz w:val="24"/>
        </w:rPr>
      </w:pPr>
      <w:r>
        <w:rPr>
          <w:sz w:val="24"/>
        </w:rPr>
        <w:t>Court overlooked that, appeal was against arbitral award of 3 May 2024.There were no issues about how the award was arrived at. Reservations were on how the employer terminated</w:t>
      </w:r>
      <w:r>
        <w:rPr>
          <w:spacing w:val="80"/>
          <w:sz w:val="24"/>
        </w:rPr>
        <w:t xml:space="preserve"> </w:t>
      </w:r>
      <w:r>
        <w:rPr>
          <w:sz w:val="24"/>
        </w:rPr>
        <w:t>the</w:t>
      </w:r>
      <w:r>
        <w:rPr>
          <w:spacing w:val="80"/>
          <w:sz w:val="24"/>
        </w:rPr>
        <w:t xml:space="preserve"> </w:t>
      </w:r>
      <w:r>
        <w:rPr>
          <w:sz w:val="24"/>
        </w:rPr>
        <w:t>contracts</w:t>
      </w:r>
      <w:r>
        <w:rPr>
          <w:spacing w:val="80"/>
          <w:sz w:val="24"/>
        </w:rPr>
        <w:t xml:space="preserve"> </w:t>
      </w:r>
      <w:r>
        <w:rPr>
          <w:sz w:val="24"/>
        </w:rPr>
        <w:t>of</w:t>
      </w:r>
      <w:r>
        <w:rPr>
          <w:spacing w:val="80"/>
          <w:sz w:val="24"/>
        </w:rPr>
        <w:t xml:space="preserve"> </w:t>
      </w:r>
      <w:r>
        <w:rPr>
          <w:sz w:val="24"/>
        </w:rPr>
        <w:t>employment.</w:t>
      </w:r>
      <w:r>
        <w:rPr>
          <w:spacing w:val="80"/>
          <w:sz w:val="24"/>
        </w:rPr>
        <w:t xml:space="preserve"> </w:t>
      </w:r>
      <w:r>
        <w:rPr>
          <w:sz w:val="24"/>
        </w:rPr>
        <w:t>Arbitrator</w:t>
      </w:r>
      <w:r>
        <w:rPr>
          <w:spacing w:val="80"/>
          <w:sz w:val="24"/>
        </w:rPr>
        <w:t xml:space="preserve"> </w:t>
      </w:r>
      <w:r>
        <w:rPr>
          <w:sz w:val="24"/>
        </w:rPr>
        <w:t>ruled</w:t>
      </w:r>
      <w:r>
        <w:rPr>
          <w:spacing w:val="80"/>
          <w:sz w:val="24"/>
        </w:rPr>
        <w:t xml:space="preserve"> </w:t>
      </w:r>
      <w:r>
        <w:rPr>
          <w:sz w:val="24"/>
        </w:rPr>
        <w:t>that</w:t>
      </w:r>
      <w:r>
        <w:rPr>
          <w:spacing w:val="80"/>
          <w:sz w:val="24"/>
        </w:rPr>
        <w:t xml:space="preserve"> </w:t>
      </w:r>
      <w:r>
        <w:rPr>
          <w:sz w:val="24"/>
        </w:rPr>
        <w:t>contracts</w:t>
      </w:r>
      <w:r>
        <w:rPr>
          <w:spacing w:val="80"/>
          <w:sz w:val="24"/>
        </w:rPr>
        <w:t xml:space="preserve"> </w:t>
      </w:r>
      <w:r>
        <w:rPr>
          <w:sz w:val="24"/>
        </w:rPr>
        <w:t>were</w:t>
      </w:r>
      <w:r>
        <w:rPr>
          <w:spacing w:val="80"/>
          <w:sz w:val="24"/>
        </w:rPr>
        <w:t xml:space="preserve"> </w:t>
      </w:r>
      <w:r>
        <w:rPr>
          <w:sz w:val="24"/>
        </w:rPr>
        <w:t>not</w:t>
      </w:r>
    </w:p>
    <w:p w:rsidR="00A01EE4" w:rsidRDefault="00A01EE4">
      <w:pPr>
        <w:pStyle w:val="ListParagraph"/>
        <w:spacing w:line="360" w:lineRule="auto"/>
        <w:rPr>
          <w:sz w:val="24"/>
        </w:rPr>
        <w:sectPr w:rsidR="00A01EE4">
          <w:footerReference w:type="default" r:id="rId8"/>
          <w:pgSz w:w="12240" w:h="15840"/>
          <w:pgMar w:top="1380" w:right="360" w:bottom="1200" w:left="1080" w:header="0" w:footer="1013" w:gutter="0"/>
          <w:pgNumType w:start="2"/>
          <w:cols w:space="720"/>
        </w:sectPr>
      </w:pPr>
    </w:p>
    <w:p w:rsidR="00A01EE4" w:rsidRDefault="00B249D0">
      <w:pPr>
        <w:pStyle w:val="BodyText"/>
        <w:spacing w:before="60" w:line="360" w:lineRule="auto"/>
        <w:ind w:left="1080" w:right="1078"/>
        <w:jc w:val="both"/>
      </w:pPr>
      <w:r>
        <w:lastRenderedPageBreak/>
        <w:t>unlawfully terminated. Arbitrator determination said it referred to Section 12 (C) 2 of the Labour Act as being complied with and said appellants waived right to challenge the termination. This was not proper mindful of provision</w:t>
      </w:r>
      <w:r>
        <w:t>s of Section 12(4) of the Labour Act.</w:t>
      </w:r>
      <w:r>
        <w:rPr>
          <w:spacing w:val="-2"/>
        </w:rPr>
        <w:t xml:space="preserve"> </w:t>
      </w:r>
      <w:r>
        <w:t>Employer</w:t>
      </w:r>
      <w:r>
        <w:rPr>
          <w:spacing w:val="-2"/>
        </w:rPr>
        <w:t xml:space="preserve"> </w:t>
      </w:r>
      <w:r>
        <w:t>terminated</w:t>
      </w:r>
      <w:r>
        <w:rPr>
          <w:spacing w:val="-1"/>
        </w:rPr>
        <w:t xml:space="preserve"> </w:t>
      </w:r>
      <w:r>
        <w:t>employment</w:t>
      </w:r>
      <w:r>
        <w:rPr>
          <w:spacing w:val="-2"/>
        </w:rPr>
        <w:t xml:space="preserve"> </w:t>
      </w:r>
      <w:r>
        <w:t>as</w:t>
      </w:r>
      <w:r>
        <w:rPr>
          <w:spacing w:val="-1"/>
        </w:rPr>
        <w:t xml:space="preserve"> </w:t>
      </w:r>
      <w:r>
        <w:t>discussed</w:t>
      </w:r>
      <w:r>
        <w:rPr>
          <w:spacing w:val="-2"/>
        </w:rPr>
        <w:t xml:space="preserve"> </w:t>
      </w:r>
      <w:r>
        <w:t>retrenchment.</w:t>
      </w:r>
      <w:r>
        <w:rPr>
          <w:spacing w:val="-2"/>
        </w:rPr>
        <w:t xml:space="preserve"> </w:t>
      </w:r>
      <w:r>
        <w:t>Appeal</w:t>
      </w:r>
      <w:r>
        <w:rPr>
          <w:spacing w:val="-1"/>
        </w:rPr>
        <w:t xml:space="preserve"> </w:t>
      </w:r>
      <w:r>
        <w:t>is</w:t>
      </w:r>
      <w:r>
        <w:rPr>
          <w:spacing w:val="-1"/>
        </w:rPr>
        <w:t xml:space="preserve"> </w:t>
      </w:r>
      <w:r>
        <w:t>based</w:t>
      </w:r>
      <w:r>
        <w:rPr>
          <w:spacing w:val="-2"/>
        </w:rPr>
        <w:t xml:space="preserve"> </w:t>
      </w:r>
      <w:r>
        <w:t>on</w:t>
      </w:r>
      <w:r>
        <w:rPr>
          <w:spacing w:val="-1"/>
        </w:rPr>
        <w:t xml:space="preserve"> </w:t>
      </w:r>
      <w:r>
        <w:t>the record, no procedural issues arise thereon.</w:t>
      </w:r>
    </w:p>
    <w:p w:rsidR="00A01EE4" w:rsidRDefault="00A01EE4">
      <w:pPr>
        <w:pStyle w:val="BodyText"/>
      </w:pPr>
    </w:p>
    <w:p w:rsidR="00A01EE4" w:rsidRDefault="00A01EE4">
      <w:pPr>
        <w:pStyle w:val="BodyText"/>
        <w:spacing w:before="61"/>
      </w:pPr>
    </w:p>
    <w:p w:rsidR="00A01EE4" w:rsidRDefault="00B249D0">
      <w:pPr>
        <w:pStyle w:val="BodyText"/>
        <w:spacing w:before="1" w:line="360" w:lineRule="auto"/>
        <w:ind w:left="360" w:right="1077" w:firstLine="720"/>
        <w:jc w:val="both"/>
      </w:pPr>
      <w:r>
        <w:t>It was wrong for the court to conclude that there were no prospects yet it was clear that arbitrator did not apply the facts of unlawful termination or discussed retrenchment. Retrenchment</w:t>
      </w:r>
      <w:r>
        <w:rPr>
          <w:spacing w:val="-9"/>
        </w:rPr>
        <w:t xml:space="preserve"> </w:t>
      </w:r>
      <w:r>
        <w:t>was</w:t>
      </w:r>
      <w:r>
        <w:rPr>
          <w:spacing w:val="-9"/>
        </w:rPr>
        <w:t xml:space="preserve"> </w:t>
      </w:r>
      <w:r>
        <w:t>not</w:t>
      </w:r>
      <w:r>
        <w:rPr>
          <w:spacing w:val="-9"/>
        </w:rPr>
        <w:t xml:space="preserve"> </w:t>
      </w:r>
      <w:r>
        <w:t>done</w:t>
      </w:r>
      <w:r>
        <w:rPr>
          <w:spacing w:val="-9"/>
        </w:rPr>
        <w:t xml:space="preserve"> </w:t>
      </w:r>
      <w:r>
        <w:t>properly</w:t>
      </w:r>
      <w:r>
        <w:rPr>
          <w:spacing w:val="-9"/>
        </w:rPr>
        <w:t xml:space="preserve"> </w:t>
      </w:r>
      <w:r>
        <w:t>and</w:t>
      </w:r>
      <w:r>
        <w:rPr>
          <w:spacing w:val="-9"/>
        </w:rPr>
        <w:t xml:space="preserve"> </w:t>
      </w:r>
      <w:r>
        <w:rPr>
          <w:b/>
        </w:rPr>
        <w:t>Chidziva</w:t>
      </w:r>
      <w:r>
        <w:rPr>
          <w:b/>
          <w:spacing w:val="-9"/>
        </w:rPr>
        <w:t xml:space="preserve"> </w:t>
      </w:r>
      <w:r>
        <w:rPr>
          <w:b/>
        </w:rPr>
        <w:t>v</w:t>
      </w:r>
      <w:r>
        <w:rPr>
          <w:b/>
          <w:spacing w:val="-9"/>
        </w:rPr>
        <w:t xml:space="preserve"> </w:t>
      </w:r>
      <w:r>
        <w:rPr>
          <w:b/>
        </w:rPr>
        <w:t>ZISCO</w:t>
      </w:r>
      <w:r>
        <w:rPr>
          <w:b/>
          <w:spacing w:val="-9"/>
        </w:rPr>
        <w:t xml:space="preserve"> </w:t>
      </w:r>
      <w:r>
        <w:rPr>
          <w:b/>
        </w:rPr>
        <w:t>Steel</w:t>
      </w:r>
      <w:r>
        <w:rPr>
          <w:b/>
          <w:spacing w:val="-9"/>
        </w:rPr>
        <w:t xml:space="preserve"> </w:t>
      </w:r>
      <w:r>
        <w:rPr>
          <w:b/>
        </w:rPr>
        <w:t>1997</w:t>
      </w:r>
      <w:r>
        <w:rPr>
          <w:b/>
          <w:spacing w:val="-9"/>
        </w:rPr>
        <w:t xml:space="preserve"> </w:t>
      </w:r>
      <w:r>
        <w:rPr>
          <w:b/>
        </w:rPr>
        <w:t>(2)</w:t>
      </w:r>
      <w:r>
        <w:rPr>
          <w:b/>
          <w:spacing w:val="-9"/>
        </w:rPr>
        <w:t xml:space="preserve"> </w:t>
      </w:r>
      <w:r>
        <w:rPr>
          <w:b/>
        </w:rPr>
        <w:t>ZLR</w:t>
      </w:r>
      <w:r>
        <w:rPr>
          <w:b/>
          <w:spacing w:val="-9"/>
        </w:rPr>
        <w:t xml:space="preserve"> </w:t>
      </w:r>
      <w:r>
        <w:rPr>
          <w:b/>
        </w:rPr>
        <w:t>368</w:t>
      </w:r>
      <w:r>
        <w:rPr>
          <w:b/>
          <w:spacing w:val="-9"/>
        </w:rPr>
        <w:t xml:space="preserve"> </w:t>
      </w:r>
      <w:r>
        <w:rPr>
          <w:b/>
        </w:rPr>
        <w:t>(</w:t>
      </w:r>
      <w:r>
        <w:rPr>
          <w:b/>
        </w:rPr>
        <w:t>S)</w:t>
      </w:r>
      <w:r>
        <w:rPr>
          <w:b/>
          <w:spacing w:val="-9"/>
        </w:rPr>
        <w:t xml:space="preserve"> </w:t>
      </w:r>
      <w:r>
        <w:t>case</w:t>
      </w:r>
      <w:r>
        <w:rPr>
          <w:spacing w:val="-9"/>
        </w:rPr>
        <w:t xml:space="preserve"> </w:t>
      </w:r>
      <w:r>
        <w:t>on waiver did not apply.</w:t>
      </w:r>
    </w:p>
    <w:p w:rsidR="00A01EE4" w:rsidRDefault="00B249D0">
      <w:pPr>
        <w:pStyle w:val="BodyText"/>
        <w:spacing w:before="200" w:line="360" w:lineRule="auto"/>
        <w:ind w:left="360" w:right="1077" w:firstLine="720"/>
        <w:jc w:val="both"/>
      </w:pPr>
      <w:r>
        <w:t xml:space="preserve">A reading of the basis upon which the leave to appeal application was premised demonstrates that applicants were merely repeating what they stated before the court when it dismissed their condonation application. The court </w:t>
      </w:r>
      <w:r>
        <w:t>was very clear in its decision on the condonation</w:t>
      </w:r>
      <w:r>
        <w:rPr>
          <w:spacing w:val="-2"/>
        </w:rPr>
        <w:t xml:space="preserve"> </w:t>
      </w:r>
      <w:r>
        <w:t>application</w:t>
      </w:r>
      <w:r>
        <w:rPr>
          <w:spacing w:val="-2"/>
        </w:rPr>
        <w:t xml:space="preserve"> </w:t>
      </w:r>
      <w:r>
        <w:t>that</w:t>
      </w:r>
      <w:r>
        <w:rPr>
          <w:spacing w:val="-2"/>
        </w:rPr>
        <w:t xml:space="preserve"> </w:t>
      </w:r>
      <w:r>
        <w:t>the</w:t>
      </w:r>
      <w:r>
        <w:rPr>
          <w:spacing w:val="-2"/>
        </w:rPr>
        <w:t xml:space="preserve"> </w:t>
      </w:r>
      <w:r>
        <w:t>applicants</w:t>
      </w:r>
      <w:r>
        <w:rPr>
          <w:spacing w:val="-2"/>
        </w:rPr>
        <w:t xml:space="preserve"> </w:t>
      </w:r>
      <w:r>
        <w:t>could</w:t>
      </w:r>
      <w:r>
        <w:rPr>
          <w:spacing w:val="-2"/>
        </w:rPr>
        <w:t xml:space="preserve"> </w:t>
      </w:r>
      <w:r>
        <w:t>not</w:t>
      </w:r>
      <w:r>
        <w:rPr>
          <w:spacing w:val="-2"/>
        </w:rPr>
        <w:t xml:space="preserve"> </w:t>
      </w:r>
      <w:r>
        <w:t>accept</w:t>
      </w:r>
      <w:r>
        <w:rPr>
          <w:spacing w:val="-2"/>
        </w:rPr>
        <w:t xml:space="preserve"> </w:t>
      </w:r>
      <w:r>
        <w:t>and</w:t>
      </w:r>
      <w:r>
        <w:rPr>
          <w:spacing w:val="-2"/>
        </w:rPr>
        <w:t xml:space="preserve"> </w:t>
      </w:r>
      <w:r>
        <w:t>use</w:t>
      </w:r>
      <w:r>
        <w:rPr>
          <w:spacing w:val="-2"/>
        </w:rPr>
        <w:t xml:space="preserve"> </w:t>
      </w:r>
      <w:r>
        <w:t>the</w:t>
      </w:r>
      <w:r>
        <w:rPr>
          <w:spacing w:val="-2"/>
        </w:rPr>
        <w:t xml:space="preserve"> </w:t>
      </w:r>
      <w:r>
        <w:t>retrenchment</w:t>
      </w:r>
      <w:r>
        <w:rPr>
          <w:spacing w:val="-2"/>
        </w:rPr>
        <w:t xml:space="preserve"> </w:t>
      </w:r>
      <w:r>
        <w:t>money</w:t>
      </w:r>
      <w:r>
        <w:rPr>
          <w:spacing w:val="-2"/>
        </w:rPr>
        <w:t xml:space="preserve"> </w:t>
      </w:r>
      <w:r>
        <w:t xml:space="preserve">and turn round to argue that they had been and unlawfully dismissed. See </w:t>
      </w:r>
      <w:r>
        <w:rPr>
          <w:b/>
        </w:rPr>
        <w:t xml:space="preserve">Chidziva (Supra) </w:t>
      </w:r>
      <w:r>
        <w:t xml:space="preserve">on </w:t>
      </w:r>
      <w:r>
        <w:rPr>
          <w:spacing w:val="-2"/>
        </w:rPr>
        <w:t>waiver.</w:t>
      </w:r>
    </w:p>
    <w:p w:rsidR="00A01EE4" w:rsidRDefault="00B249D0">
      <w:pPr>
        <w:pStyle w:val="BodyText"/>
        <w:spacing w:before="200" w:line="360" w:lineRule="auto"/>
        <w:ind w:left="360" w:right="1077" w:firstLine="780"/>
        <w:jc w:val="both"/>
      </w:pPr>
      <w:bookmarkStart w:id="0" w:name="_GoBack"/>
      <w:bookmarkEnd w:id="0"/>
      <w:r>
        <w:t>There is nothing else ne</w:t>
      </w:r>
      <w:r>
        <w:t>w that was set out in the leave application to cause the court to shift its earlier position that the applicants were out of the court on account of the waiver principle. The court was therefore satisfied that the tenets for grant of leave to appeal were n</w:t>
      </w:r>
      <w:r>
        <w:t>ot satisfied hence its dismissal of the application for leave to appeal.</w:t>
      </w:r>
    </w:p>
    <w:p w:rsidR="00A01EE4" w:rsidRDefault="00A01EE4">
      <w:pPr>
        <w:pStyle w:val="BodyText"/>
      </w:pPr>
    </w:p>
    <w:p w:rsidR="00A01EE4" w:rsidRDefault="00A01EE4">
      <w:pPr>
        <w:pStyle w:val="BodyText"/>
      </w:pPr>
    </w:p>
    <w:p w:rsidR="00A01EE4" w:rsidRDefault="00A01EE4">
      <w:pPr>
        <w:pStyle w:val="BodyText"/>
        <w:spacing w:before="190"/>
      </w:pPr>
    </w:p>
    <w:p w:rsidR="00A01EE4" w:rsidRDefault="00B249D0">
      <w:pPr>
        <w:tabs>
          <w:tab w:val="left" w:pos="5032"/>
        </w:tabs>
        <w:ind w:left="360"/>
        <w:rPr>
          <w:sz w:val="24"/>
        </w:rPr>
      </w:pPr>
      <w:r>
        <w:rPr>
          <w:i/>
          <w:spacing w:val="-6"/>
          <w:sz w:val="25"/>
        </w:rPr>
        <w:t>Saunyama</w:t>
      </w:r>
      <w:r>
        <w:rPr>
          <w:i/>
          <w:spacing w:val="-3"/>
          <w:sz w:val="25"/>
        </w:rPr>
        <w:t xml:space="preserve"> </w:t>
      </w:r>
      <w:r>
        <w:rPr>
          <w:i/>
          <w:spacing w:val="-6"/>
          <w:sz w:val="25"/>
        </w:rPr>
        <w:t>Dondo</w:t>
      </w:r>
      <w:r>
        <w:rPr>
          <w:i/>
          <w:spacing w:val="-3"/>
          <w:sz w:val="25"/>
        </w:rPr>
        <w:t xml:space="preserve"> </w:t>
      </w:r>
      <w:r>
        <w:rPr>
          <w:i/>
          <w:spacing w:val="-6"/>
          <w:sz w:val="25"/>
        </w:rPr>
        <w:t>Legal</w:t>
      </w:r>
      <w:r>
        <w:rPr>
          <w:i/>
          <w:spacing w:val="-2"/>
          <w:sz w:val="25"/>
        </w:rPr>
        <w:t xml:space="preserve"> </w:t>
      </w:r>
      <w:r>
        <w:rPr>
          <w:i/>
          <w:spacing w:val="-6"/>
          <w:sz w:val="25"/>
        </w:rPr>
        <w:t>Practitioners</w:t>
      </w:r>
      <w:r>
        <w:rPr>
          <w:i/>
          <w:sz w:val="25"/>
        </w:rPr>
        <w:tab/>
      </w:r>
      <w:r>
        <w:rPr>
          <w:sz w:val="24"/>
        </w:rPr>
        <w:t>Applicant</w:t>
      </w:r>
      <w:r>
        <w:rPr>
          <w:spacing w:val="-1"/>
          <w:sz w:val="24"/>
        </w:rPr>
        <w:t xml:space="preserve"> </w:t>
      </w:r>
      <w:r>
        <w:rPr>
          <w:sz w:val="24"/>
        </w:rPr>
        <w:t xml:space="preserve">Legal </w:t>
      </w:r>
      <w:r>
        <w:rPr>
          <w:spacing w:val="-2"/>
          <w:sz w:val="24"/>
        </w:rPr>
        <w:t>Practitioners</w:t>
      </w:r>
    </w:p>
    <w:p w:rsidR="00A01EE4" w:rsidRDefault="00B249D0">
      <w:pPr>
        <w:tabs>
          <w:tab w:val="left" w:pos="5071"/>
        </w:tabs>
        <w:spacing w:before="127"/>
        <w:ind w:left="360"/>
        <w:rPr>
          <w:sz w:val="24"/>
        </w:rPr>
      </w:pPr>
      <w:r>
        <w:rPr>
          <w:i/>
          <w:spacing w:val="-6"/>
          <w:sz w:val="25"/>
        </w:rPr>
        <w:t>Mawere Sibanda Commercial Lawyers</w:t>
      </w:r>
      <w:r>
        <w:rPr>
          <w:i/>
          <w:sz w:val="25"/>
        </w:rPr>
        <w:tab/>
      </w:r>
      <w:r>
        <w:rPr>
          <w:sz w:val="24"/>
        </w:rPr>
        <w:t>Respondent</w:t>
      </w:r>
      <w:r>
        <w:rPr>
          <w:spacing w:val="-3"/>
          <w:sz w:val="24"/>
        </w:rPr>
        <w:t xml:space="preserve"> </w:t>
      </w:r>
      <w:r>
        <w:rPr>
          <w:sz w:val="24"/>
        </w:rPr>
        <w:t xml:space="preserve">Legal </w:t>
      </w:r>
      <w:r>
        <w:rPr>
          <w:spacing w:val="-2"/>
          <w:sz w:val="24"/>
        </w:rPr>
        <w:t>Practitioners</w:t>
      </w:r>
    </w:p>
    <w:sectPr w:rsidR="00A01EE4">
      <w:pgSz w:w="12240" w:h="15840"/>
      <w:pgMar w:top="1380" w:right="360" w:bottom="1200" w:left="1080" w:header="0"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9D0" w:rsidRDefault="00B249D0">
      <w:r>
        <w:separator/>
      </w:r>
    </w:p>
  </w:endnote>
  <w:endnote w:type="continuationSeparator" w:id="0">
    <w:p w:rsidR="00B249D0" w:rsidRDefault="00B2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E4" w:rsidRDefault="00B249D0">
    <w:pPr>
      <w:pStyle w:val="BodyText"/>
      <w:spacing w:line="14" w:lineRule="auto"/>
      <w:rPr>
        <w:sz w:val="20"/>
      </w:rPr>
    </w:pPr>
    <w:r>
      <w:rPr>
        <w:noProof/>
        <w:sz w:val="20"/>
      </w:rPr>
      <mc:AlternateContent>
        <mc:Choice Requires="wps">
          <w:drawing>
            <wp:anchor distT="0" distB="0" distL="0" distR="0" simplePos="0" relativeHeight="487522816" behindDoc="1" locked="0" layoutInCell="1" allowOverlap="1">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rsidR="00A01EE4" w:rsidRDefault="00B249D0">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2pt;margin-top:743.8pt;width:7.6pt;height:13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G3pQEAAD0DAAAOAAAAZHJzL2Uyb0RvYy54bWysUsGO0zAQvSPxD5bv1EmlrSBqulpYgZBW&#10;gLTLBziO3VjEHuNxm/TvGbtpdwU3tBdnnHl+b97MbG9nN7KjjmjBt7xeVZxpr6C3ft/yn0+f373n&#10;DJP0vRzB65afNPLb3ds32yk0eg0DjL2OjEg8NlNo+ZBSaIRANWgncQVBe0oaiE4musa96KOciN2N&#10;Yl1VGzFB7EMEpRHp7/05yXeF3xit0ndjUCc2tpxqS+WM5ezyKXZb2eyjDINVSxnyP6pw0noSvVLd&#10;yyTZIdp/qJxVERBMWilwAoyxShcP5Kau/nLzOMigixdqDoZrm/D1aNW344/IbE+z48xLRyN60nPq&#10;YGZ1bs4UsCHMYyBUmj/CnIHZKIYHUL+QIOIF5vwACZ0xs4kuf8kmo4fU/9O15yTCFP38sLlZU0JR&#10;pt7c1FUZiXh+GyKmLxocy0HLI0206MvjA6asLpsLZCnlrJ6LSnM3Lx466E9kYaJJtxx/H2TUnI1f&#10;PbUyr8UliJeguwQxjZ+gLE924uHukMDYopwlzryLMs2oFLTsU16Cl/eCet763R8AAAD//wMAUEsD&#10;BBQABgAIAAAAIQDYuK8b4wAAAA0BAAAPAAAAZHJzL2Rvd25yZXYueG1sTI/BTsMwEETvSPyDtUjc&#10;qJOSpiXEqVBRxQH10AISRzc2cUS8jmw3df+e5QS33Z3R7Jt6nezAJu1D71BAPsuAaWyd6rET8P62&#10;vVsBC1GikoNDLeCiA6yb66taVsqdca+nQ+wYhWCopAAT41hxHlqjrQwzN2ok7ct5KyOtvuPKyzOF&#10;24HPs6zkVvZIH4wc9cbo9vtwsgI+NuP2NX0auZsW6uV5vtxffJuEuL1JT4/Aok7xzwy/+IQODTEd&#10;3QlVYIOAMisKspJQrJYlMLKU+QMNRzot8vsSeFPz/y2aHwAAAP//AwBQSwECLQAUAAYACAAAACEA&#10;toM4kv4AAADhAQAAEwAAAAAAAAAAAAAAAAAAAAAAW0NvbnRlbnRfVHlwZXNdLnhtbFBLAQItABQA&#10;BgAIAAAAIQA4/SH/1gAAAJQBAAALAAAAAAAAAAAAAAAAAC8BAABfcmVscy8ucmVsc1BLAQItABQA&#10;BgAIAAAAIQDfj9G3pQEAAD0DAAAOAAAAAAAAAAAAAAAAAC4CAABkcnMvZTJvRG9jLnhtbFBLAQIt&#10;ABQABgAIAAAAIQDYuK8b4wAAAA0BAAAPAAAAAAAAAAAAAAAAAP8DAABkcnMvZG93bnJldi54bWxQ&#10;SwUGAAAAAAQABADzAAAADwUAAAAA&#10;" filled="f" stroked="f">
              <v:path arrowok="t"/>
              <v:textbox inset="0,0,0,0">
                <w:txbxContent>
                  <w:p w:rsidR="00A01EE4" w:rsidRDefault="00B249D0">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E4" w:rsidRDefault="00B249D0">
    <w:pPr>
      <w:pStyle w:val="BodyText"/>
      <w:spacing w:line="14" w:lineRule="auto"/>
      <w:rPr>
        <w:sz w:val="20"/>
      </w:rPr>
    </w:pPr>
    <w:r>
      <w:rPr>
        <w:noProof/>
        <w:sz w:val="20"/>
      </w:rPr>
      <mc:AlternateContent>
        <mc:Choice Requires="wps">
          <w:drawing>
            <wp:anchor distT="0" distB="0" distL="0" distR="0" simplePos="0" relativeHeight="487523328" behindDoc="1" locked="0" layoutInCell="1" allowOverlap="1">
              <wp:simplePos x="0" y="0"/>
              <wp:positionH relativeFrom="page">
                <wp:posOffset>3812692</wp:posOffset>
              </wp:positionH>
              <wp:positionV relativeFrom="page">
                <wp:posOffset>9275673</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A01EE4" w:rsidRDefault="00B249D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1578F">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0.2pt;margin-top:730.35pt;width:12.6pt;height:13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CtpwEAAEUDAAAOAAAAZHJzL2Uyb0RvYy54bWysUsGO0zAQvSPxD5bv1EkkKhQ1XQErENIK&#10;kHb5AMexG4vYYzxuk/49Y7fpruCGuDjjzPOb92Zmd7e4iZ10RAu+4/Wm4kx7BYP1h47/ePr05h1n&#10;mKQf5ARed/yskd/tX7/azaHVDYwwDToyIvHYzqHjY0qhFQLVqJ3EDQTtKWkgOpnoGg9iiHImdjeJ&#10;pqq2YoY4hAhKI9Lf+0uS7wu/MVqlb8agTmzqOGlL5Yzl7PMp9jvZHqIMo1VXGfIfVDhpPRW9Ud3L&#10;JNkx2r+onFUREEzaKHACjLFKFw/kpq7+cPM4yqCLF2oOhlub8P/Rqq+n75HZoeMNZ146GtGTXlIP&#10;C2tyc+aALWEeA6HS8gEWGnIxiuEB1E8kiHiBuTxAQudmLCa6/CWbjB5S/8+3nlMRpjLbtqoayihK&#10;1du3dVVmIp4fh4jpswbHctDxSCMtAuTpAVMuL9sVctVyKZ9VpaVfirl69dLDcCYrM0284/jrKKPm&#10;bPriqaV5PdYgrkG/BjFNH6EsUXbk4f0xgbFFQK504b0KoFkVXde9ysvw8l5Qz9u//w0AAP//AwBQ&#10;SwMEFAAGAAgAAAAhAHkypVDhAAAADQEAAA8AAABkcnMvZG93bnJldi54bWxMj7FOwzAQhnck3sE6&#10;JDZqE7VOlcapUFHFgBhaQGJ0YzeOiO3IdlP37blOdLz7P/33Xb3OdiCTDrH3TsDzjAHRrvWqd52A&#10;r8/t0xJITNIpOXinBVx0hHVzf1fLSvmz2+lpnzqCJS5WUoBJaawoja3RVsaZH7XD7OiDlQnH0FEV&#10;5BnL7UALxji1snd4wchRb4xuf/cnK+B7M27f84+RH9NCvb0W5e4S2izE40N+WQFJOqd/GK76qA4N&#10;Oh38yalIBgGcsTmiGMw5K4EgwosFB3K4rpa8BNrU9PaL5g8AAP//AwBQSwECLQAUAAYACAAAACEA&#10;toM4kv4AAADhAQAAEwAAAAAAAAAAAAAAAAAAAAAAW0NvbnRlbnRfVHlwZXNdLnhtbFBLAQItABQA&#10;BgAIAAAAIQA4/SH/1gAAAJQBAAALAAAAAAAAAAAAAAAAAC8BAABfcmVscy8ucmVsc1BLAQItABQA&#10;BgAIAAAAIQDzk5CtpwEAAEUDAAAOAAAAAAAAAAAAAAAAAC4CAABkcnMvZTJvRG9jLnhtbFBLAQIt&#10;ABQABgAIAAAAIQB5MqVQ4QAAAA0BAAAPAAAAAAAAAAAAAAAAAAEEAABkcnMvZG93bnJldi54bWxQ&#10;SwUGAAAAAAQABADzAAAADwUAAAAA&#10;" filled="f" stroked="f">
              <v:path arrowok="t"/>
              <v:textbox inset="0,0,0,0">
                <w:txbxContent>
                  <w:p w:rsidR="00A01EE4" w:rsidRDefault="00B249D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1578F">
                      <w:rPr>
                        <w:rFonts w:ascii="Calibri"/>
                        <w:noProof/>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9D0" w:rsidRDefault="00B249D0">
      <w:r>
        <w:separator/>
      </w:r>
    </w:p>
  </w:footnote>
  <w:footnote w:type="continuationSeparator" w:id="0">
    <w:p w:rsidR="00B249D0" w:rsidRDefault="00B24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04531"/>
    <w:multiLevelType w:val="hybridMultilevel"/>
    <w:tmpl w:val="3C40AB80"/>
    <w:lvl w:ilvl="0" w:tplc="02F49E58">
      <w:start w:val="1"/>
      <w:numFmt w:val="lowerLetter"/>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666EFE">
      <w:numFmt w:val="bullet"/>
      <w:lvlText w:val="•"/>
      <w:lvlJc w:val="left"/>
      <w:pPr>
        <w:ind w:left="2052" w:hanging="360"/>
      </w:pPr>
      <w:rPr>
        <w:rFonts w:hint="default"/>
        <w:lang w:val="en-US" w:eastAsia="en-US" w:bidi="ar-SA"/>
      </w:rPr>
    </w:lvl>
    <w:lvl w:ilvl="2" w:tplc="6B32BDEC">
      <w:numFmt w:val="bullet"/>
      <w:lvlText w:val="•"/>
      <w:lvlJc w:val="left"/>
      <w:pPr>
        <w:ind w:left="3024" w:hanging="360"/>
      </w:pPr>
      <w:rPr>
        <w:rFonts w:hint="default"/>
        <w:lang w:val="en-US" w:eastAsia="en-US" w:bidi="ar-SA"/>
      </w:rPr>
    </w:lvl>
    <w:lvl w:ilvl="3" w:tplc="87E014DC">
      <w:numFmt w:val="bullet"/>
      <w:lvlText w:val="•"/>
      <w:lvlJc w:val="left"/>
      <w:pPr>
        <w:ind w:left="3996" w:hanging="360"/>
      </w:pPr>
      <w:rPr>
        <w:rFonts w:hint="default"/>
        <w:lang w:val="en-US" w:eastAsia="en-US" w:bidi="ar-SA"/>
      </w:rPr>
    </w:lvl>
    <w:lvl w:ilvl="4" w:tplc="B9B6F1E2">
      <w:numFmt w:val="bullet"/>
      <w:lvlText w:val="•"/>
      <w:lvlJc w:val="left"/>
      <w:pPr>
        <w:ind w:left="4968" w:hanging="360"/>
      </w:pPr>
      <w:rPr>
        <w:rFonts w:hint="default"/>
        <w:lang w:val="en-US" w:eastAsia="en-US" w:bidi="ar-SA"/>
      </w:rPr>
    </w:lvl>
    <w:lvl w:ilvl="5" w:tplc="FB582696">
      <w:numFmt w:val="bullet"/>
      <w:lvlText w:val="•"/>
      <w:lvlJc w:val="left"/>
      <w:pPr>
        <w:ind w:left="5940" w:hanging="360"/>
      </w:pPr>
      <w:rPr>
        <w:rFonts w:hint="default"/>
        <w:lang w:val="en-US" w:eastAsia="en-US" w:bidi="ar-SA"/>
      </w:rPr>
    </w:lvl>
    <w:lvl w:ilvl="6" w:tplc="960CB5E8">
      <w:numFmt w:val="bullet"/>
      <w:lvlText w:val="•"/>
      <w:lvlJc w:val="left"/>
      <w:pPr>
        <w:ind w:left="6912" w:hanging="360"/>
      </w:pPr>
      <w:rPr>
        <w:rFonts w:hint="default"/>
        <w:lang w:val="en-US" w:eastAsia="en-US" w:bidi="ar-SA"/>
      </w:rPr>
    </w:lvl>
    <w:lvl w:ilvl="7" w:tplc="2C5AE19E">
      <w:numFmt w:val="bullet"/>
      <w:lvlText w:val="•"/>
      <w:lvlJc w:val="left"/>
      <w:pPr>
        <w:ind w:left="7884" w:hanging="360"/>
      </w:pPr>
      <w:rPr>
        <w:rFonts w:hint="default"/>
        <w:lang w:val="en-US" w:eastAsia="en-US" w:bidi="ar-SA"/>
      </w:rPr>
    </w:lvl>
    <w:lvl w:ilvl="8" w:tplc="2CAE7DB0">
      <w:numFmt w:val="bullet"/>
      <w:lvlText w:val="•"/>
      <w:lvlJc w:val="left"/>
      <w:pPr>
        <w:ind w:left="8856" w:hanging="360"/>
      </w:pPr>
      <w:rPr>
        <w:rFonts w:hint="default"/>
        <w:lang w:val="en-US" w:eastAsia="en-US" w:bidi="ar-SA"/>
      </w:rPr>
    </w:lvl>
  </w:abstractNum>
  <w:abstractNum w:abstractNumId="1" w15:restartNumberingAfterBreak="0">
    <w:nsid w:val="386364F8"/>
    <w:multiLevelType w:val="hybridMultilevel"/>
    <w:tmpl w:val="9CCE29FA"/>
    <w:lvl w:ilvl="0" w:tplc="BA909B0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8E15DA">
      <w:numFmt w:val="bullet"/>
      <w:lvlText w:val="•"/>
      <w:lvlJc w:val="left"/>
      <w:pPr>
        <w:ind w:left="2052" w:hanging="360"/>
      </w:pPr>
      <w:rPr>
        <w:rFonts w:hint="default"/>
        <w:lang w:val="en-US" w:eastAsia="en-US" w:bidi="ar-SA"/>
      </w:rPr>
    </w:lvl>
    <w:lvl w:ilvl="2" w:tplc="9814CC54">
      <w:numFmt w:val="bullet"/>
      <w:lvlText w:val="•"/>
      <w:lvlJc w:val="left"/>
      <w:pPr>
        <w:ind w:left="3024" w:hanging="360"/>
      </w:pPr>
      <w:rPr>
        <w:rFonts w:hint="default"/>
        <w:lang w:val="en-US" w:eastAsia="en-US" w:bidi="ar-SA"/>
      </w:rPr>
    </w:lvl>
    <w:lvl w:ilvl="3" w:tplc="2DCA0ADA">
      <w:numFmt w:val="bullet"/>
      <w:lvlText w:val="•"/>
      <w:lvlJc w:val="left"/>
      <w:pPr>
        <w:ind w:left="3996" w:hanging="360"/>
      </w:pPr>
      <w:rPr>
        <w:rFonts w:hint="default"/>
        <w:lang w:val="en-US" w:eastAsia="en-US" w:bidi="ar-SA"/>
      </w:rPr>
    </w:lvl>
    <w:lvl w:ilvl="4" w:tplc="B7409E18">
      <w:numFmt w:val="bullet"/>
      <w:lvlText w:val="•"/>
      <w:lvlJc w:val="left"/>
      <w:pPr>
        <w:ind w:left="4968" w:hanging="360"/>
      </w:pPr>
      <w:rPr>
        <w:rFonts w:hint="default"/>
        <w:lang w:val="en-US" w:eastAsia="en-US" w:bidi="ar-SA"/>
      </w:rPr>
    </w:lvl>
    <w:lvl w:ilvl="5" w:tplc="735AC900">
      <w:numFmt w:val="bullet"/>
      <w:lvlText w:val="•"/>
      <w:lvlJc w:val="left"/>
      <w:pPr>
        <w:ind w:left="5940" w:hanging="360"/>
      </w:pPr>
      <w:rPr>
        <w:rFonts w:hint="default"/>
        <w:lang w:val="en-US" w:eastAsia="en-US" w:bidi="ar-SA"/>
      </w:rPr>
    </w:lvl>
    <w:lvl w:ilvl="6" w:tplc="BEA2C71A">
      <w:numFmt w:val="bullet"/>
      <w:lvlText w:val="•"/>
      <w:lvlJc w:val="left"/>
      <w:pPr>
        <w:ind w:left="6912" w:hanging="360"/>
      </w:pPr>
      <w:rPr>
        <w:rFonts w:hint="default"/>
        <w:lang w:val="en-US" w:eastAsia="en-US" w:bidi="ar-SA"/>
      </w:rPr>
    </w:lvl>
    <w:lvl w:ilvl="7" w:tplc="EAB02A6A">
      <w:numFmt w:val="bullet"/>
      <w:lvlText w:val="•"/>
      <w:lvlJc w:val="left"/>
      <w:pPr>
        <w:ind w:left="7884" w:hanging="360"/>
      </w:pPr>
      <w:rPr>
        <w:rFonts w:hint="default"/>
        <w:lang w:val="en-US" w:eastAsia="en-US" w:bidi="ar-SA"/>
      </w:rPr>
    </w:lvl>
    <w:lvl w:ilvl="8" w:tplc="ADDC6FE0">
      <w:numFmt w:val="bullet"/>
      <w:lvlText w:val="•"/>
      <w:lvlJc w:val="left"/>
      <w:pPr>
        <w:ind w:left="885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01EE4"/>
    <w:rsid w:val="0011578F"/>
    <w:rsid w:val="00A01EE4"/>
    <w:rsid w:val="00B2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50C31-A638-4FF5-B5B3-A0BD43C8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4"/>
      <w:szCs w:val="24"/>
    </w:rPr>
  </w:style>
  <w:style w:type="paragraph" w:styleId="Heading2">
    <w:name w:val="heading 2"/>
    <w:basedOn w:val="Normal"/>
    <w:uiPriority w:val="1"/>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right="107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2</cp:revision>
  <dcterms:created xsi:type="dcterms:W3CDTF">2025-08-01T09:22:00Z</dcterms:created>
  <dcterms:modified xsi:type="dcterms:W3CDTF">2025-08-01T09:46:00Z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Office Word</vt:lpwstr>
  </property>
  <property fmtid="{D5CDD505-2E9C-101B-9397-08002B2CF9AE}" pid="4" name="LastSaved">
    <vt:filetime>2025-08-01T00:00:00Z</vt:filetime>
  </property>
  <property fmtid="{D5CDD505-2E9C-101B-9397-08002B2CF9AE}" pid="5" name="Producer">
    <vt:lpwstr>䅳灯獥⹗潲摳⁦潲⁊慶愠㈱⸶⸰㬠浯摩晩敤⁵獩湧⁩呥硴′⸱⸷⁢礠ㅔ㍘吀</vt:lpwstr>
  </property>
</Properties>
</file>