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A5277C" w14:textId="4187D880" w:rsidR="00B5385D" w:rsidRPr="003F3BA7" w:rsidRDefault="00DB3BF3" w:rsidP="00FA5D56">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MUCHANETA THEODORA CHIMBANDI </w:t>
      </w:r>
      <w:r w:rsidR="00D9335A">
        <w:rPr>
          <w:rFonts w:ascii="Times New Roman" w:hAnsi="Times New Roman" w:cs="Times New Roman"/>
          <w:sz w:val="24"/>
          <w:szCs w:val="24"/>
        </w:rPr>
        <w:t xml:space="preserve"> </w:t>
      </w:r>
      <w:r w:rsidR="00041543">
        <w:rPr>
          <w:rFonts w:ascii="Times New Roman" w:hAnsi="Times New Roman" w:cs="Times New Roman"/>
          <w:sz w:val="24"/>
          <w:szCs w:val="24"/>
        </w:rPr>
        <w:t xml:space="preserve"> </w:t>
      </w:r>
    </w:p>
    <w:p w14:paraId="20E8AE32" w14:textId="77777777" w:rsidR="00B5385D" w:rsidRDefault="00B33663" w:rsidP="00FA5D56">
      <w:pPr>
        <w:spacing w:after="0" w:line="240" w:lineRule="auto"/>
        <w:rPr>
          <w:rFonts w:ascii="Times New Roman" w:hAnsi="Times New Roman" w:cs="Times New Roman"/>
          <w:sz w:val="24"/>
          <w:szCs w:val="24"/>
        </w:rPr>
      </w:pPr>
      <w:r w:rsidRPr="003F3BA7">
        <w:rPr>
          <w:rFonts w:ascii="Times New Roman" w:hAnsi="Times New Roman" w:cs="Times New Roman"/>
          <w:sz w:val="24"/>
          <w:szCs w:val="24"/>
        </w:rPr>
        <w:t>versus</w:t>
      </w:r>
    </w:p>
    <w:p w14:paraId="21B66142" w14:textId="3814388C" w:rsidR="00041543" w:rsidRPr="003F3BA7" w:rsidRDefault="00DB3BF3" w:rsidP="00FA5D5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TAXING OFFICER </w:t>
      </w:r>
      <w:r w:rsidR="0020541C">
        <w:rPr>
          <w:rFonts w:ascii="Times New Roman" w:hAnsi="Times New Roman" w:cs="Times New Roman"/>
          <w:sz w:val="24"/>
          <w:szCs w:val="24"/>
        </w:rPr>
        <w:t xml:space="preserve"> </w:t>
      </w:r>
      <w:r w:rsidR="00041543">
        <w:rPr>
          <w:rFonts w:ascii="Times New Roman" w:hAnsi="Times New Roman" w:cs="Times New Roman"/>
          <w:sz w:val="24"/>
          <w:szCs w:val="24"/>
        </w:rPr>
        <w:t xml:space="preserve"> </w:t>
      </w:r>
    </w:p>
    <w:p w14:paraId="4000FC0D" w14:textId="6CBDD96F" w:rsidR="00041543" w:rsidRPr="003F3BA7" w:rsidRDefault="00041543" w:rsidP="00FA5D56">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15A030B3" w14:textId="77777777" w:rsidR="002A5BF2" w:rsidRDefault="00DB3BF3" w:rsidP="00FA5D5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MABEL CANVAS (PRIVATE) LIMITED </w:t>
      </w:r>
      <w:r w:rsidR="00791FD2">
        <w:rPr>
          <w:rFonts w:ascii="Times New Roman" w:hAnsi="Times New Roman" w:cs="Times New Roman"/>
          <w:sz w:val="24"/>
          <w:szCs w:val="24"/>
        </w:rPr>
        <w:t xml:space="preserve"> </w:t>
      </w:r>
    </w:p>
    <w:p w14:paraId="196F683E" w14:textId="3D78F647" w:rsidR="000652A4" w:rsidRPr="003F3BA7" w:rsidRDefault="00041543" w:rsidP="00FA5D5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F17B7" w:rsidRPr="003F3BA7">
        <w:rPr>
          <w:rFonts w:ascii="Times New Roman" w:hAnsi="Times New Roman" w:cs="Times New Roman"/>
          <w:sz w:val="24"/>
          <w:szCs w:val="24"/>
        </w:rPr>
        <w:t xml:space="preserve"> </w:t>
      </w:r>
      <w:r w:rsidR="00B33663" w:rsidRPr="003F3BA7">
        <w:rPr>
          <w:rFonts w:ascii="Times New Roman" w:hAnsi="Times New Roman" w:cs="Times New Roman"/>
          <w:sz w:val="24"/>
          <w:szCs w:val="24"/>
        </w:rPr>
        <w:t xml:space="preserve"> </w:t>
      </w:r>
      <w:r w:rsidR="00A15094" w:rsidRPr="003F3BA7">
        <w:rPr>
          <w:rFonts w:ascii="Times New Roman" w:hAnsi="Times New Roman" w:cs="Times New Roman"/>
          <w:sz w:val="24"/>
          <w:szCs w:val="24"/>
        </w:rPr>
        <w:tab/>
      </w:r>
      <w:r w:rsidR="00A15094" w:rsidRPr="003F3BA7">
        <w:rPr>
          <w:rFonts w:ascii="Times New Roman" w:hAnsi="Times New Roman" w:cs="Times New Roman"/>
          <w:sz w:val="24"/>
          <w:szCs w:val="24"/>
        </w:rPr>
        <w:tab/>
      </w:r>
    </w:p>
    <w:p w14:paraId="17CF7E9C" w14:textId="77777777" w:rsidR="00041543" w:rsidRPr="005F15C1" w:rsidRDefault="00041543" w:rsidP="0000054D">
      <w:pPr>
        <w:spacing w:after="0"/>
        <w:rPr>
          <w:rFonts w:ascii="Times New Roman" w:hAnsi="Times New Roman" w:cs="Times New Roman"/>
          <w:sz w:val="24"/>
          <w:szCs w:val="24"/>
        </w:rPr>
      </w:pPr>
    </w:p>
    <w:p w14:paraId="0CC36880" w14:textId="77777777" w:rsidR="0000054D" w:rsidRPr="005F15C1" w:rsidRDefault="0000054D" w:rsidP="0000054D">
      <w:pPr>
        <w:spacing w:after="0"/>
        <w:rPr>
          <w:rFonts w:ascii="Times New Roman" w:hAnsi="Times New Roman" w:cs="Times New Roman"/>
          <w:sz w:val="24"/>
          <w:szCs w:val="24"/>
        </w:rPr>
      </w:pPr>
      <w:r w:rsidRPr="005F15C1">
        <w:rPr>
          <w:rFonts w:ascii="Times New Roman" w:hAnsi="Times New Roman" w:cs="Times New Roman"/>
          <w:sz w:val="24"/>
          <w:szCs w:val="24"/>
        </w:rPr>
        <w:t>HIGH COURT OF ZIMBABWE</w:t>
      </w:r>
    </w:p>
    <w:p w14:paraId="3F8CB13E" w14:textId="77777777" w:rsidR="0000054D" w:rsidRPr="005F15C1" w:rsidRDefault="0000054D" w:rsidP="0000054D">
      <w:pPr>
        <w:spacing w:after="0"/>
        <w:rPr>
          <w:rFonts w:ascii="Times New Roman" w:hAnsi="Times New Roman" w:cs="Times New Roman"/>
          <w:sz w:val="24"/>
          <w:szCs w:val="24"/>
        </w:rPr>
      </w:pPr>
      <w:r w:rsidRPr="005F15C1">
        <w:rPr>
          <w:rFonts w:ascii="Times New Roman" w:hAnsi="Times New Roman" w:cs="Times New Roman"/>
          <w:sz w:val="24"/>
          <w:szCs w:val="24"/>
        </w:rPr>
        <w:t>M</w:t>
      </w:r>
      <w:r w:rsidR="0060607A" w:rsidRPr="005F15C1">
        <w:rPr>
          <w:rFonts w:ascii="Times New Roman" w:hAnsi="Times New Roman" w:cs="Times New Roman"/>
          <w:sz w:val="24"/>
          <w:szCs w:val="24"/>
        </w:rPr>
        <w:t xml:space="preserve">USITHU </w:t>
      </w:r>
      <w:r w:rsidRPr="005F15C1">
        <w:rPr>
          <w:rFonts w:ascii="Times New Roman" w:hAnsi="Times New Roman" w:cs="Times New Roman"/>
          <w:sz w:val="24"/>
          <w:szCs w:val="24"/>
        </w:rPr>
        <w:t>J</w:t>
      </w:r>
    </w:p>
    <w:p w14:paraId="137880F3" w14:textId="2FDCF229" w:rsidR="0000054D" w:rsidRDefault="0000054D" w:rsidP="0000054D">
      <w:pPr>
        <w:spacing w:after="0"/>
        <w:rPr>
          <w:rFonts w:ascii="Times New Roman" w:hAnsi="Times New Roman" w:cs="Times New Roman"/>
          <w:sz w:val="24"/>
          <w:szCs w:val="24"/>
        </w:rPr>
      </w:pPr>
      <w:r w:rsidRPr="005F15C1">
        <w:rPr>
          <w:rFonts w:ascii="Times New Roman" w:hAnsi="Times New Roman" w:cs="Times New Roman"/>
          <w:sz w:val="24"/>
          <w:szCs w:val="24"/>
        </w:rPr>
        <w:t>HARARE,</w:t>
      </w:r>
      <w:r w:rsidR="00B10942" w:rsidRPr="005F15C1">
        <w:rPr>
          <w:rFonts w:ascii="Times New Roman" w:hAnsi="Times New Roman" w:cs="Times New Roman"/>
          <w:sz w:val="24"/>
          <w:szCs w:val="24"/>
        </w:rPr>
        <w:t xml:space="preserve"> </w:t>
      </w:r>
      <w:r w:rsidR="00DB3BF3">
        <w:rPr>
          <w:rFonts w:ascii="Times New Roman" w:hAnsi="Times New Roman" w:cs="Times New Roman"/>
          <w:sz w:val="24"/>
          <w:szCs w:val="24"/>
        </w:rPr>
        <w:t>4 May 2021</w:t>
      </w:r>
      <w:r w:rsidR="006133D2">
        <w:rPr>
          <w:rFonts w:ascii="Times New Roman" w:hAnsi="Times New Roman" w:cs="Times New Roman"/>
          <w:sz w:val="24"/>
          <w:szCs w:val="24"/>
        </w:rPr>
        <w:t xml:space="preserve"> </w:t>
      </w:r>
      <w:r w:rsidR="002A5BF2">
        <w:rPr>
          <w:rFonts w:ascii="Times New Roman" w:hAnsi="Times New Roman" w:cs="Times New Roman"/>
          <w:sz w:val="24"/>
          <w:szCs w:val="24"/>
        </w:rPr>
        <w:t>&amp; 17</w:t>
      </w:r>
      <w:r w:rsidR="00DB3BF3">
        <w:rPr>
          <w:rFonts w:ascii="Times New Roman" w:hAnsi="Times New Roman" w:cs="Times New Roman"/>
          <w:sz w:val="24"/>
          <w:szCs w:val="24"/>
        </w:rPr>
        <w:t xml:space="preserve"> May 2022</w:t>
      </w:r>
      <w:r w:rsidR="005E3098">
        <w:rPr>
          <w:rFonts w:ascii="Times New Roman" w:hAnsi="Times New Roman" w:cs="Times New Roman"/>
          <w:sz w:val="24"/>
          <w:szCs w:val="24"/>
        </w:rPr>
        <w:t xml:space="preserve"> </w:t>
      </w:r>
    </w:p>
    <w:p w14:paraId="4A42E43D" w14:textId="77777777" w:rsidR="002A5BF2" w:rsidRPr="005F15C1" w:rsidRDefault="002A5BF2" w:rsidP="0000054D">
      <w:pPr>
        <w:spacing w:after="0"/>
        <w:rPr>
          <w:rFonts w:ascii="Times New Roman" w:hAnsi="Times New Roman" w:cs="Times New Roman"/>
          <w:sz w:val="24"/>
          <w:szCs w:val="24"/>
        </w:rPr>
      </w:pPr>
    </w:p>
    <w:p w14:paraId="10F7B38F" w14:textId="77777777" w:rsidR="0000054D" w:rsidRPr="005F15C1" w:rsidRDefault="0000054D" w:rsidP="0000054D">
      <w:pPr>
        <w:spacing w:after="0"/>
        <w:rPr>
          <w:rFonts w:ascii="Times New Roman" w:hAnsi="Times New Roman" w:cs="Times New Roman"/>
          <w:sz w:val="24"/>
          <w:szCs w:val="24"/>
        </w:rPr>
      </w:pPr>
    </w:p>
    <w:p w14:paraId="49C04497" w14:textId="7E6C8447" w:rsidR="0000054D" w:rsidRPr="005F15C1" w:rsidRDefault="00791FD2" w:rsidP="0000054D">
      <w:pPr>
        <w:spacing w:after="0"/>
        <w:rPr>
          <w:rFonts w:ascii="Times New Roman" w:hAnsi="Times New Roman" w:cs="Times New Roman"/>
          <w:b/>
          <w:sz w:val="24"/>
          <w:szCs w:val="24"/>
        </w:rPr>
      </w:pPr>
      <w:r>
        <w:rPr>
          <w:rFonts w:ascii="Times New Roman" w:hAnsi="Times New Roman" w:cs="Times New Roman"/>
          <w:b/>
          <w:sz w:val="24"/>
          <w:szCs w:val="24"/>
        </w:rPr>
        <w:t xml:space="preserve">Opposed Application – Review </w:t>
      </w:r>
      <w:r w:rsidR="00500406">
        <w:rPr>
          <w:rFonts w:ascii="Times New Roman" w:hAnsi="Times New Roman" w:cs="Times New Roman"/>
          <w:b/>
          <w:sz w:val="24"/>
          <w:szCs w:val="24"/>
        </w:rPr>
        <w:t xml:space="preserve"> </w:t>
      </w:r>
    </w:p>
    <w:p w14:paraId="7014435F" w14:textId="77777777" w:rsidR="0000054D" w:rsidRPr="005F15C1" w:rsidRDefault="0000054D" w:rsidP="0000054D">
      <w:pPr>
        <w:spacing w:after="0"/>
        <w:rPr>
          <w:rFonts w:ascii="Times New Roman" w:hAnsi="Times New Roman" w:cs="Times New Roman"/>
          <w:sz w:val="24"/>
          <w:szCs w:val="24"/>
        </w:rPr>
      </w:pPr>
    </w:p>
    <w:p w14:paraId="70DECA9A" w14:textId="2EFE5A15" w:rsidR="0000054D" w:rsidRPr="005F15C1" w:rsidRDefault="00886908" w:rsidP="00B10942">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A </w:t>
      </w:r>
      <w:r w:rsidR="00DB3BF3">
        <w:rPr>
          <w:rFonts w:ascii="Times New Roman" w:hAnsi="Times New Roman" w:cs="Times New Roman"/>
          <w:i/>
          <w:sz w:val="24"/>
          <w:szCs w:val="24"/>
        </w:rPr>
        <w:t>Masango</w:t>
      </w:r>
      <w:r w:rsidR="00CC6961" w:rsidRPr="005F15C1">
        <w:rPr>
          <w:rFonts w:ascii="Times New Roman" w:hAnsi="Times New Roman" w:cs="Times New Roman"/>
          <w:i/>
          <w:sz w:val="24"/>
          <w:szCs w:val="24"/>
        </w:rPr>
        <w:t xml:space="preserve">, </w:t>
      </w:r>
      <w:r w:rsidR="0000054D" w:rsidRPr="005F15C1">
        <w:rPr>
          <w:rFonts w:ascii="Times New Roman" w:hAnsi="Times New Roman" w:cs="Times New Roman"/>
          <w:sz w:val="24"/>
          <w:szCs w:val="24"/>
        </w:rPr>
        <w:t>for the applicant</w:t>
      </w:r>
    </w:p>
    <w:p w14:paraId="2E0F6CC8" w14:textId="6ED29345" w:rsidR="0000054D" w:rsidRDefault="00DB3BF3" w:rsidP="00B10942">
      <w:pPr>
        <w:spacing w:after="0" w:line="240" w:lineRule="auto"/>
        <w:rPr>
          <w:rFonts w:ascii="Times New Roman" w:hAnsi="Times New Roman" w:cs="Times New Roman"/>
          <w:sz w:val="24"/>
          <w:szCs w:val="24"/>
        </w:rPr>
      </w:pPr>
      <w:r>
        <w:rPr>
          <w:rFonts w:ascii="Times New Roman" w:hAnsi="Times New Roman" w:cs="Times New Roman"/>
          <w:i/>
          <w:sz w:val="24"/>
          <w:szCs w:val="24"/>
        </w:rPr>
        <w:t>O Mushuma</w:t>
      </w:r>
      <w:r w:rsidR="0000054D" w:rsidRPr="005F15C1">
        <w:rPr>
          <w:rFonts w:ascii="Times New Roman" w:hAnsi="Times New Roman" w:cs="Times New Roman"/>
          <w:sz w:val="24"/>
          <w:szCs w:val="24"/>
        </w:rPr>
        <w:t xml:space="preserve">, for the </w:t>
      </w:r>
      <w:r w:rsidR="00951EEC">
        <w:rPr>
          <w:rFonts w:ascii="Times New Roman" w:hAnsi="Times New Roman" w:cs="Times New Roman"/>
          <w:sz w:val="24"/>
          <w:szCs w:val="24"/>
        </w:rPr>
        <w:t xml:space="preserve">second </w:t>
      </w:r>
      <w:r w:rsidR="00B10942" w:rsidRPr="005F15C1">
        <w:rPr>
          <w:rFonts w:ascii="Times New Roman" w:hAnsi="Times New Roman" w:cs="Times New Roman"/>
          <w:sz w:val="24"/>
          <w:szCs w:val="24"/>
        </w:rPr>
        <w:t>respondent</w:t>
      </w:r>
    </w:p>
    <w:p w14:paraId="033ACDBB" w14:textId="77777777" w:rsidR="002A5BF2" w:rsidRDefault="002A5BF2" w:rsidP="00B10942">
      <w:pPr>
        <w:spacing w:after="0" w:line="240" w:lineRule="auto"/>
        <w:rPr>
          <w:rFonts w:ascii="Times New Roman" w:hAnsi="Times New Roman" w:cs="Times New Roman"/>
          <w:sz w:val="24"/>
          <w:szCs w:val="24"/>
        </w:rPr>
      </w:pPr>
    </w:p>
    <w:p w14:paraId="039F4C7A" w14:textId="77777777" w:rsidR="00506B27" w:rsidRPr="005F15C1" w:rsidRDefault="00506B27" w:rsidP="00B10942">
      <w:pPr>
        <w:spacing w:after="0" w:line="240" w:lineRule="auto"/>
        <w:rPr>
          <w:rFonts w:ascii="Times New Roman" w:hAnsi="Times New Roman" w:cs="Times New Roman"/>
          <w:sz w:val="24"/>
          <w:szCs w:val="24"/>
        </w:rPr>
      </w:pPr>
    </w:p>
    <w:p w14:paraId="5DB1B8AB" w14:textId="377A171B" w:rsidR="00772BA7" w:rsidRDefault="002A5BF2" w:rsidP="00313D0B">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2957F8" w:rsidRPr="005F15C1">
        <w:rPr>
          <w:rFonts w:ascii="Times New Roman" w:hAnsi="Times New Roman" w:cs="Times New Roman"/>
          <w:b/>
          <w:sz w:val="24"/>
          <w:szCs w:val="24"/>
        </w:rPr>
        <w:t>MUSITHU J:</w:t>
      </w:r>
      <w:r w:rsidR="002957F8" w:rsidRPr="005F15C1">
        <w:rPr>
          <w:rFonts w:ascii="Times New Roman" w:hAnsi="Times New Roman" w:cs="Times New Roman"/>
          <w:sz w:val="24"/>
          <w:szCs w:val="24"/>
        </w:rPr>
        <w:t xml:space="preserve"> </w:t>
      </w:r>
      <w:r>
        <w:rPr>
          <w:rFonts w:ascii="Times New Roman" w:hAnsi="Times New Roman" w:cs="Times New Roman"/>
          <w:sz w:val="24"/>
          <w:szCs w:val="24"/>
        </w:rPr>
        <w:t xml:space="preserve"> </w:t>
      </w:r>
      <w:r w:rsidR="002957F8" w:rsidRPr="005F15C1">
        <w:rPr>
          <w:rFonts w:ascii="Times New Roman" w:hAnsi="Times New Roman" w:cs="Times New Roman"/>
          <w:sz w:val="24"/>
          <w:szCs w:val="24"/>
        </w:rPr>
        <w:t>Th</w:t>
      </w:r>
      <w:r w:rsidR="00DB3BF3">
        <w:rPr>
          <w:rFonts w:ascii="Times New Roman" w:hAnsi="Times New Roman" w:cs="Times New Roman"/>
          <w:sz w:val="24"/>
          <w:szCs w:val="24"/>
        </w:rPr>
        <w:t xml:space="preserve">e applicant seeks a review of the first respondent’s decision </w:t>
      </w:r>
      <w:r w:rsidR="001A5FD6">
        <w:rPr>
          <w:rFonts w:ascii="Times New Roman" w:hAnsi="Times New Roman" w:cs="Times New Roman"/>
          <w:sz w:val="24"/>
          <w:szCs w:val="24"/>
        </w:rPr>
        <w:t xml:space="preserve">on </w:t>
      </w:r>
      <w:r w:rsidR="00DB3BF3">
        <w:rPr>
          <w:rFonts w:ascii="Times New Roman" w:hAnsi="Times New Roman" w:cs="Times New Roman"/>
          <w:sz w:val="24"/>
          <w:szCs w:val="24"/>
        </w:rPr>
        <w:t xml:space="preserve">a bill of costs that </w:t>
      </w:r>
      <w:r w:rsidR="005E2559">
        <w:rPr>
          <w:rFonts w:ascii="Times New Roman" w:hAnsi="Times New Roman" w:cs="Times New Roman"/>
          <w:sz w:val="24"/>
          <w:szCs w:val="24"/>
        </w:rPr>
        <w:t>s</w:t>
      </w:r>
      <w:r w:rsidR="00DB3BF3">
        <w:rPr>
          <w:rFonts w:ascii="Times New Roman" w:hAnsi="Times New Roman" w:cs="Times New Roman"/>
          <w:sz w:val="24"/>
          <w:szCs w:val="24"/>
        </w:rPr>
        <w:t>he taxed in a matter involving the applicant and the second respondent under HC 11725/16.</w:t>
      </w:r>
      <w:r>
        <w:rPr>
          <w:rFonts w:ascii="Times New Roman" w:hAnsi="Times New Roman" w:cs="Times New Roman"/>
          <w:sz w:val="24"/>
          <w:szCs w:val="24"/>
        </w:rPr>
        <w:t xml:space="preserve"> </w:t>
      </w:r>
      <w:r w:rsidR="00DB3BF3">
        <w:rPr>
          <w:rFonts w:ascii="Times New Roman" w:hAnsi="Times New Roman" w:cs="Times New Roman"/>
          <w:sz w:val="24"/>
          <w:szCs w:val="24"/>
        </w:rPr>
        <w:t xml:space="preserve"> </w:t>
      </w:r>
      <w:r w:rsidR="000E4B74">
        <w:rPr>
          <w:rFonts w:ascii="Times New Roman" w:hAnsi="Times New Roman" w:cs="Times New Roman"/>
          <w:sz w:val="24"/>
          <w:szCs w:val="24"/>
        </w:rPr>
        <w:t>The application for review was made in terms of Rule 314 of the High Court Rules 1971</w:t>
      </w:r>
      <w:r w:rsidR="00C53223">
        <w:rPr>
          <w:rFonts w:ascii="Times New Roman" w:hAnsi="Times New Roman" w:cs="Times New Roman"/>
          <w:sz w:val="24"/>
          <w:szCs w:val="24"/>
        </w:rPr>
        <w:t xml:space="preserve"> (the rules)</w:t>
      </w:r>
      <w:r w:rsidR="000E4B74">
        <w:rPr>
          <w:rFonts w:ascii="Times New Roman" w:hAnsi="Times New Roman" w:cs="Times New Roman"/>
          <w:sz w:val="24"/>
          <w:szCs w:val="24"/>
        </w:rPr>
        <w:t xml:space="preserve">. </w:t>
      </w:r>
      <w:r w:rsidR="00DB3BF3">
        <w:rPr>
          <w:rFonts w:ascii="Times New Roman" w:hAnsi="Times New Roman" w:cs="Times New Roman"/>
          <w:sz w:val="24"/>
          <w:szCs w:val="24"/>
        </w:rPr>
        <w:t>The relie</w:t>
      </w:r>
      <w:r w:rsidR="00D9335A">
        <w:rPr>
          <w:rFonts w:ascii="Times New Roman" w:hAnsi="Times New Roman" w:cs="Times New Roman"/>
          <w:sz w:val="24"/>
          <w:szCs w:val="24"/>
        </w:rPr>
        <w:t>f</w:t>
      </w:r>
      <w:r w:rsidR="00DB3BF3">
        <w:rPr>
          <w:rFonts w:ascii="Times New Roman" w:hAnsi="Times New Roman" w:cs="Times New Roman"/>
          <w:sz w:val="24"/>
          <w:szCs w:val="24"/>
        </w:rPr>
        <w:t xml:space="preserve"> sought </w:t>
      </w:r>
      <w:r w:rsidR="001A5FD6">
        <w:rPr>
          <w:rFonts w:ascii="Times New Roman" w:hAnsi="Times New Roman" w:cs="Times New Roman"/>
          <w:sz w:val="24"/>
          <w:szCs w:val="24"/>
        </w:rPr>
        <w:t xml:space="preserve">reads </w:t>
      </w:r>
      <w:r w:rsidR="00DB3BF3">
        <w:rPr>
          <w:rFonts w:ascii="Times New Roman" w:hAnsi="Times New Roman" w:cs="Times New Roman"/>
          <w:sz w:val="24"/>
          <w:szCs w:val="24"/>
        </w:rPr>
        <w:t>as follows</w:t>
      </w:r>
      <w:r w:rsidR="00772BA7">
        <w:rPr>
          <w:rFonts w:ascii="Times New Roman" w:hAnsi="Times New Roman" w:cs="Times New Roman"/>
          <w:sz w:val="24"/>
          <w:szCs w:val="24"/>
        </w:rPr>
        <w:t>:</w:t>
      </w:r>
    </w:p>
    <w:p w14:paraId="3A63E4C7" w14:textId="18C1ECE0" w:rsidR="00164780" w:rsidRPr="007B6889" w:rsidRDefault="00772BA7" w:rsidP="00FA5D56">
      <w:pPr>
        <w:spacing w:after="0" w:line="240" w:lineRule="auto"/>
        <w:ind w:firstLine="720"/>
        <w:jc w:val="both"/>
        <w:rPr>
          <w:rFonts w:ascii="Times New Roman" w:hAnsi="Times New Roman" w:cs="Times New Roman"/>
          <w:b/>
          <w:u w:val="single"/>
        </w:rPr>
      </w:pPr>
      <w:r w:rsidRPr="007B6889">
        <w:rPr>
          <w:rFonts w:ascii="Times New Roman" w:hAnsi="Times New Roman" w:cs="Times New Roman"/>
          <w:b/>
        </w:rPr>
        <w:t xml:space="preserve"> </w:t>
      </w:r>
      <w:r w:rsidR="009E3A23" w:rsidRPr="007B6889">
        <w:rPr>
          <w:rFonts w:ascii="Times New Roman" w:hAnsi="Times New Roman" w:cs="Times New Roman"/>
          <w:b/>
        </w:rPr>
        <w:t>“</w:t>
      </w:r>
      <w:r w:rsidR="007B6889" w:rsidRPr="000E4B74">
        <w:rPr>
          <w:rFonts w:ascii="Times New Roman" w:hAnsi="Times New Roman" w:cs="Times New Roman"/>
          <w:b/>
          <w:u w:val="single"/>
        </w:rPr>
        <w:t>IT IS ORDERED THAT</w:t>
      </w:r>
      <w:r w:rsidR="007B6889" w:rsidRPr="007B6889">
        <w:rPr>
          <w:rFonts w:ascii="Times New Roman" w:hAnsi="Times New Roman" w:cs="Times New Roman"/>
          <w:b/>
        </w:rPr>
        <w:t>:</w:t>
      </w:r>
      <w:r w:rsidR="00CD6B9E" w:rsidRPr="007B6889">
        <w:rPr>
          <w:rFonts w:ascii="Times New Roman" w:hAnsi="Times New Roman" w:cs="Times New Roman"/>
          <w:b/>
          <w:u w:val="single"/>
        </w:rPr>
        <w:t xml:space="preserve"> </w:t>
      </w:r>
    </w:p>
    <w:p w14:paraId="62A91D2C" w14:textId="1680FC82" w:rsidR="000E4B74" w:rsidRDefault="000E4B74" w:rsidP="00985FBF">
      <w:pPr>
        <w:pStyle w:val="ListParagraph"/>
        <w:numPr>
          <w:ilvl w:val="0"/>
          <w:numId w:val="3"/>
        </w:numPr>
        <w:tabs>
          <w:tab w:val="left" w:pos="1276"/>
        </w:tabs>
        <w:spacing w:after="0" w:line="240" w:lineRule="auto"/>
        <w:ind w:left="1276" w:hanging="283"/>
        <w:jc w:val="both"/>
        <w:rPr>
          <w:rFonts w:ascii="Times New Roman" w:hAnsi="Times New Roman" w:cs="Times New Roman"/>
        </w:rPr>
      </w:pPr>
      <w:r>
        <w:rPr>
          <w:rFonts w:ascii="Times New Roman" w:hAnsi="Times New Roman" w:cs="Times New Roman"/>
        </w:rPr>
        <w:t>The application for review be and is hereby granted.</w:t>
      </w:r>
    </w:p>
    <w:p w14:paraId="4AC584B5" w14:textId="263CBBAD" w:rsidR="000E4B74" w:rsidRDefault="000E4B74" w:rsidP="00985FBF">
      <w:pPr>
        <w:pStyle w:val="ListParagraph"/>
        <w:numPr>
          <w:ilvl w:val="0"/>
          <w:numId w:val="3"/>
        </w:numPr>
        <w:tabs>
          <w:tab w:val="left" w:pos="1276"/>
        </w:tabs>
        <w:spacing w:after="0" w:line="240" w:lineRule="auto"/>
        <w:ind w:left="1276" w:hanging="283"/>
        <w:jc w:val="both"/>
        <w:rPr>
          <w:rFonts w:ascii="Times New Roman" w:hAnsi="Times New Roman" w:cs="Times New Roman"/>
        </w:rPr>
      </w:pPr>
      <w:r>
        <w:rPr>
          <w:rFonts w:ascii="Times New Roman" w:hAnsi="Times New Roman" w:cs="Times New Roman"/>
        </w:rPr>
        <w:t xml:space="preserve">Items </w:t>
      </w:r>
      <w:r w:rsidRPr="000E4B74">
        <w:rPr>
          <w:rFonts w:ascii="Times New Roman" w:hAnsi="Times New Roman" w:cs="Times New Roman"/>
          <w:b/>
        </w:rPr>
        <w:t>1 to 133</w:t>
      </w:r>
      <w:r>
        <w:rPr>
          <w:rFonts w:ascii="Times New Roman" w:hAnsi="Times New Roman" w:cs="Times New Roman"/>
        </w:rPr>
        <w:t xml:space="preserve"> of Bill of costs taxed by the 1</w:t>
      </w:r>
      <w:r w:rsidRPr="000E4B74">
        <w:rPr>
          <w:rFonts w:ascii="Times New Roman" w:hAnsi="Times New Roman" w:cs="Times New Roman"/>
          <w:vertAlign w:val="superscript"/>
        </w:rPr>
        <w:t>st</w:t>
      </w:r>
      <w:r>
        <w:rPr>
          <w:rFonts w:ascii="Times New Roman" w:hAnsi="Times New Roman" w:cs="Times New Roman"/>
        </w:rPr>
        <w:t xml:space="preserve"> Respondent on 13</w:t>
      </w:r>
      <w:r w:rsidRPr="000E4B74">
        <w:rPr>
          <w:rFonts w:ascii="Times New Roman" w:hAnsi="Times New Roman" w:cs="Times New Roman"/>
          <w:vertAlign w:val="superscript"/>
        </w:rPr>
        <w:t>th</w:t>
      </w:r>
      <w:r>
        <w:rPr>
          <w:rFonts w:ascii="Times New Roman" w:hAnsi="Times New Roman" w:cs="Times New Roman"/>
        </w:rPr>
        <w:t xml:space="preserve"> August 2020 under </w:t>
      </w:r>
      <w:r w:rsidRPr="000E4B74">
        <w:rPr>
          <w:rFonts w:ascii="Times New Roman" w:hAnsi="Times New Roman" w:cs="Times New Roman"/>
          <w:b/>
        </w:rPr>
        <w:t>HC 117</w:t>
      </w:r>
      <w:r w:rsidR="001A5FD6">
        <w:rPr>
          <w:rFonts w:ascii="Times New Roman" w:hAnsi="Times New Roman" w:cs="Times New Roman"/>
          <w:b/>
        </w:rPr>
        <w:t>2</w:t>
      </w:r>
      <w:r w:rsidRPr="000E4B74">
        <w:rPr>
          <w:rFonts w:ascii="Times New Roman" w:hAnsi="Times New Roman" w:cs="Times New Roman"/>
          <w:b/>
        </w:rPr>
        <w:t>5/16</w:t>
      </w:r>
      <w:r>
        <w:rPr>
          <w:rFonts w:ascii="Times New Roman" w:hAnsi="Times New Roman" w:cs="Times New Roman"/>
        </w:rPr>
        <w:t xml:space="preserve"> be and is hereby set aside.</w:t>
      </w:r>
    </w:p>
    <w:p w14:paraId="04EAF7EC" w14:textId="34683EFC" w:rsidR="000E4B74" w:rsidRDefault="000E4B74" w:rsidP="00985FBF">
      <w:pPr>
        <w:pStyle w:val="ListParagraph"/>
        <w:numPr>
          <w:ilvl w:val="0"/>
          <w:numId w:val="3"/>
        </w:numPr>
        <w:tabs>
          <w:tab w:val="left" w:pos="1276"/>
        </w:tabs>
        <w:spacing w:after="0" w:line="240" w:lineRule="auto"/>
        <w:ind w:left="1276" w:hanging="283"/>
        <w:jc w:val="both"/>
        <w:rPr>
          <w:rFonts w:ascii="Times New Roman" w:hAnsi="Times New Roman" w:cs="Times New Roman"/>
        </w:rPr>
      </w:pPr>
      <w:r>
        <w:rPr>
          <w:rFonts w:ascii="Times New Roman" w:hAnsi="Times New Roman" w:cs="Times New Roman"/>
        </w:rPr>
        <w:t>The matter be remitted back to 1</w:t>
      </w:r>
      <w:r w:rsidRPr="000E4B74">
        <w:rPr>
          <w:rFonts w:ascii="Times New Roman" w:hAnsi="Times New Roman" w:cs="Times New Roman"/>
          <w:vertAlign w:val="superscript"/>
        </w:rPr>
        <w:t>st</w:t>
      </w:r>
      <w:r>
        <w:rPr>
          <w:rFonts w:ascii="Times New Roman" w:hAnsi="Times New Roman" w:cs="Times New Roman"/>
        </w:rPr>
        <w:t xml:space="preserve"> Respondent for taxation of </w:t>
      </w:r>
      <w:r w:rsidRPr="000E4B74">
        <w:rPr>
          <w:rFonts w:ascii="Times New Roman" w:hAnsi="Times New Roman" w:cs="Times New Roman"/>
          <w:b/>
        </w:rPr>
        <w:t>Items 1 to 133</w:t>
      </w:r>
      <w:r>
        <w:rPr>
          <w:rFonts w:ascii="Times New Roman" w:hAnsi="Times New Roman" w:cs="Times New Roman"/>
        </w:rPr>
        <w:t xml:space="preserve"> on the Bill of Costs only after 2</w:t>
      </w:r>
      <w:r w:rsidRPr="000E4B74">
        <w:rPr>
          <w:rFonts w:ascii="Times New Roman" w:hAnsi="Times New Roman" w:cs="Times New Roman"/>
          <w:vertAlign w:val="superscript"/>
        </w:rPr>
        <w:t>nd</w:t>
      </w:r>
      <w:r>
        <w:rPr>
          <w:rFonts w:ascii="Times New Roman" w:hAnsi="Times New Roman" w:cs="Times New Roman"/>
        </w:rPr>
        <w:t xml:space="preserve"> Respondent has denominated same in Zimbabwean Dollars.</w:t>
      </w:r>
    </w:p>
    <w:p w14:paraId="135EBC3D" w14:textId="50E30D74" w:rsidR="000E4B74" w:rsidRDefault="000E4B74" w:rsidP="00985FBF">
      <w:pPr>
        <w:pStyle w:val="ListParagraph"/>
        <w:numPr>
          <w:ilvl w:val="0"/>
          <w:numId w:val="3"/>
        </w:numPr>
        <w:tabs>
          <w:tab w:val="left" w:pos="1276"/>
        </w:tabs>
        <w:spacing w:after="0" w:line="240" w:lineRule="auto"/>
        <w:ind w:left="1276" w:hanging="283"/>
        <w:jc w:val="both"/>
        <w:rPr>
          <w:rFonts w:ascii="Times New Roman" w:hAnsi="Times New Roman" w:cs="Times New Roman"/>
        </w:rPr>
      </w:pPr>
      <w:r>
        <w:rPr>
          <w:rFonts w:ascii="Times New Roman" w:hAnsi="Times New Roman" w:cs="Times New Roman"/>
        </w:rPr>
        <w:t>2</w:t>
      </w:r>
      <w:r w:rsidRPr="000E4B74">
        <w:rPr>
          <w:rFonts w:ascii="Times New Roman" w:hAnsi="Times New Roman" w:cs="Times New Roman"/>
          <w:vertAlign w:val="superscript"/>
        </w:rPr>
        <w:t>nd</w:t>
      </w:r>
      <w:r>
        <w:rPr>
          <w:rFonts w:ascii="Times New Roman" w:hAnsi="Times New Roman" w:cs="Times New Roman"/>
        </w:rPr>
        <w:t xml:space="preserve"> Respondent pays Costs of review on a legal practitioner-client scale.”</w:t>
      </w:r>
    </w:p>
    <w:p w14:paraId="6E71B767" w14:textId="3B53F3B6" w:rsidR="00985FBF" w:rsidRPr="007B6889" w:rsidRDefault="00985FBF" w:rsidP="000E4B74">
      <w:pPr>
        <w:pStyle w:val="ListParagraph"/>
        <w:tabs>
          <w:tab w:val="left" w:pos="1276"/>
        </w:tabs>
        <w:spacing w:after="0" w:line="240" w:lineRule="auto"/>
        <w:ind w:left="1276"/>
        <w:jc w:val="both"/>
        <w:rPr>
          <w:rFonts w:ascii="Times New Roman" w:hAnsi="Times New Roman" w:cs="Times New Roman"/>
        </w:rPr>
      </w:pPr>
    </w:p>
    <w:p w14:paraId="3618C811" w14:textId="77777777" w:rsidR="003112DE" w:rsidRDefault="003112DE" w:rsidP="003112DE">
      <w:pPr>
        <w:spacing w:after="0" w:line="360" w:lineRule="auto"/>
        <w:jc w:val="both"/>
        <w:rPr>
          <w:rFonts w:ascii="Times New Roman" w:hAnsi="Times New Roman" w:cs="Times New Roman"/>
          <w:b/>
          <w:sz w:val="24"/>
          <w:szCs w:val="24"/>
        </w:rPr>
      </w:pPr>
      <w:r w:rsidRPr="003112DE">
        <w:rPr>
          <w:rFonts w:ascii="Times New Roman" w:hAnsi="Times New Roman" w:cs="Times New Roman"/>
          <w:b/>
          <w:sz w:val="24"/>
          <w:szCs w:val="24"/>
        </w:rPr>
        <w:t>BACKGROUND</w:t>
      </w:r>
    </w:p>
    <w:p w14:paraId="072532E3" w14:textId="4733FCD4" w:rsidR="00253E2C" w:rsidRDefault="00816BBC" w:rsidP="00FA13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background to the dispute is decipherable from the applicant’s founding affidavit. </w:t>
      </w:r>
      <w:r w:rsidR="002A5BF2">
        <w:rPr>
          <w:rFonts w:ascii="Times New Roman" w:hAnsi="Times New Roman" w:cs="Times New Roman"/>
          <w:sz w:val="24"/>
          <w:szCs w:val="24"/>
        </w:rPr>
        <w:t xml:space="preserve"> </w:t>
      </w:r>
      <w:r>
        <w:rPr>
          <w:rFonts w:ascii="Times New Roman" w:hAnsi="Times New Roman" w:cs="Times New Roman"/>
          <w:sz w:val="24"/>
          <w:szCs w:val="24"/>
        </w:rPr>
        <w:t xml:space="preserve">It is as follows. </w:t>
      </w:r>
      <w:r w:rsidR="002D3095">
        <w:rPr>
          <w:rFonts w:ascii="Times New Roman" w:hAnsi="Times New Roman" w:cs="Times New Roman"/>
          <w:sz w:val="24"/>
          <w:szCs w:val="24"/>
        </w:rPr>
        <w:t xml:space="preserve">The </w:t>
      </w:r>
      <w:r w:rsidR="00475369">
        <w:rPr>
          <w:rFonts w:ascii="Times New Roman" w:hAnsi="Times New Roman" w:cs="Times New Roman"/>
          <w:sz w:val="24"/>
          <w:szCs w:val="24"/>
        </w:rPr>
        <w:t xml:space="preserve">second respondent herein instituted action proceedings against the </w:t>
      </w:r>
      <w:r w:rsidR="002D3095">
        <w:rPr>
          <w:rFonts w:ascii="Times New Roman" w:hAnsi="Times New Roman" w:cs="Times New Roman"/>
          <w:sz w:val="24"/>
          <w:szCs w:val="24"/>
        </w:rPr>
        <w:t>applicant under HC 11725/16 in terms of which the second respondent</w:t>
      </w:r>
      <w:r w:rsidR="00475369">
        <w:rPr>
          <w:rFonts w:ascii="Times New Roman" w:hAnsi="Times New Roman" w:cs="Times New Roman"/>
          <w:sz w:val="24"/>
          <w:szCs w:val="24"/>
        </w:rPr>
        <w:t>, as the plaintiff therein claimed against the applicant, as defendant in those proceedings, the sum of US$58</w:t>
      </w:r>
      <w:r w:rsidR="002A5BF2">
        <w:rPr>
          <w:rFonts w:ascii="Times New Roman" w:hAnsi="Times New Roman" w:cs="Times New Roman"/>
          <w:sz w:val="24"/>
          <w:szCs w:val="24"/>
        </w:rPr>
        <w:t xml:space="preserve"> </w:t>
      </w:r>
      <w:r w:rsidR="00475369">
        <w:rPr>
          <w:rFonts w:ascii="Times New Roman" w:hAnsi="Times New Roman" w:cs="Times New Roman"/>
          <w:sz w:val="24"/>
          <w:szCs w:val="24"/>
        </w:rPr>
        <w:t xml:space="preserve">500 being the balance due in respect of </w:t>
      </w:r>
      <w:r w:rsidR="001A5FD6">
        <w:rPr>
          <w:rFonts w:ascii="Times New Roman" w:hAnsi="Times New Roman" w:cs="Times New Roman"/>
          <w:sz w:val="24"/>
          <w:szCs w:val="24"/>
        </w:rPr>
        <w:t xml:space="preserve">some </w:t>
      </w:r>
      <w:r w:rsidR="00475369">
        <w:rPr>
          <w:rFonts w:ascii="Times New Roman" w:hAnsi="Times New Roman" w:cs="Times New Roman"/>
          <w:sz w:val="24"/>
          <w:szCs w:val="24"/>
        </w:rPr>
        <w:t xml:space="preserve">1 500 army rucksack bags manufactured and delivered to the applicant herein at the applicant’s instance. </w:t>
      </w:r>
      <w:r w:rsidR="002A5BF2">
        <w:rPr>
          <w:rFonts w:ascii="Times New Roman" w:hAnsi="Times New Roman" w:cs="Times New Roman"/>
          <w:sz w:val="24"/>
          <w:szCs w:val="24"/>
        </w:rPr>
        <w:t xml:space="preserve"> </w:t>
      </w:r>
      <w:r w:rsidR="00475369">
        <w:rPr>
          <w:rFonts w:ascii="Times New Roman" w:hAnsi="Times New Roman" w:cs="Times New Roman"/>
          <w:sz w:val="24"/>
          <w:szCs w:val="24"/>
        </w:rPr>
        <w:t xml:space="preserve">The second respondent also claimed </w:t>
      </w:r>
      <w:r w:rsidR="00253E2C">
        <w:rPr>
          <w:rFonts w:ascii="Times New Roman" w:hAnsi="Times New Roman" w:cs="Times New Roman"/>
          <w:sz w:val="24"/>
          <w:szCs w:val="24"/>
        </w:rPr>
        <w:t xml:space="preserve">interest on the said amount </w:t>
      </w:r>
      <w:r w:rsidR="00253E2C">
        <w:rPr>
          <w:rFonts w:ascii="Times New Roman" w:hAnsi="Times New Roman" w:cs="Times New Roman"/>
          <w:sz w:val="24"/>
          <w:szCs w:val="24"/>
        </w:rPr>
        <w:lastRenderedPageBreak/>
        <w:t xml:space="preserve">plus costs of suits on a legal practitioner and client scale. </w:t>
      </w:r>
      <w:r w:rsidR="002A5BF2">
        <w:rPr>
          <w:rFonts w:ascii="Times New Roman" w:hAnsi="Times New Roman" w:cs="Times New Roman"/>
          <w:sz w:val="24"/>
          <w:szCs w:val="24"/>
        </w:rPr>
        <w:t xml:space="preserve"> </w:t>
      </w:r>
      <w:r w:rsidR="00253E2C">
        <w:rPr>
          <w:rFonts w:ascii="Times New Roman" w:hAnsi="Times New Roman" w:cs="Times New Roman"/>
          <w:sz w:val="24"/>
          <w:szCs w:val="24"/>
        </w:rPr>
        <w:t xml:space="preserve">At the </w:t>
      </w:r>
      <w:r w:rsidR="00475369">
        <w:rPr>
          <w:rFonts w:ascii="Times New Roman" w:hAnsi="Times New Roman" w:cs="Times New Roman"/>
          <w:sz w:val="24"/>
          <w:szCs w:val="24"/>
        </w:rPr>
        <w:t xml:space="preserve">conclusion of the </w:t>
      </w:r>
      <w:r w:rsidR="00253E2C">
        <w:rPr>
          <w:rFonts w:ascii="Times New Roman" w:hAnsi="Times New Roman" w:cs="Times New Roman"/>
          <w:sz w:val="24"/>
          <w:szCs w:val="24"/>
        </w:rPr>
        <w:t xml:space="preserve">trial, </w:t>
      </w:r>
      <w:r w:rsidR="002A5BF2" w:rsidRPr="002A5BF2">
        <w:rPr>
          <w:rFonts w:ascii="Times New Roman" w:hAnsi="Times New Roman" w:cs="Times New Roman"/>
          <w:smallCaps/>
          <w:sz w:val="24"/>
          <w:szCs w:val="24"/>
        </w:rPr>
        <w:t>phiri j</w:t>
      </w:r>
      <w:r w:rsidR="00253E2C">
        <w:rPr>
          <w:rFonts w:ascii="Times New Roman" w:hAnsi="Times New Roman" w:cs="Times New Roman"/>
          <w:sz w:val="24"/>
          <w:szCs w:val="24"/>
        </w:rPr>
        <w:t>, in a judgment under HH 26/20, granted the following order in favour of the second respondent:</w:t>
      </w:r>
    </w:p>
    <w:p w14:paraId="41176E44" w14:textId="56B77041" w:rsidR="00253E2C" w:rsidRPr="00253E2C" w:rsidRDefault="00253E2C" w:rsidP="00253E2C">
      <w:pPr>
        <w:spacing w:after="0" w:line="240" w:lineRule="auto"/>
        <w:ind w:firstLine="720"/>
        <w:jc w:val="both"/>
        <w:rPr>
          <w:rFonts w:ascii="Times New Roman" w:hAnsi="Times New Roman" w:cs="Times New Roman"/>
        </w:rPr>
      </w:pPr>
      <w:r w:rsidRPr="00253E2C">
        <w:rPr>
          <w:rFonts w:ascii="Times New Roman" w:hAnsi="Times New Roman" w:cs="Times New Roman"/>
        </w:rPr>
        <w:t>“Wherefore it is hereby ordered that defendant pays:</w:t>
      </w:r>
    </w:p>
    <w:p w14:paraId="618D7E93" w14:textId="77777777" w:rsidR="00253E2C" w:rsidRPr="00253E2C" w:rsidRDefault="00253E2C" w:rsidP="00253E2C">
      <w:pPr>
        <w:pStyle w:val="ListParagraph"/>
        <w:numPr>
          <w:ilvl w:val="0"/>
          <w:numId w:val="21"/>
        </w:numPr>
        <w:spacing w:after="0" w:line="240" w:lineRule="auto"/>
        <w:jc w:val="both"/>
        <w:rPr>
          <w:rFonts w:ascii="Times New Roman" w:hAnsi="Times New Roman" w:cs="Times New Roman"/>
        </w:rPr>
      </w:pPr>
      <w:r w:rsidRPr="00253E2C">
        <w:rPr>
          <w:rFonts w:ascii="Times New Roman" w:hAnsi="Times New Roman" w:cs="Times New Roman"/>
        </w:rPr>
        <w:t>Judgment in the sum of US$58 500 or its equivalent at the intermarket bank rate</w:t>
      </w:r>
    </w:p>
    <w:p w14:paraId="78CBBF38" w14:textId="77777777" w:rsidR="00253E2C" w:rsidRPr="00253E2C" w:rsidRDefault="00253E2C" w:rsidP="00253E2C">
      <w:pPr>
        <w:pStyle w:val="ListParagraph"/>
        <w:numPr>
          <w:ilvl w:val="0"/>
          <w:numId w:val="21"/>
        </w:numPr>
        <w:spacing w:after="0" w:line="240" w:lineRule="auto"/>
        <w:jc w:val="both"/>
        <w:rPr>
          <w:rFonts w:ascii="Times New Roman" w:hAnsi="Times New Roman" w:cs="Times New Roman"/>
        </w:rPr>
      </w:pPr>
      <w:r w:rsidRPr="00253E2C">
        <w:rPr>
          <w:rFonts w:ascii="Times New Roman" w:hAnsi="Times New Roman" w:cs="Times New Roman"/>
        </w:rPr>
        <w:t>interests on the said sum of US$58 500 or its equivalent at the prescribed rate from 31 December, 2013 to the date of payment in full; and</w:t>
      </w:r>
    </w:p>
    <w:p w14:paraId="04B340AB" w14:textId="2588C78A" w:rsidR="002D3095" w:rsidRPr="00253E2C" w:rsidRDefault="00253E2C" w:rsidP="00253E2C">
      <w:pPr>
        <w:pStyle w:val="ListParagraph"/>
        <w:numPr>
          <w:ilvl w:val="0"/>
          <w:numId w:val="21"/>
        </w:numPr>
        <w:spacing w:line="240" w:lineRule="auto"/>
        <w:jc w:val="both"/>
        <w:rPr>
          <w:rFonts w:ascii="Times New Roman" w:hAnsi="Times New Roman" w:cs="Times New Roman"/>
          <w:sz w:val="24"/>
          <w:szCs w:val="24"/>
        </w:rPr>
      </w:pPr>
      <w:r w:rsidRPr="00253E2C">
        <w:rPr>
          <w:rFonts w:ascii="Times New Roman" w:hAnsi="Times New Roman" w:cs="Times New Roman"/>
        </w:rPr>
        <w:t xml:space="preserve">Costs of suit on a legal practitioners and client scale.” </w:t>
      </w:r>
      <w:r w:rsidRPr="00253E2C">
        <w:rPr>
          <w:rFonts w:ascii="Times New Roman" w:hAnsi="Times New Roman" w:cs="Times New Roman"/>
          <w:sz w:val="24"/>
          <w:szCs w:val="24"/>
        </w:rPr>
        <w:tab/>
      </w:r>
      <w:r w:rsidR="00475369" w:rsidRPr="00253E2C">
        <w:rPr>
          <w:rFonts w:ascii="Times New Roman" w:hAnsi="Times New Roman" w:cs="Times New Roman"/>
          <w:sz w:val="24"/>
          <w:szCs w:val="24"/>
        </w:rPr>
        <w:t xml:space="preserve"> </w:t>
      </w:r>
    </w:p>
    <w:p w14:paraId="4C110FF4" w14:textId="7E558C02" w:rsidR="00253E2C" w:rsidRDefault="00253E2C" w:rsidP="005E255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That applicant herein appealed against that judgment to the Supreme Court under SC 18/20. On 21 July 2020, the Supreme Court granted the following order:</w:t>
      </w:r>
    </w:p>
    <w:p w14:paraId="4BD32594" w14:textId="2D4FFEC2" w:rsidR="00253E2C" w:rsidRPr="00066D2E" w:rsidRDefault="00253E2C" w:rsidP="00066D2E">
      <w:pPr>
        <w:spacing w:after="0" w:line="240" w:lineRule="auto"/>
        <w:jc w:val="both"/>
        <w:rPr>
          <w:rFonts w:ascii="Times New Roman" w:hAnsi="Times New Roman" w:cs="Times New Roman"/>
        </w:rPr>
      </w:pPr>
      <w:r w:rsidRPr="008D6142">
        <w:rPr>
          <w:rFonts w:ascii="Times New Roman" w:hAnsi="Times New Roman" w:cs="Times New Roman"/>
        </w:rPr>
        <w:tab/>
      </w:r>
      <w:r w:rsidRPr="00066D2E">
        <w:rPr>
          <w:rFonts w:ascii="Times New Roman" w:hAnsi="Times New Roman" w:cs="Times New Roman"/>
        </w:rPr>
        <w:t>“</w:t>
      </w:r>
      <w:r w:rsidRPr="00066D2E">
        <w:rPr>
          <w:rFonts w:ascii="Times New Roman" w:hAnsi="Times New Roman" w:cs="Times New Roman"/>
          <w:b/>
        </w:rPr>
        <w:t>WHEREUPON</w:t>
      </w:r>
      <w:r w:rsidRPr="00066D2E">
        <w:rPr>
          <w:rFonts w:ascii="Times New Roman" w:hAnsi="Times New Roman" w:cs="Times New Roman"/>
        </w:rPr>
        <w:t xml:space="preserve">, after reading documents filed of record and hearing counsel, </w:t>
      </w:r>
    </w:p>
    <w:p w14:paraId="768DE283" w14:textId="3D43D980" w:rsidR="002659DF" w:rsidRPr="00066D2E" w:rsidRDefault="002659DF" w:rsidP="00066D2E">
      <w:pPr>
        <w:spacing w:after="0" w:line="240" w:lineRule="auto"/>
        <w:jc w:val="both"/>
        <w:rPr>
          <w:rFonts w:ascii="Times New Roman" w:hAnsi="Times New Roman" w:cs="Times New Roman"/>
          <w:b/>
        </w:rPr>
      </w:pPr>
      <w:r w:rsidRPr="00066D2E">
        <w:rPr>
          <w:rFonts w:ascii="Times New Roman" w:hAnsi="Times New Roman" w:cs="Times New Roman"/>
        </w:rPr>
        <w:tab/>
      </w:r>
      <w:r w:rsidRPr="00066D2E">
        <w:rPr>
          <w:rFonts w:ascii="Times New Roman" w:hAnsi="Times New Roman" w:cs="Times New Roman"/>
          <w:b/>
        </w:rPr>
        <w:t>IT IS ORDERED THAT:</w:t>
      </w:r>
    </w:p>
    <w:p w14:paraId="2E2A7179" w14:textId="27554DEE" w:rsidR="00253E2C" w:rsidRPr="00066D2E" w:rsidRDefault="00066D2E" w:rsidP="00066D2E">
      <w:pPr>
        <w:pStyle w:val="ListParagraph"/>
        <w:numPr>
          <w:ilvl w:val="0"/>
          <w:numId w:val="22"/>
        </w:numPr>
        <w:spacing w:after="0" w:line="240" w:lineRule="auto"/>
        <w:jc w:val="both"/>
        <w:rPr>
          <w:rFonts w:ascii="Times New Roman" w:hAnsi="Times New Roman" w:cs="Times New Roman"/>
        </w:rPr>
      </w:pPr>
      <w:r w:rsidRPr="00066D2E">
        <w:rPr>
          <w:rFonts w:ascii="Times New Roman" w:hAnsi="Times New Roman" w:cs="Times New Roman"/>
        </w:rPr>
        <w:t>The appeal be and is hereby succeeds to the extent that the relief granted by the court a quo is set aside and substituted with:</w:t>
      </w:r>
    </w:p>
    <w:p w14:paraId="7FEFDA04" w14:textId="2F8BC570" w:rsidR="00066D2E" w:rsidRPr="00066D2E" w:rsidRDefault="00066D2E" w:rsidP="00066D2E">
      <w:pPr>
        <w:pStyle w:val="ListParagraph"/>
        <w:spacing w:after="0" w:line="240" w:lineRule="auto"/>
        <w:ind w:left="1080"/>
        <w:jc w:val="both"/>
        <w:rPr>
          <w:rFonts w:ascii="Times New Roman" w:hAnsi="Times New Roman" w:cs="Times New Roman"/>
        </w:rPr>
      </w:pPr>
      <w:r w:rsidRPr="00066D2E">
        <w:rPr>
          <w:rFonts w:ascii="Times New Roman" w:hAnsi="Times New Roman" w:cs="Times New Roman"/>
        </w:rPr>
        <w:t xml:space="preserve">Judgment in sum equivalent </w:t>
      </w:r>
    </w:p>
    <w:p w14:paraId="0E9B5B49" w14:textId="2C801ED5" w:rsidR="00066D2E" w:rsidRPr="00066D2E" w:rsidRDefault="00066D2E" w:rsidP="00066D2E">
      <w:pPr>
        <w:pStyle w:val="ListParagraph"/>
        <w:numPr>
          <w:ilvl w:val="0"/>
          <w:numId w:val="23"/>
        </w:numPr>
        <w:spacing w:after="0" w:line="240" w:lineRule="auto"/>
        <w:jc w:val="both"/>
        <w:rPr>
          <w:rFonts w:ascii="Times New Roman" w:hAnsi="Times New Roman" w:cs="Times New Roman"/>
        </w:rPr>
      </w:pPr>
      <w:r w:rsidRPr="00066D2E">
        <w:rPr>
          <w:rFonts w:ascii="Times New Roman" w:hAnsi="Times New Roman" w:cs="Times New Roman"/>
        </w:rPr>
        <w:t>In the sum equivalent to US$58 500 in RTGS calculated at the prevailing interbank rate.</w:t>
      </w:r>
    </w:p>
    <w:p w14:paraId="265F2E4E" w14:textId="081517DD" w:rsidR="00066D2E" w:rsidRPr="00066D2E" w:rsidRDefault="00066D2E" w:rsidP="00066D2E">
      <w:pPr>
        <w:pStyle w:val="ListParagraph"/>
        <w:numPr>
          <w:ilvl w:val="0"/>
          <w:numId w:val="23"/>
        </w:numPr>
        <w:spacing w:after="0" w:line="240" w:lineRule="auto"/>
        <w:jc w:val="both"/>
        <w:rPr>
          <w:rFonts w:ascii="Times New Roman" w:hAnsi="Times New Roman" w:cs="Times New Roman"/>
        </w:rPr>
      </w:pPr>
      <w:r w:rsidRPr="00066D2E">
        <w:rPr>
          <w:rFonts w:ascii="Times New Roman" w:hAnsi="Times New Roman" w:cs="Times New Roman"/>
        </w:rPr>
        <w:t>Interest on the said in paragraph (a) at the prescribed rate from 31 December 2013 to date of payment in full.</w:t>
      </w:r>
    </w:p>
    <w:p w14:paraId="4A2BA992" w14:textId="710C1D4C" w:rsidR="00066D2E" w:rsidRPr="00066D2E" w:rsidRDefault="00066D2E" w:rsidP="007772E5">
      <w:pPr>
        <w:pStyle w:val="ListParagraph"/>
        <w:numPr>
          <w:ilvl w:val="0"/>
          <w:numId w:val="23"/>
        </w:numPr>
        <w:spacing w:line="240" w:lineRule="auto"/>
        <w:jc w:val="both"/>
        <w:rPr>
          <w:rFonts w:ascii="Times New Roman" w:hAnsi="Times New Roman" w:cs="Times New Roman"/>
        </w:rPr>
      </w:pPr>
      <w:r w:rsidRPr="00066D2E">
        <w:rPr>
          <w:rFonts w:ascii="Times New Roman" w:hAnsi="Times New Roman" w:cs="Times New Roman"/>
        </w:rPr>
        <w:t>Costs of suit on a legal practitioner and client scale.”</w:t>
      </w:r>
    </w:p>
    <w:p w14:paraId="52E1EA5F" w14:textId="51EDA7D7" w:rsidR="00066D2E" w:rsidRDefault="007772E5" w:rsidP="007772E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After the Supreme Court order, the second respondent proceeded to prepare a notice of taxation which was duly served on the applicant’s legal practitioners of record on 5 August 2020. Part of the bill of costs (items 1 to 133 to be specific) was prepared using the 2011 General Law Society Tariff </w:t>
      </w:r>
      <w:r w:rsidR="00F87A78">
        <w:rPr>
          <w:rFonts w:ascii="Times New Roman" w:hAnsi="Times New Roman" w:cs="Times New Roman"/>
          <w:sz w:val="24"/>
          <w:szCs w:val="24"/>
        </w:rPr>
        <w:t xml:space="preserve">(the 2011 tariff) </w:t>
      </w:r>
      <w:r>
        <w:rPr>
          <w:rFonts w:ascii="Times New Roman" w:hAnsi="Times New Roman" w:cs="Times New Roman"/>
          <w:sz w:val="24"/>
          <w:szCs w:val="24"/>
        </w:rPr>
        <w:t xml:space="preserve">and some of the attendances were quoted in the United States dollar payable at the </w:t>
      </w:r>
      <w:r w:rsidR="00C53223">
        <w:rPr>
          <w:rFonts w:ascii="Times New Roman" w:hAnsi="Times New Roman" w:cs="Times New Roman"/>
          <w:sz w:val="24"/>
          <w:szCs w:val="24"/>
        </w:rPr>
        <w:t>prevailing interbank rate on</w:t>
      </w:r>
      <w:r>
        <w:rPr>
          <w:rFonts w:ascii="Times New Roman" w:hAnsi="Times New Roman" w:cs="Times New Roman"/>
          <w:sz w:val="24"/>
          <w:szCs w:val="24"/>
        </w:rPr>
        <w:t xml:space="preserve"> date of taxation. The applicant’s legal practitioners conceived that to be an irregularity and on 6 August 2020, they wrote to the second respondent’s legal practitioners as follows:</w:t>
      </w:r>
    </w:p>
    <w:p w14:paraId="1B19E548" w14:textId="2202E6A4" w:rsidR="007772E5" w:rsidRPr="00816BBC" w:rsidRDefault="007772E5" w:rsidP="00816BBC">
      <w:pPr>
        <w:spacing w:after="0" w:line="240" w:lineRule="auto"/>
        <w:ind w:left="720"/>
        <w:jc w:val="both"/>
        <w:rPr>
          <w:rFonts w:ascii="Times New Roman" w:hAnsi="Times New Roman" w:cs="Times New Roman"/>
          <w:b/>
          <w:u w:val="single"/>
        </w:rPr>
      </w:pPr>
      <w:r w:rsidRPr="00816BBC">
        <w:rPr>
          <w:rFonts w:ascii="Times New Roman" w:hAnsi="Times New Roman" w:cs="Times New Roman"/>
          <w:b/>
        </w:rPr>
        <w:t>“RE:</w:t>
      </w:r>
      <w:r w:rsidRPr="00816BBC">
        <w:rPr>
          <w:rFonts w:ascii="Times New Roman" w:hAnsi="Times New Roman" w:cs="Times New Roman"/>
        </w:rPr>
        <w:tab/>
      </w:r>
      <w:r w:rsidRPr="00816BBC">
        <w:rPr>
          <w:rFonts w:ascii="Times New Roman" w:hAnsi="Times New Roman" w:cs="Times New Roman"/>
          <w:b/>
          <w:u w:val="single"/>
        </w:rPr>
        <w:t>MABEL CANVAS (PVT) LTD v MUCHANETA THEODORA CHIMBANDI –HC11725/2016</w:t>
      </w:r>
    </w:p>
    <w:p w14:paraId="6CD8635A" w14:textId="2D39B0A8" w:rsidR="002D3095" w:rsidRPr="00816BBC" w:rsidRDefault="00816BBC" w:rsidP="00816BBC">
      <w:pPr>
        <w:spacing w:after="0" w:line="240" w:lineRule="auto"/>
        <w:ind w:firstLine="720"/>
        <w:jc w:val="both"/>
        <w:rPr>
          <w:rFonts w:ascii="Times New Roman" w:hAnsi="Times New Roman" w:cs="Times New Roman"/>
        </w:rPr>
      </w:pPr>
      <w:r w:rsidRPr="00816BBC">
        <w:rPr>
          <w:rFonts w:ascii="Times New Roman" w:hAnsi="Times New Roman" w:cs="Times New Roman"/>
        </w:rPr>
        <w:t>…………………….</w:t>
      </w:r>
    </w:p>
    <w:p w14:paraId="22D3AA51" w14:textId="193ADE99" w:rsidR="00816BBC" w:rsidRPr="00816BBC" w:rsidRDefault="00816BBC" w:rsidP="00816BBC">
      <w:pPr>
        <w:spacing w:after="0" w:line="240" w:lineRule="auto"/>
        <w:ind w:left="720"/>
        <w:jc w:val="both"/>
        <w:rPr>
          <w:rFonts w:ascii="Times New Roman" w:hAnsi="Times New Roman" w:cs="Times New Roman"/>
        </w:rPr>
      </w:pPr>
      <w:r w:rsidRPr="00816BBC">
        <w:rPr>
          <w:rFonts w:ascii="Times New Roman" w:hAnsi="Times New Roman" w:cs="Times New Roman"/>
        </w:rPr>
        <w:t>We have noted with concern that your Bill of Costs refers to United States Dollars as our hourly rate yet the law is very clear that:</w:t>
      </w:r>
    </w:p>
    <w:p w14:paraId="446853AE" w14:textId="595778D1" w:rsidR="002D3095" w:rsidRPr="00816BBC" w:rsidRDefault="00816BBC" w:rsidP="00395707">
      <w:pPr>
        <w:tabs>
          <w:tab w:val="left" w:pos="993"/>
        </w:tabs>
        <w:spacing w:after="0" w:line="240" w:lineRule="auto"/>
        <w:ind w:left="993"/>
        <w:jc w:val="both"/>
        <w:rPr>
          <w:rFonts w:ascii="Times New Roman" w:hAnsi="Times New Roman" w:cs="Times New Roman"/>
          <w:b/>
          <w:i/>
          <w:sz w:val="24"/>
          <w:szCs w:val="24"/>
        </w:rPr>
      </w:pPr>
      <w:r w:rsidRPr="00816BBC">
        <w:rPr>
          <w:rFonts w:ascii="Times New Roman" w:hAnsi="Times New Roman" w:cs="Times New Roman"/>
          <w:b/>
          <w:i/>
          <w:sz w:val="24"/>
          <w:szCs w:val="24"/>
        </w:rPr>
        <w:t>“</w:t>
      </w:r>
      <w:r>
        <w:rPr>
          <w:rFonts w:ascii="Times New Roman" w:hAnsi="Times New Roman" w:cs="Times New Roman"/>
          <w:b/>
          <w:i/>
          <w:sz w:val="24"/>
          <w:szCs w:val="24"/>
        </w:rPr>
        <w:t xml:space="preserve">Every enactment in which an amount is expressed in United States dollars shall, on the first effective date (but subject to subsection (4)), be construed as reference to the RTGS dollar, at parity with the United States dollar, that is to say, at a one-to-one rate. </w:t>
      </w:r>
      <w:r>
        <w:rPr>
          <w:rFonts w:ascii="Times New Roman" w:hAnsi="Times New Roman" w:cs="Times New Roman"/>
          <w:sz w:val="24"/>
          <w:szCs w:val="24"/>
        </w:rPr>
        <w:t xml:space="preserve">As per section </w:t>
      </w:r>
      <w:r w:rsidRPr="00816BBC">
        <w:rPr>
          <w:rFonts w:ascii="Times New Roman" w:hAnsi="Times New Roman" w:cs="Times New Roman"/>
          <w:b/>
          <w:sz w:val="24"/>
          <w:szCs w:val="24"/>
        </w:rPr>
        <w:t>22 1 (f) of the Finance Act No. 2 of 2019”</w:t>
      </w:r>
      <w:r>
        <w:rPr>
          <w:rFonts w:ascii="Times New Roman" w:hAnsi="Times New Roman" w:cs="Times New Roman"/>
          <w:b/>
          <w:i/>
          <w:sz w:val="24"/>
          <w:szCs w:val="24"/>
        </w:rPr>
        <w:t xml:space="preserve"> </w:t>
      </w:r>
    </w:p>
    <w:p w14:paraId="715F07E9" w14:textId="4D74DE7D" w:rsidR="002D3095" w:rsidRPr="002A5BF2" w:rsidRDefault="00816BBC" w:rsidP="00395707">
      <w:pPr>
        <w:spacing w:after="0" w:line="240" w:lineRule="auto"/>
        <w:ind w:firstLine="720"/>
        <w:jc w:val="both"/>
        <w:rPr>
          <w:rFonts w:ascii="Times New Roman" w:hAnsi="Times New Roman" w:cs="Times New Roman"/>
        </w:rPr>
      </w:pPr>
      <w:r w:rsidRPr="002A5BF2">
        <w:rPr>
          <w:rFonts w:ascii="Times New Roman" w:hAnsi="Times New Roman" w:cs="Times New Roman"/>
        </w:rPr>
        <w:t xml:space="preserve"> Legally, the Bill is now in RTGS on a rate of one as to one.</w:t>
      </w:r>
    </w:p>
    <w:p w14:paraId="0BC2DBBF" w14:textId="63DC6F50" w:rsidR="00816BBC" w:rsidRPr="002A5BF2" w:rsidRDefault="00816BBC" w:rsidP="00395707">
      <w:pPr>
        <w:spacing w:after="0" w:line="240" w:lineRule="auto"/>
        <w:ind w:firstLine="720"/>
        <w:jc w:val="both"/>
        <w:rPr>
          <w:rFonts w:ascii="Times New Roman" w:hAnsi="Times New Roman" w:cs="Times New Roman"/>
        </w:rPr>
      </w:pPr>
      <w:r w:rsidRPr="002A5BF2">
        <w:rPr>
          <w:rFonts w:ascii="Times New Roman" w:hAnsi="Times New Roman" w:cs="Times New Roman"/>
        </w:rPr>
        <w:t>The court order did not change this position.</w:t>
      </w:r>
    </w:p>
    <w:p w14:paraId="178852C8" w14:textId="1B7AC385" w:rsidR="00816BBC" w:rsidRPr="002A5BF2" w:rsidRDefault="00816BBC" w:rsidP="00395707">
      <w:pPr>
        <w:spacing w:after="0" w:line="240" w:lineRule="auto"/>
        <w:ind w:left="720"/>
        <w:jc w:val="both"/>
        <w:rPr>
          <w:rFonts w:ascii="Times New Roman" w:hAnsi="Times New Roman" w:cs="Times New Roman"/>
        </w:rPr>
      </w:pPr>
      <w:r w:rsidRPr="002A5BF2">
        <w:rPr>
          <w:rFonts w:ascii="Times New Roman" w:hAnsi="Times New Roman" w:cs="Times New Roman"/>
        </w:rPr>
        <w:t>You cannot be claiming interbank rate on date of taxation as this is not the amount you were charging in 2016, it amounts to overcharging.</w:t>
      </w:r>
    </w:p>
    <w:p w14:paraId="1AA733CB" w14:textId="04EBDFE2" w:rsidR="00816BBC" w:rsidRPr="002A5BF2" w:rsidRDefault="00816BBC" w:rsidP="00395707">
      <w:pPr>
        <w:spacing w:after="0" w:line="240" w:lineRule="auto"/>
        <w:ind w:firstLine="720"/>
        <w:jc w:val="both"/>
        <w:rPr>
          <w:rFonts w:ascii="Times New Roman" w:hAnsi="Times New Roman" w:cs="Times New Roman"/>
        </w:rPr>
      </w:pPr>
      <w:r w:rsidRPr="002A5BF2">
        <w:rPr>
          <w:rFonts w:ascii="Times New Roman" w:hAnsi="Times New Roman" w:cs="Times New Roman"/>
        </w:rPr>
        <w:t>In the premises kindly withdraw your Bill of Costs.</w:t>
      </w:r>
    </w:p>
    <w:p w14:paraId="4FAB97D0" w14:textId="7CCFA327" w:rsidR="00816BBC" w:rsidRPr="002A5BF2" w:rsidRDefault="00816BBC" w:rsidP="00395707">
      <w:pPr>
        <w:spacing w:after="0" w:line="240" w:lineRule="auto"/>
        <w:ind w:left="720"/>
        <w:jc w:val="both"/>
        <w:rPr>
          <w:rFonts w:ascii="Times New Roman" w:hAnsi="Times New Roman" w:cs="Times New Roman"/>
        </w:rPr>
      </w:pPr>
      <w:r w:rsidRPr="002A5BF2">
        <w:rPr>
          <w:rFonts w:ascii="Times New Roman" w:hAnsi="Times New Roman" w:cs="Times New Roman"/>
        </w:rPr>
        <w:lastRenderedPageBreak/>
        <w:t>We shall be raising the same issue before the taxing Officer should you insist with the taxation in its present state</w:t>
      </w:r>
      <w:r w:rsidR="00395707" w:rsidRPr="002A5BF2">
        <w:rPr>
          <w:rFonts w:ascii="Times New Roman" w:hAnsi="Times New Roman" w:cs="Times New Roman"/>
        </w:rPr>
        <w:t>.</w:t>
      </w:r>
    </w:p>
    <w:p w14:paraId="6A7DF291" w14:textId="204E20C7" w:rsidR="00395707" w:rsidRPr="002A5BF2" w:rsidRDefault="00395707" w:rsidP="00395707">
      <w:pPr>
        <w:spacing w:after="0" w:line="240" w:lineRule="auto"/>
        <w:ind w:left="720"/>
        <w:jc w:val="both"/>
        <w:rPr>
          <w:rFonts w:ascii="Times New Roman" w:hAnsi="Times New Roman" w:cs="Times New Roman"/>
        </w:rPr>
      </w:pPr>
      <w:r w:rsidRPr="002A5BF2">
        <w:rPr>
          <w:rFonts w:ascii="Times New Roman" w:hAnsi="Times New Roman" w:cs="Times New Roman"/>
        </w:rPr>
        <w:t>…………</w:t>
      </w:r>
    </w:p>
    <w:p w14:paraId="7545B7D0" w14:textId="04EFB206" w:rsidR="00395707" w:rsidRDefault="00833B1F" w:rsidP="00FA13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respond</w:t>
      </w:r>
      <w:r w:rsidR="00395707">
        <w:rPr>
          <w:rFonts w:ascii="Times New Roman" w:hAnsi="Times New Roman" w:cs="Times New Roman"/>
          <w:sz w:val="24"/>
          <w:szCs w:val="24"/>
        </w:rPr>
        <w:t xml:space="preserve">ent’s legal practitioners responded to the letter through their letter of 7 August 2020. </w:t>
      </w:r>
      <w:r w:rsidR="002A5BF2">
        <w:rPr>
          <w:rFonts w:ascii="Times New Roman" w:hAnsi="Times New Roman" w:cs="Times New Roman"/>
          <w:sz w:val="24"/>
          <w:szCs w:val="24"/>
        </w:rPr>
        <w:t xml:space="preserve"> </w:t>
      </w:r>
      <w:r w:rsidR="00395707">
        <w:rPr>
          <w:rFonts w:ascii="Times New Roman" w:hAnsi="Times New Roman" w:cs="Times New Roman"/>
          <w:sz w:val="24"/>
          <w:szCs w:val="24"/>
        </w:rPr>
        <w:t>It reads in part as follows:</w:t>
      </w:r>
    </w:p>
    <w:p w14:paraId="58FA6029" w14:textId="77777777" w:rsidR="00395707" w:rsidRPr="00816BBC" w:rsidRDefault="00395707" w:rsidP="00395707">
      <w:pPr>
        <w:pBdr>
          <w:bottom w:val="single" w:sz="12" w:space="1" w:color="auto"/>
        </w:pBdr>
        <w:spacing w:after="0" w:line="240" w:lineRule="auto"/>
        <w:ind w:left="720"/>
        <w:jc w:val="both"/>
        <w:rPr>
          <w:rFonts w:ascii="Times New Roman" w:hAnsi="Times New Roman" w:cs="Times New Roman"/>
          <w:b/>
          <w:u w:val="single"/>
        </w:rPr>
      </w:pPr>
      <w:r>
        <w:rPr>
          <w:rFonts w:ascii="Times New Roman" w:hAnsi="Times New Roman" w:cs="Times New Roman"/>
          <w:sz w:val="24"/>
          <w:szCs w:val="24"/>
        </w:rPr>
        <w:t>“</w:t>
      </w:r>
      <w:r w:rsidRPr="00816BBC">
        <w:rPr>
          <w:rFonts w:ascii="Times New Roman" w:hAnsi="Times New Roman" w:cs="Times New Roman"/>
          <w:b/>
        </w:rPr>
        <w:t>“RE:</w:t>
      </w:r>
      <w:r w:rsidRPr="00816BBC">
        <w:rPr>
          <w:rFonts w:ascii="Times New Roman" w:hAnsi="Times New Roman" w:cs="Times New Roman"/>
        </w:rPr>
        <w:tab/>
      </w:r>
      <w:r w:rsidRPr="00395707">
        <w:rPr>
          <w:rFonts w:ascii="Times New Roman" w:hAnsi="Times New Roman" w:cs="Times New Roman"/>
          <w:b/>
        </w:rPr>
        <w:t>MABEL CANVAS (PVT) LTD v MUCHANETA THEODORA CHIMBANDI –HC11725/2016</w:t>
      </w:r>
    </w:p>
    <w:p w14:paraId="1847E029" w14:textId="7066D836" w:rsidR="00395707" w:rsidRPr="00395707" w:rsidRDefault="00395707" w:rsidP="00395707">
      <w:pPr>
        <w:spacing w:after="0" w:line="240" w:lineRule="auto"/>
        <w:ind w:firstLine="720"/>
        <w:jc w:val="both"/>
        <w:rPr>
          <w:rFonts w:ascii="Times New Roman" w:hAnsi="Times New Roman" w:cs="Times New Roman"/>
        </w:rPr>
      </w:pPr>
      <w:r w:rsidRPr="00395707">
        <w:rPr>
          <w:rFonts w:ascii="Times New Roman" w:hAnsi="Times New Roman" w:cs="Times New Roman"/>
        </w:rPr>
        <w:t>…………………….</w:t>
      </w:r>
    </w:p>
    <w:p w14:paraId="6514F779" w14:textId="07819024" w:rsidR="00395707" w:rsidRDefault="00395707" w:rsidP="00395707">
      <w:pPr>
        <w:spacing w:after="0" w:line="240" w:lineRule="auto"/>
        <w:ind w:left="720"/>
        <w:jc w:val="both"/>
        <w:rPr>
          <w:rFonts w:ascii="Times New Roman" w:hAnsi="Times New Roman" w:cs="Times New Roman"/>
        </w:rPr>
      </w:pPr>
      <w:r w:rsidRPr="00395707">
        <w:rPr>
          <w:rFonts w:ascii="Times New Roman" w:hAnsi="Times New Roman" w:cs="Times New Roman"/>
        </w:rPr>
        <w:t>We are not in agreement with the views you express to the effect that United States dollar rates applicable from 2016 to January 2019 were converted to RTGS rates at one-to-one with the United States dollar.</w:t>
      </w:r>
    </w:p>
    <w:p w14:paraId="69C29B05" w14:textId="77777777" w:rsidR="00395707" w:rsidRDefault="00395707" w:rsidP="00395707">
      <w:pPr>
        <w:spacing w:after="0" w:line="240" w:lineRule="auto"/>
        <w:ind w:left="720"/>
        <w:jc w:val="both"/>
        <w:rPr>
          <w:rFonts w:ascii="Times New Roman" w:hAnsi="Times New Roman" w:cs="Times New Roman"/>
        </w:rPr>
      </w:pPr>
    </w:p>
    <w:p w14:paraId="69C21097" w14:textId="79BA0ED4" w:rsidR="00395707" w:rsidRPr="00B72747" w:rsidRDefault="00395707" w:rsidP="00395707">
      <w:pPr>
        <w:spacing w:after="0" w:line="240" w:lineRule="auto"/>
        <w:ind w:left="720"/>
        <w:jc w:val="both"/>
        <w:rPr>
          <w:rFonts w:ascii="Times New Roman" w:hAnsi="Times New Roman" w:cs="Times New Roman"/>
        </w:rPr>
      </w:pPr>
      <w:r>
        <w:rPr>
          <w:rFonts w:ascii="Times New Roman" w:hAnsi="Times New Roman" w:cs="Times New Roman"/>
        </w:rPr>
        <w:t xml:space="preserve">We take the view that a judgment of the court after the first effective date in respect of costs of suit incurred in United States dollars before the first effective date (22 February 2019), is a debt in the sum equivalent to the taxed United States dollar amount in RTGS dollars calculated at the prevailing interbank rate. This treatment of debts expressed in United States dollars after the first effective date is provided for </w:t>
      </w:r>
      <w:r w:rsidRPr="00B72747">
        <w:rPr>
          <w:rFonts w:ascii="Times New Roman" w:hAnsi="Times New Roman" w:cs="Times New Roman"/>
        </w:rPr>
        <w:t xml:space="preserve">in section 22(1)(e) as read with section 22(1)(d) of the Finance Act (No.2) Act, 2019. It is the legal basis upon which the Supreme Court </w:t>
      </w:r>
      <w:r w:rsidR="001930D4" w:rsidRPr="00B72747">
        <w:rPr>
          <w:rFonts w:ascii="Times New Roman" w:hAnsi="Times New Roman" w:cs="Times New Roman"/>
        </w:rPr>
        <w:t>allowed our client to recover its debt from your client in the sum equivalent to US$58 500.00 in RTGS dollars calculated at the prevailing interbank rate.</w:t>
      </w:r>
    </w:p>
    <w:p w14:paraId="79562AEF" w14:textId="77777777" w:rsidR="001930D4" w:rsidRPr="00B72747" w:rsidRDefault="001930D4" w:rsidP="00395707">
      <w:pPr>
        <w:spacing w:after="0" w:line="240" w:lineRule="auto"/>
        <w:ind w:left="720"/>
        <w:jc w:val="both"/>
        <w:rPr>
          <w:rFonts w:ascii="Times New Roman" w:hAnsi="Times New Roman" w:cs="Times New Roman"/>
        </w:rPr>
      </w:pPr>
    </w:p>
    <w:p w14:paraId="71D7CC87" w14:textId="71C641FF" w:rsidR="001930D4" w:rsidRDefault="001930D4" w:rsidP="00395707">
      <w:pPr>
        <w:spacing w:after="0" w:line="240" w:lineRule="auto"/>
        <w:ind w:left="720"/>
        <w:jc w:val="both"/>
        <w:rPr>
          <w:rFonts w:ascii="Times New Roman" w:hAnsi="Times New Roman" w:cs="Times New Roman"/>
        </w:rPr>
      </w:pPr>
      <w:r>
        <w:rPr>
          <w:rFonts w:ascii="Times New Roman" w:hAnsi="Times New Roman" w:cs="Times New Roman"/>
        </w:rPr>
        <w:t>In ordering your client as it did to pay the sum equivalent to US$58 500.00 calculated at the prevailing interbank rate, the Supreme Court rejected your submission to the effect that in terms of section 22(1)(d) of the said Finance Act, the US$58 500.00 was, by operation of the law, converted to RTGS dollars at the rate of one-to-one to the United States Dollar. We note, however, that you now seek to place reliance on section 22(1)(f) of the said Fi</w:t>
      </w:r>
      <w:r w:rsidR="00750ED9">
        <w:rPr>
          <w:rFonts w:ascii="Times New Roman" w:hAnsi="Times New Roman" w:cs="Times New Roman"/>
        </w:rPr>
        <w:t>n</w:t>
      </w:r>
      <w:r>
        <w:rPr>
          <w:rFonts w:ascii="Times New Roman" w:hAnsi="Times New Roman" w:cs="Times New Roman"/>
        </w:rPr>
        <w:t xml:space="preserve">ance Act to argue that the United States dollar rates that applied, in the present case, from 2016 to January 2019 have, by operation </w:t>
      </w:r>
      <w:r w:rsidR="00750ED9">
        <w:rPr>
          <w:rFonts w:ascii="Times New Roman" w:hAnsi="Times New Roman" w:cs="Times New Roman"/>
        </w:rPr>
        <w:t>of the said provision, become RTGS dollar rates on a one-to-one rate with the United States dollar on the first effective date.</w:t>
      </w:r>
    </w:p>
    <w:p w14:paraId="60844227" w14:textId="77777777" w:rsidR="00750ED9" w:rsidRDefault="00750ED9" w:rsidP="00395707">
      <w:pPr>
        <w:spacing w:after="0" w:line="240" w:lineRule="auto"/>
        <w:ind w:left="720"/>
        <w:jc w:val="both"/>
        <w:rPr>
          <w:rFonts w:ascii="Times New Roman" w:hAnsi="Times New Roman" w:cs="Times New Roman"/>
        </w:rPr>
      </w:pPr>
    </w:p>
    <w:p w14:paraId="434DFFFE" w14:textId="3A45C416" w:rsidR="00750ED9" w:rsidRDefault="00750ED9" w:rsidP="00395707">
      <w:pPr>
        <w:spacing w:after="0" w:line="240" w:lineRule="auto"/>
        <w:ind w:left="720"/>
        <w:jc w:val="both"/>
        <w:rPr>
          <w:rFonts w:ascii="Times New Roman" w:hAnsi="Times New Roman" w:cs="Times New Roman"/>
        </w:rPr>
      </w:pPr>
      <w:r>
        <w:rPr>
          <w:rFonts w:ascii="Times New Roman" w:hAnsi="Times New Roman" w:cs="Times New Roman"/>
        </w:rPr>
        <w:t>With all due respect, we are unable to agree. We take the view that section 22(1)(f) of the said Finance Act does not apply at all. It is common knowledge that the United States dollar General Tariff of Fees in force from February 2011 to January 2019 is not an enactment, i.e., a law passed by Parliament. Not being an enactment as contemplated in the said provisions, the said General Tariff of Fees is not covered under the provisions of section 22(1)(f) of the Finance (No.2) Act, 2019.</w:t>
      </w:r>
    </w:p>
    <w:p w14:paraId="46C2CD2B" w14:textId="77777777" w:rsidR="00750ED9" w:rsidRDefault="00750ED9" w:rsidP="00395707">
      <w:pPr>
        <w:spacing w:after="0" w:line="240" w:lineRule="auto"/>
        <w:ind w:left="720"/>
        <w:jc w:val="both"/>
        <w:rPr>
          <w:rFonts w:ascii="Times New Roman" w:hAnsi="Times New Roman" w:cs="Times New Roman"/>
        </w:rPr>
      </w:pPr>
    </w:p>
    <w:p w14:paraId="21805530" w14:textId="7618D44E" w:rsidR="00750ED9" w:rsidRDefault="00750ED9" w:rsidP="00395707">
      <w:pPr>
        <w:spacing w:after="0" w:line="240" w:lineRule="auto"/>
        <w:ind w:left="720"/>
        <w:jc w:val="both"/>
        <w:rPr>
          <w:rFonts w:ascii="Times New Roman" w:hAnsi="Times New Roman" w:cs="Times New Roman"/>
        </w:rPr>
      </w:pPr>
      <w:r>
        <w:rPr>
          <w:rFonts w:ascii="Times New Roman" w:hAnsi="Times New Roman" w:cs="Times New Roman"/>
        </w:rPr>
        <w:t xml:space="preserve">Concerning the allegation that we cannot be claiming </w:t>
      </w:r>
      <w:r>
        <w:rPr>
          <w:rFonts w:ascii="Times New Roman" w:hAnsi="Times New Roman" w:cs="Times New Roman"/>
          <w:i/>
        </w:rPr>
        <w:t xml:space="preserve">“interbank rate on date of taxation as this is not the amount you </w:t>
      </w:r>
      <w:r w:rsidRPr="00750ED9">
        <w:rPr>
          <w:rFonts w:ascii="Times New Roman" w:hAnsi="Times New Roman" w:cs="Times New Roman"/>
        </w:rPr>
        <w:t>(</w:t>
      </w:r>
      <w:r>
        <w:rPr>
          <w:rFonts w:ascii="Times New Roman" w:hAnsi="Times New Roman" w:cs="Times New Roman"/>
        </w:rPr>
        <w:t>read “we”)</w:t>
      </w:r>
      <w:r>
        <w:rPr>
          <w:rFonts w:ascii="Times New Roman" w:hAnsi="Times New Roman" w:cs="Times New Roman"/>
          <w:i/>
        </w:rPr>
        <w:t xml:space="preserve"> were charging in 2016” </w:t>
      </w:r>
      <w:r>
        <w:rPr>
          <w:rFonts w:ascii="Times New Roman" w:hAnsi="Times New Roman" w:cs="Times New Roman"/>
        </w:rPr>
        <w:t xml:space="preserve">and that </w:t>
      </w:r>
      <w:r>
        <w:rPr>
          <w:rFonts w:ascii="Times New Roman" w:hAnsi="Times New Roman" w:cs="Times New Roman"/>
          <w:i/>
        </w:rPr>
        <w:t xml:space="preserve">“it amounts to overcharging”, </w:t>
      </w:r>
      <w:r>
        <w:rPr>
          <w:rFonts w:ascii="Times New Roman" w:hAnsi="Times New Roman" w:cs="Times New Roman"/>
        </w:rPr>
        <w:t xml:space="preserve">our response is simple. The amounts we charged from 2016 to January </w:t>
      </w:r>
      <w:r w:rsidR="00795760">
        <w:rPr>
          <w:rFonts w:ascii="Times New Roman" w:hAnsi="Times New Roman" w:cs="Times New Roman"/>
        </w:rPr>
        <w:t>2018 were fixed in United States dollars as per the General Tariff of Fees referred to above. There was no RTGS General Tariff of Fees then.  The conversion of the United States Dollar fees to RTGS fees at the ruling interbank rate on date of taxation does not amount to overcharging. It restores parity in this hyperinflationary environment in line with paragraph (e) of section 22(1) of the said Finance Act, the provisions of which validated recovery of the main debt in the sum equivalent to US$58 500.00 in RTGS dollars at the prevailing interbank rate as aforesaid.</w:t>
      </w:r>
    </w:p>
    <w:p w14:paraId="7FBC4E67" w14:textId="54A56352" w:rsidR="00795760" w:rsidRDefault="00795760" w:rsidP="00395707">
      <w:pPr>
        <w:spacing w:after="0" w:line="240" w:lineRule="auto"/>
        <w:ind w:left="720"/>
        <w:jc w:val="both"/>
        <w:rPr>
          <w:rFonts w:ascii="Times New Roman" w:hAnsi="Times New Roman" w:cs="Times New Roman"/>
        </w:rPr>
      </w:pPr>
      <w:r>
        <w:rPr>
          <w:rFonts w:ascii="Times New Roman" w:hAnsi="Times New Roman" w:cs="Times New Roman"/>
        </w:rPr>
        <w:lastRenderedPageBreak/>
        <w:t>In light of the foregoing, we take the view that there is no legal basis for your demand that we withdraw the Bill of costs. You are free to raise any issue before the taxing officer in connection with the Bill of Costs.</w:t>
      </w:r>
    </w:p>
    <w:p w14:paraId="53BB0C3A" w14:textId="732CD585" w:rsidR="00795760" w:rsidRPr="00750ED9" w:rsidRDefault="00795760" w:rsidP="001A3060">
      <w:pPr>
        <w:spacing w:line="240" w:lineRule="auto"/>
        <w:ind w:left="720"/>
        <w:jc w:val="both"/>
        <w:rPr>
          <w:rFonts w:ascii="Times New Roman" w:hAnsi="Times New Roman" w:cs="Times New Roman"/>
        </w:rPr>
      </w:pPr>
      <w:r>
        <w:rPr>
          <w:rFonts w:ascii="Times New Roman" w:hAnsi="Times New Roman" w:cs="Times New Roman"/>
        </w:rPr>
        <w:t>………….”</w:t>
      </w:r>
    </w:p>
    <w:p w14:paraId="70C51C5C" w14:textId="36695CAD" w:rsidR="0022141E" w:rsidRDefault="00795760" w:rsidP="001A306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parties attended taxation on 13 August 2020 before the first respondent. The applicant’s legal practitioners maintained their position that the denomination of </w:t>
      </w:r>
      <w:r w:rsidR="00C53223">
        <w:rPr>
          <w:rFonts w:ascii="Times New Roman" w:hAnsi="Times New Roman" w:cs="Times New Roman"/>
          <w:sz w:val="24"/>
          <w:szCs w:val="24"/>
        </w:rPr>
        <w:t xml:space="preserve">part of </w:t>
      </w:r>
      <w:r>
        <w:rPr>
          <w:rFonts w:ascii="Times New Roman" w:hAnsi="Times New Roman" w:cs="Times New Roman"/>
          <w:sz w:val="24"/>
          <w:szCs w:val="24"/>
        </w:rPr>
        <w:t>the bill of costs in United States dollars contravened S</w:t>
      </w:r>
      <w:r w:rsidR="00C53223">
        <w:rPr>
          <w:rFonts w:ascii="Times New Roman" w:hAnsi="Times New Roman" w:cs="Times New Roman"/>
          <w:sz w:val="24"/>
          <w:szCs w:val="24"/>
        </w:rPr>
        <w:t>.</w:t>
      </w:r>
      <w:r>
        <w:rPr>
          <w:rFonts w:ascii="Times New Roman" w:hAnsi="Times New Roman" w:cs="Times New Roman"/>
          <w:sz w:val="24"/>
          <w:szCs w:val="24"/>
        </w:rPr>
        <w:t>I</w:t>
      </w:r>
      <w:r w:rsidR="00C53223">
        <w:rPr>
          <w:rFonts w:ascii="Times New Roman" w:hAnsi="Times New Roman" w:cs="Times New Roman"/>
          <w:sz w:val="24"/>
          <w:szCs w:val="24"/>
        </w:rPr>
        <w:t>.</w:t>
      </w:r>
      <w:r w:rsidR="002A5BF2">
        <w:rPr>
          <w:rFonts w:ascii="Times New Roman" w:hAnsi="Times New Roman" w:cs="Times New Roman"/>
          <w:sz w:val="24"/>
          <w:szCs w:val="24"/>
        </w:rPr>
        <w:t xml:space="preserve"> </w:t>
      </w:r>
      <w:r>
        <w:rPr>
          <w:rFonts w:ascii="Times New Roman" w:hAnsi="Times New Roman" w:cs="Times New Roman"/>
          <w:sz w:val="24"/>
          <w:szCs w:val="24"/>
        </w:rPr>
        <w:t>33</w:t>
      </w:r>
      <w:r w:rsidR="00C53223">
        <w:rPr>
          <w:rFonts w:ascii="Times New Roman" w:hAnsi="Times New Roman" w:cs="Times New Roman"/>
          <w:sz w:val="24"/>
          <w:szCs w:val="24"/>
        </w:rPr>
        <w:t>/</w:t>
      </w:r>
      <w:r>
        <w:rPr>
          <w:rFonts w:ascii="Times New Roman" w:hAnsi="Times New Roman" w:cs="Times New Roman"/>
          <w:sz w:val="24"/>
          <w:szCs w:val="24"/>
        </w:rPr>
        <w:t xml:space="preserve">2019. The second respondent’s legal practitioners </w:t>
      </w:r>
      <w:r w:rsidR="001A3060">
        <w:rPr>
          <w:rFonts w:ascii="Times New Roman" w:hAnsi="Times New Roman" w:cs="Times New Roman"/>
          <w:sz w:val="24"/>
          <w:szCs w:val="24"/>
        </w:rPr>
        <w:t xml:space="preserve">insisted on their position as communicated in their letter of 7 August 2020. </w:t>
      </w:r>
      <w:r w:rsidR="002A5BF2">
        <w:rPr>
          <w:rFonts w:ascii="Times New Roman" w:hAnsi="Times New Roman" w:cs="Times New Roman"/>
          <w:sz w:val="24"/>
          <w:szCs w:val="24"/>
        </w:rPr>
        <w:t xml:space="preserve"> </w:t>
      </w:r>
      <w:r w:rsidR="001A3060">
        <w:rPr>
          <w:rFonts w:ascii="Times New Roman" w:hAnsi="Times New Roman" w:cs="Times New Roman"/>
          <w:sz w:val="24"/>
          <w:szCs w:val="24"/>
        </w:rPr>
        <w:t>The first respondent declined the applicant’s request to refer the legal question to a Judge in Chambers in terms of r 313</w:t>
      </w:r>
      <w:r w:rsidR="00C53223">
        <w:rPr>
          <w:rFonts w:ascii="Times New Roman" w:hAnsi="Times New Roman" w:cs="Times New Roman"/>
          <w:sz w:val="24"/>
          <w:szCs w:val="24"/>
        </w:rPr>
        <w:t xml:space="preserve">. </w:t>
      </w:r>
      <w:r w:rsidR="002A5BF2">
        <w:rPr>
          <w:rFonts w:ascii="Times New Roman" w:hAnsi="Times New Roman" w:cs="Times New Roman"/>
          <w:sz w:val="24"/>
          <w:szCs w:val="24"/>
        </w:rPr>
        <w:t xml:space="preserve"> </w:t>
      </w:r>
      <w:r w:rsidR="0022141E">
        <w:rPr>
          <w:rFonts w:ascii="Times New Roman" w:hAnsi="Times New Roman" w:cs="Times New Roman"/>
          <w:sz w:val="24"/>
          <w:szCs w:val="24"/>
        </w:rPr>
        <w:t xml:space="preserve">She directed that the bill of costs be taxed in its current form. </w:t>
      </w:r>
    </w:p>
    <w:p w14:paraId="61DDBF5C" w14:textId="77777777" w:rsidR="0022141E" w:rsidRPr="0022141E" w:rsidRDefault="0022141E" w:rsidP="0022141E">
      <w:pPr>
        <w:spacing w:after="0" w:line="360" w:lineRule="auto"/>
        <w:jc w:val="both"/>
        <w:rPr>
          <w:rFonts w:ascii="Times New Roman" w:hAnsi="Times New Roman" w:cs="Times New Roman"/>
          <w:b/>
          <w:i/>
          <w:sz w:val="24"/>
          <w:szCs w:val="24"/>
        </w:rPr>
      </w:pPr>
      <w:r w:rsidRPr="0022141E">
        <w:rPr>
          <w:rFonts w:ascii="Times New Roman" w:hAnsi="Times New Roman" w:cs="Times New Roman"/>
          <w:b/>
          <w:i/>
          <w:sz w:val="24"/>
          <w:szCs w:val="24"/>
        </w:rPr>
        <w:t xml:space="preserve">The Applicant’s Case </w:t>
      </w:r>
    </w:p>
    <w:p w14:paraId="052215D3" w14:textId="03152B46" w:rsidR="0022141E" w:rsidRDefault="0022141E" w:rsidP="00FA13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first contention </w:t>
      </w:r>
      <w:r w:rsidR="00C53223">
        <w:rPr>
          <w:rFonts w:ascii="Times New Roman" w:hAnsi="Times New Roman" w:cs="Times New Roman"/>
          <w:sz w:val="24"/>
          <w:szCs w:val="24"/>
        </w:rPr>
        <w:t>was</w:t>
      </w:r>
      <w:r>
        <w:rPr>
          <w:rFonts w:ascii="Times New Roman" w:hAnsi="Times New Roman" w:cs="Times New Roman"/>
          <w:sz w:val="24"/>
          <w:szCs w:val="24"/>
        </w:rPr>
        <w:t xml:space="preserve"> that the first respondent erred in proceeding with the taxation when part of the bill of costs was denominated in United States dollars. The applicant aver</w:t>
      </w:r>
      <w:r w:rsidR="00C53223">
        <w:rPr>
          <w:rFonts w:ascii="Times New Roman" w:hAnsi="Times New Roman" w:cs="Times New Roman"/>
          <w:sz w:val="24"/>
          <w:szCs w:val="24"/>
        </w:rPr>
        <w:t xml:space="preserve">red </w:t>
      </w:r>
      <w:r>
        <w:rPr>
          <w:rFonts w:ascii="Times New Roman" w:hAnsi="Times New Roman" w:cs="Times New Roman"/>
          <w:sz w:val="24"/>
          <w:szCs w:val="24"/>
        </w:rPr>
        <w:t xml:space="preserve">that the issue ought to have been referred </w:t>
      </w:r>
      <w:r w:rsidR="00C53223">
        <w:rPr>
          <w:rFonts w:ascii="Times New Roman" w:hAnsi="Times New Roman" w:cs="Times New Roman"/>
          <w:sz w:val="24"/>
          <w:szCs w:val="24"/>
        </w:rPr>
        <w:t xml:space="preserve">for determination by </w:t>
      </w:r>
      <w:r>
        <w:rPr>
          <w:rFonts w:ascii="Times New Roman" w:hAnsi="Times New Roman" w:cs="Times New Roman"/>
          <w:sz w:val="24"/>
          <w:szCs w:val="24"/>
        </w:rPr>
        <w:t xml:space="preserve">a judge in chambers in terms of r 313, before </w:t>
      </w:r>
      <w:r w:rsidR="00C53223">
        <w:rPr>
          <w:rFonts w:ascii="Times New Roman" w:hAnsi="Times New Roman" w:cs="Times New Roman"/>
          <w:sz w:val="24"/>
          <w:szCs w:val="24"/>
        </w:rPr>
        <w:t>taxation proceeded</w:t>
      </w:r>
      <w:r>
        <w:rPr>
          <w:rFonts w:ascii="Times New Roman" w:hAnsi="Times New Roman" w:cs="Times New Roman"/>
          <w:sz w:val="24"/>
          <w:szCs w:val="24"/>
        </w:rPr>
        <w:t xml:space="preserve">. </w:t>
      </w:r>
      <w:r w:rsidR="002A5BF2">
        <w:rPr>
          <w:rFonts w:ascii="Times New Roman" w:hAnsi="Times New Roman" w:cs="Times New Roman"/>
          <w:sz w:val="24"/>
          <w:szCs w:val="24"/>
        </w:rPr>
        <w:t xml:space="preserve"> </w:t>
      </w:r>
      <w:r>
        <w:rPr>
          <w:rFonts w:ascii="Times New Roman" w:hAnsi="Times New Roman" w:cs="Times New Roman"/>
          <w:sz w:val="24"/>
          <w:szCs w:val="24"/>
        </w:rPr>
        <w:t>Accordingly</w:t>
      </w:r>
      <w:r w:rsidR="00B1162C">
        <w:rPr>
          <w:rFonts w:ascii="Times New Roman" w:hAnsi="Times New Roman" w:cs="Times New Roman"/>
          <w:sz w:val="24"/>
          <w:szCs w:val="24"/>
        </w:rPr>
        <w:t xml:space="preserve">, the </w:t>
      </w:r>
      <w:r>
        <w:rPr>
          <w:rFonts w:ascii="Times New Roman" w:hAnsi="Times New Roman" w:cs="Times New Roman"/>
          <w:sz w:val="24"/>
          <w:szCs w:val="24"/>
        </w:rPr>
        <w:t xml:space="preserve">first respondent fell into error when she </w:t>
      </w:r>
      <w:r w:rsidR="00C53223">
        <w:rPr>
          <w:rFonts w:ascii="Times New Roman" w:hAnsi="Times New Roman" w:cs="Times New Roman"/>
          <w:sz w:val="24"/>
          <w:szCs w:val="24"/>
        </w:rPr>
        <w:t xml:space="preserve">proceeded </w:t>
      </w:r>
      <w:r>
        <w:rPr>
          <w:rFonts w:ascii="Times New Roman" w:hAnsi="Times New Roman" w:cs="Times New Roman"/>
          <w:sz w:val="24"/>
          <w:szCs w:val="24"/>
        </w:rPr>
        <w:t>with taxation before th</w:t>
      </w:r>
      <w:r w:rsidR="00B1162C">
        <w:rPr>
          <w:rFonts w:ascii="Times New Roman" w:hAnsi="Times New Roman" w:cs="Times New Roman"/>
          <w:sz w:val="24"/>
          <w:szCs w:val="24"/>
        </w:rPr>
        <w:t xml:space="preserve">at </w:t>
      </w:r>
      <w:r>
        <w:rPr>
          <w:rFonts w:ascii="Times New Roman" w:hAnsi="Times New Roman" w:cs="Times New Roman"/>
          <w:sz w:val="24"/>
          <w:szCs w:val="24"/>
        </w:rPr>
        <w:t>legal issue was d</w:t>
      </w:r>
      <w:r w:rsidR="00B1162C">
        <w:rPr>
          <w:rFonts w:ascii="Times New Roman" w:hAnsi="Times New Roman" w:cs="Times New Roman"/>
          <w:sz w:val="24"/>
          <w:szCs w:val="24"/>
        </w:rPr>
        <w:t>ecided</w:t>
      </w:r>
      <w:r>
        <w:rPr>
          <w:rFonts w:ascii="Times New Roman" w:hAnsi="Times New Roman" w:cs="Times New Roman"/>
          <w:sz w:val="24"/>
          <w:szCs w:val="24"/>
        </w:rPr>
        <w:t xml:space="preserve">. </w:t>
      </w:r>
    </w:p>
    <w:p w14:paraId="06952526" w14:textId="35BDCBF8" w:rsidR="00395707" w:rsidRDefault="0022141E" w:rsidP="00FA13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contention </w:t>
      </w:r>
      <w:r w:rsidR="00C53223">
        <w:rPr>
          <w:rFonts w:ascii="Times New Roman" w:hAnsi="Times New Roman" w:cs="Times New Roman"/>
          <w:sz w:val="24"/>
          <w:szCs w:val="24"/>
        </w:rPr>
        <w:t xml:space="preserve">was </w:t>
      </w:r>
      <w:r>
        <w:rPr>
          <w:rFonts w:ascii="Times New Roman" w:hAnsi="Times New Roman" w:cs="Times New Roman"/>
          <w:sz w:val="24"/>
          <w:szCs w:val="24"/>
        </w:rPr>
        <w:t xml:space="preserve">that it was wrong for the bill of costs to be denominated in the United States dollar currency. That was a contravention of the law. The first respondent </w:t>
      </w:r>
      <w:r w:rsidRPr="00B72747">
        <w:rPr>
          <w:rFonts w:ascii="Times New Roman" w:hAnsi="Times New Roman" w:cs="Times New Roman"/>
          <w:sz w:val="24"/>
          <w:szCs w:val="24"/>
        </w:rPr>
        <w:t xml:space="preserve">compounded the illegality by proceeding to tax the bill in that format. The applicant further averred that </w:t>
      </w:r>
      <w:r w:rsidR="005719E7" w:rsidRPr="00B72747">
        <w:rPr>
          <w:rFonts w:ascii="Times New Roman" w:hAnsi="Times New Roman" w:cs="Times New Roman"/>
          <w:sz w:val="24"/>
          <w:szCs w:val="24"/>
        </w:rPr>
        <w:t xml:space="preserve">the 2011 tariff was converted from the United States dollars to RTGS by operation of law. </w:t>
      </w:r>
      <w:r w:rsidR="005719E7" w:rsidRPr="00655D1C">
        <w:rPr>
          <w:rFonts w:ascii="Times New Roman" w:hAnsi="Times New Roman" w:cs="Times New Roman"/>
          <w:sz w:val="24"/>
          <w:szCs w:val="24"/>
        </w:rPr>
        <w:t xml:space="preserve">The tariff created financial obligations which were denominated in the United States dollars before the first effective date. </w:t>
      </w:r>
      <w:r w:rsidR="002A5BF2">
        <w:rPr>
          <w:rFonts w:ascii="Times New Roman" w:hAnsi="Times New Roman" w:cs="Times New Roman"/>
          <w:sz w:val="24"/>
          <w:szCs w:val="24"/>
        </w:rPr>
        <w:t xml:space="preserve"> </w:t>
      </w:r>
      <w:r w:rsidR="005719E7" w:rsidRPr="00655D1C">
        <w:rPr>
          <w:rFonts w:ascii="Times New Roman" w:hAnsi="Times New Roman" w:cs="Times New Roman"/>
          <w:sz w:val="24"/>
          <w:szCs w:val="24"/>
        </w:rPr>
        <w:t>After the first effective date, such obligations were converted</w:t>
      </w:r>
      <w:r w:rsidR="005719E7">
        <w:rPr>
          <w:rFonts w:ascii="Times New Roman" w:hAnsi="Times New Roman" w:cs="Times New Roman"/>
          <w:sz w:val="24"/>
          <w:szCs w:val="24"/>
        </w:rPr>
        <w:t xml:space="preserve"> to RTGS at the rate of one is to one with the United States dollar. </w:t>
      </w:r>
      <w:r w:rsidR="002A5BF2">
        <w:rPr>
          <w:rFonts w:ascii="Times New Roman" w:hAnsi="Times New Roman" w:cs="Times New Roman"/>
          <w:sz w:val="24"/>
          <w:szCs w:val="24"/>
        </w:rPr>
        <w:t xml:space="preserve"> </w:t>
      </w:r>
      <w:r w:rsidR="005719E7">
        <w:rPr>
          <w:rFonts w:ascii="Times New Roman" w:hAnsi="Times New Roman" w:cs="Times New Roman"/>
          <w:sz w:val="24"/>
          <w:szCs w:val="24"/>
        </w:rPr>
        <w:t xml:space="preserve">The applicant further averred that since the 2011 tariff was concluded before the first effective date and had the effect of creating financial obligations, it was converted to RTGS and the </w:t>
      </w:r>
      <w:r w:rsidR="005719E7" w:rsidRPr="00655D1C">
        <w:rPr>
          <w:rFonts w:ascii="Times New Roman" w:hAnsi="Times New Roman" w:cs="Times New Roman"/>
          <w:sz w:val="24"/>
          <w:szCs w:val="24"/>
        </w:rPr>
        <w:t xml:space="preserve">Supreme Court </w:t>
      </w:r>
      <w:r w:rsidR="003D03D7" w:rsidRPr="00655D1C">
        <w:rPr>
          <w:rFonts w:ascii="Times New Roman" w:hAnsi="Times New Roman" w:cs="Times New Roman"/>
          <w:sz w:val="24"/>
          <w:szCs w:val="24"/>
        </w:rPr>
        <w:t xml:space="preserve">order </w:t>
      </w:r>
      <w:r w:rsidR="005719E7" w:rsidRPr="00655D1C">
        <w:rPr>
          <w:rFonts w:ascii="Times New Roman" w:hAnsi="Times New Roman" w:cs="Times New Roman"/>
          <w:sz w:val="24"/>
          <w:szCs w:val="24"/>
        </w:rPr>
        <w:t xml:space="preserve">that </w:t>
      </w:r>
      <w:r w:rsidR="005719E7">
        <w:rPr>
          <w:rFonts w:ascii="Times New Roman" w:hAnsi="Times New Roman" w:cs="Times New Roman"/>
          <w:sz w:val="24"/>
          <w:szCs w:val="24"/>
        </w:rPr>
        <w:t xml:space="preserve">decided the legal point could not have changed this position of the law. </w:t>
      </w:r>
      <w:r w:rsidR="002A5BF2">
        <w:rPr>
          <w:rFonts w:ascii="Times New Roman" w:hAnsi="Times New Roman" w:cs="Times New Roman"/>
          <w:sz w:val="24"/>
          <w:szCs w:val="24"/>
        </w:rPr>
        <w:t xml:space="preserve"> </w:t>
      </w:r>
      <w:r w:rsidR="003D03D7">
        <w:rPr>
          <w:rFonts w:ascii="Times New Roman" w:hAnsi="Times New Roman" w:cs="Times New Roman"/>
          <w:sz w:val="24"/>
          <w:szCs w:val="24"/>
        </w:rPr>
        <w:t>More pointedly, the Supreme Court order did not suggest that legal costs should be charged in United States dollars, but only the capital amount.</w:t>
      </w:r>
    </w:p>
    <w:p w14:paraId="279EC932" w14:textId="22815880" w:rsidR="003D03D7" w:rsidRDefault="003D03D7" w:rsidP="00FA13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w:t>
      </w:r>
      <w:r w:rsidR="00B1162C">
        <w:rPr>
          <w:rFonts w:ascii="Times New Roman" w:hAnsi="Times New Roman" w:cs="Times New Roman"/>
          <w:sz w:val="24"/>
          <w:szCs w:val="24"/>
        </w:rPr>
        <w:t>also</w:t>
      </w:r>
      <w:r>
        <w:rPr>
          <w:rFonts w:ascii="Times New Roman" w:hAnsi="Times New Roman" w:cs="Times New Roman"/>
          <w:sz w:val="24"/>
          <w:szCs w:val="24"/>
        </w:rPr>
        <w:t xml:space="preserve"> averred that the </w:t>
      </w:r>
      <w:r w:rsidR="00113FD3">
        <w:rPr>
          <w:rFonts w:ascii="Times New Roman" w:hAnsi="Times New Roman" w:cs="Times New Roman"/>
          <w:sz w:val="24"/>
          <w:szCs w:val="24"/>
        </w:rPr>
        <w:t>2011 t</w:t>
      </w:r>
      <w:r w:rsidR="00381781">
        <w:rPr>
          <w:rFonts w:ascii="Times New Roman" w:hAnsi="Times New Roman" w:cs="Times New Roman"/>
          <w:sz w:val="24"/>
          <w:szCs w:val="24"/>
        </w:rPr>
        <w:t xml:space="preserve">ariff was a creature of statute and therefore fell within the </w:t>
      </w:r>
      <w:r w:rsidR="00B1162C">
        <w:rPr>
          <w:rFonts w:ascii="Times New Roman" w:hAnsi="Times New Roman" w:cs="Times New Roman"/>
          <w:sz w:val="24"/>
          <w:szCs w:val="24"/>
        </w:rPr>
        <w:t>ambit</w:t>
      </w:r>
      <w:r w:rsidR="00381781">
        <w:rPr>
          <w:rFonts w:ascii="Times New Roman" w:hAnsi="Times New Roman" w:cs="Times New Roman"/>
          <w:sz w:val="24"/>
          <w:szCs w:val="24"/>
        </w:rPr>
        <w:t xml:space="preserve"> of s 22(1)(f) of the Finance Act (No.2) of 2019</w:t>
      </w:r>
      <w:r w:rsidR="00F87A78">
        <w:rPr>
          <w:rFonts w:ascii="Times New Roman" w:hAnsi="Times New Roman" w:cs="Times New Roman"/>
          <w:sz w:val="24"/>
          <w:szCs w:val="24"/>
        </w:rPr>
        <w:t xml:space="preserve"> (the Finance Act)</w:t>
      </w:r>
      <w:r w:rsidR="00381781">
        <w:rPr>
          <w:rFonts w:ascii="Times New Roman" w:hAnsi="Times New Roman" w:cs="Times New Roman"/>
          <w:sz w:val="24"/>
          <w:szCs w:val="24"/>
        </w:rPr>
        <w:t xml:space="preserve">. That section provides that any enactment in which an amount is expressed in United States dollars shall on the </w:t>
      </w:r>
      <w:r w:rsidR="00381781">
        <w:rPr>
          <w:rFonts w:ascii="Times New Roman" w:hAnsi="Times New Roman" w:cs="Times New Roman"/>
          <w:sz w:val="24"/>
          <w:szCs w:val="24"/>
        </w:rPr>
        <w:lastRenderedPageBreak/>
        <w:t xml:space="preserve">first effective date be construed as </w:t>
      </w:r>
      <w:r w:rsidR="00B1162C">
        <w:rPr>
          <w:rFonts w:ascii="Times New Roman" w:hAnsi="Times New Roman" w:cs="Times New Roman"/>
          <w:sz w:val="24"/>
          <w:szCs w:val="24"/>
        </w:rPr>
        <w:t xml:space="preserve">referring </w:t>
      </w:r>
      <w:r w:rsidR="00381781">
        <w:rPr>
          <w:rFonts w:ascii="Times New Roman" w:hAnsi="Times New Roman" w:cs="Times New Roman"/>
          <w:sz w:val="24"/>
          <w:szCs w:val="24"/>
        </w:rPr>
        <w:t>to</w:t>
      </w:r>
      <w:r w:rsidR="00B1162C">
        <w:rPr>
          <w:rFonts w:ascii="Times New Roman" w:hAnsi="Times New Roman" w:cs="Times New Roman"/>
          <w:sz w:val="24"/>
          <w:szCs w:val="24"/>
        </w:rPr>
        <w:t xml:space="preserve"> the</w:t>
      </w:r>
      <w:r w:rsidR="00381781">
        <w:rPr>
          <w:rFonts w:ascii="Times New Roman" w:hAnsi="Times New Roman" w:cs="Times New Roman"/>
          <w:sz w:val="24"/>
          <w:szCs w:val="24"/>
        </w:rPr>
        <w:t xml:space="preserve"> RTGS dollar at parity with the United States dollar. The intention of the legislature was to deem any reference to the United States dollar prior to the first effective date to be a reference to the RTGS dollar. That tariff could not escape the deeming provisions to the extent that it made reference to the United States dollars. According to the applicant, in February 2019, the Law Society issued th</w:t>
      </w:r>
      <w:r w:rsidR="00113FD3">
        <w:rPr>
          <w:rFonts w:ascii="Times New Roman" w:hAnsi="Times New Roman" w:cs="Times New Roman"/>
          <w:sz w:val="24"/>
          <w:szCs w:val="24"/>
        </w:rPr>
        <w:t xml:space="preserve">e same tariff in RTGS dollars. It was therefore </w:t>
      </w:r>
      <w:r w:rsidR="00381781">
        <w:rPr>
          <w:rFonts w:ascii="Times New Roman" w:hAnsi="Times New Roman" w:cs="Times New Roman"/>
          <w:sz w:val="24"/>
          <w:szCs w:val="24"/>
        </w:rPr>
        <w:t xml:space="preserve">wrong to charge the 2011 tariff in United </w:t>
      </w:r>
      <w:r w:rsidR="00B1162C">
        <w:rPr>
          <w:rFonts w:ascii="Times New Roman" w:hAnsi="Times New Roman" w:cs="Times New Roman"/>
          <w:sz w:val="24"/>
          <w:szCs w:val="24"/>
        </w:rPr>
        <w:t>States</w:t>
      </w:r>
      <w:r w:rsidR="00381781">
        <w:rPr>
          <w:rFonts w:ascii="Times New Roman" w:hAnsi="Times New Roman" w:cs="Times New Roman"/>
          <w:sz w:val="24"/>
          <w:szCs w:val="24"/>
        </w:rPr>
        <w:t xml:space="preserve"> dollars and then to convert it at the prevailing interbank rate when it had already been allocated a rate of one is to one. </w:t>
      </w:r>
    </w:p>
    <w:p w14:paraId="02AFEBE2" w14:textId="7E4472FA" w:rsidR="00EB3D42" w:rsidRPr="00113FD3" w:rsidRDefault="00381781" w:rsidP="00FA13B8">
      <w:pPr>
        <w:spacing w:after="0" w:line="360" w:lineRule="auto"/>
        <w:ind w:firstLine="720"/>
        <w:jc w:val="both"/>
        <w:rPr>
          <w:rFonts w:ascii="Times New Roman" w:hAnsi="Times New Roman" w:cs="Times New Roman"/>
          <w:sz w:val="24"/>
          <w:szCs w:val="24"/>
        </w:rPr>
      </w:pPr>
      <w:r w:rsidRPr="00113FD3">
        <w:rPr>
          <w:rFonts w:ascii="Times New Roman" w:hAnsi="Times New Roman" w:cs="Times New Roman"/>
          <w:sz w:val="24"/>
          <w:szCs w:val="24"/>
        </w:rPr>
        <w:t>The applicant further contends that SI 142</w:t>
      </w:r>
      <w:r w:rsidR="00113FD3" w:rsidRPr="00113FD3">
        <w:rPr>
          <w:rFonts w:ascii="Times New Roman" w:hAnsi="Times New Roman" w:cs="Times New Roman"/>
          <w:sz w:val="24"/>
          <w:szCs w:val="24"/>
        </w:rPr>
        <w:t>/</w:t>
      </w:r>
      <w:r w:rsidRPr="00113FD3">
        <w:rPr>
          <w:rFonts w:ascii="Times New Roman" w:hAnsi="Times New Roman" w:cs="Times New Roman"/>
          <w:sz w:val="24"/>
          <w:szCs w:val="24"/>
        </w:rPr>
        <w:t>19 made the Zimbabwean dollar the sole legal tender for use in domestic transactions. That made the bill of costs illegal to the extent that items 1</w:t>
      </w:r>
      <w:r w:rsidR="00B1162C" w:rsidRPr="00113FD3">
        <w:rPr>
          <w:rFonts w:ascii="Times New Roman" w:hAnsi="Times New Roman" w:cs="Times New Roman"/>
          <w:sz w:val="24"/>
          <w:szCs w:val="24"/>
        </w:rPr>
        <w:t xml:space="preserve"> </w:t>
      </w:r>
      <w:r w:rsidRPr="00113FD3">
        <w:rPr>
          <w:rFonts w:ascii="Times New Roman" w:hAnsi="Times New Roman" w:cs="Times New Roman"/>
          <w:sz w:val="24"/>
          <w:szCs w:val="24"/>
        </w:rPr>
        <w:t xml:space="preserve">to 133 were denominated in United States dollars. </w:t>
      </w:r>
    </w:p>
    <w:p w14:paraId="7AA78C3E" w14:textId="6B897F09" w:rsidR="00EB3D42" w:rsidRDefault="00113FD3" w:rsidP="00EB3D42">
      <w:pPr>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 xml:space="preserve">Second </w:t>
      </w:r>
      <w:r w:rsidR="00EB3D42">
        <w:rPr>
          <w:rFonts w:ascii="Times New Roman" w:hAnsi="Times New Roman" w:cs="Times New Roman"/>
          <w:b/>
          <w:i/>
          <w:sz w:val="24"/>
          <w:szCs w:val="24"/>
        </w:rPr>
        <w:t>Respondent’s Case</w:t>
      </w:r>
    </w:p>
    <w:p w14:paraId="2DB7D711" w14:textId="17098368" w:rsidR="00EB3D42" w:rsidRDefault="00EB3D42" w:rsidP="00EB3D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its opposition, the second respondent averred that the first respondent was reposed with discretion to decide whether or not to refer the legal issue to a judge in chambers. She was at large to make a decision on th</w:t>
      </w:r>
      <w:r w:rsidR="005D3635">
        <w:rPr>
          <w:rFonts w:ascii="Times New Roman" w:hAnsi="Times New Roman" w:cs="Times New Roman"/>
          <w:sz w:val="24"/>
          <w:szCs w:val="24"/>
        </w:rPr>
        <w:t xml:space="preserve">at legal </w:t>
      </w:r>
      <w:r>
        <w:rPr>
          <w:rFonts w:ascii="Times New Roman" w:hAnsi="Times New Roman" w:cs="Times New Roman"/>
          <w:sz w:val="24"/>
          <w:szCs w:val="24"/>
        </w:rPr>
        <w:t xml:space="preserve">point which is what she ultimately did. </w:t>
      </w:r>
      <w:r w:rsidR="00113FD3">
        <w:rPr>
          <w:rFonts w:ascii="Times New Roman" w:hAnsi="Times New Roman" w:cs="Times New Roman"/>
          <w:sz w:val="24"/>
          <w:szCs w:val="24"/>
        </w:rPr>
        <w:t>Rule</w:t>
      </w:r>
      <w:r w:rsidRPr="00113FD3">
        <w:rPr>
          <w:rFonts w:ascii="Times New Roman" w:hAnsi="Times New Roman" w:cs="Times New Roman"/>
          <w:sz w:val="24"/>
          <w:szCs w:val="24"/>
        </w:rPr>
        <w:t xml:space="preserve"> 313 </w:t>
      </w:r>
      <w:r>
        <w:rPr>
          <w:rFonts w:ascii="Times New Roman" w:hAnsi="Times New Roman" w:cs="Times New Roman"/>
          <w:sz w:val="24"/>
          <w:szCs w:val="24"/>
        </w:rPr>
        <w:t>was not mandatory. It was merely permissive. The first respondent consider</w:t>
      </w:r>
      <w:r w:rsidR="005D3635">
        <w:rPr>
          <w:rFonts w:ascii="Times New Roman" w:hAnsi="Times New Roman" w:cs="Times New Roman"/>
          <w:sz w:val="24"/>
          <w:szCs w:val="24"/>
        </w:rPr>
        <w:t>ed</w:t>
      </w:r>
      <w:r>
        <w:rPr>
          <w:rFonts w:ascii="Times New Roman" w:hAnsi="Times New Roman" w:cs="Times New Roman"/>
          <w:sz w:val="24"/>
          <w:szCs w:val="24"/>
        </w:rPr>
        <w:t xml:space="preserve"> the parties written submissions on the point before they attended taxation. The </w:t>
      </w:r>
      <w:r w:rsidR="002A5BF2">
        <w:rPr>
          <w:rFonts w:ascii="Times New Roman" w:hAnsi="Times New Roman" w:cs="Times New Roman"/>
          <w:sz w:val="24"/>
          <w:szCs w:val="24"/>
        </w:rPr>
        <w:t>parties ‘counsels</w:t>
      </w:r>
      <w:r>
        <w:rPr>
          <w:rFonts w:ascii="Times New Roman" w:hAnsi="Times New Roman" w:cs="Times New Roman"/>
          <w:sz w:val="24"/>
          <w:szCs w:val="24"/>
        </w:rPr>
        <w:t xml:space="preserve"> made oral submissions on that point at taxation. Having considered the submissions, the first respondent determined that there was no need to refer the matter to a judge in chambers and proceeded with taxation. </w:t>
      </w:r>
    </w:p>
    <w:p w14:paraId="0A7EAE88" w14:textId="5D3B9850" w:rsidR="00EB3D42" w:rsidRDefault="00EB3D42" w:rsidP="00EB3D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second respondent contends that a judgment of the court after the first effective date in respect of costs of suit incurred in United States dollars during any period </w:t>
      </w:r>
      <w:r w:rsidR="001727D2">
        <w:rPr>
          <w:rFonts w:ascii="Times New Roman" w:hAnsi="Times New Roman" w:cs="Times New Roman"/>
          <w:sz w:val="24"/>
          <w:szCs w:val="24"/>
        </w:rPr>
        <w:t>before</w:t>
      </w:r>
      <w:r>
        <w:rPr>
          <w:rFonts w:ascii="Times New Roman" w:hAnsi="Times New Roman" w:cs="Times New Roman"/>
          <w:sz w:val="24"/>
          <w:szCs w:val="24"/>
        </w:rPr>
        <w:t xml:space="preserve"> 22 February 2019, is a debt in the sum equivalent to the taxed United States dollar amount in RTGS calculated at the prevailing interbank rate on the date of taxation. </w:t>
      </w:r>
      <w:r w:rsidR="002A5BF2">
        <w:rPr>
          <w:rFonts w:ascii="Times New Roman" w:hAnsi="Times New Roman" w:cs="Times New Roman"/>
          <w:sz w:val="24"/>
          <w:szCs w:val="24"/>
        </w:rPr>
        <w:t xml:space="preserve"> </w:t>
      </w:r>
      <w:r w:rsidR="001F7462">
        <w:rPr>
          <w:rFonts w:ascii="Times New Roman" w:hAnsi="Times New Roman" w:cs="Times New Roman"/>
          <w:sz w:val="24"/>
          <w:szCs w:val="24"/>
        </w:rPr>
        <w:t xml:space="preserve">It further contends that </w:t>
      </w:r>
      <w:r w:rsidR="001727D2">
        <w:rPr>
          <w:rFonts w:ascii="Times New Roman" w:hAnsi="Times New Roman" w:cs="Times New Roman"/>
          <w:sz w:val="24"/>
          <w:szCs w:val="24"/>
        </w:rPr>
        <w:t>the Supreme Court accepted its argument that since the judgment was handed on 15 January 2020, which was after the first effective date, it was a debt in respect of which s 22(1)(d) of the Finance (No.</w:t>
      </w:r>
      <w:r w:rsidR="002A5BF2">
        <w:rPr>
          <w:rFonts w:ascii="Times New Roman" w:hAnsi="Times New Roman" w:cs="Times New Roman"/>
          <w:sz w:val="24"/>
          <w:szCs w:val="24"/>
        </w:rPr>
        <w:t xml:space="preserve"> </w:t>
      </w:r>
      <w:r w:rsidR="001727D2">
        <w:rPr>
          <w:rFonts w:ascii="Times New Roman" w:hAnsi="Times New Roman" w:cs="Times New Roman"/>
          <w:sz w:val="24"/>
          <w:szCs w:val="24"/>
        </w:rPr>
        <w:t>2) Act</w:t>
      </w:r>
      <w:r w:rsidR="001F7462">
        <w:rPr>
          <w:rFonts w:ascii="Times New Roman" w:hAnsi="Times New Roman" w:cs="Times New Roman"/>
          <w:sz w:val="24"/>
          <w:szCs w:val="24"/>
        </w:rPr>
        <w:t xml:space="preserve"> </w:t>
      </w:r>
      <w:r w:rsidR="001727D2">
        <w:rPr>
          <w:rFonts w:ascii="Times New Roman" w:hAnsi="Times New Roman" w:cs="Times New Roman"/>
          <w:sz w:val="24"/>
          <w:szCs w:val="24"/>
        </w:rPr>
        <w:t xml:space="preserve">did not apply. </w:t>
      </w:r>
      <w:r w:rsidR="001F7462">
        <w:rPr>
          <w:rFonts w:ascii="Times New Roman" w:hAnsi="Times New Roman" w:cs="Times New Roman"/>
          <w:sz w:val="24"/>
          <w:szCs w:val="24"/>
        </w:rPr>
        <w:t>I</w:t>
      </w:r>
      <w:r w:rsidR="001727D2">
        <w:rPr>
          <w:rFonts w:ascii="Times New Roman" w:hAnsi="Times New Roman" w:cs="Times New Roman"/>
          <w:sz w:val="24"/>
          <w:szCs w:val="24"/>
        </w:rPr>
        <w:t>t was a debt in respect of which s 22(1)(e)</w:t>
      </w:r>
      <w:r w:rsidR="005D3635">
        <w:rPr>
          <w:rFonts w:ascii="Times New Roman" w:hAnsi="Times New Roman" w:cs="Times New Roman"/>
          <w:sz w:val="24"/>
          <w:szCs w:val="24"/>
        </w:rPr>
        <w:t>,</w:t>
      </w:r>
      <w:r w:rsidR="001727D2">
        <w:rPr>
          <w:rFonts w:ascii="Times New Roman" w:hAnsi="Times New Roman" w:cs="Times New Roman"/>
          <w:sz w:val="24"/>
          <w:szCs w:val="24"/>
        </w:rPr>
        <w:t xml:space="preserve"> as read with s 22(1)(d) of the Finance Act applied. </w:t>
      </w:r>
      <w:r w:rsidR="002A5BF2">
        <w:rPr>
          <w:rFonts w:ascii="Times New Roman" w:hAnsi="Times New Roman" w:cs="Times New Roman"/>
          <w:sz w:val="24"/>
          <w:szCs w:val="24"/>
        </w:rPr>
        <w:t xml:space="preserve"> </w:t>
      </w:r>
      <w:r w:rsidR="001727D2">
        <w:rPr>
          <w:rFonts w:ascii="Times New Roman" w:hAnsi="Times New Roman" w:cs="Times New Roman"/>
          <w:sz w:val="24"/>
          <w:szCs w:val="24"/>
        </w:rPr>
        <w:t>It was averred that the Supreme Court ha</w:t>
      </w:r>
      <w:r w:rsidR="001F7462">
        <w:rPr>
          <w:rFonts w:ascii="Times New Roman" w:hAnsi="Times New Roman" w:cs="Times New Roman"/>
          <w:sz w:val="24"/>
          <w:szCs w:val="24"/>
        </w:rPr>
        <w:t>d</w:t>
      </w:r>
      <w:r w:rsidR="001727D2">
        <w:rPr>
          <w:rFonts w:ascii="Times New Roman" w:hAnsi="Times New Roman" w:cs="Times New Roman"/>
          <w:sz w:val="24"/>
          <w:szCs w:val="24"/>
        </w:rPr>
        <w:t xml:space="preserve"> already settled the point</w:t>
      </w:r>
      <w:r w:rsidR="001F7462">
        <w:rPr>
          <w:rFonts w:ascii="Times New Roman" w:hAnsi="Times New Roman" w:cs="Times New Roman"/>
          <w:sz w:val="24"/>
          <w:szCs w:val="24"/>
        </w:rPr>
        <w:t xml:space="preserve">. </w:t>
      </w:r>
      <w:r w:rsidR="001727D2">
        <w:rPr>
          <w:rFonts w:ascii="Times New Roman" w:hAnsi="Times New Roman" w:cs="Times New Roman"/>
          <w:sz w:val="24"/>
          <w:szCs w:val="24"/>
        </w:rPr>
        <w:t xml:space="preserve"> </w:t>
      </w:r>
    </w:p>
    <w:p w14:paraId="5935DED5" w14:textId="7A37F808" w:rsidR="008B2AEC" w:rsidRDefault="00BA5647" w:rsidP="00EB3D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second respondent denied that </w:t>
      </w:r>
      <w:r w:rsidR="005D3635">
        <w:rPr>
          <w:rFonts w:ascii="Times New Roman" w:hAnsi="Times New Roman" w:cs="Times New Roman"/>
          <w:sz w:val="24"/>
          <w:szCs w:val="24"/>
        </w:rPr>
        <w:t xml:space="preserve">the </w:t>
      </w:r>
      <w:r>
        <w:rPr>
          <w:rFonts w:ascii="Times New Roman" w:hAnsi="Times New Roman" w:cs="Times New Roman"/>
          <w:sz w:val="24"/>
          <w:szCs w:val="24"/>
        </w:rPr>
        <w:t xml:space="preserve">2011 </w:t>
      </w:r>
      <w:r w:rsidR="001F7462">
        <w:rPr>
          <w:rFonts w:ascii="Times New Roman" w:hAnsi="Times New Roman" w:cs="Times New Roman"/>
          <w:sz w:val="24"/>
          <w:szCs w:val="24"/>
        </w:rPr>
        <w:t xml:space="preserve">tariff </w:t>
      </w:r>
      <w:r>
        <w:rPr>
          <w:rFonts w:ascii="Times New Roman" w:hAnsi="Times New Roman" w:cs="Times New Roman"/>
          <w:sz w:val="24"/>
          <w:szCs w:val="24"/>
        </w:rPr>
        <w:t>was an</w:t>
      </w:r>
      <w:r w:rsidR="002A5BF2">
        <w:rPr>
          <w:rFonts w:ascii="Times New Roman" w:hAnsi="Times New Roman" w:cs="Times New Roman"/>
          <w:sz w:val="24"/>
          <w:szCs w:val="24"/>
        </w:rPr>
        <w:t xml:space="preserve"> enactment as contemplated in s </w:t>
      </w:r>
      <w:r>
        <w:rPr>
          <w:rFonts w:ascii="Times New Roman" w:hAnsi="Times New Roman" w:cs="Times New Roman"/>
          <w:sz w:val="24"/>
          <w:szCs w:val="24"/>
        </w:rPr>
        <w:t>22(1)(f) of the Finance Act.</w:t>
      </w:r>
      <w:r w:rsidR="002A5BF2">
        <w:rPr>
          <w:rFonts w:ascii="Times New Roman" w:hAnsi="Times New Roman" w:cs="Times New Roman"/>
          <w:sz w:val="24"/>
          <w:szCs w:val="24"/>
        </w:rPr>
        <w:t xml:space="preserve"> </w:t>
      </w:r>
      <w:r>
        <w:rPr>
          <w:rFonts w:ascii="Times New Roman" w:hAnsi="Times New Roman" w:cs="Times New Roman"/>
          <w:sz w:val="24"/>
          <w:szCs w:val="24"/>
        </w:rPr>
        <w:t xml:space="preserve"> It was not covered by that section. The 2019 General Tariff alluded </w:t>
      </w:r>
      <w:r>
        <w:rPr>
          <w:rFonts w:ascii="Times New Roman" w:hAnsi="Times New Roman" w:cs="Times New Roman"/>
          <w:sz w:val="24"/>
          <w:szCs w:val="24"/>
        </w:rPr>
        <w:lastRenderedPageBreak/>
        <w:t xml:space="preserve">to by the applicant was not relevant as it covered the period after February 2019. It was further contended that the applicable tariff for the period November 2016 to January 2019 was the one denominated in United States dollars. There was no applicable RTGS dollar tariff, and as such there was nothing illegal about using the United States dollar tariff as long as the United States dollar amount was to be converted to RTGS dollars </w:t>
      </w:r>
      <w:r w:rsidR="008B2AEC">
        <w:rPr>
          <w:rFonts w:ascii="Times New Roman" w:hAnsi="Times New Roman" w:cs="Times New Roman"/>
          <w:sz w:val="24"/>
          <w:szCs w:val="24"/>
        </w:rPr>
        <w:t xml:space="preserve">at the prevailing interbank rate on date of taxation. </w:t>
      </w:r>
      <w:r w:rsidR="001F7462">
        <w:rPr>
          <w:rFonts w:ascii="Times New Roman" w:hAnsi="Times New Roman" w:cs="Times New Roman"/>
          <w:sz w:val="24"/>
          <w:szCs w:val="24"/>
        </w:rPr>
        <w:t>The second respondent also argued that r 307</w:t>
      </w:r>
      <w:r w:rsidR="008B2AEC">
        <w:rPr>
          <w:rFonts w:ascii="Times New Roman" w:hAnsi="Times New Roman" w:cs="Times New Roman"/>
          <w:sz w:val="24"/>
          <w:szCs w:val="24"/>
        </w:rPr>
        <w:t xml:space="preserve"> was </w:t>
      </w:r>
      <w:r w:rsidR="001F7462">
        <w:rPr>
          <w:rFonts w:ascii="Times New Roman" w:hAnsi="Times New Roman" w:cs="Times New Roman"/>
          <w:sz w:val="24"/>
          <w:szCs w:val="24"/>
        </w:rPr>
        <w:t xml:space="preserve">intended to fully </w:t>
      </w:r>
      <w:r w:rsidR="008B2AEC">
        <w:rPr>
          <w:rFonts w:ascii="Times New Roman" w:hAnsi="Times New Roman" w:cs="Times New Roman"/>
          <w:sz w:val="24"/>
          <w:szCs w:val="24"/>
        </w:rPr>
        <w:t xml:space="preserve">indemnity </w:t>
      </w:r>
      <w:r w:rsidR="001F7462">
        <w:rPr>
          <w:rFonts w:ascii="Times New Roman" w:hAnsi="Times New Roman" w:cs="Times New Roman"/>
          <w:sz w:val="24"/>
          <w:szCs w:val="24"/>
        </w:rPr>
        <w:t xml:space="preserve">a successful party </w:t>
      </w:r>
      <w:r w:rsidR="008B2AEC">
        <w:rPr>
          <w:rFonts w:ascii="Times New Roman" w:hAnsi="Times New Roman" w:cs="Times New Roman"/>
          <w:sz w:val="24"/>
          <w:szCs w:val="24"/>
        </w:rPr>
        <w:t>all costs reasonabl</w:t>
      </w:r>
      <w:r w:rsidR="005D3635">
        <w:rPr>
          <w:rFonts w:ascii="Times New Roman" w:hAnsi="Times New Roman" w:cs="Times New Roman"/>
          <w:sz w:val="24"/>
          <w:szCs w:val="24"/>
        </w:rPr>
        <w:t>y</w:t>
      </w:r>
      <w:r w:rsidR="008B2AEC">
        <w:rPr>
          <w:rFonts w:ascii="Times New Roman" w:hAnsi="Times New Roman" w:cs="Times New Roman"/>
          <w:sz w:val="24"/>
          <w:szCs w:val="24"/>
        </w:rPr>
        <w:t xml:space="preserve"> incurred </w:t>
      </w:r>
      <w:r w:rsidR="001F7462">
        <w:rPr>
          <w:rFonts w:ascii="Times New Roman" w:hAnsi="Times New Roman" w:cs="Times New Roman"/>
          <w:sz w:val="24"/>
          <w:szCs w:val="24"/>
        </w:rPr>
        <w:t xml:space="preserve">in the conduct of litigation. The second respondent claimed to have </w:t>
      </w:r>
      <w:r w:rsidR="005D3635">
        <w:rPr>
          <w:rFonts w:ascii="Times New Roman" w:hAnsi="Times New Roman" w:cs="Times New Roman"/>
          <w:sz w:val="24"/>
          <w:szCs w:val="24"/>
        </w:rPr>
        <w:t>incurred US$9</w:t>
      </w:r>
      <w:r w:rsidR="002A5BF2">
        <w:rPr>
          <w:rFonts w:ascii="Times New Roman" w:hAnsi="Times New Roman" w:cs="Times New Roman"/>
          <w:sz w:val="24"/>
          <w:szCs w:val="24"/>
        </w:rPr>
        <w:t xml:space="preserve"> </w:t>
      </w:r>
      <w:r w:rsidR="008B2AEC">
        <w:rPr>
          <w:rFonts w:ascii="Times New Roman" w:hAnsi="Times New Roman" w:cs="Times New Roman"/>
          <w:sz w:val="24"/>
          <w:szCs w:val="24"/>
        </w:rPr>
        <w:t xml:space="preserve">700 to prosecute its claim during the period November 2016 to April 2018. </w:t>
      </w:r>
    </w:p>
    <w:p w14:paraId="60C8F833" w14:textId="779B4D4F" w:rsidR="00BA5647" w:rsidRDefault="008B2AEC" w:rsidP="008B2A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was urged to dismiss the application with costs on the attorney and client scale as it was devoid of merit and a waste of time.  </w:t>
      </w:r>
    </w:p>
    <w:p w14:paraId="2F35F6BD" w14:textId="054EBC8F" w:rsidR="008B2AEC" w:rsidRDefault="008B2AEC" w:rsidP="008B2AEC">
      <w:pPr>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The Issues</w:t>
      </w:r>
    </w:p>
    <w:p w14:paraId="38A469AE" w14:textId="503338FA" w:rsidR="008B2AEC" w:rsidRDefault="002A5BF2" w:rsidP="008B2A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B2AEC">
        <w:rPr>
          <w:rFonts w:ascii="Times New Roman" w:hAnsi="Times New Roman" w:cs="Times New Roman"/>
          <w:sz w:val="24"/>
          <w:szCs w:val="24"/>
        </w:rPr>
        <w:t>T</w:t>
      </w:r>
      <w:r w:rsidR="009F7ABF">
        <w:rPr>
          <w:rFonts w:ascii="Times New Roman" w:hAnsi="Times New Roman" w:cs="Times New Roman"/>
          <w:sz w:val="24"/>
          <w:szCs w:val="24"/>
        </w:rPr>
        <w:t xml:space="preserve">hree </w:t>
      </w:r>
      <w:r w:rsidR="008B2AEC">
        <w:rPr>
          <w:rFonts w:ascii="Times New Roman" w:hAnsi="Times New Roman" w:cs="Times New Roman"/>
          <w:sz w:val="24"/>
          <w:szCs w:val="24"/>
        </w:rPr>
        <w:t>issues arise for determination in this matter, and these are:</w:t>
      </w:r>
    </w:p>
    <w:p w14:paraId="574E6F63" w14:textId="62BCCC45" w:rsidR="008B2AEC" w:rsidRDefault="00A572AE" w:rsidP="001A5FD6">
      <w:pPr>
        <w:pStyle w:val="ListParagraph"/>
        <w:numPr>
          <w:ilvl w:val="0"/>
          <w:numId w:val="24"/>
        </w:numPr>
        <w:spacing w:after="0"/>
        <w:jc w:val="both"/>
        <w:rPr>
          <w:rFonts w:ascii="Times New Roman" w:hAnsi="Times New Roman" w:cs="Times New Roman"/>
          <w:sz w:val="24"/>
          <w:szCs w:val="24"/>
        </w:rPr>
      </w:pPr>
      <w:r>
        <w:rPr>
          <w:rFonts w:ascii="Times New Roman" w:hAnsi="Times New Roman" w:cs="Times New Roman"/>
          <w:sz w:val="24"/>
          <w:szCs w:val="24"/>
        </w:rPr>
        <w:t>W</w:t>
      </w:r>
      <w:r w:rsidR="008B2AEC">
        <w:rPr>
          <w:rFonts w:ascii="Times New Roman" w:hAnsi="Times New Roman" w:cs="Times New Roman"/>
          <w:sz w:val="24"/>
          <w:szCs w:val="24"/>
        </w:rPr>
        <w:t>hether the first defendant exercised he</w:t>
      </w:r>
      <w:r w:rsidR="009F7ABF">
        <w:rPr>
          <w:rFonts w:ascii="Times New Roman" w:hAnsi="Times New Roman" w:cs="Times New Roman"/>
          <w:sz w:val="24"/>
          <w:szCs w:val="24"/>
        </w:rPr>
        <w:t>r</w:t>
      </w:r>
      <w:r w:rsidR="008B2AEC">
        <w:rPr>
          <w:rFonts w:ascii="Times New Roman" w:hAnsi="Times New Roman" w:cs="Times New Roman"/>
          <w:sz w:val="24"/>
          <w:szCs w:val="24"/>
        </w:rPr>
        <w:t xml:space="preserve"> discretion judiciously when she decided not to refer the legal issue between the parties to a judge in chambers;</w:t>
      </w:r>
    </w:p>
    <w:p w14:paraId="0BD507A4" w14:textId="4A45B77E" w:rsidR="008B2AEC" w:rsidRDefault="008B2AEC" w:rsidP="001A5FD6">
      <w:pPr>
        <w:pStyle w:val="ListParagraph"/>
        <w:numPr>
          <w:ilvl w:val="0"/>
          <w:numId w:val="24"/>
        </w:numPr>
        <w:spacing w:after="0"/>
        <w:jc w:val="both"/>
        <w:rPr>
          <w:rFonts w:ascii="Times New Roman" w:hAnsi="Times New Roman" w:cs="Times New Roman"/>
          <w:sz w:val="24"/>
          <w:szCs w:val="24"/>
        </w:rPr>
      </w:pPr>
      <w:r>
        <w:rPr>
          <w:rFonts w:ascii="Times New Roman" w:hAnsi="Times New Roman" w:cs="Times New Roman"/>
          <w:sz w:val="24"/>
          <w:szCs w:val="24"/>
        </w:rPr>
        <w:t>Whether the first defendant erred in proceeding to tax a bill which was denominated in the United dollar currency</w:t>
      </w:r>
      <w:r w:rsidR="009F7ABF">
        <w:rPr>
          <w:rFonts w:ascii="Times New Roman" w:hAnsi="Times New Roman" w:cs="Times New Roman"/>
          <w:sz w:val="24"/>
          <w:szCs w:val="24"/>
        </w:rPr>
        <w:t>;</w:t>
      </w:r>
    </w:p>
    <w:p w14:paraId="43CAC61F" w14:textId="3EEBF074" w:rsidR="009F7ABF" w:rsidRDefault="009F7ABF" w:rsidP="001A5FD6">
      <w:pPr>
        <w:pStyle w:val="ListParagraph"/>
        <w:numPr>
          <w:ilvl w:val="0"/>
          <w:numId w:val="24"/>
        </w:numPr>
        <w:spacing w:after="0"/>
        <w:jc w:val="both"/>
        <w:rPr>
          <w:rFonts w:ascii="Times New Roman" w:hAnsi="Times New Roman" w:cs="Times New Roman"/>
          <w:sz w:val="24"/>
          <w:szCs w:val="24"/>
        </w:rPr>
      </w:pPr>
      <w:r>
        <w:rPr>
          <w:rFonts w:ascii="Times New Roman" w:hAnsi="Times New Roman" w:cs="Times New Roman"/>
          <w:sz w:val="24"/>
          <w:szCs w:val="24"/>
        </w:rPr>
        <w:t xml:space="preserve">The level at which costs should be awarded to the successful party. </w:t>
      </w:r>
    </w:p>
    <w:p w14:paraId="40D9AFDB" w14:textId="77777777" w:rsidR="001A5FD6" w:rsidRPr="001F7462" w:rsidRDefault="001A5FD6" w:rsidP="001F7462">
      <w:pPr>
        <w:spacing w:after="0"/>
        <w:jc w:val="both"/>
        <w:rPr>
          <w:rFonts w:ascii="Times New Roman" w:hAnsi="Times New Roman" w:cs="Times New Roman"/>
          <w:sz w:val="24"/>
          <w:szCs w:val="24"/>
        </w:rPr>
      </w:pPr>
    </w:p>
    <w:p w14:paraId="7C745B91" w14:textId="4434F94D" w:rsidR="009F7ABF" w:rsidRPr="00A572AE" w:rsidRDefault="009F7ABF" w:rsidP="009F7ABF">
      <w:pPr>
        <w:spacing w:after="0" w:line="360" w:lineRule="auto"/>
        <w:jc w:val="both"/>
        <w:rPr>
          <w:rFonts w:ascii="Times New Roman" w:hAnsi="Times New Roman" w:cs="Times New Roman"/>
          <w:b/>
          <w:sz w:val="24"/>
          <w:szCs w:val="24"/>
        </w:rPr>
      </w:pPr>
      <w:r w:rsidRPr="00A572AE">
        <w:rPr>
          <w:rFonts w:ascii="Times New Roman" w:hAnsi="Times New Roman" w:cs="Times New Roman"/>
          <w:b/>
          <w:sz w:val="24"/>
          <w:szCs w:val="24"/>
        </w:rPr>
        <w:t>The Law and the Submissions</w:t>
      </w:r>
    </w:p>
    <w:p w14:paraId="0EFB70A6" w14:textId="0E2D9D77" w:rsidR="00395707" w:rsidRDefault="009F7ABF" w:rsidP="009F7ABF">
      <w:pPr>
        <w:spacing w:after="0" w:line="360" w:lineRule="auto"/>
        <w:jc w:val="both"/>
        <w:rPr>
          <w:rFonts w:ascii="Times New Roman" w:hAnsi="Times New Roman" w:cs="Times New Roman"/>
          <w:b/>
          <w:i/>
          <w:sz w:val="24"/>
          <w:szCs w:val="24"/>
        </w:rPr>
      </w:pPr>
      <w:r w:rsidRPr="00A572AE">
        <w:rPr>
          <w:rFonts w:ascii="Times New Roman" w:hAnsi="Times New Roman" w:cs="Times New Roman"/>
          <w:b/>
          <w:i/>
          <w:sz w:val="24"/>
          <w:szCs w:val="24"/>
        </w:rPr>
        <w:t xml:space="preserve">Whether the first defendant </w:t>
      </w:r>
      <w:r w:rsidR="005D3635" w:rsidRPr="00A572AE">
        <w:rPr>
          <w:rFonts w:ascii="Times New Roman" w:hAnsi="Times New Roman" w:cs="Times New Roman"/>
          <w:b/>
          <w:i/>
          <w:sz w:val="24"/>
          <w:szCs w:val="24"/>
        </w:rPr>
        <w:t xml:space="preserve">failed to exercise </w:t>
      </w:r>
      <w:r w:rsidRPr="00A572AE">
        <w:rPr>
          <w:rFonts w:ascii="Times New Roman" w:hAnsi="Times New Roman" w:cs="Times New Roman"/>
          <w:b/>
          <w:i/>
          <w:sz w:val="24"/>
          <w:szCs w:val="24"/>
        </w:rPr>
        <w:t xml:space="preserve">her discretion judiciously </w:t>
      </w:r>
      <w:r w:rsidR="005D3635" w:rsidRPr="00A572AE">
        <w:rPr>
          <w:rFonts w:ascii="Times New Roman" w:hAnsi="Times New Roman" w:cs="Times New Roman"/>
          <w:b/>
          <w:i/>
          <w:sz w:val="24"/>
          <w:szCs w:val="24"/>
        </w:rPr>
        <w:t>in deciding the legal issue between the parties</w:t>
      </w:r>
      <w:r w:rsidR="002A5BF2">
        <w:rPr>
          <w:rFonts w:ascii="Times New Roman" w:hAnsi="Times New Roman" w:cs="Times New Roman"/>
          <w:b/>
          <w:i/>
          <w:sz w:val="24"/>
          <w:szCs w:val="24"/>
        </w:rPr>
        <w:t xml:space="preserve"> – </w:t>
      </w:r>
    </w:p>
    <w:p w14:paraId="5F1D51A4" w14:textId="06FEA5F1" w:rsidR="00395707" w:rsidRDefault="00A572AE" w:rsidP="00FA13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submitted that the first respondent erred in not referring to a judge the legal issue of whether or not </w:t>
      </w:r>
      <w:r w:rsidR="001F7462">
        <w:rPr>
          <w:rFonts w:ascii="Times New Roman" w:hAnsi="Times New Roman" w:cs="Times New Roman"/>
          <w:sz w:val="24"/>
          <w:szCs w:val="24"/>
        </w:rPr>
        <w:t xml:space="preserve">it was proper to denominate </w:t>
      </w:r>
      <w:r>
        <w:rPr>
          <w:rFonts w:ascii="Times New Roman" w:hAnsi="Times New Roman" w:cs="Times New Roman"/>
          <w:sz w:val="24"/>
          <w:szCs w:val="24"/>
        </w:rPr>
        <w:t xml:space="preserve">a bill of costs </w:t>
      </w:r>
      <w:r w:rsidR="001F7462">
        <w:rPr>
          <w:rFonts w:ascii="Times New Roman" w:hAnsi="Times New Roman" w:cs="Times New Roman"/>
          <w:sz w:val="24"/>
          <w:szCs w:val="24"/>
        </w:rPr>
        <w:t xml:space="preserve">in </w:t>
      </w:r>
      <w:r>
        <w:rPr>
          <w:rFonts w:ascii="Times New Roman" w:hAnsi="Times New Roman" w:cs="Times New Roman"/>
          <w:sz w:val="24"/>
          <w:szCs w:val="24"/>
        </w:rPr>
        <w:t>United States dollars</w:t>
      </w:r>
      <w:r w:rsidR="001F7462">
        <w:rPr>
          <w:rFonts w:ascii="Times New Roman" w:hAnsi="Times New Roman" w:cs="Times New Roman"/>
          <w:sz w:val="24"/>
          <w:szCs w:val="24"/>
        </w:rPr>
        <w:t xml:space="preserve"> in view of the new currency regime </w:t>
      </w:r>
      <w:r w:rsidR="00A65784">
        <w:rPr>
          <w:rFonts w:ascii="Times New Roman" w:hAnsi="Times New Roman" w:cs="Times New Roman"/>
          <w:sz w:val="24"/>
          <w:szCs w:val="24"/>
        </w:rPr>
        <w:t>wrought by S.I. 33/19 and S.I. 142/19</w:t>
      </w:r>
      <w:r>
        <w:rPr>
          <w:rFonts w:ascii="Times New Roman" w:hAnsi="Times New Roman" w:cs="Times New Roman"/>
          <w:sz w:val="24"/>
          <w:szCs w:val="24"/>
        </w:rPr>
        <w:t xml:space="preserve">. </w:t>
      </w:r>
      <w:r w:rsidR="002A5BF2">
        <w:rPr>
          <w:rFonts w:ascii="Times New Roman" w:hAnsi="Times New Roman" w:cs="Times New Roman"/>
          <w:sz w:val="24"/>
          <w:szCs w:val="24"/>
        </w:rPr>
        <w:t xml:space="preserve"> </w:t>
      </w:r>
      <w:r>
        <w:rPr>
          <w:rFonts w:ascii="Times New Roman" w:hAnsi="Times New Roman" w:cs="Times New Roman"/>
          <w:sz w:val="24"/>
          <w:szCs w:val="24"/>
        </w:rPr>
        <w:t>Rule 313 states that:</w:t>
      </w:r>
    </w:p>
    <w:p w14:paraId="350B3154" w14:textId="77777777" w:rsidR="00A572AE" w:rsidRPr="002A5BF2" w:rsidRDefault="00A572AE" w:rsidP="00A572AE">
      <w:pPr>
        <w:autoSpaceDE w:val="0"/>
        <w:autoSpaceDN w:val="0"/>
        <w:adjustRightInd w:val="0"/>
        <w:spacing w:after="0" w:line="240" w:lineRule="auto"/>
        <w:ind w:firstLine="720"/>
        <w:rPr>
          <w:rFonts w:ascii="Times New Roman" w:hAnsi="Times New Roman" w:cs="Times New Roman"/>
          <w:b/>
          <w:bCs/>
          <w:i/>
          <w:iCs/>
          <w:lang w:val="en-ZW"/>
        </w:rPr>
      </w:pPr>
      <w:r w:rsidRPr="002A5BF2">
        <w:rPr>
          <w:rFonts w:ascii="Times New Roman" w:hAnsi="Times New Roman" w:cs="Times New Roman"/>
        </w:rPr>
        <w:t>“</w:t>
      </w:r>
      <w:r w:rsidRPr="002A5BF2">
        <w:rPr>
          <w:rFonts w:ascii="Times New Roman" w:hAnsi="Times New Roman" w:cs="Times New Roman"/>
          <w:b/>
          <w:bCs/>
          <w:i/>
          <w:iCs/>
          <w:lang w:val="en-ZW"/>
        </w:rPr>
        <w:t>313. Taxing officer may refer point to judge in chambers</w:t>
      </w:r>
    </w:p>
    <w:p w14:paraId="53F571BD" w14:textId="789561DF" w:rsidR="00A572AE" w:rsidRPr="002A5BF2" w:rsidRDefault="00A572AE" w:rsidP="002A5BF2">
      <w:pPr>
        <w:autoSpaceDE w:val="0"/>
        <w:autoSpaceDN w:val="0"/>
        <w:adjustRightInd w:val="0"/>
        <w:spacing w:after="0" w:line="240" w:lineRule="auto"/>
        <w:ind w:firstLine="720"/>
        <w:jc w:val="both"/>
        <w:rPr>
          <w:rFonts w:ascii="Times New Roman" w:hAnsi="Times New Roman" w:cs="Times New Roman"/>
          <w:lang w:val="en-ZW"/>
        </w:rPr>
      </w:pPr>
      <w:r w:rsidRPr="002A5BF2">
        <w:rPr>
          <w:rFonts w:ascii="Times New Roman" w:hAnsi="Times New Roman" w:cs="Times New Roman"/>
          <w:lang w:val="en-ZW"/>
        </w:rPr>
        <w:t xml:space="preserve">The taxing officer </w:t>
      </w:r>
      <w:r w:rsidRPr="002A5BF2">
        <w:rPr>
          <w:rFonts w:ascii="Times New Roman" w:hAnsi="Times New Roman" w:cs="Times New Roman"/>
          <w:u w:val="single"/>
          <w:lang w:val="en-ZW"/>
        </w:rPr>
        <w:t>may</w:t>
      </w:r>
      <w:r w:rsidRPr="002A5BF2">
        <w:rPr>
          <w:rFonts w:ascii="Times New Roman" w:hAnsi="Times New Roman" w:cs="Times New Roman"/>
          <w:lang w:val="en-ZW"/>
        </w:rPr>
        <w:t xml:space="preserve">, without filing any formal documents, submit any point arising at a taxation </w:t>
      </w:r>
      <w:r w:rsidR="002A5BF2">
        <w:rPr>
          <w:rFonts w:ascii="Times New Roman" w:hAnsi="Times New Roman" w:cs="Times New Roman"/>
          <w:lang w:val="en-ZW"/>
        </w:rPr>
        <w:tab/>
      </w:r>
      <w:r w:rsidRPr="002A5BF2">
        <w:rPr>
          <w:rFonts w:ascii="Times New Roman" w:hAnsi="Times New Roman" w:cs="Times New Roman"/>
          <w:lang w:val="en-ZW"/>
        </w:rPr>
        <w:t>for</w:t>
      </w:r>
      <w:r w:rsidR="002A5BF2">
        <w:rPr>
          <w:rFonts w:ascii="Times New Roman" w:hAnsi="Times New Roman" w:cs="Times New Roman"/>
          <w:lang w:val="en-ZW"/>
        </w:rPr>
        <w:t xml:space="preserve"> </w:t>
      </w:r>
      <w:r w:rsidRPr="002A5BF2">
        <w:rPr>
          <w:rFonts w:ascii="Times New Roman" w:hAnsi="Times New Roman" w:cs="Times New Roman"/>
          <w:lang w:val="en-ZW"/>
        </w:rPr>
        <w:t xml:space="preserve">decision by a judge in chambers, and it shall be competent for the taxing officer and for the </w:t>
      </w:r>
      <w:r w:rsidR="002A5BF2">
        <w:rPr>
          <w:rFonts w:ascii="Times New Roman" w:hAnsi="Times New Roman" w:cs="Times New Roman"/>
          <w:lang w:val="en-ZW"/>
        </w:rPr>
        <w:tab/>
      </w:r>
      <w:r w:rsidRPr="002A5BF2">
        <w:rPr>
          <w:rFonts w:ascii="Times New Roman" w:hAnsi="Times New Roman" w:cs="Times New Roman"/>
          <w:lang w:val="en-ZW"/>
        </w:rPr>
        <w:t xml:space="preserve">legal practitioners who appeared at the taxation to appear before the judge respecting such point.” </w:t>
      </w:r>
    </w:p>
    <w:p w14:paraId="6C1646B4" w14:textId="77777777" w:rsidR="00A572AE" w:rsidRDefault="00A572AE" w:rsidP="00A572AE">
      <w:pPr>
        <w:autoSpaceDE w:val="0"/>
        <w:autoSpaceDN w:val="0"/>
        <w:adjustRightInd w:val="0"/>
        <w:spacing w:after="0" w:line="240" w:lineRule="auto"/>
        <w:jc w:val="both"/>
        <w:rPr>
          <w:rFonts w:ascii="Times New Roman" w:hAnsi="Times New Roman" w:cs="Times New Roman"/>
          <w:sz w:val="21"/>
          <w:szCs w:val="21"/>
          <w:lang w:val="en-ZW"/>
        </w:rPr>
      </w:pPr>
    </w:p>
    <w:p w14:paraId="6A92C41C" w14:textId="6BA3F297" w:rsidR="00A4094B" w:rsidRDefault="00A65784" w:rsidP="00D71BEA">
      <w:pPr>
        <w:autoSpaceDE w:val="0"/>
        <w:autoSpaceDN w:val="0"/>
        <w:adjustRightInd w:val="0"/>
        <w:spacing w:after="0" w:line="360" w:lineRule="auto"/>
        <w:ind w:firstLine="720"/>
        <w:jc w:val="both"/>
        <w:rPr>
          <w:rFonts w:ascii="Times New Roman" w:hAnsi="Times New Roman" w:cs="Times New Roman"/>
          <w:i/>
          <w:sz w:val="24"/>
          <w:szCs w:val="24"/>
          <w:lang w:val="en-ZW"/>
        </w:rPr>
      </w:pPr>
      <w:r>
        <w:rPr>
          <w:rFonts w:ascii="Times New Roman" w:hAnsi="Times New Roman" w:cs="Times New Roman"/>
          <w:sz w:val="24"/>
          <w:szCs w:val="24"/>
          <w:lang w:val="en-ZW"/>
        </w:rPr>
        <w:t>Rule</w:t>
      </w:r>
      <w:r w:rsidR="00A572AE" w:rsidRPr="00A572AE">
        <w:rPr>
          <w:rFonts w:ascii="Times New Roman" w:hAnsi="Times New Roman" w:cs="Times New Roman"/>
          <w:sz w:val="24"/>
          <w:szCs w:val="24"/>
          <w:lang w:val="en-ZW"/>
        </w:rPr>
        <w:t xml:space="preserve"> 313</w:t>
      </w:r>
      <w:r w:rsidR="00A572AE">
        <w:rPr>
          <w:rFonts w:ascii="Times New Roman" w:hAnsi="Times New Roman" w:cs="Times New Roman"/>
          <w:sz w:val="24"/>
          <w:szCs w:val="24"/>
          <w:lang w:val="en-ZW"/>
        </w:rPr>
        <w:t xml:space="preserve"> gives the first respondent discretion to decide whether or not to refer any issue arising at taxation to judge </w:t>
      </w:r>
      <w:r>
        <w:rPr>
          <w:rFonts w:ascii="Times New Roman" w:hAnsi="Times New Roman" w:cs="Times New Roman"/>
          <w:sz w:val="24"/>
          <w:szCs w:val="24"/>
          <w:lang w:val="en-ZW"/>
        </w:rPr>
        <w:t xml:space="preserve">in chambers </w:t>
      </w:r>
      <w:r w:rsidR="00A572AE">
        <w:rPr>
          <w:rFonts w:ascii="Times New Roman" w:hAnsi="Times New Roman" w:cs="Times New Roman"/>
          <w:sz w:val="24"/>
          <w:szCs w:val="24"/>
          <w:lang w:val="en-ZW"/>
        </w:rPr>
        <w:t xml:space="preserve">for a decision. The use of the word </w:t>
      </w:r>
      <w:r w:rsidR="00A572AE" w:rsidRPr="00A65784">
        <w:rPr>
          <w:rFonts w:ascii="Times New Roman" w:hAnsi="Times New Roman" w:cs="Times New Roman"/>
          <w:i/>
          <w:sz w:val="24"/>
          <w:szCs w:val="24"/>
          <w:lang w:val="en-ZW"/>
        </w:rPr>
        <w:t>“may”</w:t>
      </w:r>
      <w:r w:rsidR="00A572AE">
        <w:rPr>
          <w:rFonts w:ascii="Times New Roman" w:hAnsi="Times New Roman" w:cs="Times New Roman"/>
          <w:sz w:val="24"/>
          <w:szCs w:val="24"/>
          <w:lang w:val="en-ZW"/>
        </w:rPr>
        <w:t xml:space="preserve"> in my view suggests that it is not </w:t>
      </w:r>
      <w:r w:rsidR="00DD51DC">
        <w:rPr>
          <w:rFonts w:ascii="Times New Roman" w:hAnsi="Times New Roman" w:cs="Times New Roman"/>
          <w:sz w:val="24"/>
          <w:szCs w:val="24"/>
          <w:lang w:val="en-ZW"/>
        </w:rPr>
        <w:t xml:space="preserve">a </w:t>
      </w:r>
      <w:r w:rsidR="00A572AE">
        <w:rPr>
          <w:rFonts w:ascii="Times New Roman" w:hAnsi="Times New Roman" w:cs="Times New Roman"/>
          <w:sz w:val="24"/>
          <w:szCs w:val="24"/>
          <w:lang w:val="en-ZW"/>
        </w:rPr>
        <w:t xml:space="preserve">mandatory </w:t>
      </w:r>
      <w:r w:rsidR="00DD51DC">
        <w:rPr>
          <w:rFonts w:ascii="Times New Roman" w:hAnsi="Times New Roman" w:cs="Times New Roman"/>
          <w:sz w:val="24"/>
          <w:szCs w:val="24"/>
          <w:lang w:val="en-ZW"/>
        </w:rPr>
        <w:t xml:space="preserve">requirement </w:t>
      </w:r>
      <w:r w:rsidR="00A572AE">
        <w:rPr>
          <w:rFonts w:ascii="Times New Roman" w:hAnsi="Times New Roman" w:cs="Times New Roman"/>
          <w:sz w:val="24"/>
          <w:szCs w:val="24"/>
          <w:lang w:val="en-ZW"/>
        </w:rPr>
        <w:t>that t</w:t>
      </w:r>
      <w:r w:rsidR="00DD51DC">
        <w:rPr>
          <w:rFonts w:ascii="Times New Roman" w:hAnsi="Times New Roman" w:cs="Times New Roman"/>
          <w:sz w:val="24"/>
          <w:szCs w:val="24"/>
          <w:lang w:val="en-ZW"/>
        </w:rPr>
        <w:t>he issue be referred to a judge in chambers.</w:t>
      </w:r>
      <w:r w:rsidR="00F02B39">
        <w:rPr>
          <w:rFonts w:ascii="Times New Roman" w:hAnsi="Times New Roman" w:cs="Times New Roman"/>
          <w:sz w:val="24"/>
          <w:szCs w:val="24"/>
          <w:lang w:val="en-ZW"/>
        </w:rPr>
        <w:t xml:space="preserve"> </w:t>
      </w:r>
      <w:r w:rsidR="002A5BF2">
        <w:rPr>
          <w:rFonts w:ascii="Times New Roman" w:hAnsi="Times New Roman" w:cs="Times New Roman"/>
          <w:sz w:val="24"/>
          <w:szCs w:val="24"/>
          <w:lang w:val="en-ZW"/>
        </w:rPr>
        <w:t xml:space="preserve"> </w:t>
      </w:r>
      <w:r w:rsidR="00F02B39">
        <w:rPr>
          <w:rFonts w:ascii="Times New Roman" w:hAnsi="Times New Roman" w:cs="Times New Roman"/>
          <w:sz w:val="24"/>
          <w:szCs w:val="24"/>
          <w:lang w:val="en-ZW"/>
        </w:rPr>
        <w:lastRenderedPageBreak/>
        <w:t xml:space="preserve">It endows the first respondent with discretion. </w:t>
      </w:r>
      <w:r w:rsidR="002A5BF2">
        <w:rPr>
          <w:rFonts w:ascii="Times New Roman" w:hAnsi="Times New Roman" w:cs="Times New Roman"/>
          <w:sz w:val="24"/>
          <w:szCs w:val="24"/>
          <w:lang w:val="en-ZW"/>
        </w:rPr>
        <w:t xml:space="preserve"> </w:t>
      </w:r>
      <w:r w:rsidR="00F02B39">
        <w:rPr>
          <w:rFonts w:ascii="Times New Roman" w:hAnsi="Times New Roman" w:cs="Times New Roman"/>
          <w:sz w:val="24"/>
          <w:szCs w:val="24"/>
          <w:lang w:val="en-ZW"/>
        </w:rPr>
        <w:t xml:space="preserve">As was observed by </w:t>
      </w:r>
      <w:r w:rsidR="002A5BF2" w:rsidRPr="002A5BF2">
        <w:rPr>
          <w:rFonts w:ascii="Times New Roman" w:hAnsi="Times New Roman" w:cs="Times New Roman"/>
          <w:smallCaps/>
          <w:sz w:val="24"/>
          <w:szCs w:val="24"/>
          <w:lang w:val="en-ZW"/>
        </w:rPr>
        <w:t>makarau ja</w:t>
      </w:r>
      <w:r w:rsidR="002A5BF2">
        <w:rPr>
          <w:rFonts w:ascii="Times New Roman" w:hAnsi="Times New Roman" w:cs="Times New Roman"/>
          <w:sz w:val="24"/>
          <w:szCs w:val="24"/>
          <w:lang w:val="en-ZW"/>
        </w:rPr>
        <w:t xml:space="preserve"> </w:t>
      </w:r>
      <w:r w:rsidR="00F02B39">
        <w:rPr>
          <w:rFonts w:ascii="Times New Roman" w:hAnsi="Times New Roman" w:cs="Times New Roman"/>
          <w:sz w:val="24"/>
          <w:szCs w:val="24"/>
          <w:lang w:val="en-ZW"/>
        </w:rPr>
        <w:t xml:space="preserve">(as she then was), in </w:t>
      </w:r>
      <w:r w:rsidR="00F02B39" w:rsidRPr="00F02B39">
        <w:rPr>
          <w:rFonts w:ascii="Times New Roman" w:hAnsi="Times New Roman" w:cs="Times New Roman"/>
          <w:i/>
          <w:sz w:val="24"/>
          <w:szCs w:val="24"/>
          <w:lang w:val="en-ZW"/>
        </w:rPr>
        <w:t xml:space="preserve">Zizhou </w:t>
      </w:r>
      <w:r w:rsidR="00F02B39" w:rsidRPr="002A5BF2">
        <w:rPr>
          <w:rFonts w:ascii="Times New Roman" w:hAnsi="Times New Roman" w:cs="Times New Roman"/>
          <w:sz w:val="24"/>
          <w:szCs w:val="24"/>
          <w:lang w:val="en-ZW"/>
        </w:rPr>
        <w:t>v</w:t>
      </w:r>
      <w:r w:rsidR="00F02B39" w:rsidRPr="00F02B39">
        <w:rPr>
          <w:rFonts w:ascii="Times New Roman" w:hAnsi="Times New Roman" w:cs="Times New Roman"/>
          <w:i/>
          <w:sz w:val="24"/>
          <w:szCs w:val="24"/>
          <w:lang w:val="en-ZW"/>
        </w:rPr>
        <w:t xml:space="preserve"> Taxing Officer &amp; Ano</w:t>
      </w:r>
      <w:r w:rsidR="00F02B39">
        <w:rPr>
          <w:rStyle w:val="FootnoteReference"/>
          <w:rFonts w:ascii="Times New Roman" w:hAnsi="Times New Roman" w:cs="Times New Roman"/>
          <w:i/>
          <w:sz w:val="24"/>
          <w:szCs w:val="24"/>
          <w:lang w:val="en-ZW"/>
        </w:rPr>
        <w:footnoteReference w:id="1"/>
      </w:r>
      <w:r w:rsidR="002A5BF2">
        <w:rPr>
          <w:rFonts w:ascii="Times New Roman" w:hAnsi="Times New Roman" w:cs="Times New Roman"/>
          <w:i/>
          <w:sz w:val="24"/>
          <w:szCs w:val="24"/>
          <w:lang w:val="en-ZW"/>
        </w:rPr>
        <w:t>:</w:t>
      </w:r>
    </w:p>
    <w:p w14:paraId="6F453780" w14:textId="002B1CCE" w:rsidR="00A4094B" w:rsidRPr="00A4094B" w:rsidRDefault="00A4094B" w:rsidP="00A4094B">
      <w:pPr>
        <w:spacing w:line="240" w:lineRule="auto"/>
        <w:ind w:left="1134"/>
        <w:jc w:val="both"/>
        <w:rPr>
          <w:rFonts w:ascii="Times New Roman" w:hAnsi="Times New Roman" w:cs="Times New Roman"/>
          <w:lang w:val="en-ZW"/>
        </w:rPr>
      </w:pPr>
      <w:r w:rsidRPr="00A4094B">
        <w:rPr>
          <w:rFonts w:ascii="Times New Roman" w:hAnsi="Times New Roman" w:cs="Times New Roman"/>
          <w:lang w:val="en-ZW"/>
        </w:rPr>
        <w:t>“The court is very slow to interfere with the exercise of the taxing officer’s discretion. It will not readily do so unless it is satisfied that the taxing officer acted on some wrong principle or did not exercise his or her discretion at all.”</w:t>
      </w:r>
    </w:p>
    <w:p w14:paraId="679C10C2" w14:textId="1DAAA572" w:rsidR="00493F77" w:rsidRDefault="00493F77" w:rsidP="00D71BEA">
      <w:pPr>
        <w:autoSpaceDE w:val="0"/>
        <w:autoSpaceDN w:val="0"/>
        <w:adjustRightInd w:val="0"/>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court will interfere with the exercise of discretion where it is clear that the taxing officer </w:t>
      </w:r>
      <w:r w:rsidR="00F04AC5">
        <w:rPr>
          <w:rFonts w:ascii="Times New Roman" w:hAnsi="Times New Roman" w:cs="Times New Roman"/>
          <w:sz w:val="24"/>
          <w:szCs w:val="24"/>
          <w:lang w:val="en-ZW"/>
        </w:rPr>
        <w:t>misdirected</w:t>
      </w:r>
      <w:r>
        <w:rPr>
          <w:rFonts w:ascii="Times New Roman" w:hAnsi="Times New Roman" w:cs="Times New Roman"/>
          <w:sz w:val="24"/>
          <w:szCs w:val="24"/>
          <w:lang w:val="en-ZW"/>
        </w:rPr>
        <w:t xml:space="preserve"> herself on some legal principle or in the manner the taxation itself was conducted. </w:t>
      </w:r>
      <w:r w:rsidR="00A4094B">
        <w:rPr>
          <w:rFonts w:ascii="Times New Roman" w:hAnsi="Times New Roman" w:cs="Times New Roman"/>
          <w:sz w:val="24"/>
          <w:szCs w:val="24"/>
          <w:lang w:val="en-ZW"/>
        </w:rPr>
        <w:t xml:space="preserve">In </w:t>
      </w:r>
      <w:r w:rsidR="00A4094B" w:rsidRPr="00A4094B">
        <w:rPr>
          <w:rFonts w:ascii="Times New Roman" w:hAnsi="Times New Roman" w:cs="Times New Roman"/>
          <w:i/>
          <w:sz w:val="24"/>
          <w:szCs w:val="24"/>
          <w:lang w:val="en-ZW"/>
        </w:rPr>
        <w:t>Yakub Mahomed v Bredenkamp &amp; Ano</w:t>
      </w:r>
      <w:r>
        <w:rPr>
          <w:rStyle w:val="FootnoteReference"/>
          <w:rFonts w:ascii="Times New Roman" w:hAnsi="Times New Roman" w:cs="Times New Roman"/>
          <w:i/>
          <w:sz w:val="24"/>
          <w:szCs w:val="24"/>
          <w:lang w:val="en-ZW"/>
        </w:rPr>
        <w:footnoteReference w:id="2"/>
      </w:r>
      <w:r w:rsidR="00A4094B">
        <w:rPr>
          <w:rFonts w:ascii="Times New Roman" w:hAnsi="Times New Roman" w:cs="Times New Roman"/>
          <w:sz w:val="24"/>
          <w:szCs w:val="24"/>
          <w:lang w:val="en-ZW"/>
        </w:rPr>
        <w:t xml:space="preserve">, </w:t>
      </w:r>
      <w:r w:rsidR="002A5BF2" w:rsidRPr="002A5BF2">
        <w:rPr>
          <w:rFonts w:ascii="Times New Roman" w:hAnsi="Times New Roman" w:cs="Times New Roman"/>
          <w:smallCaps/>
          <w:sz w:val="24"/>
          <w:szCs w:val="24"/>
          <w:lang w:val="en-ZW"/>
        </w:rPr>
        <w:t>makoni ja</w:t>
      </w:r>
      <w:r w:rsidR="002A5BF2">
        <w:rPr>
          <w:rFonts w:ascii="Times New Roman" w:hAnsi="Times New Roman" w:cs="Times New Roman"/>
          <w:sz w:val="24"/>
          <w:szCs w:val="24"/>
          <w:lang w:val="en-ZW"/>
        </w:rPr>
        <w:t xml:space="preserve"> </w:t>
      </w:r>
      <w:r>
        <w:rPr>
          <w:rFonts w:ascii="Times New Roman" w:hAnsi="Times New Roman" w:cs="Times New Roman"/>
          <w:sz w:val="24"/>
          <w:szCs w:val="24"/>
          <w:lang w:val="en-ZW"/>
        </w:rPr>
        <w:t>said:</w:t>
      </w:r>
    </w:p>
    <w:p w14:paraId="17369967" w14:textId="6AFFF9E9" w:rsidR="00493F77" w:rsidRPr="00A65784" w:rsidRDefault="00493F77" w:rsidP="00493F77">
      <w:pPr>
        <w:spacing w:line="240" w:lineRule="auto"/>
        <w:ind w:left="1134"/>
        <w:jc w:val="both"/>
        <w:rPr>
          <w:rFonts w:ascii="Times New Roman" w:hAnsi="Times New Roman" w:cs="Times New Roman"/>
        </w:rPr>
      </w:pPr>
      <w:r w:rsidRPr="00F04AC5">
        <w:rPr>
          <w:rFonts w:ascii="Times New Roman" w:hAnsi="Times New Roman" w:cs="Times New Roman"/>
          <w:lang w:val="en-ZW"/>
        </w:rPr>
        <w:t xml:space="preserve">“Consequently, there are two instances in which a court may competently interfere with the decision of a taxing officer. Firstly, where </w:t>
      </w:r>
      <w:r w:rsidRPr="00F04AC5">
        <w:rPr>
          <w:rFonts w:ascii="Times New Roman" w:hAnsi="Times New Roman" w:cs="Times New Roman"/>
        </w:rPr>
        <w:t>a finding is made that the taxing officer’s decision was grossly unreasonable or that he erred on a point of principle or law. Secondly, a court is entitled to interfere where the taxing officer was clearly wrong regarding some item</w:t>
      </w:r>
      <w:r w:rsidRPr="00A65784">
        <w:rPr>
          <w:rFonts w:ascii="Times New Roman" w:hAnsi="Times New Roman" w:cs="Times New Roman"/>
        </w:rPr>
        <w:t>.</w:t>
      </w:r>
      <w:r w:rsidR="00F04AC5" w:rsidRPr="00A65784">
        <w:rPr>
          <w:rFonts w:ascii="Times New Roman" w:hAnsi="Times New Roman" w:cs="Times New Roman"/>
        </w:rPr>
        <w:t>”</w:t>
      </w:r>
    </w:p>
    <w:p w14:paraId="19E63C44" w14:textId="3986C354" w:rsidR="00750DCE" w:rsidRDefault="00F04AC5" w:rsidP="00D71BEA">
      <w:pPr>
        <w:autoSpaceDE w:val="0"/>
        <w:autoSpaceDN w:val="0"/>
        <w:adjustRightInd w:val="0"/>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From a reading of the record it is not clear why the first respondent did not refer the legal issue to a judge in chambers as had been requested on behalf of the applicant. </w:t>
      </w:r>
      <w:r w:rsidR="002A5BF2">
        <w:rPr>
          <w:rFonts w:ascii="Times New Roman" w:hAnsi="Times New Roman" w:cs="Times New Roman"/>
          <w:sz w:val="24"/>
          <w:szCs w:val="24"/>
          <w:lang w:val="en-ZW"/>
        </w:rPr>
        <w:t xml:space="preserve"> </w:t>
      </w:r>
      <w:r>
        <w:rPr>
          <w:rFonts w:ascii="Times New Roman" w:hAnsi="Times New Roman" w:cs="Times New Roman"/>
          <w:sz w:val="24"/>
          <w:szCs w:val="24"/>
          <w:lang w:val="en-ZW"/>
        </w:rPr>
        <w:t xml:space="preserve">Her ruling on that point, if ever there was one, is not part of the record. The parties counsel have given different versions of what transpired on the day of taxation. </w:t>
      </w:r>
      <w:r w:rsidR="002A5BF2">
        <w:rPr>
          <w:rFonts w:ascii="Times New Roman" w:hAnsi="Times New Roman" w:cs="Times New Roman"/>
          <w:sz w:val="24"/>
          <w:szCs w:val="24"/>
          <w:lang w:val="en-ZW"/>
        </w:rPr>
        <w:t xml:space="preserve"> </w:t>
      </w:r>
      <w:r w:rsidR="00DD51DC">
        <w:rPr>
          <w:rFonts w:ascii="Times New Roman" w:hAnsi="Times New Roman" w:cs="Times New Roman"/>
          <w:sz w:val="24"/>
          <w:szCs w:val="24"/>
          <w:lang w:val="en-ZW"/>
        </w:rPr>
        <w:t>According to second respondent’s counsel, the first respondent considered the parties written and oral submissions and determined that it was not necessary</w:t>
      </w:r>
      <w:r w:rsidR="00555401">
        <w:rPr>
          <w:rFonts w:ascii="Times New Roman" w:hAnsi="Times New Roman" w:cs="Times New Roman"/>
          <w:sz w:val="24"/>
          <w:szCs w:val="24"/>
          <w:lang w:val="en-ZW"/>
        </w:rPr>
        <w:t xml:space="preserve"> to refer the issue to a judge.</w:t>
      </w:r>
      <w:r w:rsidR="00A572AE">
        <w:rPr>
          <w:rFonts w:ascii="Times New Roman" w:hAnsi="Times New Roman" w:cs="Times New Roman"/>
          <w:sz w:val="24"/>
          <w:szCs w:val="24"/>
          <w:lang w:val="en-ZW"/>
        </w:rPr>
        <w:t xml:space="preserve"> </w:t>
      </w:r>
      <w:r w:rsidR="002A5BF2">
        <w:rPr>
          <w:rFonts w:ascii="Times New Roman" w:hAnsi="Times New Roman" w:cs="Times New Roman"/>
          <w:sz w:val="24"/>
          <w:szCs w:val="24"/>
          <w:lang w:val="en-ZW"/>
        </w:rPr>
        <w:t xml:space="preserve"> </w:t>
      </w:r>
      <w:r w:rsidR="00DD51DC">
        <w:rPr>
          <w:rFonts w:ascii="Times New Roman" w:hAnsi="Times New Roman" w:cs="Times New Roman"/>
          <w:sz w:val="24"/>
          <w:szCs w:val="24"/>
          <w:lang w:val="en-ZW"/>
        </w:rPr>
        <w:t xml:space="preserve">She </w:t>
      </w:r>
      <w:r w:rsidR="00555401">
        <w:rPr>
          <w:rFonts w:ascii="Times New Roman" w:hAnsi="Times New Roman" w:cs="Times New Roman"/>
          <w:sz w:val="24"/>
          <w:szCs w:val="24"/>
          <w:lang w:val="en-ZW"/>
        </w:rPr>
        <w:t xml:space="preserve">then </w:t>
      </w:r>
      <w:r w:rsidR="00DD51DC">
        <w:rPr>
          <w:rFonts w:ascii="Times New Roman" w:hAnsi="Times New Roman" w:cs="Times New Roman"/>
          <w:sz w:val="24"/>
          <w:szCs w:val="24"/>
          <w:lang w:val="en-ZW"/>
        </w:rPr>
        <w:t xml:space="preserve">proceeded with taxation. </w:t>
      </w:r>
      <w:r w:rsidR="00BE4012">
        <w:rPr>
          <w:rFonts w:ascii="Times New Roman" w:hAnsi="Times New Roman" w:cs="Times New Roman"/>
          <w:sz w:val="24"/>
          <w:szCs w:val="24"/>
          <w:lang w:val="en-ZW"/>
        </w:rPr>
        <w:t xml:space="preserve">In her heads of argument, the applicant claims that the first respondent reasoned that referring the matter to a judge in chambers was not practical and would cause delays since judges were on vacation. </w:t>
      </w:r>
      <w:r w:rsidR="00267483">
        <w:rPr>
          <w:rFonts w:ascii="Times New Roman" w:hAnsi="Times New Roman" w:cs="Times New Roman"/>
          <w:sz w:val="24"/>
          <w:szCs w:val="24"/>
          <w:lang w:val="en-ZW"/>
        </w:rPr>
        <w:t xml:space="preserve">In light of these divergent positions on the issue, and in the absence of a ruling by the first respondent, this </w:t>
      </w:r>
      <w:r w:rsidR="00A65784">
        <w:rPr>
          <w:rFonts w:ascii="Times New Roman" w:hAnsi="Times New Roman" w:cs="Times New Roman"/>
          <w:sz w:val="24"/>
          <w:szCs w:val="24"/>
          <w:lang w:val="en-ZW"/>
        </w:rPr>
        <w:t xml:space="preserve">court </w:t>
      </w:r>
      <w:r w:rsidR="00750DCE">
        <w:rPr>
          <w:rFonts w:ascii="Times New Roman" w:hAnsi="Times New Roman" w:cs="Times New Roman"/>
          <w:sz w:val="24"/>
          <w:szCs w:val="24"/>
          <w:lang w:val="en-ZW"/>
        </w:rPr>
        <w:t xml:space="preserve">is </w:t>
      </w:r>
      <w:r w:rsidR="00A65784">
        <w:rPr>
          <w:rFonts w:ascii="Times New Roman" w:hAnsi="Times New Roman" w:cs="Times New Roman"/>
          <w:sz w:val="24"/>
          <w:szCs w:val="24"/>
          <w:lang w:val="en-ZW"/>
        </w:rPr>
        <w:t xml:space="preserve">constrained from </w:t>
      </w:r>
      <w:r w:rsidR="00750DCE">
        <w:rPr>
          <w:rFonts w:ascii="Times New Roman" w:hAnsi="Times New Roman" w:cs="Times New Roman"/>
          <w:sz w:val="24"/>
          <w:szCs w:val="24"/>
          <w:lang w:val="en-ZW"/>
        </w:rPr>
        <w:t xml:space="preserve">a finding on whether or not the first respondent properly exercised her discretion in deciding </w:t>
      </w:r>
      <w:r w:rsidR="00A65784">
        <w:rPr>
          <w:rFonts w:ascii="Times New Roman" w:hAnsi="Times New Roman" w:cs="Times New Roman"/>
          <w:sz w:val="24"/>
          <w:szCs w:val="24"/>
          <w:lang w:val="en-ZW"/>
        </w:rPr>
        <w:t>that point.</w:t>
      </w:r>
      <w:r w:rsidR="00750DCE">
        <w:rPr>
          <w:rFonts w:ascii="Times New Roman" w:hAnsi="Times New Roman" w:cs="Times New Roman"/>
          <w:sz w:val="24"/>
          <w:szCs w:val="24"/>
          <w:lang w:val="en-ZW"/>
        </w:rPr>
        <w:t xml:space="preserve"> </w:t>
      </w:r>
    </w:p>
    <w:p w14:paraId="5DFE1DEB" w14:textId="6C610AE8" w:rsidR="00750DCE" w:rsidRDefault="00750DCE" w:rsidP="00D71BEA">
      <w:pPr>
        <w:autoSpaceDE w:val="0"/>
        <w:autoSpaceDN w:val="0"/>
        <w:adjustRightInd w:val="0"/>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Nonetheless, r 314 provides an immediate respite to an aggrieved part</w:t>
      </w:r>
      <w:r w:rsidR="00555401">
        <w:rPr>
          <w:rFonts w:ascii="Times New Roman" w:hAnsi="Times New Roman" w:cs="Times New Roman"/>
          <w:sz w:val="24"/>
          <w:szCs w:val="24"/>
          <w:lang w:val="en-ZW"/>
        </w:rPr>
        <w:t>y</w:t>
      </w:r>
      <w:r>
        <w:rPr>
          <w:rFonts w:ascii="Times New Roman" w:hAnsi="Times New Roman" w:cs="Times New Roman"/>
          <w:sz w:val="24"/>
          <w:szCs w:val="24"/>
          <w:lang w:val="en-ZW"/>
        </w:rPr>
        <w:t>. It states as follows:</w:t>
      </w:r>
    </w:p>
    <w:p w14:paraId="1B668A84" w14:textId="77777777" w:rsidR="00E11B26" w:rsidRPr="002A5BF2" w:rsidRDefault="00750DCE" w:rsidP="00E11B26">
      <w:pPr>
        <w:autoSpaceDE w:val="0"/>
        <w:autoSpaceDN w:val="0"/>
        <w:adjustRightInd w:val="0"/>
        <w:spacing w:after="0" w:line="240" w:lineRule="auto"/>
        <w:ind w:firstLine="720"/>
        <w:jc w:val="both"/>
        <w:rPr>
          <w:rFonts w:ascii="Times New Roman" w:hAnsi="Times New Roman" w:cs="Times New Roman"/>
          <w:b/>
          <w:bCs/>
          <w:i/>
          <w:iCs/>
          <w:lang w:val="en-ZW"/>
        </w:rPr>
      </w:pPr>
      <w:r w:rsidRPr="002A5BF2">
        <w:rPr>
          <w:rFonts w:ascii="Times New Roman" w:hAnsi="Times New Roman" w:cs="Times New Roman"/>
          <w:lang w:val="en-ZW"/>
        </w:rPr>
        <w:t>“</w:t>
      </w:r>
      <w:r w:rsidR="00E11B26" w:rsidRPr="002A5BF2">
        <w:rPr>
          <w:rFonts w:ascii="Times New Roman" w:hAnsi="Times New Roman" w:cs="Times New Roman"/>
          <w:b/>
          <w:bCs/>
          <w:i/>
          <w:iCs/>
          <w:lang w:val="en-ZW"/>
        </w:rPr>
        <w:t>314. Review of taxation</w:t>
      </w:r>
    </w:p>
    <w:p w14:paraId="5E51CBD6" w14:textId="4CABA4DD" w:rsidR="00E11B26" w:rsidRPr="002A5BF2" w:rsidRDefault="00E11B26" w:rsidP="00E11B26">
      <w:pPr>
        <w:autoSpaceDE w:val="0"/>
        <w:autoSpaceDN w:val="0"/>
        <w:adjustRightInd w:val="0"/>
        <w:spacing w:line="240" w:lineRule="auto"/>
        <w:ind w:left="720"/>
        <w:jc w:val="both"/>
        <w:rPr>
          <w:rFonts w:ascii="Times New Roman" w:hAnsi="Times New Roman" w:cs="Times New Roman"/>
          <w:lang w:val="en-ZW"/>
        </w:rPr>
      </w:pPr>
      <w:r w:rsidRPr="002A5BF2">
        <w:rPr>
          <w:rFonts w:ascii="Times New Roman" w:hAnsi="Times New Roman" w:cs="Times New Roman"/>
          <w:lang w:val="en-ZW"/>
        </w:rPr>
        <w:t>(1) A party aggrieved by the decision of a taxing officer may apply to court within four weeks after the taxation to review such taxation. The application shall be by court application to the taxing officer and to the opposite party, if such opposite party was present at the taxation or if the court decides that such opposite party should be represented.”</w:t>
      </w:r>
    </w:p>
    <w:p w14:paraId="2DA35636" w14:textId="10FC54F7" w:rsidR="00A572AE" w:rsidRDefault="00E11B26" w:rsidP="00E11B26">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It is in terms of that provision that the present application was instituted. </w:t>
      </w:r>
      <w:r w:rsidR="00267483">
        <w:rPr>
          <w:rFonts w:ascii="Times New Roman" w:hAnsi="Times New Roman" w:cs="Times New Roman"/>
          <w:sz w:val="24"/>
          <w:szCs w:val="24"/>
        </w:rPr>
        <w:t>The issue that</w:t>
      </w:r>
      <w:r w:rsidR="00D36921">
        <w:rPr>
          <w:rFonts w:ascii="Times New Roman" w:hAnsi="Times New Roman" w:cs="Times New Roman"/>
          <w:sz w:val="24"/>
          <w:szCs w:val="24"/>
        </w:rPr>
        <w:t xml:space="preserve"> the applicant wanted referred to a judge in chambers is the same issue this court is being asked to </w:t>
      </w:r>
      <w:r w:rsidR="002237FF">
        <w:rPr>
          <w:rFonts w:ascii="Times New Roman" w:hAnsi="Times New Roman" w:cs="Times New Roman"/>
          <w:sz w:val="24"/>
          <w:szCs w:val="24"/>
        </w:rPr>
        <w:t>determine</w:t>
      </w:r>
      <w:r w:rsidR="00D36921">
        <w:rPr>
          <w:rFonts w:ascii="Times New Roman" w:hAnsi="Times New Roman" w:cs="Times New Roman"/>
          <w:sz w:val="24"/>
          <w:szCs w:val="24"/>
        </w:rPr>
        <w:t>. It forms the g</w:t>
      </w:r>
      <w:r>
        <w:rPr>
          <w:rFonts w:ascii="Times New Roman" w:hAnsi="Times New Roman" w:cs="Times New Roman"/>
          <w:sz w:val="24"/>
          <w:szCs w:val="24"/>
        </w:rPr>
        <w:t xml:space="preserve">ravamen of the present application. </w:t>
      </w:r>
    </w:p>
    <w:p w14:paraId="510ACA7D" w14:textId="1656AEF2" w:rsidR="00E11B26" w:rsidRPr="00E11B26" w:rsidRDefault="00E11B26" w:rsidP="00E11B26">
      <w:pPr>
        <w:autoSpaceDE w:val="0"/>
        <w:autoSpaceDN w:val="0"/>
        <w:adjustRightInd w:val="0"/>
        <w:spacing w:after="0" w:line="360" w:lineRule="auto"/>
        <w:jc w:val="both"/>
        <w:rPr>
          <w:rFonts w:ascii="Times New Roman" w:hAnsi="Times New Roman" w:cs="Times New Roman"/>
          <w:b/>
          <w:i/>
          <w:sz w:val="24"/>
          <w:szCs w:val="24"/>
        </w:rPr>
      </w:pPr>
      <w:r w:rsidRPr="00E11B26">
        <w:rPr>
          <w:rFonts w:ascii="Times New Roman" w:hAnsi="Times New Roman" w:cs="Times New Roman"/>
          <w:b/>
          <w:i/>
          <w:sz w:val="24"/>
          <w:szCs w:val="24"/>
        </w:rPr>
        <w:t xml:space="preserve">Whether the first defendant erred in proceeding to tax a bill which was denominated in the United </w:t>
      </w:r>
      <w:r w:rsidR="0079609F">
        <w:rPr>
          <w:rFonts w:ascii="Times New Roman" w:hAnsi="Times New Roman" w:cs="Times New Roman"/>
          <w:b/>
          <w:i/>
          <w:sz w:val="24"/>
          <w:szCs w:val="24"/>
        </w:rPr>
        <w:t xml:space="preserve">States </w:t>
      </w:r>
      <w:r w:rsidRPr="00E11B26">
        <w:rPr>
          <w:rFonts w:ascii="Times New Roman" w:hAnsi="Times New Roman" w:cs="Times New Roman"/>
          <w:b/>
          <w:i/>
          <w:sz w:val="24"/>
          <w:szCs w:val="24"/>
        </w:rPr>
        <w:t>dollar currency</w:t>
      </w:r>
    </w:p>
    <w:p w14:paraId="4AB5C98D" w14:textId="68888697" w:rsidR="00114BB4" w:rsidRDefault="00114BB4" w:rsidP="00980E4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dispute between the parties is only resolvable upon a consideration of the </w:t>
      </w:r>
      <w:r w:rsidR="00980E4A">
        <w:rPr>
          <w:rFonts w:ascii="Times New Roman" w:hAnsi="Times New Roman" w:cs="Times New Roman"/>
          <w:sz w:val="24"/>
          <w:szCs w:val="24"/>
        </w:rPr>
        <w:t xml:space="preserve">consequences of the law that entrenched </w:t>
      </w:r>
      <w:r w:rsidR="002237FF">
        <w:rPr>
          <w:rFonts w:ascii="Times New Roman" w:hAnsi="Times New Roman" w:cs="Times New Roman"/>
          <w:sz w:val="24"/>
          <w:szCs w:val="24"/>
        </w:rPr>
        <w:t xml:space="preserve">the </w:t>
      </w:r>
      <w:r>
        <w:rPr>
          <w:rFonts w:ascii="Times New Roman" w:hAnsi="Times New Roman" w:cs="Times New Roman"/>
          <w:sz w:val="24"/>
          <w:szCs w:val="24"/>
        </w:rPr>
        <w:t xml:space="preserve">new monetary regime </w:t>
      </w:r>
      <w:r w:rsidR="00980E4A">
        <w:rPr>
          <w:rFonts w:ascii="Times New Roman" w:hAnsi="Times New Roman" w:cs="Times New Roman"/>
          <w:sz w:val="24"/>
          <w:szCs w:val="24"/>
        </w:rPr>
        <w:t xml:space="preserve">effective </w:t>
      </w:r>
      <w:r>
        <w:rPr>
          <w:rFonts w:ascii="Times New Roman" w:hAnsi="Times New Roman" w:cs="Times New Roman"/>
          <w:sz w:val="24"/>
          <w:szCs w:val="24"/>
        </w:rPr>
        <w:t xml:space="preserve">22 February 2019. </w:t>
      </w:r>
      <w:r w:rsidR="005917A6">
        <w:rPr>
          <w:rFonts w:ascii="Times New Roman" w:hAnsi="Times New Roman" w:cs="Times New Roman"/>
          <w:sz w:val="24"/>
          <w:szCs w:val="24"/>
        </w:rPr>
        <w:t xml:space="preserve"> </w:t>
      </w:r>
      <w:r w:rsidR="00980E4A">
        <w:rPr>
          <w:rFonts w:ascii="Times New Roman" w:hAnsi="Times New Roman" w:cs="Times New Roman"/>
          <w:sz w:val="24"/>
          <w:szCs w:val="24"/>
        </w:rPr>
        <w:t xml:space="preserve">On </w:t>
      </w:r>
      <w:r w:rsidRPr="002237FF">
        <w:rPr>
          <w:rFonts w:ascii="Times New Roman" w:hAnsi="Times New Roman" w:cs="Times New Roman"/>
          <w:sz w:val="24"/>
          <w:szCs w:val="24"/>
        </w:rPr>
        <w:t xml:space="preserve">22 February 2019, the </w:t>
      </w:r>
      <w:r>
        <w:rPr>
          <w:rFonts w:ascii="Times New Roman" w:hAnsi="Times New Roman" w:cs="Times New Roman"/>
          <w:sz w:val="24"/>
          <w:szCs w:val="24"/>
        </w:rPr>
        <w:t xml:space="preserve">Government of Zimbabwe </w:t>
      </w:r>
      <w:r w:rsidRPr="00AD3C17">
        <w:rPr>
          <w:rFonts w:ascii="Times New Roman" w:hAnsi="Times New Roman" w:cs="Times New Roman"/>
          <w:sz w:val="24"/>
          <w:szCs w:val="24"/>
        </w:rPr>
        <w:t>introduced a new currency called the Real Time Gross Settlement Electronic dollar (RTGS), through the Presidential Powers (Temporary</w:t>
      </w:r>
      <w:r>
        <w:rPr>
          <w:rFonts w:ascii="Times New Roman" w:hAnsi="Times New Roman" w:cs="Times New Roman"/>
          <w:sz w:val="24"/>
          <w:szCs w:val="24"/>
        </w:rPr>
        <w:t xml:space="preserve"> </w:t>
      </w:r>
      <w:r w:rsidRPr="00AD3C17">
        <w:rPr>
          <w:rFonts w:ascii="Times New Roman" w:hAnsi="Times New Roman" w:cs="Times New Roman"/>
          <w:sz w:val="24"/>
          <w:szCs w:val="24"/>
        </w:rPr>
        <w:t xml:space="preserve">Measures) (Amendment of Reserve Bank of Zimbabwe Act </w:t>
      </w:r>
      <w:r>
        <w:rPr>
          <w:rFonts w:ascii="Times New Roman" w:hAnsi="Times New Roman" w:cs="Times New Roman"/>
          <w:sz w:val="24"/>
          <w:szCs w:val="24"/>
        </w:rPr>
        <w:t>and</w:t>
      </w:r>
      <w:r w:rsidRPr="00AD3C17">
        <w:rPr>
          <w:rFonts w:ascii="Times New Roman" w:hAnsi="Times New Roman" w:cs="Times New Roman"/>
          <w:sz w:val="24"/>
          <w:szCs w:val="24"/>
        </w:rPr>
        <w:t xml:space="preserve"> Issue of Real Time Gross</w:t>
      </w:r>
      <w:r>
        <w:rPr>
          <w:rFonts w:ascii="Times New Roman" w:hAnsi="Times New Roman" w:cs="Times New Roman"/>
          <w:sz w:val="24"/>
          <w:szCs w:val="24"/>
        </w:rPr>
        <w:t xml:space="preserve"> </w:t>
      </w:r>
      <w:r w:rsidRPr="00AD3C17">
        <w:rPr>
          <w:rFonts w:ascii="Times New Roman" w:hAnsi="Times New Roman" w:cs="Times New Roman"/>
          <w:sz w:val="24"/>
          <w:szCs w:val="24"/>
        </w:rPr>
        <w:t xml:space="preserve">Settlement Electronic Dollars (RTGS Dollars)) </w:t>
      </w:r>
      <w:r>
        <w:rPr>
          <w:rFonts w:ascii="Times New Roman" w:hAnsi="Times New Roman" w:cs="Times New Roman"/>
          <w:sz w:val="24"/>
          <w:szCs w:val="24"/>
        </w:rPr>
        <w:t xml:space="preserve">Regulations, 2019, </w:t>
      </w:r>
      <w:r w:rsidRPr="00AD3C17">
        <w:rPr>
          <w:rFonts w:ascii="Times New Roman" w:hAnsi="Times New Roman" w:cs="Times New Roman"/>
          <w:sz w:val="24"/>
          <w:szCs w:val="24"/>
        </w:rPr>
        <w:t>(</w:t>
      </w:r>
      <w:r>
        <w:rPr>
          <w:rFonts w:ascii="Times New Roman" w:hAnsi="Times New Roman" w:cs="Times New Roman"/>
          <w:sz w:val="24"/>
          <w:szCs w:val="24"/>
        </w:rPr>
        <w:t xml:space="preserve">hereinafter referred to as </w:t>
      </w:r>
      <w:r w:rsidRPr="00AD3C17">
        <w:rPr>
          <w:rFonts w:ascii="Times New Roman" w:hAnsi="Times New Roman" w:cs="Times New Roman"/>
          <w:sz w:val="24"/>
          <w:szCs w:val="24"/>
        </w:rPr>
        <w:t>"S.I. 33/19"</w:t>
      </w:r>
      <w:r>
        <w:rPr>
          <w:rFonts w:ascii="Times New Roman" w:hAnsi="Times New Roman" w:cs="Times New Roman"/>
          <w:sz w:val="24"/>
          <w:szCs w:val="24"/>
        </w:rPr>
        <w:t xml:space="preserve"> or the instrument</w:t>
      </w:r>
      <w:r w:rsidRPr="00AD3C17">
        <w:rPr>
          <w:rFonts w:ascii="Times New Roman" w:hAnsi="Times New Roman" w:cs="Times New Roman"/>
          <w:sz w:val="24"/>
          <w:szCs w:val="24"/>
        </w:rPr>
        <w:t>)</w:t>
      </w:r>
      <w:r>
        <w:rPr>
          <w:rFonts w:ascii="Times New Roman" w:hAnsi="Times New Roman" w:cs="Times New Roman"/>
          <w:sz w:val="24"/>
          <w:szCs w:val="24"/>
        </w:rPr>
        <w:t xml:space="preserve">. The instrument was gazetted on 22 February 2019. That date became the first effective date as defined in the Finance Act (No.2) Act, No.7 of 2019 (the Finance Act). The new currency ran parallel with other currencies that were accepted as legal tender, under what was known then as the multi-currency basket. </w:t>
      </w:r>
    </w:p>
    <w:p w14:paraId="3B02090E" w14:textId="38CCE38E" w:rsidR="00114BB4" w:rsidRDefault="00114BB4" w:rsidP="00114BB4">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24 June 2019, the Minister of Finance and Economic Development caused to be gazetted Statutory Instrument 142 of 2019 (</w:t>
      </w:r>
      <w:r w:rsidRPr="00C3038E">
        <w:rPr>
          <w:rFonts w:ascii="Times New Roman" w:hAnsi="Times New Roman" w:cs="Times New Roman"/>
          <w:sz w:val="24"/>
          <w:szCs w:val="24"/>
        </w:rPr>
        <w:t>Reserve Bank of Zimbabwe (Legal Tender) Regulations, 2019</w:t>
      </w:r>
      <w:r>
        <w:rPr>
          <w:rFonts w:ascii="Times New Roman" w:hAnsi="Times New Roman" w:cs="Times New Roman"/>
          <w:sz w:val="24"/>
          <w:szCs w:val="24"/>
        </w:rPr>
        <w:t>) (SI 142/2019). The 24</w:t>
      </w:r>
      <w:r w:rsidRPr="0036295A">
        <w:rPr>
          <w:rFonts w:ascii="Times New Roman" w:hAnsi="Times New Roman" w:cs="Times New Roman"/>
          <w:sz w:val="24"/>
          <w:szCs w:val="24"/>
          <w:vertAlign w:val="superscript"/>
        </w:rPr>
        <w:t>th</w:t>
      </w:r>
      <w:r>
        <w:rPr>
          <w:rFonts w:ascii="Times New Roman" w:hAnsi="Times New Roman" w:cs="Times New Roman"/>
          <w:sz w:val="24"/>
          <w:szCs w:val="24"/>
        </w:rPr>
        <w:t xml:space="preserve"> June 2019 became the second effective date as defined in the Finance Act.</w:t>
      </w:r>
      <w:r w:rsidR="005917A6">
        <w:rPr>
          <w:rFonts w:ascii="Times New Roman" w:hAnsi="Times New Roman" w:cs="Times New Roman"/>
          <w:sz w:val="24"/>
          <w:szCs w:val="24"/>
        </w:rPr>
        <w:t xml:space="preserve"> </w:t>
      </w:r>
      <w:r>
        <w:rPr>
          <w:rFonts w:ascii="Times New Roman" w:hAnsi="Times New Roman" w:cs="Times New Roman"/>
          <w:sz w:val="24"/>
          <w:szCs w:val="24"/>
        </w:rPr>
        <w:t xml:space="preserve">This instrument abolished the multi currencies and declared the ZWL to be the sole legal tender in Zimbabwe. </w:t>
      </w:r>
      <w:r w:rsidR="005917A6">
        <w:rPr>
          <w:rFonts w:ascii="Times New Roman" w:hAnsi="Times New Roman" w:cs="Times New Roman"/>
          <w:sz w:val="24"/>
          <w:szCs w:val="24"/>
        </w:rPr>
        <w:t xml:space="preserve"> </w:t>
      </w:r>
      <w:r>
        <w:rPr>
          <w:rFonts w:ascii="Times New Roman" w:hAnsi="Times New Roman" w:cs="Times New Roman"/>
          <w:sz w:val="24"/>
          <w:szCs w:val="24"/>
        </w:rPr>
        <w:t>The two instruments were later incorporated into the Finance Act</w:t>
      </w:r>
      <w:r w:rsidR="0079609F">
        <w:rPr>
          <w:rFonts w:ascii="Times New Roman" w:hAnsi="Times New Roman" w:cs="Times New Roman"/>
          <w:sz w:val="24"/>
          <w:szCs w:val="24"/>
        </w:rPr>
        <w:t xml:space="preserve">, which was gazetted </w:t>
      </w:r>
      <w:r>
        <w:rPr>
          <w:rFonts w:ascii="Times New Roman" w:hAnsi="Times New Roman" w:cs="Times New Roman"/>
          <w:sz w:val="24"/>
          <w:szCs w:val="24"/>
        </w:rPr>
        <w:t xml:space="preserve">on 21 August 2019. The key parts of the Finance Act which assimilated some of the provisions of the two instruments are sections 22 and 23. The two sections state in part as </w:t>
      </w:r>
      <w:r w:rsidRPr="002F5E31">
        <w:rPr>
          <w:rFonts w:ascii="Times New Roman" w:hAnsi="Times New Roman" w:cs="Times New Roman"/>
          <w:sz w:val="24"/>
          <w:szCs w:val="24"/>
        </w:rPr>
        <w:t>follows:</w:t>
      </w:r>
    </w:p>
    <w:p w14:paraId="582227F7" w14:textId="77777777" w:rsidR="00114BB4" w:rsidRPr="00E079FD" w:rsidRDefault="00114BB4" w:rsidP="00114BB4">
      <w:pPr>
        <w:spacing w:after="0" w:line="240" w:lineRule="auto"/>
        <w:ind w:left="720"/>
        <w:jc w:val="both"/>
        <w:rPr>
          <w:rFonts w:ascii="Times New Roman" w:eastAsia="Times New Roman" w:hAnsi="Times New Roman" w:cs="Times New Roman"/>
          <w:b/>
          <w:lang w:eastAsia="en-ZW"/>
        </w:rPr>
      </w:pPr>
      <w:r w:rsidRPr="00E079FD">
        <w:rPr>
          <w:rFonts w:ascii="Times New Roman" w:eastAsia="Times New Roman" w:hAnsi="Times New Roman" w:cs="Times New Roman"/>
          <w:b/>
          <w:lang w:eastAsia="en-ZW"/>
        </w:rPr>
        <w:t>“22</w:t>
      </w:r>
      <w:r>
        <w:rPr>
          <w:rFonts w:ascii="Times New Roman" w:eastAsia="Times New Roman" w:hAnsi="Times New Roman" w:cs="Times New Roman"/>
          <w:b/>
          <w:lang w:eastAsia="en-ZW"/>
        </w:rPr>
        <w:t xml:space="preserve"> </w:t>
      </w:r>
      <w:r w:rsidRPr="00E079FD">
        <w:rPr>
          <w:rFonts w:ascii="Times New Roman" w:eastAsia="Times New Roman" w:hAnsi="Times New Roman" w:cs="Times New Roman"/>
          <w:b/>
          <w:lang w:eastAsia="en-ZW"/>
        </w:rPr>
        <w:t>Issuance and legal tender of RTGS dollars, savings, transitional matters and validation</w:t>
      </w:r>
    </w:p>
    <w:p w14:paraId="31640C51" w14:textId="77777777" w:rsidR="00114BB4" w:rsidRPr="00E079FD" w:rsidRDefault="00114BB4" w:rsidP="00114BB4">
      <w:pPr>
        <w:spacing w:after="0" w:line="240" w:lineRule="auto"/>
        <w:ind w:left="720"/>
        <w:jc w:val="both"/>
        <w:rPr>
          <w:rFonts w:ascii="Times New Roman" w:eastAsia="Times New Roman" w:hAnsi="Times New Roman" w:cs="Times New Roman"/>
          <w:lang w:eastAsia="en-ZW"/>
        </w:rPr>
      </w:pPr>
      <w:r w:rsidRPr="00E079FD">
        <w:rPr>
          <w:rFonts w:ascii="Times New Roman" w:eastAsia="Times New Roman" w:hAnsi="Times New Roman" w:cs="Times New Roman"/>
          <w:lang w:eastAsia="en-ZW"/>
        </w:rPr>
        <w:t>1) Subject to section 5, for the purposes of section 44C of the principal Act, the Minister shall be deemed to have prescribed the following with effect from the first effective date—</w:t>
      </w:r>
    </w:p>
    <w:p w14:paraId="6639543E" w14:textId="77777777" w:rsidR="00114BB4" w:rsidRPr="00E079FD" w:rsidRDefault="00114BB4" w:rsidP="00114BB4">
      <w:pPr>
        <w:spacing w:after="0" w:line="240" w:lineRule="auto"/>
        <w:ind w:left="993" w:hanging="284"/>
        <w:jc w:val="both"/>
        <w:rPr>
          <w:rFonts w:ascii="Times New Roman" w:eastAsia="Times New Roman" w:hAnsi="Times New Roman" w:cs="Times New Roman"/>
          <w:lang w:eastAsia="en-ZW"/>
        </w:rPr>
      </w:pPr>
      <w:r w:rsidRPr="00E079FD">
        <w:rPr>
          <w:rFonts w:ascii="Times New Roman" w:eastAsia="Times New Roman" w:hAnsi="Times New Roman" w:cs="Times New Roman"/>
          <w:lang w:eastAsia="en-ZW"/>
        </w:rPr>
        <w:t>(a) that the Reserve Bank has, with effect from the first effective date, issued an electronic  currency called the RTGS dollar; and</w:t>
      </w:r>
    </w:p>
    <w:p w14:paraId="4061C00A" w14:textId="77777777" w:rsidR="00114BB4" w:rsidRDefault="00114BB4" w:rsidP="00114BB4">
      <w:pPr>
        <w:spacing w:after="0" w:line="240" w:lineRule="auto"/>
        <w:ind w:left="993" w:hanging="273"/>
        <w:jc w:val="both"/>
        <w:rPr>
          <w:rFonts w:ascii="Times New Roman" w:eastAsia="Times New Roman" w:hAnsi="Times New Roman" w:cs="Times New Roman"/>
          <w:lang w:eastAsia="en-ZW"/>
        </w:rPr>
      </w:pPr>
      <w:r w:rsidRPr="00E079FD">
        <w:rPr>
          <w:rFonts w:ascii="Times New Roman" w:eastAsia="Times New Roman" w:hAnsi="Times New Roman" w:cs="Times New Roman"/>
          <w:lang w:eastAsia="en-ZW"/>
        </w:rPr>
        <w:t xml:space="preserve">(b) </w:t>
      </w:r>
      <w:r>
        <w:rPr>
          <w:rFonts w:ascii="Times New Roman" w:eastAsia="Times New Roman" w:hAnsi="Times New Roman" w:cs="Times New Roman"/>
          <w:lang w:eastAsia="en-ZW"/>
        </w:rPr>
        <w:t>……………..</w:t>
      </w:r>
      <w:r w:rsidRPr="00E25FE7">
        <w:rPr>
          <w:rFonts w:ascii="Times New Roman" w:eastAsia="Times New Roman" w:hAnsi="Times New Roman" w:cs="Times New Roman"/>
          <w:lang w:eastAsia="en-ZW"/>
        </w:rPr>
        <w:t>;</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and</w:t>
      </w:r>
    </w:p>
    <w:p w14:paraId="01112098" w14:textId="77777777" w:rsidR="00114BB4" w:rsidRPr="008C18C5" w:rsidRDefault="00114BB4" w:rsidP="00114BB4">
      <w:pPr>
        <w:spacing w:after="0" w:line="240" w:lineRule="auto"/>
        <w:ind w:left="993" w:hanging="273"/>
        <w:jc w:val="both"/>
        <w:rPr>
          <w:rFonts w:ascii="Times New Roman" w:eastAsia="Times New Roman" w:hAnsi="Times New Roman" w:cs="Times New Roman"/>
          <w:lang w:eastAsia="en-ZW"/>
        </w:rPr>
      </w:pPr>
      <w:r w:rsidRPr="00E25FE7">
        <w:rPr>
          <w:rFonts w:ascii="Times New Roman" w:eastAsia="Times New Roman" w:hAnsi="Times New Roman" w:cs="Times New Roman"/>
          <w:lang w:eastAsia="en-ZW"/>
        </w:rPr>
        <w:t>(</w:t>
      </w:r>
      <w:r w:rsidRPr="008C18C5">
        <w:rPr>
          <w:rFonts w:ascii="Times New Roman" w:eastAsia="Times New Roman" w:hAnsi="Times New Roman" w:cs="Times New Roman"/>
          <w:lang w:eastAsia="en-ZW"/>
        </w:rPr>
        <w:t>c) that such currency shall be legal tender within Zimbabwe from the first effective date; and</w:t>
      </w:r>
    </w:p>
    <w:p w14:paraId="091C1C59" w14:textId="77777777" w:rsidR="00114BB4" w:rsidRPr="008C18C5" w:rsidRDefault="00114BB4" w:rsidP="00114BB4">
      <w:pPr>
        <w:spacing w:after="0" w:line="240" w:lineRule="auto"/>
        <w:ind w:left="993" w:hanging="273"/>
        <w:jc w:val="both"/>
        <w:rPr>
          <w:rFonts w:ascii="Times New Roman" w:eastAsia="Times New Roman" w:hAnsi="Times New Roman" w:cs="Times New Roman"/>
          <w:lang w:eastAsia="en-ZW"/>
        </w:rPr>
      </w:pPr>
      <w:r w:rsidRPr="008C18C5">
        <w:rPr>
          <w:rFonts w:ascii="Times New Roman" w:eastAsia="Times New Roman" w:hAnsi="Times New Roman" w:cs="Times New Roman"/>
          <w:lang w:eastAsia="en-ZW"/>
        </w:rPr>
        <w:t xml:space="preserve">(d) that, for accounting and other purposes (including the discharge of financial or contractual obligations), all assets and liabilities that were, immediately before the first effective date, valued and expressed in United States dollars (other than assets and liabilities referred to in </w:t>
      </w:r>
      <w:r w:rsidRPr="008C18C5">
        <w:rPr>
          <w:rFonts w:ascii="Times New Roman" w:eastAsia="Times New Roman" w:hAnsi="Times New Roman" w:cs="Times New Roman"/>
          <w:lang w:eastAsia="en-ZW"/>
        </w:rPr>
        <w:lastRenderedPageBreak/>
        <w:t xml:space="preserve">section 44C (2) of the principal Act) shall on the first effective date be deemed to be values in RTGS dollars at a rate of one-to-one to the United States dollar; and </w:t>
      </w:r>
    </w:p>
    <w:p w14:paraId="16782D7F" w14:textId="77777777" w:rsidR="00114BB4" w:rsidRDefault="00114BB4" w:rsidP="00114BB4">
      <w:pPr>
        <w:spacing w:after="0" w:line="240" w:lineRule="auto"/>
        <w:ind w:left="993" w:hanging="273"/>
        <w:jc w:val="both"/>
        <w:rPr>
          <w:rFonts w:ascii="Times New Roman" w:eastAsia="Times New Roman" w:hAnsi="Times New Roman" w:cs="Times New Roman"/>
          <w:lang w:eastAsia="en-ZW"/>
        </w:rPr>
      </w:pPr>
      <w:r w:rsidRPr="00E25FE7">
        <w:rPr>
          <w:rFonts w:ascii="Times New Roman" w:eastAsia="Times New Roman" w:hAnsi="Times New Roman" w:cs="Times New Roman"/>
          <w:lang w:eastAsia="en-ZW"/>
        </w:rPr>
        <w:t>(e) that</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after</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the</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first</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effective</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date</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any</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variance</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from</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the</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opening</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parity</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rate shall be determined from time to time by the rate or rates at which authorised dealers exchange the RTGS dollar for the United States dollar on</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a</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willing-seller</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willing-buyer</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basis;</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and</w:t>
      </w:r>
      <w:r>
        <w:rPr>
          <w:rFonts w:ascii="Times New Roman" w:eastAsia="Times New Roman" w:hAnsi="Times New Roman" w:cs="Times New Roman"/>
          <w:lang w:eastAsia="en-ZW"/>
        </w:rPr>
        <w:t xml:space="preserve"> </w:t>
      </w:r>
    </w:p>
    <w:p w14:paraId="1B7611BB" w14:textId="77777777" w:rsidR="00114BB4" w:rsidRDefault="00114BB4" w:rsidP="00114BB4">
      <w:pPr>
        <w:spacing w:after="0" w:line="240" w:lineRule="auto"/>
        <w:ind w:left="993" w:hanging="273"/>
        <w:jc w:val="both"/>
        <w:rPr>
          <w:rFonts w:ascii="Times New Roman" w:eastAsia="Times New Roman" w:hAnsi="Times New Roman" w:cs="Times New Roman"/>
          <w:lang w:eastAsia="en-ZW"/>
        </w:rPr>
      </w:pPr>
      <w:r w:rsidRPr="00E25FE7">
        <w:rPr>
          <w:rFonts w:ascii="Times New Roman" w:eastAsia="Times New Roman" w:hAnsi="Times New Roman" w:cs="Times New Roman"/>
          <w:lang w:eastAsia="en-ZW"/>
        </w:rPr>
        <w:t>(f)</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every enactment in which an amount is expressed in United States dollars</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shall,</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on</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the</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first</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effective</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date</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(but</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subject</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to</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subsection(4)),</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be</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construed</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as reference to the RTGS dollar, at parity with the United States dollar, that is to say, at a one-to-one rate.</w:t>
      </w:r>
    </w:p>
    <w:p w14:paraId="1B92F1B0" w14:textId="1D0A89D7" w:rsidR="00114BB4" w:rsidRPr="00E25FE7" w:rsidRDefault="00114BB4" w:rsidP="00114BB4">
      <w:pPr>
        <w:spacing w:after="0" w:line="240" w:lineRule="auto"/>
        <w:ind w:left="993" w:hanging="273"/>
        <w:jc w:val="both"/>
        <w:rPr>
          <w:rFonts w:ascii="Times New Roman" w:eastAsia="Times New Roman" w:hAnsi="Times New Roman" w:cs="Times New Roman"/>
          <w:lang w:eastAsia="en-ZW"/>
        </w:rPr>
      </w:pPr>
      <w:r w:rsidRPr="00E25FE7">
        <w:rPr>
          <w:rFonts w:ascii="Times New Roman" w:eastAsia="Times New Roman" w:hAnsi="Times New Roman" w:cs="Times New Roman"/>
          <w:lang w:eastAsia="en-ZW"/>
        </w:rPr>
        <w:t>(2)</w:t>
      </w:r>
      <w:r>
        <w:rPr>
          <w:rFonts w:ascii="Times New Roman" w:eastAsia="Times New Roman" w:hAnsi="Times New Roman" w:cs="Times New Roman"/>
          <w:lang w:eastAsia="en-ZW"/>
        </w:rPr>
        <w:t xml:space="preserve"> </w:t>
      </w:r>
      <w:r w:rsidR="002237FF">
        <w:rPr>
          <w:rFonts w:ascii="Times New Roman" w:eastAsia="Times New Roman" w:hAnsi="Times New Roman" w:cs="Times New Roman"/>
          <w:lang w:eastAsia="en-ZW"/>
        </w:rPr>
        <w:t>………….</w:t>
      </w:r>
      <w:r w:rsidRPr="00E25FE7">
        <w:rPr>
          <w:rFonts w:ascii="Times New Roman" w:eastAsia="Times New Roman" w:hAnsi="Times New Roman" w:cs="Times New Roman"/>
          <w:lang w:eastAsia="en-ZW"/>
        </w:rPr>
        <w:t>.</w:t>
      </w:r>
    </w:p>
    <w:p w14:paraId="6F4EB85A" w14:textId="77777777" w:rsidR="00114BB4" w:rsidRDefault="00114BB4" w:rsidP="00114BB4">
      <w:pPr>
        <w:spacing w:after="0" w:line="240" w:lineRule="auto"/>
        <w:jc w:val="both"/>
        <w:rPr>
          <w:rFonts w:ascii="Times New Roman" w:eastAsia="Times New Roman" w:hAnsi="Times New Roman" w:cs="Times New Roman"/>
          <w:lang w:eastAsia="en-ZW"/>
        </w:rPr>
      </w:pPr>
      <w:r w:rsidRPr="00E25FE7">
        <w:rPr>
          <w:rFonts w:ascii="Times New Roman" w:eastAsia="Times New Roman" w:hAnsi="Times New Roman" w:cs="Times New Roman"/>
          <w:lang w:eastAsia="en-ZW"/>
        </w:rPr>
        <w:t xml:space="preserve"> </w:t>
      </w:r>
      <w:r>
        <w:rPr>
          <w:rFonts w:ascii="Times New Roman" w:eastAsia="Times New Roman" w:hAnsi="Times New Roman" w:cs="Times New Roman"/>
          <w:lang w:eastAsia="en-ZW"/>
        </w:rPr>
        <w:tab/>
      </w:r>
      <w:r w:rsidRPr="00E25FE7">
        <w:rPr>
          <w:rFonts w:ascii="Times New Roman" w:eastAsia="Times New Roman" w:hAnsi="Times New Roman" w:cs="Times New Roman"/>
          <w:lang w:eastAsia="en-ZW"/>
        </w:rPr>
        <w:t>(3)The</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use</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of</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the</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RTGS</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currency</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with</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effect</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from</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the</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first</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effective</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date</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is</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hereby validated.</w:t>
      </w:r>
    </w:p>
    <w:p w14:paraId="3A033ADC" w14:textId="77777777" w:rsidR="00114BB4" w:rsidRDefault="00114BB4" w:rsidP="00114BB4">
      <w:pPr>
        <w:spacing w:after="0" w:line="240" w:lineRule="auto"/>
        <w:ind w:firstLine="720"/>
        <w:jc w:val="both"/>
        <w:rPr>
          <w:rFonts w:ascii="Times New Roman" w:eastAsia="Times New Roman" w:hAnsi="Times New Roman" w:cs="Times New Roman"/>
          <w:lang w:eastAsia="en-ZW"/>
        </w:rPr>
      </w:pPr>
      <w:r w:rsidRPr="00E25FE7">
        <w:rPr>
          <w:rFonts w:ascii="Times New Roman" w:eastAsia="Times New Roman" w:hAnsi="Times New Roman" w:cs="Times New Roman"/>
          <w:lang w:eastAsia="en-ZW"/>
        </w:rPr>
        <w:t>(4) For the purposes of this section—</w:t>
      </w:r>
    </w:p>
    <w:p w14:paraId="28F5EA35" w14:textId="77777777" w:rsidR="00114BB4" w:rsidRDefault="00114BB4" w:rsidP="00114BB4">
      <w:pPr>
        <w:spacing w:after="0" w:line="240" w:lineRule="auto"/>
        <w:ind w:left="993" w:hanging="284"/>
        <w:jc w:val="both"/>
        <w:rPr>
          <w:rFonts w:ascii="Times New Roman" w:eastAsia="Times New Roman" w:hAnsi="Times New Roman" w:cs="Times New Roman"/>
          <w:lang w:eastAsia="en-ZW"/>
        </w:rPr>
      </w:pPr>
      <w:r w:rsidRPr="005917A6">
        <w:rPr>
          <w:rFonts w:ascii="Times New Roman" w:eastAsia="Times New Roman" w:hAnsi="Times New Roman" w:cs="Times New Roman"/>
          <w:lang w:eastAsia="en-ZW"/>
        </w:rPr>
        <w:t>(a)</w:t>
      </w:r>
      <w:r w:rsidRPr="0036295A">
        <w:rPr>
          <w:rFonts w:ascii="Times New Roman" w:eastAsia="Times New Roman" w:hAnsi="Times New Roman" w:cs="Times New Roman"/>
          <w:u w:val="single"/>
          <w:lang w:eastAsia="en-ZW"/>
        </w:rPr>
        <w:t xml:space="preserve"> it is declared for the avoidance of doubt that financial or contractual obligations concluded or incurred before the first effective date, that were valued and expressed in United States dollars (other than assets and liabilities referred to in section 44C(2) of the principal Act) shall on the first effective date be deemed to be values in RTGS dollars at a rate of one-to-one to the United States dollar</w:t>
      </w:r>
      <w:r w:rsidRPr="00E25FE7">
        <w:rPr>
          <w:rFonts w:ascii="Times New Roman" w:eastAsia="Times New Roman" w:hAnsi="Times New Roman" w:cs="Times New Roman"/>
          <w:lang w:eastAsia="en-ZW"/>
        </w:rPr>
        <w:t>;</w:t>
      </w:r>
    </w:p>
    <w:p w14:paraId="7D26B663" w14:textId="77777777" w:rsidR="00114BB4" w:rsidRDefault="00114BB4" w:rsidP="00114BB4">
      <w:pPr>
        <w:spacing w:after="0" w:line="240" w:lineRule="auto"/>
        <w:ind w:left="993" w:hanging="284"/>
        <w:jc w:val="both"/>
        <w:rPr>
          <w:rFonts w:ascii="Times New Roman" w:eastAsia="Times New Roman" w:hAnsi="Times New Roman" w:cs="Times New Roman"/>
          <w:lang w:eastAsia="en-ZW"/>
        </w:rPr>
      </w:pPr>
      <w:r w:rsidRPr="00E25FE7">
        <w:rPr>
          <w:rFonts w:ascii="Times New Roman" w:eastAsia="Times New Roman" w:hAnsi="Times New Roman" w:cs="Times New Roman"/>
          <w:lang w:eastAsia="en-ZW"/>
        </w:rPr>
        <w:t>(b)</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w:t>
      </w:r>
      <w:r>
        <w:rPr>
          <w:rFonts w:ascii="Times New Roman" w:eastAsia="Times New Roman" w:hAnsi="Times New Roman" w:cs="Times New Roman"/>
          <w:lang w:eastAsia="en-ZW"/>
        </w:rPr>
        <w:t xml:space="preserve"> (Underlining for emphasis)</w:t>
      </w:r>
    </w:p>
    <w:p w14:paraId="512FEA93" w14:textId="77777777" w:rsidR="00114BB4" w:rsidRDefault="00114BB4" w:rsidP="00114BB4">
      <w:pPr>
        <w:spacing w:after="0" w:line="240" w:lineRule="auto"/>
        <w:ind w:left="993" w:hanging="284"/>
        <w:jc w:val="both"/>
        <w:rPr>
          <w:rFonts w:ascii="Times New Roman" w:eastAsia="Times New Roman" w:hAnsi="Times New Roman" w:cs="Times New Roman"/>
          <w:lang w:eastAsia="en-ZW"/>
        </w:rPr>
      </w:pPr>
    </w:p>
    <w:p w14:paraId="3646F7EC" w14:textId="77777777" w:rsidR="00114BB4" w:rsidRPr="008C18C5" w:rsidRDefault="00114BB4" w:rsidP="00114BB4">
      <w:pPr>
        <w:spacing w:after="0" w:line="240" w:lineRule="auto"/>
        <w:ind w:left="720" w:hanging="153"/>
        <w:jc w:val="both"/>
        <w:rPr>
          <w:rFonts w:ascii="Times New Roman" w:eastAsia="Times New Roman" w:hAnsi="Times New Roman" w:cs="Times New Roman"/>
          <w:b/>
          <w:lang w:eastAsia="en-ZW"/>
        </w:rPr>
      </w:pPr>
      <w:r w:rsidRPr="008C18C5">
        <w:rPr>
          <w:rFonts w:ascii="Times New Roman" w:eastAsia="Times New Roman" w:hAnsi="Times New Roman" w:cs="Times New Roman"/>
          <w:b/>
          <w:lang w:eastAsia="en-ZW"/>
        </w:rPr>
        <w:t>23 Zimbabwe dollar to be the sole currency for legal tender purposes from second effective date</w:t>
      </w:r>
    </w:p>
    <w:p w14:paraId="5BA1EF80" w14:textId="77777777" w:rsidR="00114BB4" w:rsidRPr="008C18C5" w:rsidRDefault="00114BB4" w:rsidP="00114BB4">
      <w:pPr>
        <w:spacing w:after="0" w:line="240" w:lineRule="auto"/>
        <w:ind w:left="567" w:firstLine="153"/>
        <w:jc w:val="both"/>
        <w:rPr>
          <w:rFonts w:ascii="Times New Roman" w:eastAsia="Times New Roman" w:hAnsi="Times New Roman" w:cs="Times New Roman"/>
          <w:u w:val="single"/>
          <w:lang w:eastAsia="en-ZW"/>
        </w:rPr>
      </w:pPr>
      <w:r w:rsidRPr="008C18C5">
        <w:rPr>
          <w:rFonts w:ascii="Times New Roman" w:eastAsia="Times New Roman" w:hAnsi="Times New Roman" w:cs="Times New Roman"/>
          <w:u w:val="single"/>
          <w:lang w:eastAsia="en-ZW"/>
        </w:rPr>
        <w:t>(1) For the avoidance of doubt, but subject to subsection (4), it is declared that with effect from the second effective date, the British pound, United States dollar, South African rand, Botswana pula and any other foreign currency whatsoever are no longer legal tender alongside the Zimbabwe dollar in any transactions in Zimbabwe.</w:t>
      </w:r>
    </w:p>
    <w:p w14:paraId="6E6DE860" w14:textId="77777777" w:rsidR="00114BB4" w:rsidRPr="008C18C5" w:rsidRDefault="00114BB4" w:rsidP="00114BB4">
      <w:pPr>
        <w:spacing w:after="0" w:line="240" w:lineRule="auto"/>
        <w:ind w:left="567" w:firstLine="153"/>
        <w:jc w:val="both"/>
        <w:rPr>
          <w:rFonts w:ascii="Times New Roman" w:eastAsia="Times New Roman" w:hAnsi="Times New Roman" w:cs="Times New Roman"/>
          <w:lang w:eastAsia="en-ZW"/>
        </w:rPr>
      </w:pPr>
      <w:r w:rsidRPr="008C18C5">
        <w:rPr>
          <w:rFonts w:ascii="Times New Roman" w:eastAsia="Times New Roman" w:hAnsi="Times New Roman" w:cs="Times New Roman"/>
          <w:lang w:eastAsia="en-ZW"/>
        </w:rPr>
        <w:t>(2) Accordingly, the Zimbabwe dollar shall, with effect from the second effective date, but subject to subsection (4), be the sole legal tender in Zimbabwe in all transactions.</w:t>
      </w:r>
    </w:p>
    <w:p w14:paraId="097893C7" w14:textId="77777777" w:rsidR="00114BB4" w:rsidRPr="008C18C5" w:rsidRDefault="00114BB4" w:rsidP="00114BB4">
      <w:pPr>
        <w:spacing w:after="0" w:line="240" w:lineRule="auto"/>
        <w:ind w:left="567" w:firstLine="153"/>
        <w:jc w:val="both"/>
        <w:rPr>
          <w:rFonts w:ascii="Times New Roman" w:eastAsia="Times New Roman" w:hAnsi="Times New Roman" w:cs="Times New Roman"/>
          <w:lang w:eastAsia="en-ZW"/>
        </w:rPr>
      </w:pPr>
      <w:r w:rsidRPr="008C18C5">
        <w:rPr>
          <w:rFonts w:ascii="Times New Roman" w:eastAsia="Times New Roman" w:hAnsi="Times New Roman" w:cs="Times New Roman"/>
          <w:lang w:eastAsia="en-ZW"/>
        </w:rPr>
        <w:t>(3) ………………...</w:t>
      </w:r>
    </w:p>
    <w:p w14:paraId="71C9F828" w14:textId="77777777" w:rsidR="00114BB4" w:rsidRPr="008C18C5" w:rsidRDefault="00114BB4" w:rsidP="00114BB4">
      <w:pPr>
        <w:autoSpaceDE w:val="0"/>
        <w:autoSpaceDN w:val="0"/>
        <w:adjustRightInd w:val="0"/>
        <w:spacing w:after="0" w:line="240" w:lineRule="auto"/>
        <w:ind w:left="1134" w:hanging="425"/>
        <w:jc w:val="both"/>
        <w:rPr>
          <w:rFonts w:ascii="Times New Roman" w:eastAsia="Times New Roman" w:hAnsi="Times New Roman" w:cs="Times New Roman"/>
          <w:lang w:eastAsia="en-ZW"/>
        </w:rPr>
      </w:pPr>
      <w:r w:rsidRPr="008C18C5">
        <w:rPr>
          <w:rFonts w:ascii="Times New Roman" w:eastAsia="Times New Roman" w:hAnsi="Times New Roman" w:cs="Times New Roman"/>
          <w:lang w:eastAsia="en-ZW"/>
        </w:rPr>
        <w:t>(4)</w:t>
      </w:r>
      <w:r w:rsidRPr="008C18C5">
        <w:rPr>
          <w:rFonts w:ascii="Times New Roman" w:eastAsia="Times New Roman" w:hAnsi="Times New Roman" w:cs="Times New Roman"/>
          <w:lang w:eastAsia="en-ZW"/>
        </w:rPr>
        <w:tab/>
        <w:t>Nothing in this section shall affect—</w:t>
      </w:r>
    </w:p>
    <w:p w14:paraId="6C41FF94" w14:textId="77777777" w:rsidR="00114BB4" w:rsidRPr="008C18C5" w:rsidRDefault="00114BB4" w:rsidP="00114BB4">
      <w:pPr>
        <w:autoSpaceDE w:val="0"/>
        <w:autoSpaceDN w:val="0"/>
        <w:adjustRightInd w:val="0"/>
        <w:spacing w:after="0" w:line="240" w:lineRule="auto"/>
        <w:ind w:left="1134" w:hanging="425"/>
        <w:jc w:val="both"/>
        <w:rPr>
          <w:rFonts w:ascii="Times New Roman" w:eastAsia="Times New Roman" w:hAnsi="Times New Roman" w:cs="Times New Roman"/>
          <w:lang w:eastAsia="en-ZW"/>
        </w:rPr>
      </w:pPr>
      <w:r w:rsidRPr="008C18C5">
        <w:rPr>
          <w:rFonts w:ascii="Times New Roman" w:eastAsia="Times New Roman" w:hAnsi="Times New Roman" w:cs="Times New Roman"/>
          <w:lang w:eastAsia="en-ZW"/>
        </w:rPr>
        <w:t xml:space="preserve">(a) </w:t>
      </w:r>
      <w:r w:rsidRPr="008C18C5">
        <w:rPr>
          <w:rFonts w:ascii="Times New Roman" w:eastAsia="Times New Roman" w:hAnsi="Times New Roman" w:cs="Times New Roman"/>
          <w:lang w:eastAsia="en-ZW"/>
        </w:rPr>
        <w:tab/>
        <w:t>the opening or operation of “nostro foreign currency accounts”, as defined in section 44C(5) of the principal Act as inserted by this Act, which shall continue to be designated in the foreign currencies with which they are opened and in which they are operated, nor shall this section affect the making of foreign payments from such accounts;</w:t>
      </w:r>
    </w:p>
    <w:p w14:paraId="3AF6C415" w14:textId="77777777" w:rsidR="00114BB4" w:rsidRPr="008C18C5" w:rsidRDefault="00114BB4" w:rsidP="00114BB4">
      <w:pPr>
        <w:autoSpaceDE w:val="0"/>
        <w:autoSpaceDN w:val="0"/>
        <w:adjustRightInd w:val="0"/>
        <w:spacing w:after="0" w:line="240" w:lineRule="auto"/>
        <w:ind w:left="1134" w:hanging="425"/>
        <w:jc w:val="both"/>
        <w:rPr>
          <w:rFonts w:ascii="Times New Roman" w:eastAsia="Times New Roman" w:hAnsi="Times New Roman" w:cs="Times New Roman"/>
          <w:lang w:eastAsia="en-ZW"/>
        </w:rPr>
      </w:pPr>
      <w:r w:rsidRPr="008C18C5">
        <w:rPr>
          <w:rFonts w:ascii="Times New Roman" w:eastAsia="Times New Roman" w:hAnsi="Times New Roman" w:cs="Times New Roman"/>
          <w:lang w:eastAsia="en-ZW"/>
        </w:rPr>
        <w:t>(b)</w:t>
      </w:r>
      <w:r w:rsidRPr="008C18C5">
        <w:rPr>
          <w:rFonts w:ascii="Times New Roman" w:eastAsia="Times New Roman" w:hAnsi="Times New Roman" w:cs="Times New Roman"/>
          <w:lang w:eastAsia="en-ZW"/>
        </w:rPr>
        <w:tab/>
        <w:t>the requirement to pay in any of the foreign currencies referred to in section 2(1) duties in terms of the Customs and Excise Act [Chapter 23:02]that are payable on the importation of goods specified under that Act to be luxury goods, or, in respect of such goods, to pay any import or value added tax in any of the foreign currencies referred to in subsection (1) as required by or under the Value Added Tax Act [Chapter 23:12].</w:t>
      </w:r>
    </w:p>
    <w:p w14:paraId="27CD2216" w14:textId="77777777" w:rsidR="00114BB4" w:rsidRDefault="00114BB4" w:rsidP="00114BB4">
      <w:pPr>
        <w:autoSpaceDE w:val="0"/>
        <w:autoSpaceDN w:val="0"/>
        <w:adjustRightInd w:val="0"/>
        <w:spacing w:line="240" w:lineRule="auto"/>
        <w:ind w:left="1134" w:hanging="425"/>
        <w:jc w:val="both"/>
        <w:rPr>
          <w:rFonts w:ascii="Times New Roman" w:eastAsia="Times New Roman" w:hAnsi="Times New Roman" w:cs="Times New Roman"/>
          <w:lang w:eastAsia="en-ZW"/>
        </w:rPr>
      </w:pPr>
      <w:r w:rsidRPr="008C18C5">
        <w:rPr>
          <w:rFonts w:ascii="Times New Roman" w:eastAsia="Times New Roman" w:hAnsi="Times New Roman" w:cs="Times New Roman"/>
          <w:lang w:eastAsia="en-ZW"/>
        </w:rPr>
        <w:t>(5) Notwithstanding subsection (1) and (2), it is permissible to tender any of the foreign currencies referred to in subsection (1) in payment for international airline services”</w:t>
      </w:r>
      <w:r>
        <w:rPr>
          <w:rFonts w:ascii="Times New Roman" w:eastAsia="Times New Roman" w:hAnsi="Times New Roman" w:cs="Times New Roman"/>
          <w:lang w:eastAsia="en-ZW"/>
        </w:rPr>
        <w:t xml:space="preserve">. (Underlining for emphasis). </w:t>
      </w:r>
    </w:p>
    <w:p w14:paraId="5C5D5E90" w14:textId="55A2E0A3" w:rsidR="007D420F" w:rsidRDefault="00114BB4" w:rsidP="00DF5C36">
      <w:pPr>
        <w:autoSpaceDE w:val="0"/>
        <w:autoSpaceDN w:val="0"/>
        <w:adjustRightInd w:val="0"/>
        <w:spacing w:after="0" w:line="360" w:lineRule="auto"/>
        <w:ind w:firstLine="709"/>
        <w:jc w:val="both"/>
        <w:rPr>
          <w:rFonts w:ascii="Times New Roman" w:eastAsia="Times New Roman" w:hAnsi="Times New Roman" w:cs="Times New Roman"/>
          <w:sz w:val="24"/>
          <w:szCs w:val="24"/>
          <w:lang w:eastAsia="en-ZW"/>
        </w:rPr>
      </w:pPr>
      <w:r w:rsidRPr="00604A90">
        <w:rPr>
          <w:rFonts w:ascii="Times New Roman" w:eastAsia="Times New Roman" w:hAnsi="Times New Roman" w:cs="Times New Roman"/>
          <w:sz w:val="24"/>
          <w:szCs w:val="24"/>
          <w:lang w:eastAsia="en-ZW"/>
        </w:rPr>
        <w:t xml:space="preserve">The </w:t>
      </w:r>
      <w:r>
        <w:rPr>
          <w:rFonts w:ascii="Times New Roman" w:eastAsia="Times New Roman" w:hAnsi="Times New Roman" w:cs="Times New Roman"/>
          <w:sz w:val="24"/>
          <w:szCs w:val="24"/>
          <w:lang w:eastAsia="en-ZW"/>
        </w:rPr>
        <w:t>principal Act referred to in sections 22 and 23 above is the Reserve Bank of Zimbabwe Act.</w:t>
      </w:r>
      <w:r>
        <w:rPr>
          <w:rStyle w:val="FootnoteReference"/>
          <w:rFonts w:ascii="Times New Roman" w:eastAsia="Times New Roman" w:hAnsi="Times New Roman" w:cs="Times New Roman"/>
          <w:sz w:val="24"/>
          <w:szCs w:val="24"/>
          <w:lang w:eastAsia="en-ZW"/>
        </w:rPr>
        <w:footnoteReference w:id="3"/>
      </w:r>
      <w:r w:rsidR="005371C9">
        <w:rPr>
          <w:rFonts w:ascii="Times New Roman" w:eastAsia="Times New Roman" w:hAnsi="Times New Roman" w:cs="Times New Roman"/>
          <w:sz w:val="24"/>
          <w:szCs w:val="24"/>
          <w:lang w:eastAsia="en-ZW"/>
        </w:rPr>
        <w:t xml:space="preserve"> </w:t>
      </w:r>
      <w:r w:rsidR="007D420F">
        <w:rPr>
          <w:rFonts w:ascii="Times New Roman" w:eastAsia="Times New Roman" w:hAnsi="Times New Roman" w:cs="Times New Roman"/>
          <w:sz w:val="24"/>
          <w:szCs w:val="24"/>
          <w:lang w:eastAsia="en-ZW"/>
        </w:rPr>
        <w:t xml:space="preserve">Mr </w:t>
      </w:r>
      <w:r w:rsidR="007D420F" w:rsidRPr="007D420F">
        <w:rPr>
          <w:rFonts w:ascii="Times New Roman" w:eastAsia="Times New Roman" w:hAnsi="Times New Roman" w:cs="Times New Roman"/>
          <w:i/>
          <w:sz w:val="24"/>
          <w:szCs w:val="24"/>
          <w:lang w:eastAsia="en-ZW"/>
        </w:rPr>
        <w:t>Masango</w:t>
      </w:r>
      <w:r w:rsidR="007D420F">
        <w:rPr>
          <w:rFonts w:ascii="Times New Roman" w:eastAsia="Times New Roman" w:hAnsi="Times New Roman" w:cs="Times New Roman"/>
          <w:sz w:val="24"/>
          <w:szCs w:val="24"/>
          <w:lang w:eastAsia="en-ZW"/>
        </w:rPr>
        <w:t xml:space="preserve"> for the applicant argued that </w:t>
      </w:r>
      <w:r w:rsidR="0081395A">
        <w:rPr>
          <w:rFonts w:ascii="Times New Roman" w:eastAsia="Times New Roman" w:hAnsi="Times New Roman" w:cs="Times New Roman"/>
          <w:sz w:val="24"/>
          <w:szCs w:val="24"/>
          <w:lang w:eastAsia="en-ZW"/>
        </w:rPr>
        <w:t xml:space="preserve">legal fees and attendances being a financial obligation expressed in United States dollars were incurred and concluded before 22 February </w:t>
      </w:r>
      <w:r w:rsidR="0081395A">
        <w:rPr>
          <w:rFonts w:ascii="Times New Roman" w:eastAsia="Times New Roman" w:hAnsi="Times New Roman" w:cs="Times New Roman"/>
          <w:sz w:val="24"/>
          <w:szCs w:val="24"/>
          <w:lang w:eastAsia="en-ZW"/>
        </w:rPr>
        <w:lastRenderedPageBreak/>
        <w:t>2019, and for that reason, must be deemed to</w:t>
      </w:r>
      <w:r w:rsidR="00DF5C36">
        <w:rPr>
          <w:rFonts w:ascii="Times New Roman" w:eastAsia="Times New Roman" w:hAnsi="Times New Roman" w:cs="Times New Roman"/>
          <w:sz w:val="24"/>
          <w:szCs w:val="24"/>
          <w:lang w:eastAsia="en-ZW"/>
        </w:rPr>
        <w:t xml:space="preserve"> be</w:t>
      </w:r>
      <w:r w:rsidR="0081395A">
        <w:rPr>
          <w:rFonts w:ascii="Times New Roman" w:eastAsia="Times New Roman" w:hAnsi="Times New Roman" w:cs="Times New Roman"/>
          <w:sz w:val="24"/>
          <w:szCs w:val="24"/>
          <w:lang w:eastAsia="en-ZW"/>
        </w:rPr>
        <w:t xml:space="preserve"> values in RTGS. </w:t>
      </w:r>
      <w:r w:rsidR="00DF5C36">
        <w:rPr>
          <w:rFonts w:ascii="Times New Roman" w:eastAsia="Times New Roman" w:hAnsi="Times New Roman" w:cs="Times New Roman"/>
          <w:sz w:val="24"/>
          <w:szCs w:val="24"/>
          <w:lang w:eastAsia="en-ZW"/>
        </w:rPr>
        <w:t xml:space="preserve">He </w:t>
      </w:r>
      <w:r w:rsidR="0081395A">
        <w:rPr>
          <w:rFonts w:ascii="Times New Roman" w:eastAsia="Times New Roman" w:hAnsi="Times New Roman" w:cs="Times New Roman"/>
          <w:sz w:val="24"/>
          <w:szCs w:val="24"/>
          <w:lang w:eastAsia="en-ZW"/>
        </w:rPr>
        <w:t xml:space="preserve">submitted that legal costs sought to be recovered through taxation were a liability to the applicant and valued in the United States dollar before 22 February 2020. They were accordingly converted to RTGS dollars. </w:t>
      </w:r>
      <w:r w:rsidR="00DF5C36">
        <w:rPr>
          <w:rFonts w:ascii="Times New Roman" w:eastAsia="Times New Roman" w:hAnsi="Times New Roman" w:cs="Times New Roman"/>
          <w:sz w:val="24"/>
          <w:szCs w:val="24"/>
          <w:lang w:eastAsia="en-ZW"/>
        </w:rPr>
        <w:t>T</w:t>
      </w:r>
      <w:r w:rsidR="0081395A">
        <w:rPr>
          <w:rFonts w:ascii="Times New Roman" w:eastAsia="Times New Roman" w:hAnsi="Times New Roman" w:cs="Times New Roman"/>
          <w:sz w:val="24"/>
          <w:szCs w:val="24"/>
          <w:lang w:eastAsia="en-ZW"/>
        </w:rPr>
        <w:t xml:space="preserve">he second respondent could not </w:t>
      </w:r>
      <w:r w:rsidR="00DF5C36">
        <w:rPr>
          <w:rFonts w:ascii="Times New Roman" w:eastAsia="Times New Roman" w:hAnsi="Times New Roman" w:cs="Times New Roman"/>
          <w:sz w:val="24"/>
          <w:szCs w:val="24"/>
          <w:lang w:eastAsia="en-ZW"/>
        </w:rPr>
        <w:t xml:space="preserve">therefore </w:t>
      </w:r>
      <w:r w:rsidR="0081395A">
        <w:rPr>
          <w:rFonts w:ascii="Times New Roman" w:eastAsia="Times New Roman" w:hAnsi="Times New Roman" w:cs="Times New Roman"/>
          <w:sz w:val="24"/>
          <w:szCs w:val="24"/>
          <w:lang w:eastAsia="en-ZW"/>
        </w:rPr>
        <w:t xml:space="preserve">claim legal costs in United States dollars when such costs were incurred before the first effective date. </w:t>
      </w:r>
    </w:p>
    <w:p w14:paraId="6F54F6E5" w14:textId="239FBC80" w:rsidR="0099650E" w:rsidRDefault="0081395A" w:rsidP="003876A2">
      <w:pPr>
        <w:autoSpaceDE w:val="0"/>
        <w:autoSpaceDN w:val="0"/>
        <w:adjustRightInd w:val="0"/>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t xml:space="preserve">Mr </w:t>
      </w:r>
      <w:r w:rsidRPr="0099650E">
        <w:rPr>
          <w:rFonts w:ascii="Times New Roman" w:eastAsia="Times New Roman" w:hAnsi="Times New Roman" w:cs="Times New Roman"/>
          <w:i/>
          <w:sz w:val="24"/>
          <w:szCs w:val="24"/>
          <w:lang w:eastAsia="en-ZW"/>
        </w:rPr>
        <w:t>Masango</w:t>
      </w:r>
      <w:r>
        <w:rPr>
          <w:rFonts w:ascii="Times New Roman" w:eastAsia="Times New Roman" w:hAnsi="Times New Roman" w:cs="Times New Roman"/>
          <w:sz w:val="24"/>
          <w:szCs w:val="24"/>
          <w:lang w:eastAsia="en-ZW"/>
        </w:rPr>
        <w:t xml:space="preserve"> further averred that if judgment debts</w:t>
      </w:r>
      <w:r w:rsidR="0099650E">
        <w:rPr>
          <w:rFonts w:ascii="Times New Roman" w:eastAsia="Times New Roman" w:hAnsi="Times New Roman" w:cs="Times New Roman"/>
          <w:sz w:val="24"/>
          <w:szCs w:val="24"/>
          <w:lang w:eastAsia="en-ZW"/>
        </w:rPr>
        <w:t xml:space="preserve"> </w:t>
      </w:r>
      <w:r>
        <w:rPr>
          <w:rFonts w:ascii="Times New Roman" w:eastAsia="Times New Roman" w:hAnsi="Times New Roman" w:cs="Times New Roman"/>
          <w:sz w:val="24"/>
          <w:szCs w:val="24"/>
          <w:lang w:eastAsia="en-ZW"/>
        </w:rPr>
        <w:t xml:space="preserve">which sounded in United States dollars could be deemed to be RTGS, then legal costs incurred before 22 February 2019 could not remain denominated in the United States dollar even if judgment was obtained after 22 February 2019.  </w:t>
      </w:r>
      <w:r w:rsidR="008855C0">
        <w:rPr>
          <w:rFonts w:ascii="Times New Roman" w:eastAsia="Times New Roman" w:hAnsi="Times New Roman" w:cs="Times New Roman"/>
          <w:sz w:val="24"/>
          <w:szCs w:val="24"/>
          <w:lang w:eastAsia="en-ZW"/>
        </w:rPr>
        <w:t>He argued that</w:t>
      </w:r>
      <w:r w:rsidR="0099650E">
        <w:rPr>
          <w:rFonts w:ascii="Times New Roman" w:eastAsia="Times New Roman" w:hAnsi="Times New Roman" w:cs="Times New Roman"/>
          <w:sz w:val="24"/>
          <w:szCs w:val="24"/>
          <w:lang w:eastAsia="en-ZW"/>
        </w:rPr>
        <w:t xml:space="preserve"> the 2011 </w:t>
      </w:r>
      <w:r w:rsidR="008855C0">
        <w:rPr>
          <w:rFonts w:ascii="Times New Roman" w:eastAsia="Times New Roman" w:hAnsi="Times New Roman" w:cs="Times New Roman"/>
          <w:sz w:val="24"/>
          <w:szCs w:val="24"/>
          <w:lang w:eastAsia="en-ZW"/>
        </w:rPr>
        <w:t xml:space="preserve">tariff </w:t>
      </w:r>
      <w:r w:rsidR="0099650E">
        <w:rPr>
          <w:rFonts w:ascii="Times New Roman" w:eastAsia="Times New Roman" w:hAnsi="Times New Roman" w:cs="Times New Roman"/>
          <w:sz w:val="24"/>
          <w:szCs w:val="24"/>
          <w:lang w:eastAsia="en-ZW"/>
        </w:rPr>
        <w:t>could not survive the deeming process</w:t>
      </w:r>
      <w:r w:rsidR="008855C0">
        <w:rPr>
          <w:rFonts w:ascii="Times New Roman" w:eastAsia="Times New Roman" w:hAnsi="Times New Roman" w:cs="Times New Roman"/>
          <w:sz w:val="24"/>
          <w:szCs w:val="24"/>
          <w:lang w:eastAsia="en-ZW"/>
        </w:rPr>
        <w:t xml:space="preserve"> </w:t>
      </w:r>
      <w:r w:rsidR="0099650E">
        <w:rPr>
          <w:rFonts w:ascii="Times New Roman" w:eastAsia="Times New Roman" w:hAnsi="Times New Roman" w:cs="Times New Roman"/>
          <w:sz w:val="24"/>
          <w:szCs w:val="24"/>
          <w:lang w:eastAsia="en-ZW"/>
        </w:rPr>
        <w:t>as the intention of the Legisla</w:t>
      </w:r>
      <w:r w:rsidR="008855C0">
        <w:rPr>
          <w:rFonts w:ascii="Times New Roman" w:eastAsia="Times New Roman" w:hAnsi="Times New Roman" w:cs="Times New Roman"/>
          <w:sz w:val="24"/>
          <w:szCs w:val="24"/>
          <w:lang w:eastAsia="en-ZW"/>
        </w:rPr>
        <w:t xml:space="preserve">ture was to convert it to RTGS at </w:t>
      </w:r>
      <w:r w:rsidR="0099650E">
        <w:rPr>
          <w:rFonts w:ascii="Times New Roman" w:eastAsia="Times New Roman" w:hAnsi="Times New Roman" w:cs="Times New Roman"/>
          <w:sz w:val="24"/>
          <w:szCs w:val="24"/>
          <w:lang w:eastAsia="en-ZW"/>
        </w:rPr>
        <w:t xml:space="preserve">the rate of one is to one with the United States dollar. The legal costs therefore fell within the ambit of s 22(1)(d) of the Finance Act. </w:t>
      </w:r>
    </w:p>
    <w:p w14:paraId="1725D4A1" w14:textId="274286F8" w:rsidR="0081395A" w:rsidRPr="0099650E" w:rsidRDefault="0099650E" w:rsidP="003876A2">
      <w:pPr>
        <w:autoSpaceDE w:val="0"/>
        <w:autoSpaceDN w:val="0"/>
        <w:adjustRightInd w:val="0"/>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t xml:space="preserve">Mr </w:t>
      </w:r>
      <w:r w:rsidRPr="0099650E">
        <w:rPr>
          <w:rFonts w:ascii="Times New Roman" w:eastAsia="Times New Roman" w:hAnsi="Times New Roman" w:cs="Times New Roman"/>
          <w:i/>
          <w:sz w:val="24"/>
          <w:szCs w:val="24"/>
          <w:lang w:eastAsia="en-ZW"/>
        </w:rPr>
        <w:t xml:space="preserve">Mushuma </w:t>
      </w:r>
      <w:r>
        <w:rPr>
          <w:rFonts w:ascii="Times New Roman" w:eastAsia="Times New Roman" w:hAnsi="Times New Roman" w:cs="Times New Roman"/>
          <w:sz w:val="24"/>
          <w:szCs w:val="24"/>
          <w:lang w:eastAsia="en-ZW"/>
        </w:rPr>
        <w:t>for the second respondent argued that a judgment of the court after the effective date in respect of costs of suit incurred in United States dollars befo</w:t>
      </w:r>
      <w:r w:rsidR="00965581">
        <w:rPr>
          <w:rFonts w:ascii="Times New Roman" w:eastAsia="Times New Roman" w:hAnsi="Times New Roman" w:cs="Times New Roman"/>
          <w:sz w:val="24"/>
          <w:szCs w:val="24"/>
          <w:lang w:eastAsia="en-ZW"/>
        </w:rPr>
        <w:t>r</w:t>
      </w:r>
      <w:r>
        <w:rPr>
          <w:rFonts w:ascii="Times New Roman" w:eastAsia="Times New Roman" w:hAnsi="Times New Roman" w:cs="Times New Roman"/>
          <w:sz w:val="24"/>
          <w:szCs w:val="24"/>
          <w:lang w:eastAsia="en-ZW"/>
        </w:rPr>
        <w:t xml:space="preserve">e the first effective date </w:t>
      </w:r>
      <w:r w:rsidR="008855C0">
        <w:rPr>
          <w:rFonts w:ascii="Times New Roman" w:eastAsia="Times New Roman" w:hAnsi="Times New Roman" w:cs="Times New Roman"/>
          <w:sz w:val="24"/>
          <w:szCs w:val="24"/>
          <w:lang w:eastAsia="en-ZW"/>
        </w:rPr>
        <w:t>was</w:t>
      </w:r>
      <w:r>
        <w:rPr>
          <w:rFonts w:ascii="Times New Roman" w:eastAsia="Times New Roman" w:hAnsi="Times New Roman" w:cs="Times New Roman"/>
          <w:sz w:val="24"/>
          <w:szCs w:val="24"/>
          <w:lang w:eastAsia="en-ZW"/>
        </w:rPr>
        <w:t xml:space="preserve"> a debt in the sum equivalent to the taxed United States dolla</w:t>
      </w:r>
      <w:r w:rsidR="00965581">
        <w:rPr>
          <w:rFonts w:ascii="Times New Roman" w:eastAsia="Times New Roman" w:hAnsi="Times New Roman" w:cs="Times New Roman"/>
          <w:sz w:val="24"/>
          <w:szCs w:val="24"/>
          <w:lang w:eastAsia="en-ZW"/>
        </w:rPr>
        <w:t>r</w:t>
      </w:r>
      <w:r>
        <w:rPr>
          <w:rFonts w:ascii="Times New Roman" w:eastAsia="Times New Roman" w:hAnsi="Times New Roman" w:cs="Times New Roman"/>
          <w:sz w:val="24"/>
          <w:szCs w:val="24"/>
          <w:lang w:eastAsia="en-ZW"/>
        </w:rPr>
        <w:t xml:space="preserve"> amount in RTGS dollars calculated at the </w:t>
      </w:r>
      <w:r w:rsidR="00965581">
        <w:rPr>
          <w:rFonts w:ascii="Times New Roman" w:eastAsia="Times New Roman" w:hAnsi="Times New Roman" w:cs="Times New Roman"/>
          <w:sz w:val="24"/>
          <w:szCs w:val="24"/>
          <w:lang w:eastAsia="en-ZW"/>
        </w:rPr>
        <w:t xml:space="preserve">prevailing interbank rate at the date of taxation. </w:t>
      </w:r>
      <w:r w:rsidR="008855C0">
        <w:rPr>
          <w:rFonts w:ascii="Times New Roman" w:eastAsia="Times New Roman" w:hAnsi="Times New Roman" w:cs="Times New Roman"/>
          <w:sz w:val="24"/>
          <w:szCs w:val="24"/>
          <w:lang w:eastAsia="en-ZW"/>
        </w:rPr>
        <w:t xml:space="preserve">He further submitted that </w:t>
      </w:r>
      <w:r w:rsidR="00965581">
        <w:rPr>
          <w:rFonts w:ascii="Times New Roman" w:eastAsia="Times New Roman" w:hAnsi="Times New Roman" w:cs="Times New Roman"/>
          <w:sz w:val="24"/>
          <w:szCs w:val="24"/>
          <w:lang w:eastAsia="en-ZW"/>
        </w:rPr>
        <w:t xml:space="preserve">the </w:t>
      </w:r>
      <w:r w:rsidR="000247AB">
        <w:rPr>
          <w:rFonts w:ascii="Times New Roman" w:eastAsia="Times New Roman" w:hAnsi="Times New Roman" w:cs="Times New Roman"/>
          <w:sz w:val="24"/>
          <w:szCs w:val="24"/>
          <w:lang w:eastAsia="en-ZW"/>
        </w:rPr>
        <w:t xml:space="preserve">treatment of debts </w:t>
      </w:r>
      <w:r w:rsidR="00965581">
        <w:rPr>
          <w:rFonts w:ascii="Times New Roman" w:eastAsia="Times New Roman" w:hAnsi="Times New Roman" w:cs="Times New Roman"/>
          <w:sz w:val="24"/>
          <w:szCs w:val="24"/>
          <w:lang w:eastAsia="en-ZW"/>
        </w:rPr>
        <w:t>expressed in United States dollars after the first effective date is provided for in s 22(1)(e) of the Finance Act as read with s 22(1)(d)</w:t>
      </w:r>
      <w:r w:rsidR="000247AB">
        <w:rPr>
          <w:rFonts w:ascii="Times New Roman" w:eastAsia="Times New Roman" w:hAnsi="Times New Roman" w:cs="Times New Roman"/>
          <w:sz w:val="24"/>
          <w:szCs w:val="24"/>
          <w:lang w:eastAsia="en-ZW"/>
        </w:rPr>
        <w:t xml:space="preserve"> thereof</w:t>
      </w:r>
      <w:r w:rsidR="00965581">
        <w:rPr>
          <w:rFonts w:ascii="Times New Roman" w:eastAsia="Times New Roman" w:hAnsi="Times New Roman" w:cs="Times New Roman"/>
          <w:sz w:val="24"/>
          <w:szCs w:val="24"/>
          <w:lang w:eastAsia="en-ZW"/>
        </w:rPr>
        <w:t xml:space="preserve">. </w:t>
      </w:r>
      <w:r w:rsidR="005917A6">
        <w:rPr>
          <w:rFonts w:ascii="Times New Roman" w:eastAsia="Times New Roman" w:hAnsi="Times New Roman" w:cs="Times New Roman"/>
          <w:sz w:val="24"/>
          <w:szCs w:val="24"/>
          <w:lang w:eastAsia="en-ZW"/>
        </w:rPr>
        <w:t xml:space="preserve"> </w:t>
      </w:r>
      <w:r w:rsidR="00965581">
        <w:rPr>
          <w:rFonts w:ascii="Times New Roman" w:eastAsia="Times New Roman" w:hAnsi="Times New Roman" w:cs="Times New Roman"/>
          <w:sz w:val="24"/>
          <w:szCs w:val="24"/>
          <w:lang w:eastAsia="en-ZW"/>
        </w:rPr>
        <w:t xml:space="preserve">Mr </w:t>
      </w:r>
      <w:r w:rsidR="00965581" w:rsidRPr="000247AB">
        <w:rPr>
          <w:rFonts w:ascii="Times New Roman" w:eastAsia="Times New Roman" w:hAnsi="Times New Roman" w:cs="Times New Roman"/>
          <w:i/>
          <w:sz w:val="24"/>
          <w:szCs w:val="24"/>
          <w:lang w:eastAsia="en-ZW"/>
        </w:rPr>
        <w:t>Mushuma</w:t>
      </w:r>
      <w:r w:rsidR="00965581">
        <w:rPr>
          <w:rFonts w:ascii="Times New Roman" w:eastAsia="Times New Roman" w:hAnsi="Times New Roman" w:cs="Times New Roman"/>
          <w:sz w:val="24"/>
          <w:szCs w:val="24"/>
          <w:lang w:eastAsia="en-ZW"/>
        </w:rPr>
        <w:t xml:space="preserve"> further </w:t>
      </w:r>
      <w:r w:rsidR="000247AB">
        <w:rPr>
          <w:rFonts w:ascii="Times New Roman" w:eastAsia="Times New Roman" w:hAnsi="Times New Roman" w:cs="Times New Roman"/>
          <w:sz w:val="24"/>
          <w:szCs w:val="24"/>
          <w:lang w:eastAsia="en-ZW"/>
        </w:rPr>
        <w:t xml:space="preserve">submitted </w:t>
      </w:r>
      <w:r w:rsidR="00965581">
        <w:rPr>
          <w:rFonts w:ascii="Times New Roman" w:eastAsia="Times New Roman" w:hAnsi="Times New Roman" w:cs="Times New Roman"/>
          <w:sz w:val="24"/>
          <w:szCs w:val="24"/>
          <w:lang w:eastAsia="en-ZW"/>
        </w:rPr>
        <w:t>that it was the basis</w:t>
      </w:r>
      <w:r w:rsidR="000247AB">
        <w:rPr>
          <w:rFonts w:ascii="Times New Roman" w:eastAsia="Times New Roman" w:hAnsi="Times New Roman" w:cs="Times New Roman"/>
          <w:sz w:val="24"/>
          <w:szCs w:val="24"/>
          <w:lang w:eastAsia="en-ZW"/>
        </w:rPr>
        <w:t xml:space="preserve"> </w:t>
      </w:r>
      <w:r w:rsidR="00965581">
        <w:rPr>
          <w:rFonts w:ascii="Times New Roman" w:eastAsia="Times New Roman" w:hAnsi="Times New Roman" w:cs="Times New Roman"/>
          <w:sz w:val="24"/>
          <w:szCs w:val="24"/>
          <w:lang w:eastAsia="en-ZW"/>
        </w:rPr>
        <w:t>upon whi</w:t>
      </w:r>
      <w:r w:rsidR="000247AB">
        <w:rPr>
          <w:rFonts w:ascii="Times New Roman" w:eastAsia="Times New Roman" w:hAnsi="Times New Roman" w:cs="Times New Roman"/>
          <w:sz w:val="24"/>
          <w:szCs w:val="24"/>
          <w:lang w:eastAsia="en-ZW"/>
        </w:rPr>
        <w:t>ch the Supreme Court upheld</w:t>
      </w:r>
      <w:r w:rsidR="00965581">
        <w:rPr>
          <w:rFonts w:ascii="Times New Roman" w:eastAsia="Times New Roman" w:hAnsi="Times New Roman" w:cs="Times New Roman"/>
          <w:sz w:val="24"/>
          <w:szCs w:val="24"/>
          <w:lang w:eastAsia="en-ZW"/>
        </w:rPr>
        <w:t xml:space="preserve"> part of PHIRI J’s judgment which ordered payment of the equivalent of US$58,000.00 in RTGS at the prevailing interbank rate. </w:t>
      </w:r>
    </w:p>
    <w:p w14:paraId="56D5FB09" w14:textId="112AA24B" w:rsidR="003876A2" w:rsidRPr="000247AB" w:rsidRDefault="00E612CB" w:rsidP="00965581">
      <w:pPr>
        <w:autoSpaceDE w:val="0"/>
        <w:autoSpaceDN w:val="0"/>
        <w:adjustRightInd w:val="0"/>
        <w:spacing w:after="0" w:line="360" w:lineRule="auto"/>
        <w:ind w:firstLine="720"/>
        <w:jc w:val="both"/>
        <w:rPr>
          <w:rFonts w:ascii="Times New Roman" w:eastAsia="Times New Roman" w:hAnsi="Times New Roman" w:cs="Times New Roman"/>
          <w:lang w:eastAsia="en-ZW"/>
        </w:rPr>
      </w:pPr>
      <w:r w:rsidRPr="000247AB">
        <w:rPr>
          <w:rFonts w:ascii="Times New Roman" w:eastAsia="Times New Roman" w:hAnsi="Times New Roman" w:cs="Times New Roman"/>
          <w:sz w:val="24"/>
          <w:szCs w:val="24"/>
          <w:lang w:eastAsia="en-ZW"/>
        </w:rPr>
        <w:t xml:space="preserve">Section 22(1)(d) </w:t>
      </w:r>
      <w:r w:rsidR="000247AB">
        <w:rPr>
          <w:rFonts w:ascii="Times New Roman" w:eastAsia="Times New Roman" w:hAnsi="Times New Roman" w:cs="Times New Roman"/>
          <w:sz w:val="24"/>
          <w:szCs w:val="24"/>
          <w:lang w:eastAsia="en-ZW"/>
        </w:rPr>
        <w:t xml:space="preserve">of the Finance Act </w:t>
      </w:r>
      <w:r w:rsidRPr="000247AB">
        <w:rPr>
          <w:rFonts w:ascii="Times New Roman" w:eastAsia="Times New Roman" w:hAnsi="Times New Roman" w:cs="Times New Roman"/>
          <w:sz w:val="24"/>
          <w:szCs w:val="24"/>
          <w:lang w:eastAsia="en-ZW"/>
        </w:rPr>
        <w:t xml:space="preserve">stipulates that </w:t>
      </w:r>
      <w:r w:rsidRPr="000247AB">
        <w:rPr>
          <w:rFonts w:ascii="Times New Roman" w:eastAsia="Times New Roman" w:hAnsi="Times New Roman" w:cs="Times New Roman"/>
          <w:i/>
          <w:sz w:val="24"/>
          <w:szCs w:val="24"/>
          <w:lang w:eastAsia="en-ZW"/>
        </w:rPr>
        <w:t xml:space="preserve">“…..for accounting and other purposes </w:t>
      </w:r>
      <w:r w:rsidR="0066747B" w:rsidRPr="000247AB">
        <w:rPr>
          <w:rFonts w:ascii="Times New Roman" w:eastAsia="Times New Roman" w:hAnsi="Times New Roman" w:cs="Times New Roman"/>
          <w:i/>
          <w:sz w:val="24"/>
          <w:szCs w:val="24"/>
          <w:lang w:eastAsia="en-ZW"/>
        </w:rPr>
        <w:t xml:space="preserve">(including the discharge of financial or contractual obligations), all assets and liabilities that were, immediately before the first effective date, valued and expressed in United States dollars </w:t>
      </w:r>
      <w:r w:rsidRPr="000247AB">
        <w:rPr>
          <w:rFonts w:ascii="Times New Roman" w:eastAsia="Times New Roman" w:hAnsi="Times New Roman" w:cs="Times New Roman"/>
          <w:i/>
          <w:sz w:val="24"/>
          <w:szCs w:val="24"/>
          <w:lang w:eastAsia="en-ZW"/>
        </w:rPr>
        <w:t xml:space="preserve"> </w:t>
      </w:r>
      <w:r w:rsidR="0066747B" w:rsidRPr="000247AB">
        <w:rPr>
          <w:rFonts w:ascii="Times New Roman" w:eastAsia="Times New Roman" w:hAnsi="Times New Roman" w:cs="Times New Roman"/>
          <w:i/>
          <w:lang w:eastAsia="en-ZW"/>
        </w:rPr>
        <w:t xml:space="preserve">(other than </w:t>
      </w:r>
      <w:r w:rsidR="0066747B" w:rsidRPr="000247AB">
        <w:rPr>
          <w:rFonts w:ascii="Times New Roman" w:eastAsia="Times New Roman" w:hAnsi="Times New Roman" w:cs="Times New Roman"/>
          <w:i/>
          <w:u w:val="single"/>
          <w:lang w:eastAsia="en-ZW"/>
        </w:rPr>
        <w:t xml:space="preserve">assets and liabilities referred to in </w:t>
      </w:r>
      <w:r w:rsidR="0066747B" w:rsidRPr="000247AB">
        <w:rPr>
          <w:rFonts w:ascii="Times New Roman" w:eastAsia="Times New Roman" w:hAnsi="Times New Roman" w:cs="Times New Roman"/>
          <w:i/>
          <w:color w:val="FF0000"/>
          <w:u w:val="single"/>
          <w:lang w:eastAsia="en-ZW"/>
        </w:rPr>
        <w:t>section 44C (2</w:t>
      </w:r>
      <w:r w:rsidR="0066747B" w:rsidRPr="000247AB">
        <w:rPr>
          <w:rFonts w:ascii="Times New Roman" w:eastAsia="Times New Roman" w:hAnsi="Times New Roman" w:cs="Times New Roman"/>
          <w:i/>
          <w:u w:val="single"/>
          <w:lang w:eastAsia="en-ZW"/>
        </w:rPr>
        <w:t>) of the principal Act</w:t>
      </w:r>
      <w:r w:rsidR="0066747B" w:rsidRPr="000247AB">
        <w:rPr>
          <w:rFonts w:ascii="Times New Roman" w:eastAsia="Times New Roman" w:hAnsi="Times New Roman" w:cs="Times New Roman"/>
          <w:i/>
          <w:lang w:eastAsia="en-ZW"/>
        </w:rPr>
        <w:t xml:space="preserve">) shall on the first effective date be deemed to be values in RTGS dollars at a rate of one-to-one to the United States dollar…”. </w:t>
      </w:r>
      <w:r w:rsidR="0066747B" w:rsidRPr="000247AB">
        <w:rPr>
          <w:rFonts w:ascii="Times New Roman" w:eastAsia="Times New Roman" w:hAnsi="Times New Roman" w:cs="Times New Roman"/>
          <w:sz w:val="24"/>
          <w:szCs w:val="24"/>
          <w:lang w:eastAsia="en-ZW"/>
        </w:rPr>
        <w:t xml:space="preserve">The words </w:t>
      </w:r>
      <w:r w:rsidR="0066747B" w:rsidRPr="000247AB">
        <w:rPr>
          <w:rFonts w:ascii="Times New Roman" w:eastAsia="Times New Roman" w:hAnsi="Times New Roman" w:cs="Times New Roman"/>
          <w:i/>
          <w:sz w:val="24"/>
          <w:szCs w:val="24"/>
          <w:u w:val="single"/>
          <w:lang w:eastAsia="en-ZW"/>
        </w:rPr>
        <w:t>“financial or contractual obligations”</w:t>
      </w:r>
      <w:r w:rsidR="0066747B" w:rsidRPr="000247AB">
        <w:rPr>
          <w:rFonts w:ascii="Times New Roman" w:eastAsia="Times New Roman" w:hAnsi="Times New Roman" w:cs="Times New Roman"/>
          <w:sz w:val="24"/>
          <w:szCs w:val="24"/>
          <w:lang w:eastAsia="en-ZW"/>
        </w:rPr>
        <w:t xml:space="preserve"> are defined in s 20 of the Finance Act to include (for the avoidance of doubt), judgment debts. Judgment debt is defined in the same section </w:t>
      </w:r>
      <w:r w:rsidR="003876A2" w:rsidRPr="000247AB">
        <w:rPr>
          <w:rFonts w:ascii="Times New Roman" w:eastAsia="Times New Roman" w:hAnsi="Times New Roman" w:cs="Times New Roman"/>
          <w:sz w:val="24"/>
          <w:szCs w:val="24"/>
          <w:lang w:eastAsia="en-ZW"/>
        </w:rPr>
        <w:t>to mean:</w:t>
      </w:r>
    </w:p>
    <w:p w14:paraId="61D69747" w14:textId="6A263486" w:rsidR="0066747B" w:rsidRPr="000247AB" w:rsidRDefault="003876A2" w:rsidP="003876A2">
      <w:pPr>
        <w:autoSpaceDE w:val="0"/>
        <w:autoSpaceDN w:val="0"/>
        <w:adjustRightInd w:val="0"/>
        <w:spacing w:line="240" w:lineRule="auto"/>
        <w:ind w:left="720"/>
        <w:jc w:val="both"/>
        <w:rPr>
          <w:rFonts w:ascii="Times New Roman" w:eastAsia="Times New Roman" w:hAnsi="Times New Roman" w:cs="Times New Roman"/>
          <w:lang w:eastAsia="en-ZW"/>
        </w:rPr>
      </w:pPr>
      <w:r w:rsidRPr="000247AB">
        <w:rPr>
          <w:rFonts w:ascii="Times New Roman" w:eastAsia="Times New Roman" w:hAnsi="Times New Roman" w:cs="Times New Roman"/>
          <w:lang w:eastAsia="en-ZW"/>
        </w:rPr>
        <w:t xml:space="preserve">“…….a decision of a court of law upon relief claimed in an action or application which, in the case of money, </w:t>
      </w:r>
      <w:r w:rsidRPr="000247AB">
        <w:rPr>
          <w:rFonts w:ascii="Times New Roman" w:eastAsia="Times New Roman" w:hAnsi="Times New Roman" w:cs="Times New Roman"/>
          <w:u w:val="single"/>
          <w:lang w:eastAsia="en-ZW"/>
        </w:rPr>
        <w:t>refers to the amount in respect of which execution can be levied by the judgment creditor; and, in the case of any other debt, refers to any other steps that can be taken by the judgment creditor to obtain satisfaction of the debt</w:t>
      </w:r>
      <w:r w:rsidRPr="000247AB">
        <w:rPr>
          <w:rFonts w:ascii="Times New Roman" w:eastAsia="Times New Roman" w:hAnsi="Times New Roman" w:cs="Times New Roman"/>
          <w:lang w:eastAsia="en-ZW"/>
        </w:rPr>
        <w:t xml:space="preserve"> (but does not include a judgment that has prescribed, been abandoned or compromised)”</w:t>
      </w:r>
      <w:r w:rsidR="000247AB">
        <w:rPr>
          <w:rFonts w:ascii="Times New Roman" w:eastAsia="Times New Roman" w:hAnsi="Times New Roman" w:cs="Times New Roman"/>
          <w:lang w:eastAsia="en-ZW"/>
        </w:rPr>
        <w:t xml:space="preserve"> (underlining for emphasis).</w:t>
      </w:r>
    </w:p>
    <w:p w14:paraId="3E24F346" w14:textId="7F21FD04" w:rsidR="00A764B3" w:rsidRDefault="00A764B3" w:rsidP="00965513">
      <w:pPr>
        <w:autoSpaceDE w:val="0"/>
        <w:autoSpaceDN w:val="0"/>
        <w:adjustRightInd w:val="0"/>
        <w:spacing w:line="360" w:lineRule="auto"/>
        <w:ind w:firstLine="720"/>
        <w:jc w:val="both"/>
        <w:rPr>
          <w:rFonts w:ascii="Times New Roman" w:eastAsia="Times New Roman" w:hAnsi="Times New Roman" w:cs="Times New Roman"/>
          <w:sz w:val="24"/>
          <w:szCs w:val="24"/>
          <w:lang w:eastAsia="en-ZW"/>
        </w:rPr>
      </w:pPr>
      <w:r w:rsidRPr="00A764B3">
        <w:rPr>
          <w:rFonts w:ascii="Times New Roman" w:eastAsia="Times New Roman" w:hAnsi="Times New Roman" w:cs="Times New Roman"/>
          <w:sz w:val="24"/>
          <w:szCs w:val="24"/>
          <w:lang w:eastAsia="en-ZW"/>
        </w:rPr>
        <w:lastRenderedPageBreak/>
        <w:t xml:space="preserve">The words </w:t>
      </w:r>
      <w:r w:rsidRPr="00A764B3">
        <w:rPr>
          <w:rFonts w:ascii="Times New Roman" w:eastAsia="Times New Roman" w:hAnsi="Times New Roman" w:cs="Times New Roman"/>
          <w:i/>
          <w:sz w:val="24"/>
          <w:szCs w:val="24"/>
          <w:lang w:eastAsia="en-ZW"/>
        </w:rPr>
        <w:t>“assets and liabilities”</w:t>
      </w:r>
      <w:r w:rsidRPr="00A764B3">
        <w:rPr>
          <w:rFonts w:ascii="Times New Roman" w:eastAsia="Times New Roman" w:hAnsi="Times New Roman" w:cs="Times New Roman"/>
          <w:sz w:val="24"/>
          <w:szCs w:val="24"/>
          <w:lang w:eastAsia="en-ZW"/>
        </w:rPr>
        <w:t xml:space="preserve"> are not defined in the Finance Act or in S</w:t>
      </w:r>
      <w:r w:rsidR="000247AB">
        <w:rPr>
          <w:rFonts w:ascii="Times New Roman" w:eastAsia="Times New Roman" w:hAnsi="Times New Roman" w:cs="Times New Roman"/>
          <w:sz w:val="24"/>
          <w:szCs w:val="24"/>
          <w:lang w:eastAsia="en-ZW"/>
        </w:rPr>
        <w:t xml:space="preserve">.I. </w:t>
      </w:r>
      <w:r w:rsidRPr="00A764B3">
        <w:rPr>
          <w:rFonts w:ascii="Times New Roman" w:eastAsia="Times New Roman" w:hAnsi="Times New Roman" w:cs="Times New Roman"/>
          <w:sz w:val="24"/>
          <w:szCs w:val="24"/>
          <w:lang w:eastAsia="en-ZW"/>
        </w:rPr>
        <w:t xml:space="preserve">33/19. The Supreme Court </w:t>
      </w:r>
      <w:r>
        <w:rPr>
          <w:rFonts w:ascii="Times New Roman" w:eastAsia="Times New Roman" w:hAnsi="Times New Roman" w:cs="Times New Roman"/>
          <w:sz w:val="24"/>
          <w:szCs w:val="24"/>
          <w:lang w:eastAsia="en-ZW"/>
        </w:rPr>
        <w:t>consider</w:t>
      </w:r>
      <w:r w:rsidR="000247AB">
        <w:rPr>
          <w:rFonts w:ascii="Times New Roman" w:eastAsia="Times New Roman" w:hAnsi="Times New Roman" w:cs="Times New Roman"/>
          <w:sz w:val="24"/>
          <w:szCs w:val="24"/>
          <w:lang w:eastAsia="en-ZW"/>
        </w:rPr>
        <w:t>ed</w:t>
      </w:r>
      <w:r>
        <w:rPr>
          <w:rFonts w:ascii="Times New Roman" w:eastAsia="Times New Roman" w:hAnsi="Times New Roman" w:cs="Times New Roman"/>
          <w:sz w:val="24"/>
          <w:szCs w:val="24"/>
          <w:lang w:eastAsia="en-ZW"/>
        </w:rPr>
        <w:t xml:space="preserve"> the issue of assets and liabilities in </w:t>
      </w:r>
      <w:r w:rsidRPr="00A764B3">
        <w:rPr>
          <w:rFonts w:ascii="Times New Roman" w:eastAsia="Times New Roman" w:hAnsi="Times New Roman" w:cs="Times New Roman"/>
          <w:i/>
          <w:sz w:val="24"/>
          <w:szCs w:val="24"/>
          <w:lang w:eastAsia="en-ZW"/>
        </w:rPr>
        <w:t>Zambezi Gas Zimbabwe (Private) Limited v N.R. Barber (Private) Limited &amp; Ano</w:t>
      </w:r>
      <w:r>
        <w:rPr>
          <w:rStyle w:val="FootnoteReference"/>
          <w:rFonts w:ascii="Times New Roman" w:eastAsia="Times New Roman" w:hAnsi="Times New Roman" w:cs="Times New Roman"/>
          <w:i/>
          <w:sz w:val="24"/>
          <w:szCs w:val="24"/>
          <w:lang w:eastAsia="en-ZW"/>
        </w:rPr>
        <w:footnoteReference w:id="4"/>
      </w:r>
      <w:r>
        <w:rPr>
          <w:rFonts w:ascii="Times New Roman" w:eastAsia="Times New Roman" w:hAnsi="Times New Roman" w:cs="Times New Roman"/>
          <w:i/>
          <w:sz w:val="24"/>
          <w:szCs w:val="24"/>
          <w:lang w:eastAsia="en-ZW"/>
        </w:rPr>
        <w:t xml:space="preserve">. </w:t>
      </w:r>
      <w:r>
        <w:rPr>
          <w:rFonts w:ascii="Times New Roman" w:eastAsia="Times New Roman" w:hAnsi="Times New Roman" w:cs="Times New Roman"/>
          <w:sz w:val="24"/>
          <w:szCs w:val="24"/>
          <w:lang w:eastAsia="en-ZW"/>
        </w:rPr>
        <w:t>The court said:</w:t>
      </w:r>
    </w:p>
    <w:p w14:paraId="12D706B2" w14:textId="736B27D6" w:rsidR="00A764B3" w:rsidRDefault="00A764B3" w:rsidP="007C039F">
      <w:pPr>
        <w:autoSpaceDE w:val="0"/>
        <w:autoSpaceDN w:val="0"/>
        <w:adjustRightInd w:val="0"/>
        <w:spacing w:line="240" w:lineRule="auto"/>
        <w:ind w:left="720"/>
        <w:jc w:val="both"/>
        <w:rPr>
          <w:rFonts w:ascii="Times New Roman" w:eastAsia="Times New Roman" w:hAnsi="Times New Roman" w:cs="Times New Roman"/>
          <w:lang w:eastAsia="en-ZW"/>
        </w:rPr>
      </w:pPr>
      <w:r w:rsidRPr="007C039F">
        <w:rPr>
          <w:rFonts w:ascii="Times New Roman" w:eastAsia="Times New Roman" w:hAnsi="Times New Roman" w:cs="Times New Roman"/>
          <w:lang w:eastAsia="en-ZW"/>
        </w:rPr>
        <w:t xml:space="preserve">“The liabilities referred to in s 4(1)(d) of S.I. 33/19 can be in the form of judgment debts and such </w:t>
      </w:r>
      <w:r w:rsidR="007C039F" w:rsidRPr="007C039F">
        <w:rPr>
          <w:rFonts w:ascii="Times New Roman" w:eastAsia="Times New Roman" w:hAnsi="Times New Roman" w:cs="Times New Roman"/>
          <w:lang w:eastAsia="en-ZW"/>
        </w:rPr>
        <w:t xml:space="preserve">liabilities </w:t>
      </w:r>
      <w:r w:rsidR="007F33A0">
        <w:rPr>
          <w:rFonts w:ascii="Times New Roman" w:eastAsia="Times New Roman" w:hAnsi="Times New Roman" w:cs="Times New Roman"/>
          <w:lang w:eastAsia="en-ZW"/>
        </w:rPr>
        <w:t>amount to obligations which should be settled by the judgment debtor. In interpreting s 4(1)(d), regard should be had to assets and liabilities which existed immediately before the effective date of the promulgation of S.I. 33/19. The value of the assets and liabilities should have been expressed in United States dollars immediately before 22 February 2019 for the provisions of s 4(1)(d) of S.I. 33/19 to apply to them.</w:t>
      </w:r>
    </w:p>
    <w:p w14:paraId="3824B61C" w14:textId="41378C8E" w:rsidR="007F33A0" w:rsidRDefault="007F33A0" w:rsidP="007C039F">
      <w:pPr>
        <w:autoSpaceDE w:val="0"/>
        <w:autoSpaceDN w:val="0"/>
        <w:adjustRightInd w:val="0"/>
        <w:spacing w:line="240" w:lineRule="auto"/>
        <w:ind w:left="720"/>
        <w:jc w:val="both"/>
        <w:rPr>
          <w:rFonts w:ascii="Times New Roman" w:eastAsia="Times New Roman" w:hAnsi="Times New Roman" w:cs="Times New Roman"/>
          <w:lang w:eastAsia="en-ZW"/>
        </w:rPr>
      </w:pPr>
      <w:r>
        <w:rPr>
          <w:rFonts w:ascii="Times New Roman" w:eastAsia="Times New Roman" w:hAnsi="Times New Roman" w:cs="Times New Roman"/>
          <w:lang w:eastAsia="en-ZW"/>
        </w:rPr>
        <w:t xml:space="preserve">Section 4(1)(d) of S.I. 33/19 would not apply to assets and liabilities, the values of which were expressed in any foreign currency other than the United States dollar immediately before the </w:t>
      </w:r>
      <w:r w:rsidR="00586545">
        <w:rPr>
          <w:rFonts w:ascii="Times New Roman" w:eastAsia="Times New Roman" w:hAnsi="Times New Roman" w:cs="Times New Roman"/>
          <w:lang w:eastAsia="en-ZW"/>
        </w:rPr>
        <w:t>effective date. If, for example, the value of the assets and liabilities was, immediately before the effective date, still to be assessed by application of an agreed formula, s 4(1)(d) of S.I. 33/19 would not apply to such a transaction even if the payment would thereafter be in United States dollars. It is the assessment and expression of the value of assets and liabilities in United States dollars that matters.”</w:t>
      </w:r>
    </w:p>
    <w:p w14:paraId="4DF934E0" w14:textId="77777777" w:rsidR="004B4DF8" w:rsidRDefault="00586545" w:rsidP="000247AB">
      <w:pPr>
        <w:autoSpaceDE w:val="0"/>
        <w:autoSpaceDN w:val="0"/>
        <w:adjustRightInd w:val="0"/>
        <w:spacing w:after="0" w:line="360" w:lineRule="auto"/>
        <w:ind w:firstLine="720"/>
        <w:jc w:val="both"/>
        <w:rPr>
          <w:rFonts w:ascii="Times New Roman" w:eastAsia="Times New Roman" w:hAnsi="Times New Roman" w:cs="Times New Roman"/>
          <w:sz w:val="24"/>
          <w:szCs w:val="24"/>
          <w:lang w:eastAsia="en-ZW"/>
        </w:rPr>
      </w:pPr>
      <w:r w:rsidRPr="00586545">
        <w:rPr>
          <w:rFonts w:ascii="Times New Roman" w:eastAsia="Times New Roman" w:hAnsi="Times New Roman" w:cs="Times New Roman"/>
          <w:sz w:val="24"/>
          <w:szCs w:val="24"/>
          <w:lang w:eastAsia="en-ZW"/>
        </w:rPr>
        <w:t xml:space="preserve">Further </w:t>
      </w:r>
      <w:r>
        <w:rPr>
          <w:rFonts w:ascii="Times New Roman" w:eastAsia="Times New Roman" w:hAnsi="Times New Roman" w:cs="Times New Roman"/>
          <w:sz w:val="24"/>
          <w:szCs w:val="24"/>
          <w:lang w:eastAsia="en-ZW"/>
        </w:rPr>
        <w:t>down in the same jud</w:t>
      </w:r>
      <w:r w:rsidR="004B4DF8">
        <w:rPr>
          <w:rFonts w:ascii="Times New Roman" w:eastAsia="Times New Roman" w:hAnsi="Times New Roman" w:cs="Times New Roman"/>
          <w:sz w:val="24"/>
          <w:szCs w:val="24"/>
          <w:lang w:eastAsia="en-ZW"/>
        </w:rPr>
        <w:t>gment the court went on to state that S.I. 33/19 was specific to the type of assets and liabilities excluded from s 4(1)(d), reasoning that the origin of the liabilities was not a criterion for the exclusion. The court highlighted that:</w:t>
      </w:r>
    </w:p>
    <w:p w14:paraId="0B17FA22" w14:textId="79A70B17" w:rsidR="00586545" w:rsidRDefault="004B4DF8" w:rsidP="004B4DF8">
      <w:pPr>
        <w:autoSpaceDE w:val="0"/>
        <w:autoSpaceDN w:val="0"/>
        <w:adjustRightInd w:val="0"/>
        <w:spacing w:line="240" w:lineRule="auto"/>
        <w:ind w:left="720"/>
        <w:jc w:val="both"/>
        <w:rPr>
          <w:rFonts w:ascii="Times New Roman" w:eastAsia="Times New Roman" w:hAnsi="Times New Roman" w:cs="Times New Roman"/>
          <w:sz w:val="24"/>
          <w:szCs w:val="24"/>
          <w:lang w:eastAsia="en-ZW"/>
        </w:rPr>
      </w:pPr>
      <w:r w:rsidRPr="004B4DF8">
        <w:rPr>
          <w:rFonts w:ascii="Times New Roman" w:eastAsia="Times New Roman" w:hAnsi="Times New Roman" w:cs="Times New Roman"/>
          <w:lang w:eastAsia="en-ZW"/>
        </w:rPr>
        <w:t>“What brings the asset or liability within the provisions of the statute is the fact that its value was expressed in United States dollars immediately before the effective date and did not fall within the class of assets and liabilities referred to in s 44C(2) of t</w:t>
      </w:r>
      <w:r>
        <w:rPr>
          <w:rFonts w:ascii="Times New Roman" w:eastAsia="Times New Roman" w:hAnsi="Times New Roman" w:cs="Times New Roman"/>
          <w:lang w:eastAsia="en-ZW"/>
        </w:rPr>
        <w:t>he Reserve Bank of Zimbabwe Act….”</w:t>
      </w:r>
    </w:p>
    <w:p w14:paraId="60946424" w14:textId="13AAA1B7" w:rsidR="00B309C0" w:rsidRDefault="004B4DF8" w:rsidP="00564705">
      <w:pPr>
        <w:autoSpaceDE w:val="0"/>
        <w:autoSpaceDN w:val="0"/>
        <w:adjustRightInd w:val="0"/>
        <w:spacing w:after="0" w:line="360" w:lineRule="auto"/>
        <w:ind w:firstLine="720"/>
        <w:jc w:val="both"/>
        <w:rPr>
          <w:rFonts w:ascii="Times New Roman" w:eastAsia="Times New Roman" w:hAnsi="Times New Roman" w:cs="Times New Roman"/>
          <w:sz w:val="24"/>
          <w:szCs w:val="24"/>
          <w:lang w:eastAsia="en-ZW"/>
        </w:rPr>
      </w:pPr>
      <w:r w:rsidRPr="004B4DF8">
        <w:rPr>
          <w:rFonts w:ascii="Times New Roman" w:eastAsia="Times New Roman" w:hAnsi="Times New Roman" w:cs="Times New Roman"/>
          <w:sz w:val="24"/>
          <w:szCs w:val="24"/>
          <w:lang w:eastAsia="en-ZW"/>
        </w:rPr>
        <w:t xml:space="preserve">Mr </w:t>
      </w:r>
      <w:r w:rsidRPr="004B4DF8">
        <w:rPr>
          <w:rFonts w:ascii="Times New Roman" w:eastAsia="Times New Roman" w:hAnsi="Times New Roman" w:cs="Times New Roman"/>
          <w:i/>
          <w:sz w:val="24"/>
          <w:szCs w:val="24"/>
          <w:lang w:eastAsia="en-ZW"/>
        </w:rPr>
        <w:t xml:space="preserve">Mushuma </w:t>
      </w:r>
      <w:r w:rsidR="00B309C0">
        <w:rPr>
          <w:rFonts w:ascii="Times New Roman" w:eastAsia="Times New Roman" w:hAnsi="Times New Roman" w:cs="Times New Roman"/>
          <w:sz w:val="24"/>
          <w:szCs w:val="24"/>
          <w:lang w:eastAsia="en-ZW"/>
        </w:rPr>
        <w:t xml:space="preserve">submitted </w:t>
      </w:r>
      <w:r>
        <w:rPr>
          <w:rFonts w:ascii="Times New Roman" w:eastAsia="Times New Roman" w:hAnsi="Times New Roman" w:cs="Times New Roman"/>
          <w:sz w:val="24"/>
          <w:szCs w:val="24"/>
          <w:lang w:eastAsia="en-ZW"/>
        </w:rPr>
        <w:t xml:space="preserve">that </w:t>
      </w:r>
      <w:r w:rsidR="00B309C0">
        <w:rPr>
          <w:rFonts w:ascii="Times New Roman" w:eastAsia="Times New Roman" w:hAnsi="Times New Roman" w:cs="Times New Roman"/>
          <w:sz w:val="24"/>
          <w:szCs w:val="24"/>
          <w:lang w:eastAsia="en-ZW"/>
        </w:rPr>
        <w:t>what distinguishe</w:t>
      </w:r>
      <w:r w:rsidR="00564705">
        <w:rPr>
          <w:rFonts w:ascii="Times New Roman" w:eastAsia="Times New Roman" w:hAnsi="Times New Roman" w:cs="Times New Roman"/>
          <w:sz w:val="24"/>
          <w:szCs w:val="24"/>
          <w:lang w:eastAsia="en-ZW"/>
        </w:rPr>
        <w:t>d</w:t>
      </w:r>
      <w:r w:rsidR="00B309C0">
        <w:rPr>
          <w:rFonts w:ascii="Times New Roman" w:eastAsia="Times New Roman" w:hAnsi="Times New Roman" w:cs="Times New Roman"/>
          <w:sz w:val="24"/>
          <w:szCs w:val="24"/>
          <w:lang w:eastAsia="en-ZW"/>
        </w:rPr>
        <w:t xml:space="preserve"> the present case from the </w:t>
      </w:r>
      <w:r w:rsidR="00B309C0" w:rsidRPr="00B309C0">
        <w:rPr>
          <w:rFonts w:ascii="Times New Roman" w:eastAsia="Times New Roman" w:hAnsi="Times New Roman" w:cs="Times New Roman"/>
          <w:i/>
          <w:sz w:val="24"/>
          <w:szCs w:val="24"/>
          <w:lang w:eastAsia="en-ZW"/>
        </w:rPr>
        <w:t>Zambezi Gas Zimbabwe</w:t>
      </w:r>
      <w:r w:rsidR="00B309C0">
        <w:rPr>
          <w:rFonts w:ascii="Times New Roman" w:eastAsia="Times New Roman" w:hAnsi="Times New Roman" w:cs="Times New Roman"/>
          <w:sz w:val="24"/>
          <w:szCs w:val="24"/>
          <w:lang w:eastAsia="en-ZW"/>
        </w:rPr>
        <w:t xml:space="preserve"> case was that the judgment </w:t>
      </w:r>
      <w:r w:rsidR="00B309C0" w:rsidRPr="00564705">
        <w:rPr>
          <w:rFonts w:ascii="Times New Roman" w:eastAsia="Times New Roman" w:hAnsi="Times New Roman" w:cs="Times New Roman"/>
          <w:sz w:val="24"/>
          <w:szCs w:val="24"/>
          <w:lang w:eastAsia="en-ZW"/>
        </w:rPr>
        <w:t>in</w:t>
      </w:r>
      <w:r w:rsidR="00B309C0" w:rsidRPr="00B309C0">
        <w:rPr>
          <w:rFonts w:ascii="Times New Roman" w:eastAsia="Times New Roman" w:hAnsi="Times New Roman" w:cs="Times New Roman"/>
          <w:i/>
          <w:sz w:val="24"/>
          <w:szCs w:val="24"/>
          <w:lang w:eastAsia="en-ZW"/>
        </w:rPr>
        <w:t xml:space="preserve"> casu</w:t>
      </w:r>
      <w:r w:rsidR="00B309C0">
        <w:rPr>
          <w:rFonts w:ascii="Times New Roman" w:eastAsia="Times New Roman" w:hAnsi="Times New Roman" w:cs="Times New Roman"/>
          <w:sz w:val="24"/>
          <w:szCs w:val="24"/>
          <w:lang w:eastAsia="en-ZW"/>
        </w:rPr>
        <w:t xml:space="preserve"> was only delivered after the first effective date, such that it could not be construed as an asset or liability that </w:t>
      </w:r>
      <w:r w:rsidR="005917A6">
        <w:rPr>
          <w:rFonts w:ascii="Times New Roman" w:eastAsia="Times New Roman" w:hAnsi="Times New Roman" w:cs="Times New Roman"/>
          <w:sz w:val="24"/>
          <w:szCs w:val="24"/>
          <w:lang w:eastAsia="en-ZW"/>
        </w:rPr>
        <w:t>fell within the ambit of s</w:t>
      </w:r>
      <w:r w:rsidR="00B309C0">
        <w:rPr>
          <w:rFonts w:ascii="Times New Roman" w:eastAsia="Times New Roman" w:hAnsi="Times New Roman" w:cs="Times New Roman"/>
          <w:sz w:val="24"/>
          <w:szCs w:val="24"/>
          <w:lang w:eastAsia="en-ZW"/>
        </w:rPr>
        <w:t xml:space="preserve"> 22</w:t>
      </w:r>
      <w:r w:rsidR="005917A6">
        <w:rPr>
          <w:rFonts w:ascii="Times New Roman" w:eastAsia="Times New Roman" w:hAnsi="Times New Roman" w:cs="Times New Roman"/>
          <w:sz w:val="24"/>
          <w:szCs w:val="24"/>
          <w:lang w:eastAsia="en-ZW"/>
        </w:rPr>
        <w:t xml:space="preserve"> </w:t>
      </w:r>
      <w:r w:rsidR="00B309C0">
        <w:rPr>
          <w:rFonts w:ascii="Times New Roman" w:eastAsia="Times New Roman" w:hAnsi="Times New Roman" w:cs="Times New Roman"/>
          <w:sz w:val="24"/>
          <w:szCs w:val="24"/>
          <w:lang w:eastAsia="en-ZW"/>
        </w:rPr>
        <w:t xml:space="preserve">(1)(d) of S.I. 33/19. That submission is somewhat persuasive. </w:t>
      </w:r>
      <w:r w:rsidR="005917A6">
        <w:rPr>
          <w:rFonts w:ascii="Times New Roman" w:eastAsia="Times New Roman" w:hAnsi="Times New Roman" w:cs="Times New Roman"/>
          <w:sz w:val="24"/>
          <w:szCs w:val="24"/>
          <w:lang w:eastAsia="en-ZW"/>
        </w:rPr>
        <w:t xml:space="preserve"> </w:t>
      </w:r>
      <w:r w:rsidR="00B309C0">
        <w:rPr>
          <w:rFonts w:ascii="Times New Roman" w:eastAsia="Times New Roman" w:hAnsi="Times New Roman" w:cs="Times New Roman"/>
          <w:sz w:val="24"/>
          <w:szCs w:val="24"/>
          <w:lang w:eastAsia="en-ZW"/>
        </w:rPr>
        <w:t>It can only explain why the court then went ahead and order</w:t>
      </w:r>
      <w:r w:rsidR="00564705">
        <w:rPr>
          <w:rFonts w:ascii="Times New Roman" w:eastAsia="Times New Roman" w:hAnsi="Times New Roman" w:cs="Times New Roman"/>
          <w:sz w:val="24"/>
          <w:szCs w:val="24"/>
          <w:lang w:eastAsia="en-ZW"/>
        </w:rPr>
        <w:t>ed</w:t>
      </w:r>
      <w:r w:rsidR="00B309C0">
        <w:rPr>
          <w:rFonts w:ascii="Times New Roman" w:eastAsia="Times New Roman" w:hAnsi="Times New Roman" w:cs="Times New Roman"/>
          <w:sz w:val="24"/>
          <w:szCs w:val="24"/>
          <w:lang w:eastAsia="en-ZW"/>
        </w:rPr>
        <w:t xml:space="preserve"> that the applicant pay</w:t>
      </w:r>
      <w:r w:rsidR="005917A6">
        <w:rPr>
          <w:rFonts w:ascii="Times New Roman" w:eastAsia="Times New Roman" w:hAnsi="Times New Roman" w:cs="Times New Roman"/>
          <w:sz w:val="24"/>
          <w:szCs w:val="24"/>
          <w:lang w:eastAsia="en-ZW"/>
        </w:rPr>
        <w:t xml:space="preserve">s an amount equivalent to US$58 </w:t>
      </w:r>
      <w:r w:rsidR="00B309C0">
        <w:rPr>
          <w:rFonts w:ascii="Times New Roman" w:eastAsia="Times New Roman" w:hAnsi="Times New Roman" w:cs="Times New Roman"/>
          <w:sz w:val="24"/>
          <w:szCs w:val="24"/>
          <w:lang w:eastAsia="en-ZW"/>
        </w:rPr>
        <w:t>500</w:t>
      </w:r>
      <w:r w:rsidR="005917A6">
        <w:rPr>
          <w:rFonts w:ascii="Times New Roman" w:eastAsia="Times New Roman" w:hAnsi="Times New Roman" w:cs="Times New Roman"/>
          <w:sz w:val="24"/>
          <w:szCs w:val="24"/>
          <w:lang w:eastAsia="en-ZW"/>
        </w:rPr>
        <w:t xml:space="preserve"> </w:t>
      </w:r>
      <w:r w:rsidR="00B309C0">
        <w:rPr>
          <w:rFonts w:ascii="Times New Roman" w:eastAsia="Times New Roman" w:hAnsi="Times New Roman" w:cs="Times New Roman"/>
          <w:sz w:val="24"/>
          <w:szCs w:val="24"/>
          <w:lang w:eastAsia="en-ZW"/>
        </w:rPr>
        <w:t>in RTGS calculated at the prevailing interbank rate.</w:t>
      </w:r>
      <w:r w:rsidR="00743438">
        <w:rPr>
          <w:rFonts w:ascii="Times New Roman" w:eastAsia="Times New Roman" w:hAnsi="Times New Roman" w:cs="Times New Roman"/>
          <w:sz w:val="24"/>
          <w:szCs w:val="24"/>
          <w:lang w:eastAsia="en-ZW"/>
        </w:rPr>
        <w:t xml:space="preserve"> </w:t>
      </w:r>
      <w:r w:rsidR="00B309C0">
        <w:rPr>
          <w:rFonts w:ascii="Times New Roman" w:eastAsia="Times New Roman" w:hAnsi="Times New Roman" w:cs="Times New Roman"/>
          <w:sz w:val="24"/>
          <w:szCs w:val="24"/>
          <w:lang w:eastAsia="en-ZW"/>
        </w:rPr>
        <w:t xml:space="preserve"> Indeed at page 11 of the </w:t>
      </w:r>
      <w:r w:rsidR="00B309C0" w:rsidRPr="00B309C0">
        <w:rPr>
          <w:rFonts w:ascii="Times New Roman" w:eastAsia="Times New Roman" w:hAnsi="Times New Roman" w:cs="Times New Roman"/>
          <w:i/>
          <w:sz w:val="24"/>
          <w:szCs w:val="24"/>
          <w:lang w:eastAsia="en-ZW"/>
        </w:rPr>
        <w:t>Zambezi Gas Zimbabwe</w:t>
      </w:r>
      <w:r w:rsidR="00B309C0">
        <w:rPr>
          <w:rFonts w:ascii="Times New Roman" w:eastAsia="Times New Roman" w:hAnsi="Times New Roman" w:cs="Times New Roman"/>
          <w:sz w:val="24"/>
          <w:szCs w:val="24"/>
          <w:lang w:eastAsia="en-ZW"/>
        </w:rPr>
        <w:t xml:space="preserve"> judgment, the court held:</w:t>
      </w:r>
    </w:p>
    <w:p w14:paraId="4921EC06" w14:textId="50E5579F" w:rsidR="00A764B3" w:rsidRPr="004B4DF8" w:rsidRDefault="00B309C0" w:rsidP="007E2C8C">
      <w:pPr>
        <w:autoSpaceDE w:val="0"/>
        <w:autoSpaceDN w:val="0"/>
        <w:adjustRightInd w:val="0"/>
        <w:spacing w:line="240" w:lineRule="auto"/>
        <w:ind w:left="720"/>
        <w:jc w:val="both"/>
        <w:rPr>
          <w:rFonts w:ascii="Times New Roman" w:eastAsia="Times New Roman" w:hAnsi="Times New Roman" w:cs="Times New Roman"/>
          <w:sz w:val="24"/>
          <w:szCs w:val="24"/>
          <w:lang w:eastAsia="en-ZW"/>
        </w:rPr>
      </w:pPr>
      <w:r w:rsidRPr="007E2C8C">
        <w:rPr>
          <w:rFonts w:ascii="Times New Roman" w:eastAsia="Times New Roman" w:hAnsi="Times New Roman" w:cs="Times New Roman"/>
          <w:lang w:eastAsia="en-ZW"/>
        </w:rPr>
        <w:t xml:space="preserve">“The issue of the time frame within which the liability arose in relation to the effective date of 22 February 2019 does not matter. What is of importance is the fact that the </w:t>
      </w:r>
      <w:r w:rsidRPr="0050581D">
        <w:rPr>
          <w:rFonts w:ascii="Times New Roman" w:eastAsia="Times New Roman" w:hAnsi="Times New Roman" w:cs="Times New Roman"/>
          <w:u w:val="single"/>
          <w:lang w:eastAsia="en-ZW"/>
        </w:rPr>
        <w:t>liability should have been valued before the effective date in United States dollars and was still so valued and expressed</w:t>
      </w:r>
      <w:r w:rsidRPr="007E2C8C">
        <w:rPr>
          <w:rFonts w:ascii="Times New Roman" w:eastAsia="Times New Roman" w:hAnsi="Times New Roman" w:cs="Times New Roman"/>
          <w:lang w:eastAsia="en-ZW"/>
        </w:rPr>
        <w:t xml:space="preserve">. </w:t>
      </w:r>
      <w:r w:rsidR="007E2C8C" w:rsidRPr="007E2C8C">
        <w:rPr>
          <w:rFonts w:ascii="Times New Roman" w:eastAsia="Times New Roman" w:hAnsi="Times New Roman" w:cs="Times New Roman"/>
          <w:lang w:eastAsia="en-ZW"/>
        </w:rPr>
        <w:t xml:space="preserve">The </w:t>
      </w:r>
      <w:r w:rsidR="007E2C8C" w:rsidRPr="007E2C8C">
        <w:rPr>
          <w:rFonts w:ascii="Times New Roman" w:eastAsia="Times New Roman" w:hAnsi="Times New Roman" w:cs="Times New Roman"/>
          <w:lang w:eastAsia="en-ZW"/>
        </w:rPr>
        <w:lastRenderedPageBreak/>
        <w:t>judgment debt was ordered against the appellant on 25 June 2018. It was valued and expressed in United States dollars and was still so valued and expressed immediately before 22 February 2019.</w:t>
      </w:r>
      <w:r w:rsidR="007E2C8C">
        <w:rPr>
          <w:rFonts w:ascii="Times New Roman" w:eastAsia="Times New Roman" w:hAnsi="Times New Roman" w:cs="Times New Roman"/>
          <w:sz w:val="24"/>
          <w:szCs w:val="24"/>
          <w:lang w:eastAsia="en-ZW"/>
        </w:rPr>
        <w:t>”</w:t>
      </w:r>
      <w:r>
        <w:rPr>
          <w:rFonts w:ascii="Times New Roman" w:eastAsia="Times New Roman" w:hAnsi="Times New Roman" w:cs="Times New Roman"/>
          <w:sz w:val="24"/>
          <w:szCs w:val="24"/>
          <w:lang w:eastAsia="en-ZW"/>
        </w:rPr>
        <w:t xml:space="preserve"> </w:t>
      </w:r>
    </w:p>
    <w:p w14:paraId="0CB4DDEB" w14:textId="032600B2" w:rsidR="0050581D" w:rsidRPr="00564705" w:rsidRDefault="007E2C8C" w:rsidP="00564705">
      <w:pPr>
        <w:autoSpaceDE w:val="0"/>
        <w:autoSpaceDN w:val="0"/>
        <w:adjustRightInd w:val="0"/>
        <w:spacing w:after="0" w:line="360" w:lineRule="auto"/>
        <w:ind w:firstLine="720"/>
        <w:jc w:val="both"/>
        <w:rPr>
          <w:rFonts w:ascii="Times New Roman" w:eastAsia="Times New Roman" w:hAnsi="Times New Roman" w:cs="Times New Roman"/>
          <w:sz w:val="24"/>
          <w:szCs w:val="24"/>
          <w:lang w:eastAsia="en-ZW"/>
        </w:rPr>
      </w:pPr>
      <w:r w:rsidRPr="007E2C8C">
        <w:rPr>
          <w:rFonts w:ascii="Times New Roman" w:eastAsia="Times New Roman" w:hAnsi="Times New Roman" w:cs="Times New Roman"/>
          <w:sz w:val="24"/>
          <w:szCs w:val="24"/>
          <w:lang w:eastAsia="en-ZW"/>
        </w:rPr>
        <w:t xml:space="preserve">In the present case, the claim arose way back before the effective date, but judgment of the High Court was </w:t>
      </w:r>
      <w:r w:rsidR="00564705">
        <w:rPr>
          <w:rFonts w:ascii="Times New Roman" w:eastAsia="Times New Roman" w:hAnsi="Times New Roman" w:cs="Times New Roman"/>
          <w:sz w:val="24"/>
          <w:szCs w:val="24"/>
          <w:lang w:eastAsia="en-ZW"/>
        </w:rPr>
        <w:t xml:space="preserve">delivered </w:t>
      </w:r>
      <w:r w:rsidRPr="007E2C8C">
        <w:rPr>
          <w:rFonts w:ascii="Times New Roman" w:eastAsia="Times New Roman" w:hAnsi="Times New Roman" w:cs="Times New Roman"/>
          <w:sz w:val="24"/>
          <w:szCs w:val="24"/>
          <w:lang w:eastAsia="en-ZW"/>
        </w:rPr>
        <w:t xml:space="preserve">after the </w:t>
      </w:r>
      <w:r w:rsidR="00564705">
        <w:rPr>
          <w:rFonts w:ascii="Times New Roman" w:eastAsia="Times New Roman" w:hAnsi="Times New Roman" w:cs="Times New Roman"/>
          <w:sz w:val="24"/>
          <w:szCs w:val="24"/>
          <w:lang w:eastAsia="en-ZW"/>
        </w:rPr>
        <w:t xml:space="preserve">first </w:t>
      </w:r>
      <w:r w:rsidRPr="007E2C8C">
        <w:rPr>
          <w:rFonts w:ascii="Times New Roman" w:eastAsia="Times New Roman" w:hAnsi="Times New Roman" w:cs="Times New Roman"/>
          <w:sz w:val="24"/>
          <w:szCs w:val="24"/>
          <w:lang w:eastAsia="en-ZW"/>
        </w:rPr>
        <w:t>effective date on 15 January 2020. The Supreme Court order was handed down on 21 July 2020. The question that arises is, was liability valued and expressed in United States dollars before the effective date or not?</w:t>
      </w:r>
      <w:r>
        <w:rPr>
          <w:rFonts w:ascii="Times New Roman" w:eastAsia="Times New Roman" w:hAnsi="Times New Roman" w:cs="Times New Roman"/>
          <w:sz w:val="24"/>
          <w:szCs w:val="24"/>
          <w:lang w:eastAsia="en-ZW"/>
        </w:rPr>
        <w:t xml:space="preserve"> </w:t>
      </w:r>
      <w:r w:rsidR="0050581D">
        <w:rPr>
          <w:rFonts w:ascii="Times New Roman" w:eastAsia="Times New Roman" w:hAnsi="Times New Roman" w:cs="Times New Roman"/>
          <w:sz w:val="24"/>
          <w:szCs w:val="24"/>
          <w:lang w:eastAsia="en-ZW"/>
        </w:rPr>
        <w:t xml:space="preserve">Applying the logic in the </w:t>
      </w:r>
      <w:r w:rsidR="0050581D" w:rsidRPr="00564705">
        <w:rPr>
          <w:rFonts w:ascii="Times New Roman" w:eastAsia="Times New Roman" w:hAnsi="Times New Roman" w:cs="Times New Roman"/>
          <w:i/>
          <w:sz w:val="24"/>
          <w:szCs w:val="24"/>
          <w:lang w:eastAsia="en-ZW"/>
        </w:rPr>
        <w:t>Zambezi Gas Zimbabwe</w:t>
      </w:r>
      <w:r w:rsidR="0050581D">
        <w:rPr>
          <w:rFonts w:ascii="Times New Roman" w:eastAsia="Times New Roman" w:hAnsi="Times New Roman" w:cs="Times New Roman"/>
          <w:sz w:val="24"/>
          <w:szCs w:val="24"/>
          <w:lang w:eastAsia="en-ZW"/>
        </w:rPr>
        <w:t xml:space="preserve"> judgment, it seems to me that liability is only deemed to be valued after the court has determined the extent of such liability through a judgment or an order. </w:t>
      </w:r>
      <w:r w:rsidR="00564705">
        <w:rPr>
          <w:rFonts w:ascii="Times New Roman" w:eastAsia="Times New Roman" w:hAnsi="Times New Roman" w:cs="Times New Roman"/>
          <w:sz w:val="24"/>
          <w:szCs w:val="24"/>
          <w:lang w:eastAsia="en-ZW"/>
        </w:rPr>
        <w:t xml:space="preserve">This would explain </w:t>
      </w:r>
      <w:r w:rsidR="0050581D">
        <w:rPr>
          <w:rFonts w:ascii="Times New Roman" w:eastAsia="Times New Roman" w:hAnsi="Times New Roman" w:cs="Times New Roman"/>
          <w:sz w:val="24"/>
          <w:szCs w:val="24"/>
          <w:lang w:eastAsia="en-ZW"/>
        </w:rPr>
        <w:t>why the court ordered payment of an amount equivalent to US$58</w:t>
      </w:r>
      <w:r w:rsidR="00743438">
        <w:rPr>
          <w:rFonts w:ascii="Times New Roman" w:eastAsia="Times New Roman" w:hAnsi="Times New Roman" w:cs="Times New Roman"/>
          <w:sz w:val="24"/>
          <w:szCs w:val="24"/>
          <w:lang w:eastAsia="en-ZW"/>
        </w:rPr>
        <w:t xml:space="preserve"> </w:t>
      </w:r>
      <w:r w:rsidR="0050581D">
        <w:rPr>
          <w:rFonts w:ascii="Times New Roman" w:eastAsia="Times New Roman" w:hAnsi="Times New Roman" w:cs="Times New Roman"/>
          <w:sz w:val="24"/>
          <w:szCs w:val="24"/>
          <w:lang w:eastAsia="en-ZW"/>
        </w:rPr>
        <w:t>500 in RTGS but calculated at the prevailing interbank rate. Had the court interpreted liability in relation to the claim that had not yet been determined, then it would have simply ordered payment of the sum of RTGS $58</w:t>
      </w:r>
      <w:r w:rsidR="00743438">
        <w:rPr>
          <w:rFonts w:ascii="Times New Roman" w:eastAsia="Times New Roman" w:hAnsi="Times New Roman" w:cs="Times New Roman"/>
          <w:sz w:val="24"/>
          <w:szCs w:val="24"/>
          <w:lang w:eastAsia="en-ZW"/>
        </w:rPr>
        <w:t xml:space="preserve"> </w:t>
      </w:r>
      <w:r w:rsidR="0050581D">
        <w:rPr>
          <w:rFonts w:ascii="Times New Roman" w:eastAsia="Times New Roman" w:hAnsi="Times New Roman" w:cs="Times New Roman"/>
          <w:sz w:val="24"/>
          <w:szCs w:val="24"/>
          <w:lang w:eastAsia="en-ZW"/>
        </w:rPr>
        <w:t xml:space="preserve">500, without the need for applying the interbank rate to equate it to the United States dollar amount. </w:t>
      </w:r>
      <w:r w:rsidR="00A92F78" w:rsidRPr="00564705">
        <w:rPr>
          <w:rFonts w:ascii="Times New Roman" w:eastAsia="Times New Roman" w:hAnsi="Times New Roman" w:cs="Times New Roman"/>
          <w:sz w:val="24"/>
          <w:szCs w:val="24"/>
          <w:lang w:eastAsia="en-ZW"/>
        </w:rPr>
        <w:t xml:space="preserve">The written judgment of the court would </w:t>
      </w:r>
      <w:r w:rsidR="00564705" w:rsidRPr="00564705">
        <w:rPr>
          <w:rFonts w:ascii="Times New Roman" w:eastAsia="Times New Roman" w:hAnsi="Times New Roman" w:cs="Times New Roman"/>
          <w:sz w:val="24"/>
          <w:szCs w:val="24"/>
          <w:lang w:eastAsia="en-ZW"/>
        </w:rPr>
        <w:t xml:space="preserve">certainly </w:t>
      </w:r>
      <w:r w:rsidR="00A92F78" w:rsidRPr="00564705">
        <w:rPr>
          <w:rFonts w:ascii="Times New Roman" w:eastAsia="Times New Roman" w:hAnsi="Times New Roman" w:cs="Times New Roman"/>
          <w:sz w:val="24"/>
          <w:szCs w:val="24"/>
          <w:lang w:eastAsia="en-ZW"/>
        </w:rPr>
        <w:t xml:space="preserve">come in handy in clarifying this point. </w:t>
      </w:r>
    </w:p>
    <w:p w14:paraId="53D1CDD8" w14:textId="78ABCE33" w:rsidR="006D0D47" w:rsidRDefault="00434307" w:rsidP="00564705">
      <w:pPr>
        <w:autoSpaceDE w:val="0"/>
        <w:autoSpaceDN w:val="0"/>
        <w:adjustRightInd w:val="0"/>
        <w:spacing w:after="0" w:line="360" w:lineRule="auto"/>
        <w:ind w:firstLine="720"/>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 xml:space="preserve">In the court’s view, the same logic would </w:t>
      </w:r>
      <w:r w:rsidR="00564705">
        <w:rPr>
          <w:rFonts w:ascii="Times New Roman" w:eastAsia="Times New Roman" w:hAnsi="Times New Roman" w:cs="Times New Roman"/>
          <w:sz w:val="24"/>
          <w:szCs w:val="24"/>
          <w:lang w:eastAsia="en-ZW"/>
        </w:rPr>
        <w:t xml:space="preserve">surely </w:t>
      </w:r>
      <w:r>
        <w:rPr>
          <w:rFonts w:ascii="Times New Roman" w:eastAsia="Times New Roman" w:hAnsi="Times New Roman" w:cs="Times New Roman"/>
          <w:sz w:val="24"/>
          <w:szCs w:val="24"/>
          <w:lang w:eastAsia="en-ZW"/>
        </w:rPr>
        <w:t>apply in relation to the question of costs.</w:t>
      </w:r>
      <w:r w:rsidR="00564705">
        <w:rPr>
          <w:rFonts w:ascii="Times New Roman" w:eastAsia="Times New Roman" w:hAnsi="Times New Roman" w:cs="Times New Roman"/>
          <w:sz w:val="24"/>
          <w:szCs w:val="24"/>
          <w:lang w:eastAsia="en-ZW"/>
        </w:rPr>
        <w:t xml:space="preserve"> If they were incurred prior to the first effective date but only assessed after the first effective date, then the same logic that was applied in respect of the principal amount should apply to the question of costs. However, </w:t>
      </w:r>
      <w:r>
        <w:rPr>
          <w:rFonts w:ascii="Times New Roman" w:eastAsia="Times New Roman" w:hAnsi="Times New Roman" w:cs="Times New Roman"/>
          <w:sz w:val="24"/>
          <w:szCs w:val="24"/>
          <w:lang w:eastAsia="en-ZW"/>
        </w:rPr>
        <w:t xml:space="preserve">the position of the law on the question of costs of suit was settled by the Supreme Court in </w:t>
      </w:r>
      <w:r w:rsidRPr="00434307">
        <w:rPr>
          <w:rFonts w:ascii="Times New Roman" w:eastAsia="Times New Roman" w:hAnsi="Times New Roman" w:cs="Times New Roman"/>
          <w:i/>
          <w:sz w:val="24"/>
          <w:szCs w:val="24"/>
          <w:lang w:eastAsia="en-ZW"/>
        </w:rPr>
        <w:t xml:space="preserve">Zizhou </w:t>
      </w:r>
      <w:r w:rsidRPr="00743438">
        <w:rPr>
          <w:rFonts w:ascii="Times New Roman" w:eastAsia="Times New Roman" w:hAnsi="Times New Roman" w:cs="Times New Roman"/>
          <w:sz w:val="24"/>
          <w:szCs w:val="24"/>
          <w:lang w:eastAsia="en-ZW"/>
        </w:rPr>
        <w:t xml:space="preserve">v </w:t>
      </w:r>
      <w:r w:rsidRPr="00434307">
        <w:rPr>
          <w:rFonts w:ascii="Times New Roman" w:eastAsia="Times New Roman" w:hAnsi="Times New Roman" w:cs="Times New Roman"/>
          <w:i/>
          <w:sz w:val="24"/>
          <w:szCs w:val="24"/>
          <w:lang w:eastAsia="en-ZW"/>
        </w:rPr>
        <w:t>Taxing Officer &amp; Another</w:t>
      </w:r>
      <w:r w:rsidR="00F81D15">
        <w:rPr>
          <w:rStyle w:val="FootnoteReference"/>
          <w:rFonts w:ascii="Times New Roman" w:eastAsia="Times New Roman" w:hAnsi="Times New Roman" w:cs="Times New Roman"/>
          <w:i/>
          <w:sz w:val="24"/>
          <w:szCs w:val="24"/>
          <w:lang w:eastAsia="en-ZW"/>
        </w:rPr>
        <w:footnoteReference w:id="5"/>
      </w:r>
      <w:r w:rsidR="00F81D15">
        <w:rPr>
          <w:rFonts w:ascii="Times New Roman" w:eastAsia="Times New Roman" w:hAnsi="Times New Roman" w:cs="Times New Roman"/>
          <w:i/>
          <w:sz w:val="24"/>
          <w:szCs w:val="24"/>
          <w:lang w:eastAsia="en-ZW"/>
        </w:rPr>
        <w:t xml:space="preserve">. </w:t>
      </w:r>
      <w:r w:rsidR="00F81D15">
        <w:rPr>
          <w:rFonts w:ascii="Times New Roman" w:eastAsia="Times New Roman" w:hAnsi="Times New Roman" w:cs="Times New Roman"/>
          <w:sz w:val="24"/>
          <w:szCs w:val="24"/>
          <w:lang w:eastAsia="en-ZW"/>
        </w:rPr>
        <w:t xml:space="preserve">Just like in this matter, the court had to deal with a bill of costs that was denominated in United States dollars. </w:t>
      </w:r>
      <w:r w:rsidR="006D0D47">
        <w:rPr>
          <w:rFonts w:ascii="Times New Roman" w:eastAsia="Times New Roman" w:hAnsi="Times New Roman" w:cs="Times New Roman"/>
          <w:sz w:val="24"/>
          <w:szCs w:val="24"/>
          <w:lang w:eastAsia="en-ZW"/>
        </w:rPr>
        <w:t xml:space="preserve">The </w:t>
      </w:r>
      <w:r w:rsidR="00B60EC7">
        <w:rPr>
          <w:rFonts w:ascii="Times New Roman" w:eastAsia="Times New Roman" w:hAnsi="Times New Roman" w:cs="Times New Roman"/>
          <w:sz w:val="24"/>
          <w:szCs w:val="24"/>
          <w:lang w:eastAsia="en-ZW"/>
        </w:rPr>
        <w:t xml:space="preserve">court </w:t>
      </w:r>
      <w:r w:rsidR="00564705">
        <w:rPr>
          <w:rFonts w:ascii="Times New Roman" w:eastAsia="Times New Roman" w:hAnsi="Times New Roman" w:cs="Times New Roman"/>
          <w:sz w:val="24"/>
          <w:szCs w:val="24"/>
          <w:lang w:eastAsia="en-ZW"/>
        </w:rPr>
        <w:t>held as follows:</w:t>
      </w:r>
    </w:p>
    <w:p w14:paraId="677B50BB" w14:textId="77777777" w:rsidR="006D0D47" w:rsidRPr="00564705" w:rsidRDefault="006D0D47" w:rsidP="006D0D47">
      <w:pPr>
        <w:spacing w:after="0" w:line="240" w:lineRule="auto"/>
        <w:ind w:left="1134"/>
        <w:jc w:val="both"/>
        <w:rPr>
          <w:rFonts w:ascii="Times New Roman" w:hAnsi="Times New Roman" w:cs="Times New Roman"/>
          <w:lang w:val="en-ZW"/>
        </w:rPr>
      </w:pPr>
      <w:r w:rsidRPr="00564705">
        <w:rPr>
          <w:rFonts w:ascii="Times New Roman" w:eastAsia="Times New Roman" w:hAnsi="Times New Roman" w:cs="Times New Roman"/>
          <w:lang w:eastAsia="en-ZW"/>
        </w:rPr>
        <w:t>“</w:t>
      </w:r>
      <w:r w:rsidRPr="00B279DF">
        <w:rPr>
          <w:rFonts w:ascii="Times New Roman" w:hAnsi="Times New Roman" w:cs="Times New Roman"/>
          <w:lang w:val="en-ZW"/>
        </w:rPr>
        <w:t>The bill was presented for taxation on 8 July 2019. By that date, S.I 33 of 2019 was part of the law, having been published on 22 February 2019. The statutory instrument introduced the RTGS dollar as a currency and legal tender, and placed it on par with the bond note and the United States dollar. Although not of direct relevance to the determination of this review, S.I.33 of 2019 also decreed that all assets and liabilities denominated in United States dollars prior to the publication date were to be deemed to be in RTGS dollars at a rate of one-to one with the United States dollar. It also declared that every enactment in which an amount was stated in United States dollars was to be construed as stating the amount in RTGS dollars, at parity with the United States dollar.</w:t>
      </w:r>
    </w:p>
    <w:p w14:paraId="00D50056" w14:textId="77777777" w:rsidR="006D0D47" w:rsidRPr="006D0D47" w:rsidRDefault="006D0D47" w:rsidP="006D0D47">
      <w:pPr>
        <w:spacing w:after="0" w:line="240" w:lineRule="auto"/>
        <w:ind w:firstLine="1134"/>
        <w:jc w:val="both"/>
        <w:rPr>
          <w:rFonts w:ascii="Times New Roman" w:hAnsi="Times New Roman" w:cs="Times New Roman"/>
          <w:lang w:val="en-ZW"/>
        </w:rPr>
      </w:pPr>
    </w:p>
    <w:p w14:paraId="32D5F2A6" w14:textId="77777777" w:rsidR="006D0D47" w:rsidRDefault="006D0D47" w:rsidP="006D0D47">
      <w:pPr>
        <w:spacing w:after="0" w:line="240" w:lineRule="auto"/>
        <w:ind w:left="1134"/>
        <w:jc w:val="both"/>
        <w:rPr>
          <w:rFonts w:ascii="Times New Roman" w:hAnsi="Times New Roman" w:cs="Times New Roman"/>
          <w:lang w:val="en-ZW"/>
        </w:rPr>
      </w:pPr>
      <w:r w:rsidRPr="006D0D47">
        <w:rPr>
          <w:rFonts w:ascii="Times New Roman" w:hAnsi="Times New Roman" w:cs="Times New Roman"/>
          <w:lang w:val="en-ZW"/>
        </w:rPr>
        <w:t>In addition and more relevant to the determination of this matter, at the time the draft bill was presented for taxation, S.I. 142 of 2019 was also in force, having been published on 24 June 2019. Whilst S.I 33 of 2019 introduced the RTGS dollar as legal tender alongside the bond note and other currencies, S.I 142/19 made the local currency as set out in S.I. 33 of 2019 the sole legal tender in all transactions</w:t>
      </w:r>
      <w:r>
        <w:rPr>
          <w:rFonts w:ascii="Times New Roman" w:hAnsi="Times New Roman" w:cs="Times New Roman"/>
          <w:lang w:val="en-ZW"/>
        </w:rPr>
        <w:t xml:space="preserve"> in Zimbabwe”</w:t>
      </w:r>
    </w:p>
    <w:p w14:paraId="31F95C79" w14:textId="27B47F74" w:rsidR="00F91E44" w:rsidRDefault="00F91E44" w:rsidP="00743438">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lastRenderedPageBreak/>
        <w:t xml:space="preserve">My understanding of the court’s conclusion is that the entrenchment of the local currency as the sole legal tender made it illegal to denominate the bill of costs in any other currency other than the local currency. </w:t>
      </w:r>
      <w:r w:rsidR="006D0D47" w:rsidRPr="006D0D47">
        <w:rPr>
          <w:rFonts w:ascii="Times New Roman" w:hAnsi="Times New Roman" w:cs="Times New Roman"/>
          <w:sz w:val="24"/>
          <w:szCs w:val="24"/>
          <w:lang w:val="en-ZW"/>
        </w:rPr>
        <w:t xml:space="preserve">The court also dismissed the </w:t>
      </w:r>
      <w:r w:rsidR="006D0D47">
        <w:rPr>
          <w:rFonts w:ascii="Times New Roman" w:hAnsi="Times New Roman" w:cs="Times New Roman"/>
          <w:sz w:val="24"/>
          <w:szCs w:val="24"/>
          <w:lang w:val="en-ZW"/>
        </w:rPr>
        <w:t xml:space="preserve">respondent’s argument that </w:t>
      </w:r>
      <w:r w:rsidR="006D0D47" w:rsidRPr="006D0D47">
        <w:rPr>
          <w:rFonts w:ascii="Times New Roman" w:hAnsi="Times New Roman" w:cs="Times New Roman"/>
          <w:sz w:val="24"/>
          <w:szCs w:val="24"/>
          <w:lang w:val="en-ZW"/>
        </w:rPr>
        <w:t xml:space="preserve">it was not illegal to have the costs awarded in United States dollars where the parties had agreed to the amount being denominated in </w:t>
      </w:r>
      <w:r w:rsidR="006D0D47">
        <w:rPr>
          <w:rFonts w:ascii="Times New Roman" w:hAnsi="Times New Roman" w:cs="Times New Roman"/>
          <w:sz w:val="24"/>
          <w:szCs w:val="24"/>
          <w:lang w:val="en-ZW"/>
        </w:rPr>
        <w:t>a</w:t>
      </w:r>
      <w:r w:rsidR="006D0D47" w:rsidRPr="006D0D47">
        <w:rPr>
          <w:rFonts w:ascii="Times New Roman" w:hAnsi="Times New Roman" w:cs="Times New Roman"/>
          <w:sz w:val="24"/>
          <w:szCs w:val="24"/>
          <w:lang w:val="en-ZW"/>
        </w:rPr>
        <w:t xml:space="preserve"> currency of their choice. The </w:t>
      </w:r>
      <w:r w:rsidR="006D0D47">
        <w:rPr>
          <w:rFonts w:ascii="Times New Roman" w:hAnsi="Times New Roman" w:cs="Times New Roman"/>
          <w:sz w:val="24"/>
          <w:szCs w:val="24"/>
          <w:lang w:val="en-ZW"/>
        </w:rPr>
        <w:t xml:space="preserve">respondent had further argued that the </w:t>
      </w:r>
      <w:r w:rsidR="006D0D47" w:rsidRPr="006D0D47">
        <w:rPr>
          <w:rFonts w:ascii="Times New Roman" w:hAnsi="Times New Roman" w:cs="Times New Roman"/>
          <w:sz w:val="24"/>
          <w:szCs w:val="24"/>
          <w:lang w:val="en-ZW"/>
        </w:rPr>
        <w:t>illegality of the denomination of the bill in United States dollars o</w:t>
      </w:r>
      <w:r w:rsidR="00743438">
        <w:rPr>
          <w:rFonts w:ascii="Times New Roman" w:hAnsi="Times New Roman" w:cs="Times New Roman"/>
          <w:sz w:val="24"/>
          <w:szCs w:val="24"/>
          <w:lang w:val="en-ZW"/>
        </w:rPr>
        <w:t xml:space="preserve">nly arose on 28 September 2019, </w:t>
      </w:r>
      <w:r w:rsidR="006D0D47" w:rsidRPr="006D0D47">
        <w:rPr>
          <w:rFonts w:ascii="Times New Roman" w:hAnsi="Times New Roman" w:cs="Times New Roman"/>
          <w:sz w:val="24"/>
          <w:szCs w:val="24"/>
          <w:lang w:val="en-ZW"/>
        </w:rPr>
        <w:t>when</w:t>
      </w:r>
      <w:r w:rsidR="00743438">
        <w:rPr>
          <w:rFonts w:ascii="Times New Roman" w:hAnsi="Times New Roman" w:cs="Times New Roman"/>
          <w:sz w:val="24"/>
          <w:szCs w:val="24"/>
          <w:lang w:val="en-ZW"/>
        </w:rPr>
        <w:t> </w:t>
      </w:r>
      <w:r w:rsidR="006D0D47" w:rsidRPr="006D0D47">
        <w:rPr>
          <w:rFonts w:ascii="Times New Roman" w:hAnsi="Times New Roman" w:cs="Times New Roman"/>
          <w:sz w:val="24"/>
          <w:szCs w:val="24"/>
          <w:lang w:val="en-ZW"/>
        </w:rPr>
        <w:t>S.I. 213/</w:t>
      </w:r>
      <w:r w:rsidRPr="006D0D47">
        <w:rPr>
          <w:rFonts w:ascii="Times New Roman" w:hAnsi="Times New Roman" w:cs="Times New Roman"/>
          <w:sz w:val="24"/>
          <w:szCs w:val="24"/>
          <w:lang w:val="en-ZW"/>
        </w:rPr>
        <w:t>19</w:t>
      </w:r>
      <w:r w:rsidR="00743438">
        <w:rPr>
          <w:rFonts w:ascii="Times New Roman" w:hAnsi="Times New Roman" w:cs="Times New Roman"/>
          <w:sz w:val="24"/>
          <w:szCs w:val="24"/>
          <w:lang w:val="en-ZW"/>
        </w:rPr>
        <w:t xml:space="preserve"> </w:t>
      </w:r>
      <w:r w:rsidRPr="00F91E44">
        <w:rPr>
          <w:rFonts w:ascii="Times New Roman" w:hAnsi="Times New Roman" w:cs="Times New Roman"/>
          <w:sz w:val="24"/>
          <w:szCs w:val="24"/>
          <w:lang w:val="en-ZW"/>
        </w:rPr>
        <w:t>(</w:t>
      </w:r>
      <w:r w:rsidRPr="00F91E44">
        <w:rPr>
          <w:rStyle w:val="markedcontent"/>
          <w:rFonts w:ascii="Times New Roman" w:hAnsi="Times New Roman" w:cs="Times New Roman"/>
          <w:sz w:val="26"/>
          <w:szCs w:val="26"/>
        </w:rPr>
        <w:t>Presidential Powers (Temporary Measures)</w:t>
      </w:r>
      <w:r w:rsidR="00743438">
        <w:rPr>
          <w:rStyle w:val="markedcontent"/>
          <w:rFonts w:ascii="Times New Roman" w:hAnsi="Times New Roman" w:cs="Times New Roman"/>
          <w:sz w:val="26"/>
          <w:szCs w:val="26"/>
        </w:rPr>
        <w:t xml:space="preserve"> </w:t>
      </w:r>
      <w:r w:rsidRPr="00F91E44">
        <w:rPr>
          <w:rStyle w:val="markedcontent"/>
          <w:rFonts w:ascii="Times New Roman" w:hAnsi="Times New Roman" w:cs="Times New Roman"/>
          <w:sz w:val="26"/>
          <w:szCs w:val="26"/>
        </w:rPr>
        <w:t>(Amendment of</w:t>
      </w:r>
      <w:r w:rsidRPr="00F91E44">
        <w:rPr>
          <w:rFonts w:ascii="Times New Roman" w:hAnsi="Times New Roman" w:cs="Times New Roman"/>
        </w:rPr>
        <w:br/>
      </w:r>
      <w:r w:rsidRPr="00F91E44">
        <w:rPr>
          <w:rStyle w:val="markedcontent"/>
          <w:rFonts w:ascii="Times New Roman" w:hAnsi="Times New Roman" w:cs="Times New Roman"/>
          <w:sz w:val="26"/>
          <w:szCs w:val="26"/>
        </w:rPr>
        <w:t>Exchange Control Act)) Regulations, 2019</w:t>
      </w:r>
      <w:r>
        <w:rPr>
          <w:rStyle w:val="markedcontent"/>
          <w:rFonts w:ascii="Times New Roman" w:hAnsi="Times New Roman" w:cs="Times New Roman"/>
          <w:sz w:val="26"/>
          <w:szCs w:val="26"/>
        </w:rPr>
        <w:t xml:space="preserve"> </w:t>
      </w:r>
      <w:r w:rsidRPr="00F91E44">
        <w:rPr>
          <w:rFonts w:ascii="Times New Roman" w:hAnsi="Times New Roman" w:cs="Times New Roman"/>
          <w:sz w:val="24"/>
          <w:szCs w:val="24"/>
          <w:lang w:val="en-ZW"/>
        </w:rPr>
        <w:t>was</w:t>
      </w:r>
      <w:r w:rsidR="006D0D47" w:rsidRPr="006D0D47">
        <w:rPr>
          <w:rFonts w:ascii="Times New Roman" w:hAnsi="Times New Roman" w:cs="Times New Roman"/>
          <w:sz w:val="24"/>
          <w:szCs w:val="24"/>
          <w:lang w:val="en-ZW"/>
        </w:rPr>
        <w:t xml:space="preserve"> published. I</w:t>
      </w:r>
      <w:r w:rsidR="006D0D47">
        <w:rPr>
          <w:rFonts w:ascii="Times New Roman" w:hAnsi="Times New Roman" w:cs="Times New Roman"/>
          <w:sz w:val="24"/>
          <w:szCs w:val="24"/>
          <w:lang w:val="en-ZW"/>
        </w:rPr>
        <w:t xml:space="preserve">t </w:t>
      </w:r>
      <w:r w:rsidR="006D0D47" w:rsidRPr="006D0D47">
        <w:rPr>
          <w:rFonts w:ascii="Times New Roman" w:hAnsi="Times New Roman" w:cs="Times New Roman"/>
          <w:sz w:val="24"/>
          <w:szCs w:val="24"/>
          <w:lang w:val="en-ZW"/>
        </w:rPr>
        <w:t>was th</w:t>
      </w:r>
      <w:r w:rsidR="006D0D47">
        <w:rPr>
          <w:rFonts w:ascii="Times New Roman" w:hAnsi="Times New Roman" w:cs="Times New Roman"/>
          <w:sz w:val="24"/>
          <w:szCs w:val="24"/>
          <w:lang w:val="en-ZW"/>
        </w:rPr>
        <w:t>e</w:t>
      </w:r>
      <w:r w:rsidR="006D0D47" w:rsidRPr="006D0D47">
        <w:rPr>
          <w:rFonts w:ascii="Times New Roman" w:hAnsi="Times New Roman" w:cs="Times New Roman"/>
          <w:sz w:val="24"/>
          <w:szCs w:val="24"/>
          <w:lang w:val="en-ZW"/>
        </w:rPr>
        <w:t xml:space="preserve"> instrument that made it illegal to sell goods and services in any other currency save the local currency.</w:t>
      </w:r>
      <w:r w:rsidR="006D0D47">
        <w:rPr>
          <w:rFonts w:ascii="Times New Roman" w:hAnsi="Times New Roman" w:cs="Times New Roman"/>
          <w:sz w:val="24"/>
          <w:szCs w:val="24"/>
          <w:lang w:val="en-ZW"/>
        </w:rPr>
        <w:t xml:space="preserve"> </w:t>
      </w:r>
    </w:p>
    <w:p w14:paraId="5A502528" w14:textId="0D4EDFD3" w:rsidR="006D0D47" w:rsidRPr="00F91E44" w:rsidRDefault="006D0D47" w:rsidP="002A29FA">
      <w:pPr>
        <w:spacing w:after="0" w:line="360" w:lineRule="auto"/>
        <w:ind w:firstLine="720"/>
        <w:jc w:val="both"/>
        <w:rPr>
          <w:rFonts w:ascii="Times New Roman" w:eastAsia="Times New Roman" w:hAnsi="Times New Roman" w:cs="Times New Roman"/>
          <w:sz w:val="24"/>
          <w:szCs w:val="24"/>
          <w:lang w:eastAsia="en-ZW"/>
        </w:rPr>
      </w:pPr>
      <w:r w:rsidRPr="00F91E44">
        <w:rPr>
          <w:rFonts w:ascii="Times New Roman" w:hAnsi="Times New Roman" w:cs="Times New Roman"/>
          <w:sz w:val="24"/>
          <w:szCs w:val="24"/>
          <w:lang w:val="en-ZW"/>
        </w:rPr>
        <w:t xml:space="preserve">The court found that </w:t>
      </w:r>
      <w:r w:rsidRPr="006D0D47">
        <w:rPr>
          <w:rFonts w:ascii="Times New Roman" w:hAnsi="Times New Roman" w:cs="Times New Roman"/>
          <w:sz w:val="24"/>
          <w:szCs w:val="24"/>
          <w:lang w:val="en-ZW"/>
        </w:rPr>
        <w:t xml:space="preserve">S.I. 213/19 amended the Exchange Control Act to enforce the exclusive use of the Zimbabwean dollar in domestic transactions by creating civil offences and penalties. </w:t>
      </w:r>
      <w:r w:rsidRPr="00F91E44">
        <w:rPr>
          <w:rFonts w:ascii="Times New Roman" w:hAnsi="Times New Roman" w:cs="Times New Roman"/>
          <w:sz w:val="24"/>
          <w:szCs w:val="24"/>
          <w:lang w:val="en-ZW"/>
        </w:rPr>
        <w:t xml:space="preserve">It </w:t>
      </w:r>
      <w:r w:rsidRPr="006D0D47">
        <w:rPr>
          <w:rFonts w:ascii="Times New Roman" w:hAnsi="Times New Roman" w:cs="Times New Roman"/>
          <w:sz w:val="24"/>
          <w:szCs w:val="24"/>
          <w:lang w:val="en-ZW"/>
        </w:rPr>
        <w:t xml:space="preserve">merely provided sanctions for contravening the law that had decreed the local currency as the sole legal tender in all domestic transactions. The </w:t>
      </w:r>
      <w:r w:rsidRPr="00F91E44">
        <w:rPr>
          <w:rFonts w:ascii="Times New Roman" w:hAnsi="Times New Roman" w:cs="Times New Roman"/>
          <w:sz w:val="24"/>
          <w:szCs w:val="24"/>
          <w:lang w:val="en-ZW"/>
        </w:rPr>
        <w:t xml:space="preserve">court reaffirmed the position that the law </w:t>
      </w:r>
      <w:r w:rsidRPr="006D0D47">
        <w:rPr>
          <w:rFonts w:ascii="Times New Roman" w:hAnsi="Times New Roman" w:cs="Times New Roman"/>
          <w:sz w:val="24"/>
          <w:szCs w:val="24"/>
          <w:lang w:val="en-ZW"/>
        </w:rPr>
        <w:t>that declared the local currency as the sole legal tender in all domestic transactions was S.I. 142/19 and not S.I. 213/19.</w:t>
      </w:r>
      <w:r w:rsidRPr="00F91E44">
        <w:rPr>
          <w:rFonts w:ascii="Times New Roman" w:hAnsi="Times New Roman" w:cs="Times New Roman"/>
          <w:sz w:val="24"/>
          <w:szCs w:val="24"/>
          <w:lang w:val="en-ZW"/>
        </w:rPr>
        <w:t xml:space="preserve"> </w:t>
      </w:r>
      <w:r w:rsidR="00F91E44">
        <w:rPr>
          <w:rFonts w:ascii="Times New Roman" w:hAnsi="Times New Roman" w:cs="Times New Roman"/>
          <w:sz w:val="24"/>
          <w:szCs w:val="24"/>
          <w:lang w:val="en-ZW"/>
        </w:rPr>
        <w:t>The court went on to state that:</w:t>
      </w:r>
    </w:p>
    <w:p w14:paraId="21D51453" w14:textId="6A8987CC" w:rsidR="006D0D47" w:rsidRPr="00F91E44" w:rsidRDefault="006D0D47" w:rsidP="00F91E44">
      <w:pPr>
        <w:spacing w:line="240" w:lineRule="auto"/>
        <w:ind w:left="720"/>
        <w:jc w:val="both"/>
        <w:rPr>
          <w:rFonts w:ascii="Times New Roman" w:hAnsi="Times New Roman" w:cs="Times New Roman"/>
          <w:sz w:val="24"/>
          <w:szCs w:val="24"/>
          <w:lang w:val="en-ZW"/>
        </w:rPr>
      </w:pPr>
      <w:r w:rsidRPr="00F91E44">
        <w:rPr>
          <w:rFonts w:ascii="Times New Roman" w:hAnsi="Times New Roman" w:cs="Times New Roman"/>
          <w:lang w:val="en-ZW"/>
        </w:rPr>
        <w:t>“In light of the prevailing legal position at the time the bill was taxed, its denomination in United States dollars was in contravention of the law. The first respondent therefore erred in passing under his hand a bill that contravened the law. Accordingly, and on this basis alone, the bill cannot stand. It is the settled position at law that anything done in direct conflict with a statute is a nullity</w:t>
      </w:r>
      <w:r w:rsidRPr="00F91E44">
        <w:rPr>
          <w:rFonts w:ascii="Times New Roman" w:hAnsi="Times New Roman" w:cs="Times New Roman"/>
          <w:sz w:val="24"/>
          <w:szCs w:val="24"/>
          <w:lang w:val="en-ZW"/>
        </w:rPr>
        <w:t>.”</w:t>
      </w:r>
      <w:r w:rsidR="00F91E44">
        <w:rPr>
          <w:rStyle w:val="FootnoteReference"/>
          <w:rFonts w:ascii="Times New Roman" w:hAnsi="Times New Roman" w:cs="Times New Roman"/>
          <w:sz w:val="24"/>
          <w:szCs w:val="24"/>
          <w:lang w:val="en-ZW"/>
        </w:rPr>
        <w:footnoteReference w:id="6"/>
      </w:r>
    </w:p>
    <w:p w14:paraId="15D9C665" w14:textId="528A407C" w:rsidR="008A5AEF" w:rsidRDefault="006D0D47" w:rsidP="006E60A7">
      <w:pPr>
        <w:spacing w:after="0" w:line="360" w:lineRule="auto"/>
        <w:ind w:left="-142" w:firstLine="862"/>
        <w:jc w:val="both"/>
        <w:rPr>
          <w:rFonts w:ascii="Times New Roman" w:hAnsi="Times New Roman" w:cs="Times New Roman"/>
          <w:sz w:val="24"/>
          <w:szCs w:val="24"/>
          <w:lang w:val="en-ZW"/>
        </w:rPr>
      </w:pPr>
      <w:r w:rsidRPr="008A5AEF">
        <w:rPr>
          <w:rFonts w:ascii="Times New Roman" w:hAnsi="Times New Roman" w:cs="Times New Roman"/>
          <w:sz w:val="24"/>
          <w:szCs w:val="24"/>
          <w:lang w:val="en-ZW"/>
        </w:rPr>
        <w:t xml:space="preserve">The </w:t>
      </w:r>
      <w:r w:rsidRPr="008A5AEF">
        <w:rPr>
          <w:rFonts w:ascii="Times New Roman" w:hAnsi="Times New Roman" w:cs="Times New Roman"/>
          <w:i/>
          <w:sz w:val="24"/>
          <w:szCs w:val="24"/>
          <w:lang w:val="en-ZW"/>
        </w:rPr>
        <w:t>Zizhou</w:t>
      </w:r>
      <w:r w:rsidRPr="008A5AEF">
        <w:rPr>
          <w:rFonts w:ascii="Times New Roman" w:hAnsi="Times New Roman" w:cs="Times New Roman"/>
          <w:sz w:val="24"/>
          <w:szCs w:val="24"/>
          <w:lang w:val="en-ZW"/>
        </w:rPr>
        <w:t xml:space="preserve"> case is almost on all fo</w:t>
      </w:r>
      <w:r w:rsidR="006E60A7" w:rsidRPr="008A5AEF">
        <w:rPr>
          <w:rFonts w:ascii="Times New Roman" w:hAnsi="Times New Roman" w:cs="Times New Roman"/>
          <w:sz w:val="24"/>
          <w:szCs w:val="24"/>
          <w:lang w:val="en-ZW"/>
        </w:rPr>
        <w:t>urs</w:t>
      </w:r>
      <w:r w:rsidRPr="008A5AEF">
        <w:rPr>
          <w:rFonts w:ascii="Times New Roman" w:hAnsi="Times New Roman" w:cs="Times New Roman"/>
          <w:sz w:val="24"/>
          <w:szCs w:val="24"/>
          <w:lang w:val="en-ZW"/>
        </w:rPr>
        <w:t xml:space="preserve"> with the present matter. </w:t>
      </w:r>
      <w:r w:rsidR="006E60A7" w:rsidRPr="008A5AEF">
        <w:rPr>
          <w:rFonts w:ascii="Times New Roman" w:hAnsi="Times New Roman" w:cs="Times New Roman"/>
          <w:sz w:val="24"/>
          <w:szCs w:val="24"/>
          <w:lang w:val="en-ZW"/>
        </w:rPr>
        <w:t>The court was concerned with a bill that was denominated in United States dollars.</w:t>
      </w:r>
      <w:r w:rsidR="00743438">
        <w:rPr>
          <w:rFonts w:ascii="Times New Roman" w:hAnsi="Times New Roman" w:cs="Times New Roman"/>
          <w:sz w:val="24"/>
          <w:szCs w:val="24"/>
          <w:lang w:val="en-ZW"/>
        </w:rPr>
        <w:t xml:space="preserve"> </w:t>
      </w:r>
      <w:r w:rsidR="006E60A7" w:rsidRPr="008A5AEF">
        <w:rPr>
          <w:rFonts w:ascii="Times New Roman" w:hAnsi="Times New Roman" w:cs="Times New Roman"/>
          <w:sz w:val="24"/>
          <w:szCs w:val="24"/>
          <w:lang w:val="en-ZW"/>
        </w:rPr>
        <w:t xml:space="preserve"> In </w:t>
      </w:r>
      <w:r w:rsidR="006E60A7" w:rsidRPr="008A5AEF">
        <w:rPr>
          <w:rFonts w:ascii="Times New Roman" w:hAnsi="Times New Roman" w:cs="Times New Roman"/>
          <w:i/>
          <w:sz w:val="24"/>
          <w:szCs w:val="24"/>
          <w:lang w:val="en-ZW"/>
        </w:rPr>
        <w:t>casu</w:t>
      </w:r>
      <w:r w:rsidR="006E60A7" w:rsidRPr="008A5AEF">
        <w:rPr>
          <w:rFonts w:ascii="Times New Roman" w:hAnsi="Times New Roman" w:cs="Times New Roman"/>
          <w:sz w:val="24"/>
          <w:szCs w:val="24"/>
          <w:lang w:val="en-ZW"/>
        </w:rPr>
        <w:t xml:space="preserve">, the attendances which resulted in the present dispute were denominated in the United States dollars. Mr </w:t>
      </w:r>
      <w:r w:rsidR="006E60A7" w:rsidRPr="008A5AEF">
        <w:rPr>
          <w:rFonts w:ascii="Times New Roman" w:hAnsi="Times New Roman" w:cs="Times New Roman"/>
          <w:i/>
          <w:sz w:val="24"/>
          <w:szCs w:val="24"/>
          <w:lang w:val="en-ZW"/>
        </w:rPr>
        <w:t>Mushuma’s</w:t>
      </w:r>
      <w:r w:rsidR="006E60A7" w:rsidRPr="008A5AEF">
        <w:rPr>
          <w:rFonts w:ascii="Times New Roman" w:hAnsi="Times New Roman" w:cs="Times New Roman"/>
          <w:sz w:val="24"/>
          <w:szCs w:val="24"/>
          <w:lang w:val="en-ZW"/>
        </w:rPr>
        <w:t xml:space="preserve"> argument that the two cases are distinguishable is clearly without merit. </w:t>
      </w:r>
      <w:r w:rsidR="009A7D5B" w:rsidRPr="008A5AEF">
        <w:rPr>
          <w:rFonts w:ascii="Times New Roman" w:hAnsi="Times New Roman" w:cs="Times New Roman"/>
          <w:sz w:val="24"/>
          <w:szCs w:val="24"/>
          <w:lang w:val="en-ZW"/>
        </w:rPr>
        <w:t>The issues before the courts are the same.</w:t>
      </w:r>
      <w:r w:rsidR="008A5AEF">
        <w:rPr>
          <w:rFonts w:ascii="Times New Roman" w:hAnsi="Times New Roman" w:cs="Times New Roman"/>
          <w:sz w:val="24"/>
          <w:szCs w:val="24"/>
          <w:lang w:val="en-ZW"/>
        </w:rPr>
        <w:t xml:space="preserve"> In both cases, the taxation was done after the first effective date, and the court was required to determine the legality of denominating the bill in United States dollars after the first and second effective dates. </w:t>
      </w:r>
    </w:p>
    <w:p w14:paraId="71BC8FAD" w14:textId="0AAC6F70" w:rsidR="006D0D47" w:rsidRPr="008A5AEF" w:rsidRDefault="006E60A7" w:rsidP="006E60A7">
      <w:pPr>
        <w:spacing w:after="0" w:line="360" w:lineRule="auto"/>
        <w:ind w:left="-142" w:firstLine="862"/>
        <w:jc w:val="both"/>
        <w:rPr>
          <w:rFonts w:ascii="Times New Roman" w:hAnsi="Times New Roman" w:cs="Times New Roman"/>
          <w:sz w:val="24"/>
          <w:szCs w:val="24"/>
          <w:lang w:val="en-ZW"/>
        </w:rPr>
      </w:pPr>
      <w:r w:rsidRPr="008A5AEF">
        <w:rPr>
          <w:rFonts w:ascii="Times New Roman" w:hAnsi="Times New Roman" w:cs="Times New Roman"/>
          <w:sz w:val="24"/>
          <w:szCs w:val="24"/>
          <w:lang w:val="en-ZW"/>
        </w:rPr>
        <w:t xml:space="preserve">This court is bound by the </w:t>
      </w:r>
      <w:r w:rsidR="009A7D5B" w:rsidRPr="008A5AEF">
        <w:rPr>
          <w:rFonts w:ascii="Times New Roman" w:hAnsi="Times New Roman" w:cs="Times New Roman"/>
          <w:sz w:val="24"/>
          <w:szCs w:val="24"/>
          <w:lang w:val="en-ZW"/>
        </w:rPr>
        <w:t xml:space="preserve">decisions of superior courts. This position of the law was reasserted by </w:t>
      </w:r>
      <w:r w:rsidR="00743438" w:rsidRPr="00743438">
        <w:rPr>
          <w:rFonts w:ascii="Times New Roman" w:hAnsi="Times New Roman" w:cs="Times New Roman"/>
          <w:smallCaps/>
          <w:sz w:val="24"/>
          <w:szCs w:val="24"/>
          <w:lang w:val="en-ZW"/>
        </w:rPr>
        <w:t>mathonsi ja</w:t>
      </w:r>
      <w:r w:rsidR="00743438" w:rsidRPr="008A5AEF">
        <w:rPr>
          <w:rFonts w:ascii="Times New Roman" w:hAnsi="Times New Roman" w:cs="Times New Roman"/>
          <w:sz w:val="24"/>
          <w:szCs w:val="24"/>
          <w:lang w:val="en-ZW"/>
        </w:rPr>
        <w:t xml:space="preserve"> </w:t>
      </w:r>
      <w:r w:rsidR="00114F10" w:rsidRPr="008A5AEF">
        <w:rPr>
          <w:rFonts w:ascii="Times New Roman" w:hAnsi="Times New Roman" w:cs="Times New Roman"/>
          <w:sz w:val="24"/>
          <w:szCs w:val="24"/>
          <w:lang w:val="en-ZW"/>
        </w:rPr>
        <w:t xml:space="preserve">in </w:t>
      </w:r>
      <w:r w:rsidR="00114F10" w:rsidRPr="008A5AEF">
        <w:rPr>
          <w:rFonts w:ascii="Times New Roman" w:hAnsi="Times New Roman" w:cs="Times New Roman"/>
          <w:i/>
          <w:sz w:val="24"/>
          <w:szCs w:val="24"/>
          <w:lang w:val="en-ZW"/>
        </w:rPr>
        <w:t>The Commissioner General v Benchman Investments (Private) Limited</w:t>
      </w:r>
      <w:r w:rsidR="009D7866" w:rsidRPr="008A5AEF">
        <w:rPr>
          <w:rStyle w:val="FootnoteReference"/>
          <w:rFonts w:ascii="Times New Roman" w:hAnsi="Times New Roman" w:cs="Times New Roman"/>
          <w:i/>
          <w:sz w:val="24"/>
          <w:szCs w:val="24"/>
          <w:lang w:val="en-ZW"/>
        </w:rPr>
        <w:footnoteReference w:id="7"/>
      </w:r>
      <w:r w:rsidR="009D7866" w:rsidRPr="008A5AEF">
        <w:rPr>
          <w:rFonts w:ascii="Times New Roman" w:hAnsi="Times New Roman" w:cs="Times New Roman"/>
          <w:sz w:val="24"/>
          <w:szCs w:val="24"/>
          <w:lang w:val="en-ZW"/>
        </w:rPr>
        <w:t>, where he said:</w:t>
      </w:r>
    </w:p>
    <w:p w14:paraId="0FE29F61" w14:textId="762BB108" w:rsidR="009D7866" w:rsidRPr="00743438" w:rsidRDefault="009D7866" w:rsidP="008A5AEF">
      <w:pPr>
        <w:autoSpaceDE w:val="0"/>
        <w:autoSpaceDN w:val="0"/>
        <w:adjustRightInd w:val="0"/>
        <w:spacing w:line="240" w:lineRule="auto"/>
        <w:ind w:left="720"/>
        <w:jc w:val="both"/>
        <w:rPr>
          <w:rFonts w:ascii="Times New Roman" w:hAnsi="Times New Roman" w:cs="Times New Roman"/>
          <w:color w:val="000000"/>
          <w:lang w:val="en-ZW"/>
        </w:rPr>
      </w:pPr>
      <w:r w:rsidRPr="00743438">
        <w:rPr>
          <w:rFonts w:ascii="Times New Roman" w:hAnsi="Times New Roman" w:cs="Times New Roman"/>
          <w:color w:val="000000"/>
          <w:lang w:val="en-ZW"/>
        </w:rPr>
        <w:t xml:space="preserve">“More importantly, the court </w:t>
      </w:r>
      <w:r w:rsidRPr="00743438">
        <w:rPr>
          <w:rFonts w:ascii="Times New Roman" w:hAnsi="Times New Roman" w:cs="Times New Roman"/>
          <w:i/>
          <w:iCs/>
          <w:color w:val="000000"/>
          <w:lang w:val="en-ZW"/>
        </w:rPr>
        <w:t xml:space="preserve">a quo </w:t>
      </w:r>
      <w:r w:rsidRPr="00743438">
        <w:rPr>
          <w:rFonts w:ascii="Times New Roman" w:hAnsi="Times New Roman" w:cs="Times New Roman"/>
          <w:color w:val="000000"/>
          <w:lang w:val="en-ZW"/>
        </w:rPr>
        <w:t xml:space="preserve">was bound by the judgment of this Court in </w:t>
      </w:r>
      <w:r w:rsidRPr="00743438">
        <w:rPr>
          <w:rFonts w:ascii="Times New Roman" w:hAnsi="Times New Roman" w:cs="Times New Roman"/>
          <w:i/>
          <w:iCs/>
          <w:color w:val="000000"/>
          <w:lang w:val="en-ZW"/>
        </w:rPr>
        <w:t>Care International in Zimbabwe</w:t>
      </w:r>
      <w:r w:rsidRPr="00743438">
        <w:rPr>
          <w:rFonts w:ascii="Times New Roman" w:hAnsi="Times New Roman" w:cs="Times New Roman"/>
          <w:color w:val="000000"/>
          <w:lang w:val="en-ZW"/>
        </w:rPr>
        <w:t xml:space="preserve">, </w:t>
      </w:r>
      <w:r w:rsidRPr="00743438">
        <w:rPr>
          <w:rFonts w:ascii="Times New Roman" w:hAnsi="Times New Roman" w:cs="Times New Roman"/>
          <w:i/>
          <w:iCs/>
          <w:color w:val="000000"/>
          <w:lang w:val="en-ZW"/>
        </w:rPr>
        <w:t xml:space="preserve">supra. </w:t>
      </w:r>
      <w:r w:rsidRPr="00743438">
        <w:rPr>
          <w:rFonts w:ascii="Times New Roman" w:hAnsi="Times New Roman" w:cs="Times New Roman"/>
          <w:color w:val="000000"/>
          <w:lang w:val="en-ZW"/>
        </w:rPr>
        <w:t xml:space="preserve">It was not a question of “agreeing” with it. It had to follow that decision given that it is a decision of a superior court. The practice in this jurisdiction, which has withstood the test of time, is that inferior courts are bound by the decisions of courts superior to them. It was therefore not open to the court </w:t>
      </w:r>
      <w:r w:rsidRPr="00743438">
        <w:rPr>
          <w:rFonts w:ascii="Times New Roman" w:hAnsi="Times New Roman" w:cs="Times New Roman"/>
          <w:i/>
          <w:iCs/>
          <w:color w:val="000000"/>
          <w:lang w:val="en-ZW"/>
        </w:rPr>
        <w:t xml:space="preserve">a quo </w:t>
      </w:r>
      <w:r w:rsidRPr="00743438">
        <w:rPr>
          <w:rFonts w:ascii="Times New Roman" w:hAnsi="Times New Roman" w:cs="Times New Roman"/>
          <w:color w:val="000000"/>
          <w:lang w:val="en-ZW"/>
        </w:rPr>
        <w:t>to overlook the pronouncement of this Court on the citation of the appellant in favour of its own fanciful one.”</w:t>
      </w:r>
    </w:p>
    <w:p w14:paraId="1449C86E" w14:textId="11187723" w:rsidR="00C27404" w:rsidRDefault="00C27404" w:rsidP="008A5AEF">
      <w:pPr>
        <w:spacing w:after="0" w:line="360" w:lineRule="auto"/>
        <w:ind w:firstLine="720"/>
        <w:jc w:val="both"/>
        <w:rPr>
          <w:rFonts w:ascii="Times New Roman" w:hAnsi="Times New Roman" w:cs="Times New Roman"/>
          <w:sz w:val="24"/>
          <w:szCs w:val="24"/>
          <w:lang w:val="en-ZW"/>
        </w:rPr>
      </w:pPr>
      <w:r w:rsidRPr="00C27404">
        <w:rPr>
          <w:rFonts w:ascii="Times New Roman" w:hAnsi="Times New Roman" w:cs="Times New Roman"/>
          <w:color w:val="000000"/>
          <w:sz w:val="24"/>
          <w:szCs w:val="24"/>
          <w:lang w:val="en-ZW"/>
        </w:rPr>
        <w:t xml:space="preserve">The conclusion by the court in the </w:t>
      </w:r>
      <w:r w:rsidRPr="00C27404">
        <w:rPr>
          <w:rFonts w:ascii="Times New Roman" w:hAnsi="Times New Roman" w:cs="Times New Roman"/>
          <w:i/>
          <w:color w:val="000000"/>
          <w:sz w:val="24"/>
          <w:szCs w:val="24"/>
          <w:lang w:val="en-ZW"/>
        </w:rPr>
        <w:t>Zizhou</w:t>
      </w:r>
      <w:r w:rsidRPr="00C27404">
        <w:rPr>
          <w:rFonts w:ascii="Times New Roman" w:hAnsi="Times New Roman" w:cs="Times New Roman"/>
          <w:color w:val="000000"/>
          <w:sz w:val="24"/>
          <w:szCs w:val="24"/>
          <w:lang w:val="en-ZW"/>
        </w:rPr>
        <w:t xml:space="preserve"> case was that it was wrong for a bill of costs to be denominated in the United States dollars and taxed in that currency when the United dollar had ceased to be legal tender</w:t>
      </w:r>
      <w:r w:rsidR="008A5AEF">
        <w:rPr>
          <w:rFonts w:ascii="Times New Roman" w:hAnsi="Times New Roman" w:cs="Times New Roman"/>
          <w:color w:val="000000"/>
          <w:sz w:val="24"/>
          <w:szCs w:val="24"/>
          <w:lang w:val="en-ZW"/>
        </w:rPr>
        <w:t xml:space="preserve"> by operation of the law</w:t>
      </w:r>
      <w:r w:rsidRPr="00C27404">
        <w:rPr>
          <w:rFonts w:ascii="Times New Roman" w:hAnsi="Times New Roman" w:cs="Times New Roman"/>
          <w:color w:val="000000"/>
          <w:sz w:val="24"/>
          <w:szCs w:val="24"/>
          <w:lang w:val="en-ZW"/>
        </w:rPr>
        <w:t>.</w:t>
      </w:r>
      <w:r w:rsidR="00743438">
        <w:rPr>
          <w:rFonts w:ascii="Times New Roman" w:hAnsi="Times New Roman" w:cs="Times New Roman"/>
          <w:color w:val="000000"/>
          <w:sz w:val="24"/>
          <w:szCs w:val="24"/>
          <w:lang w:val="en-ZW"/>
        </w:rPr>
        <w:t xml:space="preserve"> </w:t>
      </w:r>
      <w:r>
        <w:rPr>
          <w:rFonts w:ascii="Times New Roman" w:hAnsi="Times New Roman" w:cs="Times New Roman"/>
          <w:color w:val="000000"/>
          <w:sz w:val="24"/>
          <w:szCs w:val="24"/>
          <w:lang w:val="en-ZW"/>
        </w:rPr>
        <w:t xml:space="preserve">By parity of reasoning, the </w:t>
      </w:r>
      <w:r w:rsidR="008A5AEF">
        <w:rPr>
          <w:rFonts w:ascii="Times New Roman" w:hAnsi="Times New Roman" w:cs="Times New Roman"/>
          <w:color w:val="000000"/>
          <w:sz w:val="24"/>
          <w:szCs w:val="24"/>
          <w:lang w:val="en-ZW"/>
        </w:rPr>
        <w:t xml:space="preserve">2011 tariff </w:t>
      </w:r>
      <w:r>
        <w:rPr>
          <w:rFonts w:ascii="Times New Roman" w:hAnsi="Times New Roman" w:cs="Times New Roman"/>
          <w:color w:val="000000"/>
          <w:sz w:val="24"/>
          <w:szCs w:val="24"/>
          <w:lang w:val="en-ZW"/>
        </w:rPr>
        <w:t xml:space="preserve">in terms of which the impugned attendances were delineated also violated the law. </w:t>
      </w:r>
      <w:r w:rsidR="00743438">
        <w:rPr>
          <w:rFonts w:ascii="Times New Roman" w:hAnsi="Times New Roman" w:cs="Times New Roman"/>
          <w:color w:val="000000"/>
          <w:sz w:val="24"/>
          <w:szCs w:val="24"/>
          <w:lang w:val="en-ZW"/>
        </w:rPr>
        <w:t xml:space="preserve"> </w:t>
      </w:r>
      <w:r>
        <w:rPr>
          <w:rFonts w:ascii="Times New Roman" w:hAnsi="Times New Roman" w:cs="Times New Roman"/>
          <w:color w:val="000000"/>
          <w:sz w:val="24"/>
          <w:szCs w:val="24"/>
          <w:lang w:val="en-ZW"/>
        </w:rPr>
        <w:t xml:space="preserve">In the </w:t>
      </w:r>
      <w:r w:rsidRPr="00C27404">
        <w:rPr>
          <w:rFonts w:ascii="Times New Roman" w:hAnsi="Times New Roman" w:cs="Times New Roman"/>
          <w:i/>
          <w:color w:val="000000"/>
          <w:sz w:val="24"/>
          <w:szCs w:val="24"/>
          <w:lang w:val="en-ZW"/>
        </w:rPr>
        <w:t>Zizhou</w:t>
      </w:r>
      <w:r>
        <w:rPr>
          <w:rFonts w:ascii="Times New Roman" w:hAnsi="Times New Roman" w:cs="Times New Roman"/>
          <w:color w:val="000000"/>
          <w:sz w:val="24"/>
          <w:szCs w:val="24"/>
          <w:lang w:val="en-ZW"/>
        </w:rPr>
        <w:t xml:space="preserve"> case, the court also </w:t>
      </w:r>
      <w:r w:rsidR="008A5AEF">
        <w:rPr>
          <w:rFonts w:ascii="Times New Roman" w:hAnsi="Times New Roman" w:cs="Times New Roman"/>
          <w:color w:val="000000"/>
          <w:sz w:val="24"/>
          <w:szCs w:val="24"/>
          <w:lang w:val="en-ZW"/>
        </w:rPr>
        <w:t>found th</w:t>
      </w:r>
      <w:r>
        <w:rPr>
          <w:rFonts w:ascii="Times New Roman" w:hAnsi="Times New Roman" w:cs="Times New Roman"/>
          <w:color w:val="000000"/>
          <w:sz w:val="24"/>
          <w:szCs w:val="24"/>
          <w:lang w:val="en-ZW"/>
        </w:rPr>
        <w:t xml:space="preserve">at the denomination of the </w:t>
      </w:r>
      <w:r w:rsidRPr="00C27404">
        <w:rPr>
          <w:rFonts w:ascii="Times New Roman" w:hAnsi="Times New Roman" w:cs="Times New Roman"/>
          <w:sz w:val="24"/>
          <w:szCs w:val="24"/>
          <w:lang w:val="en-ZW"/>
        </w:rPr>
        <w:t>bill in United States dollars</w:t>
      </w:r>
      <w:r w:rsidR="008A5AEF">
        <w:rPr>
          <w:rFonts w:ascii="Times New Roman" w:hAnsi="Times New Roman" w:cs="Times New Roman"/>
          <w:sz w:val="24"/>
          <w:szCs w:val="24"/>
          <w:lang w:val="en-ZW"/>
        </w:rPr>
        <w:t xml:space="preserve">, even if done by consent </w:t>
      </w:r>
      <w:r>
        <w:rPr>
          <w:rFonts w:ascii="Times New Roman" w:hAnsi="Times New Roman" w:cs="Times New Roman"/>
          <w:sz w:val="24"/>
          <w:szCs w:val="24"/>
          <w:lang w:val="en-ZW"/>
        </w:rPr>
        <w:t xml:space="preserve">was irrelevant. </w:t>
      </w:r>
      <w:r w:rsidR="00743438">
        <w:rPr>
          <w:rFonts w:ascii="Times New Roman" w:hAnsi="Times New Roman" w:cs="Times New Roman"/>
          <w:sz w:val="24"/>
          <w:szCs w:val="24"/>
          <w:lang w:val="en-ZW"/>
        </w:rPr>
        <w:t xml:space="preserve"> </w:t>
      </w:r>
      <w:r>
        <w:rPr>
          <w:rFonts w:ascii="Times New Roman" w:hAnsi="Times New Roman" w:cs="Times New Roman"/>
          <w:sz w:val="24"/>
          <w:szCs w:val="24"/>
          <w:lang w:val="en-ZW"/>
        </w:rPr>
        <w:t xml:space="preserve">The court reasoned that the parties could not by their consent upset the clear letter of the law and confer legality upon a bill of costs denominated in the United States dollars. </w:t>
      </w:r>
    </w:p>
    <w:p w14:paraId="4EF5C4ED" w14:textId="09CB5D34" w:rsidR="00C27404" w:rsidRPr="00C27404" w:rsidRDefault="002A29FA" w:rsidP="002A29FA">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For the foregoing reasons, the court finds that the denomination of the items 1 to 133 of the bill of costs was unlawful as it violated the law as </w:t>
      </w:r>
      <w:r w:rsidR="008A5AEF">
        <w:rPr>
          <w:rFonts w:ascii="Times New Roman" w:hAnsi="Times New Roman" w:cs="Times New Roman"/>
          <w:sz w:val="24"/>
          <w:szCs w:val="24"/>
          <w:lang w:val="en-ZW"/>
        </w:rPr>
        <w:t xml:space="preserve">determined by the Supreme Court </w:t>
      </w:r>
      <w:r>
        <w:rPr>
          <w:rFonts w:ascii="Times New Roman" w:hAnsi="Times New Roman" w:cs="Times New Roman"/>
          <w:sz w:val="24"/>
          <w:szCs w:val="24"/>
          <w:lang w:val="en-ZW"/>
        </w:rPr>
        <w:t xml:space="preserve">in the </w:t>
      </w:r>
      <w:r w:rsidRPr="002A29FA">
        <w:rPr>
          <w:rFonts w:ascii="Times New Roman" w:hAnsi="Times New Roman" w:cs="Times New Roman"/>
          <w:i/>
          <w:sz w:val="24"/>
          <w:szCs w:val="24"/>
          <w:lang w:val="en-ZW"/>
        </w:rPr>
        <w:t>Zizhou</w:t>
      </w:r>
      <w:r>
        <w:rPr>
          <w:rFonts w:ascii="Times New Roman" w:hAnsi="Times New Roman" w:cs="Times New Roman"/>
          <w:sz w:val="24"/>
          <w:szCs w:val="24"/>
          <w:lang w:val="en-ZW"/>
        </w:rPr>
        <w:t xml:space="preserve"> case. </w:t>
      </w:r>
      <w:r w:rsidR="00B077B3">
        <w:rPr>
          <w:rFonts w:ascii="Times New Roman" w:hAnsi="Times New Roman" w:cs="Times New Roman"/>
          <w:sz w:val="24"/>
          <w:szCs w:val="24"/>
          <w:lang w:val="en-ZW"/>
        </w:rPr>
        <w:t xml:space="preserve">It </w:t>
      </w:r>
      <w:r w:rsidR="008A5AEF">
        <w:rPr>
          <w:rFonts w:ascii="Times New Roman" w:hAnsi="Times New Roman" w:cs="Times New Roman"/>
          <w:sz w:val="24"/>
          <w:szCs w:val="24"/>
          <w:lang w:val="en-ZW"/>
        </w:rPr>
        <w:t xml:space="preserve">also </w:t>
      </w:r>
      <w:r w:rsidR="00B077B3">
        <w:rPr>
          <w:rFonts w:ascii="Times New Roman" w:hAnsi="Times New Roman" w:cs="Times New Roman"/>
          <w:sz w:val="24"/>
          <w:szCs w:val="24"/>
          <w:lang w:val="en-ZW"/>
        </w:rPr>
        <w:t xml:space="preserve">follows that the first respondent ought to have referred the legal issue for determination by a judge in chambers pursuant to r 313, before proceeding with the taxation. </w:t>
      </w:r>
      <w:r>
        <w:rPr>
          <w:rFonts w:ascii="Times New Roman" w:hAnsi="Times New Roman" w:cs="Times New Roman"/>
          <w:sz w:val="24"/>
          <w:szCs w:val="24"/>
          <w:lang w:val="en-ZW"/>
        </w:rPr>
        <w:t xml:space="preserve">That portion of the bill cannot therefore be allowed to stand. </w:t>
      </w:r>
    </w:p>
    <w:p w14:paraId="0FE10EE4" w14:textId="499A1C23" w:rsidR="00AC4507" w:rsidRDefault="002A6DEA" w:rsidP="00E333F3">
      <w:pPr>
        <w:spacing w:after="0" w:line="360" w:lineRule="auto"/>
        <w:jc w:val="both"/>
        <w:rPr>
          <w:rFonts w:ascii="Times New Roman" w:hAnsi="Times New Roman" w:cs="Times New Roman"/>
          <w:b/>
          <w:sz w:val="24"/>
          <w:szCs w:val="24"/>
          <w:lang w:val="en-ZW"/>
        </w:rPr>
      </w:pPr>
      <w:r w:rsidRPr="002A6DEA">
        <w:rPr>
          <w:rFonts w:ascii="Times New Roman" w:hAnsi="Times New Roman" w:cs="Times New Roman"/>
          <w:b/>
          <w:sz w:val="24"/>
          <w:szCs w:val="24"/>
          <w:lang w:val="en-ZW"/>
        </w:rPr>
        <w:t>COSTS</w:t>
      </w:r>
    </w:p>
    <w:p w14:paraId="38365078" w14:textId="26CB0913" w:rsidR="002A6DEA" w:rsidRPr="00AE4B5D" w:rsidRDefault="002A6DEA" w:rsidP="00E333F3">
      <w:pPr>
        <w:spacing w:after="0" w:line="360" w:lineRule="auto"/>
        <w:jc w:val="both"/>
        <w:rPr>
          <w:rFonts w:ascii="Times New Roman" w:hAnsi="Times New Roman" w:cs="Times New Roman"/>
          <w:sz w:val="24"/>
          <w:szCs w:val="24"/>
        </w:rPr>
      </w:pPr>
      <w:r w:rsidRPr="002A6DEA">
        <w:rPr>
          <w:rFonts w:ascii="Times New Roman" w:hAnsi="Times New Roman" w:cs="Times New Roman"/>
          <w:sz w:val="24"/>
          <w:szCs w:val="24"/>
          <w:lang w:val="en-ZW"/>
        </w:rPr>
        <w:tab/>
        <w:t xml:space="preserve">The </w:t>
      </w:r>
      <w:r>
        <w:rPr>
          <w:rFonts w:ascii="Times New Roman" w:hAnsi="Times New Roman" w:cs="Times New Roman"/>
          <w:sz w:val="24"/>
          <w:szCs w:val="24"/>
          <w:lang w:val="en-ZW"/>
        </w:rPr>
        <w:t xml:space="preserve">general rule is that costs follow the event. </w:t>
      </w:r>
      <w:r w:rsidR="00B077B3">
        <w:rPr>
          <w:rFonts w:ascii="Times New Roman" w:hAnsi="Times New Roman" w:cs="Times New Roman"/>
          <w:sz w:val="24"/>
          <w:szCs w:val="24"/>
          <w:lang w:val="en-ZW"/>
        </w:rPr>
        <w:t xml:space="preserve">The applicant had sought costs on the legal practitioner and client scale in the event of the court finding in its favour. </w:t>
      </w:r>
      <w:r w:rsidR="00743438">
        <w:rPr>
          <w:rFonts w:ascii="Times New Roman" w:hAnsi="Times New Roman" w:cs="Times New Roman"/>
          <w:sz w:val="24"/>
          <w:szCs w:val="24"/>
          <w:lang w:val="en-ZW"/>
        </w:rPr>
        <w:t xml:space="preserve"> </w:t>
      </w:r>
      <w:r w:rsidR="00B077B3">
        <w:rPr>
          <w:rFonts w:ascii="Times New Roman" w:hAnsi="Times New Roman" w:cs="Times New Roman"/>
          <w:sz w:val="24"/>
          <w:szCs w:val="24"/>
          <w:lang w:val="en-ZW"/>
        </w:rPr>
        <w:t xml:space="preserve">At the conclusion of his oral submissions, Mr </w:t>
      </w:r>
      <w:r w:rsidR="00B077B3" w:rsidRPr="00B077B3">
        <w:rPr>
          <w:rFonts w:ascii="Times New Roman" w:hAnsi="Times New Roman" w:cs="Times New Roman"/>
          <w:i/>
          <w:sz w:val="24"/>
          <w:szCs w:val="24"/>
          <w:lang w:val="en-ZW"/>
        </w:rPr>
        <w:t>Masango</w:t>
      </w:r>
      <w:r w:rsidR="00B077B3">
        <w:rPr>
          <w:rFonts w:ascii="Times New Roman" w:hAnsi="Times New Roman" w:cs="Times New Roman"/>
          <w:sz w:val="24"/>
          <w:szCs w:val="24"/>
          <w:lang w:val="en-ZW"/>
        </w:rPr>
        <w:t xml:space="preserve"> indicated that the applicant was no longer </w:t>
      </w:r>
      <w:r w:rsidR="007E30B9">
        <w:rPr>
          <w:rFonts w:ascii="Times New Roman" w:hAnsi="Times New Roman" w:cs="Times New Roman"/>
          <w:sz w:val="24"/>
          <w:szCs w:val="24"/>
          <w:lang w:val="en-ZW"/>
        </w:rPr>
        <w:t xml:space="preserve">pursuing the award of costs </w:t>
      </w:r>
      <w:r w:rsidR="00B077B3">
        <w:rPr>
          <w:rFonts w:ascii="Times New Roman" w:hAnsi="Times New Roman" w:cs="Times New Roman"/>
          <w:sz w:val="24"/>
          <w:szCs w:val="24"/>
          <w:lang w:val="en-ZW"/>
        </w:rPr>
        <w:t xml:space="preserve">on the legal practitioner and client scale. </w:t>
      </w:r>
      <w:r w:rsidR="00743438">
        <w:rPr>
          <w:rFonts w:ascii="Times New Roman" w:hAnsi="Times New Roman" w:cs="Times New Roman"/>
          <w:sz w:val="24"/>
          <w:szCs w:val="24"/>
          <w:lang w:val="en-ZW"/>
        </w:rPr>
        <w:t xml:space="preserve"> </w:t>
      </w:r>
      <w:r w:rsidR="00AE4B5D" w:rsidRPr="00AE4B5D">
        <w:rPr>
          <w:rFonts w:ascii="Times New Roman" w:hAnsi="Times New Roman" w:cs="Times New Roman"/>
          <w:sz w:val="24"/>
          <w:szCs w:val="24"/>
          <w:lang w:val="en-ZW"/>
        </w:rPr>
        <w:t xml:space="preserve">The award of costs is a matter of judicial discretion. </w:t>
      </w:r>
      <w:r w:rsidR="00AE4B5D">
        <w:rPr>
          <w:rFonts w:ascii="Times New Roman" w:hAnsi="Times New Roman" w:cs="Times New Roman"/>
          <w:sz w:val="24"/>
          <w:szCs w:val="24"/>
          <w:lang w:val="en-ZW"/>
        </w:rPr>
        <w:t xml:space="preserve">In exercising that discretion, the court takes into </w:t>
      </w:r>
      <w:r w:rsidR="00AE4B5D" w:rsidRPr="00AE4B5D">
        <w:rPr>
          <w:rFonts w:ascii="Times New Roman" w:hAnsi="Times New Roman" w:cs="Times New Roman"/>
          <w:sz w:val="24"/>
          <w:szCs w:val="24"/>
        </w:rPr>
        <w:t>consideration the circumstances of each case</w:t>
      </w:r>
      <w:r w:rsidR="00AE4B5D" w:rsidRPr="00AE4B5D">
        <w:rPr>
          <w:rStyle w:val="FootnoteReference"/>
          <w:rFonts w:ascii="Times New Roman" w:hAnsi="Times New Roman" w:cs="Times New Roman"/>
          <w:sz w:val="24"/>
          <w:szCs w:val="24"/>
        </w:rPr>
        <w:footnoteReference w:id="8"/>
      </w:r>
      <w:r w:rsidR="00AE4B5D" w:rsidRPr="00AE4B5D">
        <w:rPr>
          <w:rFonts w:ascii="Times New Roman" w:hAnsi="Times New Roman" w:cs="Times New Roman"/>
          <w:sz w:val="24"/>
          <w:szCs w:val="24"/>
        </w:rPr>
        <w:t xml:space="preserve">, </w:t>
      </w:r>
      <w:r w:rsidR="00AE4B5D">
        <w:rPr>
          <w:rFonts w:ascii="Times New Roman" w:hAnsi="Times New Roman" w:cs="Times New Roman"/>
          <w:sz w:val="24"/>
          <w:szCs w:val="24"/>
        </w:rPr>
        <w:t xml:space="preserve">the issues and the conduct of the parties. </w:t>
      </w:r>
      <w:r w:rsidR="00743438">
        <w:rPr>
          <w:rFonts w:ascii="Times New Roman" w:hAnsi="Times New Roman" w:cs="Times New Roman"/>
          <w:sz w:val="24"/>
          <w:szCs w:val="24"/>
        </w:rPr>
        <w:t xml:space="preserve"> </w:t>
      </w:r>
      <w:r w:rsidR="00AE4B5D">
        <w:rPr>
          <w:rFonts w:ascii="Times New Roman" w:hAnsi="Times New Roman" w:cs="Times New Roman"/>
          <w:sz w:val="24"/>
          <w:szCs w:val="24"/>
        </w:rPr>
        <w:t xml:space="preserve">The dispute before the court revolves around a </w:t>
      </w:r>
      <w:r w:rsidR="00A92F78">
        <w:rPr>
          <w:rFonts w:ascii="Times New Roman" w:hAnsi="Times New Roman" w:cs="Times New Roman"/>
          <w:sz w:val="24"/>
          <w:szCs w:val="24"/>
        </w:rPr>
        <w:t xml:space="preserve">fairly complex area of the law which may require further exploration. I find it befitting under the circumstances to order that each party bears its own costs of suit. </w:t>
      </w:r>
    </w:p>
    <w:p w14:paraId="3821FB63" w14:textId="0AB5D524" w:rsidR="00E333F3" w:rsidRPr="00085651" w:rsidRDefault="00E333F3" w:rsidP="00E333F3">
      <w:pPr>
        <w:spacing w:after="0" w:line="360" w:lineRule="auto"/>
        <w:jc w:val="both"/>
        <w:rPr>
          <w:rFonts w:ascii="Times New Roman" w:hAnsi="Times New Roman" w:cs="Times New Roman"/>
          <w:b/>
        </w:rPr>
      </w:pPr>
      <w:r w:rsidRPr="00085651">
        <w:rPr>
          <w:rFonts w:ascii="Times New Roman" w:hAnsi="Times New Roman" w:cs="Times New Roman"/>
          <w:b/>
        </w:rPr>
        <w:t xml:space="preserve">DISPOSITION </w:t>
      </w:r>
    </w:p>
    <w:p w14:paraId="12F28575" w14:textId="38974B09" w:rsidR="004A5B2F" w:rsidRPr="00085651" w:rsidRDefault="007A782C" w:rsidP="00CE6AAC">
      <w:pPr>
        <w:pStyle w:val="BodyText1"/>
        <w:shd w:val="clear" w:color="auto" w:fill="auto"/>
        <w:spacing w:before="0" w:line="360" w:lineRule="auto"/>
        <w:ind w:right="20" w:firstLine="0"/>
        <w:jc w:val="both"/>
        <w:rPr>
          <w:b/>
          <w:sz w:val="24"/>
          <w:szCs w:val="24"/>
        </w:rPr>
      </w:pPr>
      <w:r w:rsidRPr="00085651">
        <w:rPr>
          <w:b/>
          <w:sz w:val="24"/>
          <w:szCs w:val="24"/>
        </w:rPr>
        <w:t>Resultantly</w:t>
      </w:r>
      <w:r w:rsidR="003954AF" w:rsidRPr="00085651">
        <w:rPr>
          <w:b/>
          <w:sz w:val="24"/>
          <w:szCs w:val="24"/>
        </w:rPr>
        <w:t xml:space="preserve"> </w:t>
      </w:r>
      <w:r w:rsidR="004A5B2F" w:rsidRPr="00085651">
        <w:rPr>
          <w:b/>
          <w:sz w:val="24"/>
          <w:szCs w:val="24"/>
        </w:rPr>
        <w:t xml:space="preserve">it is ordered that:  </w:t>
      </w:r>
    </w:p>
    <w:p w14:paraId="44CC9F3D" w14:textId="77777777" w:rsidR="00A92F78" w:rsidRPr="007E30B9" w:rsidRDefault="00A92F78" w:rsidP="00A92F78">
      <w:pPr>
        <w:pStyle w:val="ListParagraph"/>
        <w:numPr>
          <w:ilvl w:val="0"/>
          <w:numId w:val="20"/>
        </w:numPr>
        <w:tabs>
          <w:tab w:val="left" w:pos="1276"/>
        </w:tabs>
        <w:spacing w:after="0" w:line="240" w:lineRule="auto"/>
        <w:jc w:val="both"/>
        <w:rPr>
          <w:rFonts w:ascii="Times New Roman" w:hAnsi="Times New Roman" w:cs="Times New Roman"/>
          <w:sz w:val="24"/>
          <w:szCs w:val="24"/>
        </w:rPr>
      </w:pPr>
      <w:r w:rsidRPr="007E30B9">
        <w:rPr>
          <w:rFonts w:ascii="Times New Roman" w:hAnsi="Times New Roman" w:cs="Times New Roman"/>
          <w:sz w:val="24"/>
          <w:szCs w:val="24"/>
        </w:rPr>
        <w:t>The application for review be and is hereby granted.</w:t>
      </w:r>
    </w:p>
    <w:p w14:paraId="7905D2E7" w14:textId="76D68C8D" w:rsidR="00A92F78" w:rsidRPr="007E30B9" w:rsidRDefault="00A92F78" w:rsidP="00A92F78">
      <w:pPr>
        <w:pStyle w:val="ListParagraph"/>
        <w:numPr>
          <w:ilvl w:val="0"/>
          <w:numId w:val="20"/>
        </w:numPr>
        <w:tabs>
          <w:tab w:val="left" w:pos="1276"/>
        </w:tabs>
        <w:spacing w:after="0" w:line="240" w:lineRule="auto"/>
        <w:jc w:val="both"/>
        <w:rPr>
          <w:rFonts w:ascii="Times New Roman" w:hAnsi="Times New Roman" w:cs="Times New Roman"/>
          <w:sz w:val="24"/>
          <w:szCs w:val="24"/>
        </w:rPr>
      </w:pPr>
      <w:r w:rsidRPr="007E30B9">
        <w:rPr>
          <w:rFonts w:ascii="Times New Roman" w:hAnsi="Times New Roman" w:cs="Times New Roman"/>
          <w:sz w:val="24"/>
          <w:szCs w:val="24"/>
        </w:rPr>
        <w:t xml:space="preserve">Items </w:t>
      </w:r>
      <w:r w:rsidRPr="007E30B9">
        <w:rPr>
          <w:rFonts w:ascii="Times New Roman" w:hAnsi="Times New Roman" w:cs="Times New Roman"/>
          <w:b/>
          <w:sz w:val="24"/>
          <w:szCs w:val="24"/>
        </w:rPr>
        <w:t>1 to 133</w:t>
      </w:r>
      <w:r w:rsidRPr="007E30B9">
        <w:rPr>
          <w:rFonts w:ascii="Times New Roman" w:hAnsi="Times New Roman" w:cs="Times New Roman"/>
          <w:sz w:val="24"/>
          <w:szCs w:val="24"/>
        </w:rPr>
        <w:t xml:space="preserve"> of the bill of costs taxed by the </w:t>
      </w:r>
      <w:r w:rsidR="007E30B9" w:rsidRPr="007E30B9">
        <w:rPr>
          <w:rFonts w:ascii="Times New Roman" w:hAnsi="Times New Roman" w:cs="Times New Roman"/>
          <w:sz w:val="24"/>
          <w:szCs w:val="24"/>
        </w:rPr>
        <w:t>first r</w:t>
      </w:r>
      <w:r w:rsidRPr="007E30B9">
        <w:rPr>
          <w:rFonts w:ascii="Times New Roman" w:hAnsi="Times New Roman" w:cs="Times New Roman"/>
          <w:sz w:val="24"/>
          <w:szCs w:val="24"/>
        </w:rPr>
        <w:t>espondent on 13</w:t>
      </w:r>
      <w:r w:rsidRPr="007E30B9">
        <w:rPr>
          <w:rFonts w:ascii="Times New Roman" w:hAnsi="Times New Roman" w:cs="Times New Roman"/>
          <w:sz w:val="24"/>
          <w:szCs w:val="24"/>
          <w:vertAlign w:val="superscript"/>
        </w:rPr>
        <w:t>th</w:t>
      </w:r>
      <w:r w:rsidRPr="007E30B9">
        <w:rPr>
          <w:rFonts w:ascii="Times New Roman" w:hAnsi="Times New Roman" w:cs="Times New Roman"/>
          <w:sz w:val="24"/>
          <w:szCs w:val="24"/>
        </w:rPr>
        <w:t xml:space="preserve"> August 2020 under </w:t>
      </w:r>
      <w:r w:rsidRPr="007E30B9">
        <w:rPr>
          <w:rFonts w:ascii="Times New Roman" w:hAnsi="Times New Roman" w:cs="Times New Roman"/>
          <w:b/>
          <w:sz w:val="24"/>
          <w:szCs w:val="24"/>
        </w:rPr>
        <w:t>HC 11725/16</w:t>
      </w:r>
      <w:r w:rsidRPr="007E30B9">
        <w:rPr>
          <w:rFonts w:ascii="Times New Roman" w:hAnsi="Times New Roman" w:cs="Times New Roman"/>
          <w:sz w:val="24"/>
          <w:szCs w:val="24"/>
        </w:rPr>
        <w:t xml:space="preserve"> be and </w:t>
      </w:r>
      <w:r w:rsidR="00E05622">
        <w:rPr>
          <w:rFonts w:ascii="Times New Roman" w:hAnsi="Times New Roman" w:cs="Times New Roman"/>
          <w:sz w:val="24"/>
          <w:szCs w:val="24"/>
        </w:rPr>
        <w:t xml:space="preserve">are </w:t>
      </w:r>
      <w:r w:rsidRPr="007E30B9">
        <w:rPr>
          <w:rFonts w:ascii="Times New Roman" w:hAnsi="Times New Roman" w:cs="Times New Roman"/>
          <w:sz w:val="24"/>
          <w:szCs w:val="24"/>
        </w:rPr>
        <w:t>hereby set aside.</w:t>
      </w:r>
    </w:p>
    <w:p w14:paraId="6F78EFC3" w14:textId="1BC24F76" w:rsidR="00A92F78" w:rsidRPr="007E30B9" w:rsidRDefault="00A92F78" w:rsidP="00A92F78">
      <w:pPr>
        <w:pStyle w:val="ListParagraph"/>
        <w:numPr>
          <w:ilvl w:val="0"/>
          <w:numId w:val="20"/>
        </w:numPr>
        <w:tabs>
          <w:tab w:val="left" w:pos="1276"/>
        </w:tabs>
        <w:spacing w:after="0" w:line="240" w:lineRule="auto"/>
        <w:jc w:val="both"/>
        <w:rPr>
          <w:rFonts w:ascii="Times New Roman" w:hAnsi="Times New Roman" w:cs="Times New Roman"/>
          <w:sz w:val="24"/>
          <w:szCs w:val="24"/>
        </w:rPr>
      </w:pPr>
      <w:r w:rsidRPr="007E30B9">
        <w:rPr>
          <w:rFonts w:ascii="Times New Roman" w:hAnsi="Times New Roman" w:cs="Times New Roman"/>
          <w:sz w:val="24"/>
          <w:szCs w:val="24"/>
        </w:rPr>
        <w:t xml:space="preserve">The matter is hereby remitted back to </w:t>
      </w:r>
      <w:r w:rsidR="007E30B9">
        <w:rPr>
          <w:rFonts w:ascii="Times New Roman" w:hAnsi="Times New Roman" w:cs="Times New Roman"/>
          <w:sz w:val="24"/>
          <w:szCs w:val="24"/>
        </w:rPr>
        <w:t>the first r</w:t>
      </w:r>
      <w:r w:rsidRPr="007E30B9">
        <w:rPr>
          <w:rFonts w:ascii="Times New Roman" w:hAnsi="Times New Roman" w:cs="Times New Roman"/>
          <w:sz w:val="24"/>
          <w:szCs w:val="24"/>
        </w:rPr>
        <w:t xml:space="preserve">espondent for taxation of </w:t>
      </w:r>
      <w:r w:rsidRPr="007E30B9">
        <w:rPr>
          <w:rFonts w:ascii="Times New Roman" w:hAnsi="Times New Roman" w:cs="Times New Roman"/>
          <w:b/>
          <w:sz w:val="24"/>
          <w:szCs w:val="24"/>
        </w:rPr>
        <w:t>Items 1 to 133</w:t>
      </w:r>
      <w:r w:rsidRPr="007E30B9">
        <w:rPr>
          <w:rFonts w:ascii="Times New Roman" w:hAnsi="Times New Roman" w:cs="Times New Roman"/>
          <w:sz w:val="24"/>
          <w:szCs w:val="24"/>
        </w:rPr>
        <w:t xml:space="preserve"> o</w:t>
      </w:r>
      <w:r w:rsidR="007E30B9">
        <w:rPr>
          <w:rFonts w:ascii="Times New Roman" w:hAnsi="Times New Roman" w:cs="Times New Roman"/>
          <w:sz w:val="24"/>
          <w:szCs w:val="24"/>
        </w:rPr>
        <w:t>f</w:t>
      </w:r>
      <w:r w:rsidRPr="007E30B9">
        <w:rPr>
          <w:rFonts w:ascii="Times New Roman" w:hAnsi="Times New Roman" w:cs="Times New Roman"/>
          <w:sz w:val="24"/>
          <w:szCs w:val="24"/>
        </w:rPr>
        <w:t xml:space="preserve"> the </w:t>
      </w:r>
      <w:r w:rsidR="007E30B9">
        <w:rPr>
          <w:rFonts w:ascii="Times New Roman" w:hAnsi="Times New Roman" w:cs="Times New Roman"/>
          <w:sz w:val="24"/>
          <w:szCs w:val="24"/>
        </w:rPr>
        <w:t>b</w:t>
      </w:r>
      <w:r w:rsidRPr="007E30B9">
        <w:rPr>
          <w:rFonts w:ascii="Times New Roman" w:hAnsi="Times New Roman" w:cs="Times New Roman"/>
          <w:sz w:val="24"/>
          <w:szCs w:val="24"/>
        </w:rPr>
        <w:t xml:space="preserve">ill of </w:t>
      </w:r>
      <w:r w:rsidR="007E30B9">
        <w:rPr>
          <w:rFonts w:ascii="Times New Roman" w:hAnsi="Times New Roman" w:cs="Times New Roman"/>
          <w:sz w:val="24"/>
          <w:szCs w:val="24"/>
        </w:rPr>
        <w:t>c</w:t>
      </w:r>
      <w:r w:rsidRPr="007E30B9">
        <w:rPr>
          <w:rFonts w:ascii="Times New Roman" w:hAnsi="Times New Roman" w:cs="Times New Roman"/>
          <w:sz w:val="24"/>
          <w:szCs w:val="24"/>
        </w:rPr>
        <w:t xml:space="preserve">osts only after second respondent has denominated </w:t>
      </w:r>
      <w:r w:rsidR="007E30B9">
        <w:rPr>
          <w:rFonts w:ascii="Times New Roman" w:hAnsi="Times New Roman" w:cs="Times New Roman"/>
          <w:sz w:val="24"/>
          <w:szCs w:val="24"/>
        </w:rPr>
        <w:t xml:space="preserve">its </w:t>
      </w:r>
      <w:r w:rsidRPr="007E30B9">
        <w:rPr>
          <w:rFonts w:ascii="Times New Roman" w:hAnsi="Times New Roman" w:cs="Times New Roman"/>
          <w:sz w:val="24"/>
          <w:szCs w:val="24"/>
        </w:rPr>
        <w:t>attendances in Zimbabwean Dollars.</w:t>
      </w:r>
    </w:p>
    <w:p w14:paraId="6EFD1C0E" w14:textId="77777777" w:rsidR="00A92F78" w:rsidRPr="007E30B9" w:rsidRDefault="00A92F78" w:rsidP="00A92F78">
      <w:pPr>
        <w:pStyle w:val="ListParagraph"/>
        <w:numPr>
          <w:ilvl w:val="0"/>
          <w:numId w:val="20"/>
        </w:numPr>
        <w:spacing w:after="0" w:line="360" w:lineRule="auto"/>
        <w:jc w:val="both"/>
        <w:rPr>
          <w:rFonts w:ascii="Times New Roman" w:hAnsi="Times New Roman" w:cs="Times New Roman"/>
          <w:sz w:val="24"/>
          <w:szCs w:val="24"/>
        </w:rPr>
      </w:pPr>
      <w:r w:rsidRPr="007E30B9">
        <w:rPr>
          <w:rFonts w:ascii="Times New Roman" w:hAnsi="Times New Roman" w:cs="Times New Roman"/>
          <w:sz w:val="24"/>
          <w:szCs w:val="24"/>
        </w:rPr>
        <w:t xml:space="preserve">Each party shall bear its own costs of suit. </w:t>
      </w:r>
    </w:p>
    <w:p w14:paraId="0213047C" w14:textId="62C19273" w:rsidR="00CE6AAC" w:rsidRDefault="00CE6AAC" w:rsidP="00A92F78">
      <w:pPr>
        <w:pStyle w:val="ListParagraph"/>
        <w:spacing w:after="100" w:afterAutospacing="1"/>
        <w:jc w:val="both"/>
        <w:rPr>
          <w:rFonts w:ascii="Times New Roman" w:eastAsia="Times New Roman" w:hAnsi="Times New Roman" w:cs="Times New Roman"/>
          <w:sz w:val="24"/>
          <w:szCs w:val="24"/>
          <w:lang w:val="en" w:eastAsia="en-ZW"/>
        </w:rPr>
      </w:pPr>
    </w:p>
    <w:p w14:paraId="5627F292" w14:textId="77777777" w:rsidR="00743438" w:rsidRPr="00B57FDD" w:rsidRDefault="00743438" w:rsidP="00A92F78">
      <w:pPr>
        <w:pStyle w:val="ListParagraph"/>
        <w:spacing w:after="100" w:afterAutospacing="1"/>
        <w:jc w:val="both"/>
        <w:rPr>
          <w:rFonts w:ascii="Times New Roman" w:eastAsia="Times New Roman" w:hAnsi="Times New Roman" w:cs="Times New Roman"/>
          <w:sz w:val="24"/>
          <w:szCs w:val="24"/>
          <w:lang w:val="en" w:eastAsia="en-ZW"/>
        </w:rPr>
      </w:pPr>
    </w:p>
    <w:p w14:paraId="55ACC702" w14:textId="77777777" w:rsidR="00FA5D56" w:rsidRPr="00085651" w:rsidRDefault="00FA5D56" w:rsidP="00DD0CAF">
      <w:pPr>
        <w:spacing w:after="0"/>
        <w:jc w:val="both"/>
        <w:rPr>
          <w:rFonts w:ascii="Times New Roman" w:hAnsi="Times New Roman" w:cs="Times New Roman"/>
          <w:i/>
        </w:rPr>
      </w:pPr>
    </w:p>
    <w:p w14:paraId="35F965E3" w14:textId="77777777" w:rsidR="00FA5D56" w:rsidRPr="00085651" w:rsidRDefault="00FA5D56" w:rsidP="00DD0CAF">
      <w:pPr>
        <w:spacing w:after="0"/>
        <w:jc w:val="both"/>
        <w:rPr>
          <w:rFonts w:ascii="Times New Roman" w:hAnsi="Times New Roman" w:cs="Times New Roman"/>
          <w:i/>
        </w:rPr>
      </w:pPr>
    </w:p>
    <w:p w14:paraId="244A538E" w14:textId="1AA990F8" w:rsidR="00B10942" w:rsidRPr="00085651" w:rsidRDefault="00B57FDD" w:rsidP="00DD0CAF">
      <w:pPr>
        <w:spacing w:after="0"/>
        <w:jc w:val="both"/>
        <w:rPr>
          <w:rFonts w:ascii="Times New Roman" w:hAnsi="Times New Roman" w:cs="Times New Roman"/>
          <w:i/>
        </w:rPr>
      </w:pPr>
      <w:r>
        <w:rPr>
          <w:rFonts w:ascii="Times New Roman" w:hAnsi="Times New Roman" w:cs="Times New Roman"/>
          <w:i/>
        </w:rPr>
        <w:t>M</w:t>
      </w:r>
      <w:r w:rsidR="00A92F78">
        <w:rPr>
          <w:rFonts w:ascii="Times New Roman" w:hAnsi="Times New Roman" w:cs="Times New Roman"/>
          <w:i/>
        </w:rPr>
        <w:t>uronda Malinga Legal Practice</w:t>
      </w:r>
      <w:r w:rsidR="00B10942" w:rsidRPr="00085651">
        <w:rPr>
          <w:rFonts w:ascii="Times New Roman" w:hAnsi="Times New Roman" w:cs="Times New Roman"/>
        </w:rPr>
        <w:t>, applicant</w:t>
      </w:r>
      <w:r w:rsidR="006F2C9E" w:rsidRPr="00085651">
        <w:rPr>
          <w:rFonts w:ascii="Times New Roman" w:hAnsi="Times New Roman" w:cs="Times New Roman"/>
        </w:rPr>
        <w:t>’s</w:t>
      </w:r>
      <w:r w:rsidR="00B10942" w:rsidRPr="00085651">
        <w:rPr>
          <w:rFonts w:ascii="Times New Roman" w:hAnsi="Times New Roman" w:cs="Times New Roman"/>
        </w:rPr>
        <w:t xml:space="preserve"> legal practitioners</w:t>
      </w:r>
    </w:p>
    <w:p w14:paraId="13C480D0" w14:textId="25BF2C6B" w:rsidR="00772BA7" w:rsidRDefault="00A92F78" w:rsidP="00DD0CAF">
      <w:pPr>
        <w:pStyle w:val="ListParagraph"/>
        <w:spacing w:after="0"/>
        <w:ind w:left="0"/>
        <w:jc w:val="both"/>
        <w:rPr>
          <w:rFonts w:ascii="Times New Roman" w:hAnsi="Times New Roman" w:cs="Times New Roman"/>
        </w:rPr>
      </w:pPr>
      <w:r>
        <w:rPr>
          <w:rFonts w:ascii="Times New Roman" w:hAnsi="Times New Roman" w:cs="Times New Roman"/>
          <w:i/>
        </w:rPr>
        <w:t>Mushuma Law Chambers</w:t>
      </w:r>
      <w:r w:rsidR="00D52794" w:rsidRPr="005F15C1">
        <w:rPr>
          <w:rFonts w:ascii="Times New Roman" w:hAnsi="Times New Roman" w:cs="Times New Roman"/>
          <w:i/>
        </w:rPr>
        <w:t xml:space="preserve">, </w:t>
      </w:r>
      <w:r w:rsidR="00B57FDD">
        <w:rPr>
          <w:rFonts w:ascii="Times New Roman" w:hAnsi="Times New Roman" w:cs="Times New Roman"/>
        </w:rPr>
        <w:t xml:space="preserve">second </w:t>
      </w:r>
      <w:r w:rsidR="00772BA7">
        <w:rPr>
          <w:rFonts w:ascii="Times New Roman" w:hAnsi="Times New Roman" w:cs="Times New Roman"/>
        </w:rPr>
        <w:t>respondent’s legal practitioners</w:t>
      </w:r>
    </w:p>
    <w:p w14:paraId="6BF28F66" w14:textId="77777777" w:rsidR="00E71608" w:rsidRPr="005F15C1" w:rsidRDefault="00E71608" w:rsidP="00DD0CAF">
      <w:pPr>
        <w:pStyle w:val="ListParagraph"/>
        <w:spacing w:after="0"/>
        <w:ind w:left="0"/>
        <w:jc w:val="both"/>
        <w:rPr>
          <w:rFonts w:ascii="Times New Roman" w:hAnsi="Times New Roman" w:cs="Times New Roman"/>
        </w:rPr>
      </w:pPr>
    </w:p>
    <w:sectPr w:rsidR="00E71608" w:rsidRPr="005F15C1" w:rsidSect="007E08E5">
      <w:head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0E3123" w14:textId="77777777" w:rsidR="002420FC" w:rsidRDefault="002420FC" w:rsidP="0000054D">
      <w:pPr>
        <w:spacing w:after="0" w:line="240" w:lineRule="auto"/>
      </w:pPr>
      <w:r>
        <w:separator/>
      </w:r>
    </w:p>
  </w:endnote>
  <w:endnote w:type="continuationSeparator" w:id="0">
    <w:p w14:paraId="5FFA6333" w14:textId="77777777" w:rsidR="002420FC" w:rsidRDefault="002420FC" w:rsidP="00000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006F2B" w14:textId="77777777" w:rsidR="002420FC" w:rsidRDefault="002420FC" w:rsidP="0000054D">
      <w:pPr>
        <w:spacing w:after="0" w:line="240" w:lineRule="auto"/>
      </w:pPr>
      <w:r>
        <w:separator/>
      </w:r>
    </w:p>
  </w:footnote>
  <w:footnote w:type="continuationSeparator" w:id="0">
    <w:p w14:paraId="0E31EFBE" w14:textId="77777777" w:rsidR="002420FC" w:rsidRDefault="002420FC" w:rsidP="0000054D">
      <w:pPr>
        <w:spacing w:after="0" w:line="240" w:lineRule="auto"/>
      </w:pPr>
      <w:r>
        <w:continuationSeparator/>
      </w:r>
    </w:p>
  </w:footnote>
  <w:footnote w:id="1">
    <w:p w14:paraId="560E7E79" w14:textId="36E70F2B" w:rsidR="00B72747" w:rsidRPr="00A65784" w:rsidRDefault="00B72747">
      <w:pPr>
        <w:pStyle w:val="FootnoteText"/>
        <w:rPr>
          <w:rFonts w:ascii="Times New Roman" w:hAnsi="Times New Roman" w:cs="Times New Roman"/>
          <w:sz w:val="18"/>
          <w:szCs w:val="18"/>
        </w:rPr>
      </w:pPr>
      <w:r w:rsidRPr="00A65784">
        <w:rPr>
          <w:rStyle w:val="FootnoteReference"/>
          <w:rFonts w:ascii="Times New Roman" w:hAnsi="Times New Roman" w:cs="Times New Roman"/>
          <w:sz w:val="18"/>
          <w:szCs w:val="18"/>
        </w:rPr>
        <w:footnoteRef/>
      </w:r>
      <w:r w:rsidRPr="00A65784">
        <w:rPr>
          <w:rFonts w:ascii="Times New Roman" w:hAnsi="Times New Roman" w:cs="Times New Roman"/>
          <w:sz w:val="18"/>
          <w:szCs w:val="18"/>
        </w:rPr>
        <w:t xml:space="preserve"> SC 7/20 at p3 of the judgment </w:t>
      </w:r>
    </w:p>
  </w:footnote>
  <w:footnote w:id="2">
    <w:p w14:paraId="6A9C459D" w14:textId="0D9340AE" w:rsidR="00B72747" w:rsidRPr="00A65784" w:rsidRDefault="00B72747">
      <w:pPr>
        <w:pStyle w:val="FootnoteText"/>
        <w:rPr>
          <w:rFonts w:ascii="Times New Roman" w:hAnsi="Times New Roman" w:cs="Times New Roman"/>
          <w:sz w:val="18"/>
          <w:szCs w:val="18"/>
        </w:rPr>
      </w:pPr>
      <w:r w:rsidRPr="00A65784">
        <w:rPr>
          <w:rStyle w:val="FootnoteReference"/>
          <w:rFonts w:ascii="Times New Roman" w:hAnsi="Times New Roman" w:cs="Times New Roman"/>
          <w:sz w:val="18"/>
          <w:szCs w:val="18"/>
        </w:rPr>
        <w:footnoteRef/>
      </w:r>
      <w:r w:rsidRPr="00A65784">
        <w:rPr>
          <w:rFonts w:ascii="Times New Roman" w:hAnsi="Times New Roman" w:cs="Times New Roman"/>
          <w:sz w:val="18"/>
          <w:szCs w:val="18"/>
        </w:rPr>
        <w:t xml:space="preserve"> SC 82/20 at page 7 of the judgment </w:t>
      </w:r>
    </w:p>
  </w:footnote>
  <w:footnote w:id="3">
    <w:p w14:paraId="63A99775" w14:textId="77777777" w:rsidR="00B72747" w:rsidRPr="00604A90" w:rsidRDefault="00B72747" w:rsidP="00114BB4">
      <w:pPr>
        <w:pStyle w:val="FootnoteText"/>
        <w:rPr>
          <w:rFonts w:ascii="Times New Roman" w:hAnsi="Times New Roman" w:cs="Times New Roman"/>
        </w:rPr>
      </w:pPr>
      <w:r w:rsidRPr="00604A90">
        <w:rPr>
          <w:rStyle w:val="FootnoteReference"/>
          <w:rFonts w:ascii="Times New Roman" w:hAnsi="Times New Roman" w:cs="Times New Roman"/>
        </w:rPr>
        <w:footnoteRef/>
      </w:r>
      <w:r w:rsidRPr="00604A90">
        <w:rPr>
          <w:rFonts w:ascii="Times New Roman" w:hAnsi="Times New Roman" w:cs="Times New Roman"/>
        </w:rPr>
        <w:t xml:space="preserve"> [</w:t>
      </w:r>
      <w:r w:rsidRPr="00604A90">
        <w:rPr>
          <w:rFonts w:ascii="Times New Roman" w:hAnsi="Times New Roman" w:cs="Times New Roman"/>
          <w:i/>
        </w:rPr>
        <w:t>Chapter 22:15</w:t>
      </w:r>
      <w:r w:rsidRPr="00604A90">
        <w:rPr>
          <w:rFonts w:ascii="Times New Roman" w:hAnsi="Times New Roman" w:cs="Times New Roman"/>
        </w:rPr>
        <w:t>] (No. 5 of 1999).</w:t>
      </w:r>
    </w:p>
  </w:footnote>
  <w:footnote w:id="4">
    <w:p w14:paraId="7752D512" w14:textId="6895C667" w:rsidR="00B72747" w:rsidRPr="00A764B3" w:rsidRDefault="00B72747">
      <w:pPr>
        <w:pStyle w:val="FootnoteText"/>
        <w:rPr>
          <w:rFonts w:ascii="Times New Roman" w:hAnsi="Times New Roman" w:cs="Times New Roman"/>
        </w:rPr>
      </w:pPr>
      <w:r w:rsidRPr="00A764B3">
        <w:rPr>
          <w:rStyle w:val="FootnoteReference"/>
          <w:rFonts w:ascii="Times New Roman" w:hAnsi="Times New Roman" w:cs="Times New Roman"/>
        </w:rPr>
        <w:footnoteRef/>
      </w:r>
      <w:r w:rsidRPr="00A764B3">
        <w:rPr>
          <w:rFonts w:ascii="Times New Roman" w:hAnsi="Times New Roman" w:cs="Times New Roman"/>
        </w:rPr>
        <w:t xml:space="preserve"> SC 3/20</w:t>
      </w:r>
      <w:r>
        <w:rPr>
          <w:rFonts w:ascii="Times New Roman" w:hAnsi="Times New Roman" w:cs="Times New Roman"/>
        </w:rPr>
        <w:t xml:space="preserve"> at p 9</w:t>
      </w:r>
    </w:p>
  </w:footnote>
  <w:footnote w:id="5">
    <w:p w14:paraId="11224434" w14:textId="2FB9F16B" w:rsidR="00B72747" w:rsidRPr="00564705" w:rsidRDefault="00B72747">
      <w:pPr>
        <w:pStyle w:val="FootnoteText"/>
        <w:rPr>
          <w:rFonts w:ascii="Times New Roman" w:hAnsi="Times New Roman" w:cs="Times New Roman"/>
        </w:rPr>
      </w:pPr>
      <w:r w:rsidRPr="00F81D15">
        <w:rPr>
          <w:rStyle w:val="FootnoteReference"/>
          <w:rFonts w:ascii="Times New Roman" w:hAnsi="Times New Roman" w:cs="Times New Roman"/>
        </w:rPr>
        <w:footnoteRef/>
      </w:r>
      <w:r w:rsidRPr="00F81D15">
        <w:rPr>
          <w:rFonts w:ascii="Times New Roman" w:hAnsi="Times New Roman" w:cs="Times New Roman"/>
        </w:rPr>
        <w:t xml:space="preserve"> </w:t>
      </w:r>
      <w:r w:rsidRPr="00564705">
        <w:rPr>
          <w:rFonts w:ascii="Times New Roman" w:hAnsi="Times New Roman" w:cs="Times New Roman"/>
          <w:i/>
        </w:rPr>
        <w:t xml:space="preserve">Supra </w:t>
      </w:r>
      <w:r>
        <w:rPr>
          <w:rFonts w:ascii="Times New Roman" w:hAnsi="Times New Roman" w:cs="Times New Roman"/>
        </w:rPr>
        <w:t xml:space="preserve">at pages 3-4 of the judgment </w:t>
      </w:r>
    </w:p>
  </w:footnote>
  <w:footnote w:id="6">
    <w:p w14:paraId="392B9D76" w14:textId="1F6FDDF5" w:rsidR="00B72747" w:rsidRPr="00F91E44" w:rsidRDefault="00B72747">
      <w:pPr>
        <w:pStyle w:val="FootnoteText"/>
        <w:rPr>
          <w:rFonts w:ascii="Times New Roman" w:hAnsi="Times New Roman" w:cs="Times New Roman"/>
          <w:sz w:val="18"/>
          <w:szCs w:val="18"/>
        </w:rPr>
      </w:pPr>
      <w:r w:rsidRPr="00F91E44">
        <w:rPr>
          <w:rStyle w:val="FootnoteReference"/>
          <w:rFonts w:ascii="Times New Roman" w:hAnsi="Times New Roman" w:cs="Times New Roman"/>
          <w:sz w:val="18"/>
          <w:szCs w:val="18"/>
        </w:rPr>
        <w:footnoteRef/>
      </w:r>
      <w:r w:rsidRPr="00F91E44">
        <w:rPr>
          <w:rFonts w:ascii="Times New Roman" w:hAnsi="Times New Roman" w:cs="Times New Roman"/>
          <w:sz w:val="18"/>
          <w:szCs w:val="18"/>
        </w:rPr>
        <w:t xml:space="preserve"> At page 4 of the judgment </w:t>
      </w:r>
    </w:p>
  </w:footnote>
  <w:footnote w:id="7">
    <w:p w14:paraId="6CA2658A" w14:textId="72F569DC" w:rsidR="00B72747" w:rsidRPr="00F91E44" w:rsidRDefault="00B72747">
      <w:pPr>
        <w:pStyle w:val="FootnoteText"/>
        <w:rPr>
          <w:rFonts w:ascii="Times New Roman" w:hAnsi="Times New Roman" w:cs="Times New Roman"/>
          <w:sz w:val="18"/>
          <w:szCs w:val="18"/>
        </w:rPr>
      </w:pPr>
      <w:r w:rsidRPr="00F91E44">
        <w:rPr>
          <w:rStyle w:val="FootnoteReference"/>
          <w:rFonts w:ascii="Times New Roman" w:hAnsi="Times New Roman" w:cs="Times New Roman"/>
          <w:sz w:val="18"/>
          <w:szCs w:val="18"/>
        </w:rPr>
        <w:footnoteRef/>
      </w:r>
      <w:r w:rsidRPr="00F91E44">
        <w:rPr>
          <w:rFonts w:ascii="Times New Roman" w:hAnsi="Times New Roman" w:cs="Times New Roman"/>
          <w:sz w:val="18"/>
          <w:szCs w:val="18"/>
        </w:rPr>
        <w:t xml:space="preserve"> SC 88/21 at p 12</w:t>
      </w:r>
    </w:p>
  </w:footnote>
  <w:footnote w:id="8">
    <w:p w14:paraId="28F50023" w14:textId="77777777" w:rsidR="00B72747" w:rsidRPr="00491E7B" w:rsidRDefault="00B72747" w:rsidP="00AE4B5D">
      <w:pPr>
        <w:pStyle w:val="FootnoteText"/>
        <w:rPr>
          <w:rFonts w:ascii="Times New Roman" w:hAnsi="Times New Roman" w:cs="Times New Roman"/>
          <w:sz w:val="18"/>
          <w:szCs w:val="18"/>
        </w:rPr>
      </w:pPr>
      <w:r w:rsidRPr="00491E7B">
        <w:rPr>
          <w:rStyle w:val="FootnoteReference"/>
          <w:rFonts w:ascii="Times New Roman" w:hAnsi="Times New Roman" w:cs="Times New Roman"/>
          <w:sz w:val="18"/>
          <w:szCs w:val="18"/>
        </w:rPr>
        <w:footnoteRef/>
      </w:r>
      <w:r w:rsidRPr="00491E7B">
        <w:rPr>
          <w:rFonts w:ascii="Times New Roman" w:hAnsi="Times New Roman" w:cs="Times New Roman"/>
          <w:sz w:val="18"/>
          <w:szCs w:val="18"/>
        </w:rPr>
        <w:t xml:space="preserve"> </w:t>
      </w:r>
      <w:r w:rsidRPr="00491E7B">
        <w:rPr>
          <w:rFonts w:ascii="Times New Roman" w:hAnsi="Times New Roman" w:cs="Times New Roman"/>
          <w:i/>
          <w:sz w:val="18"/>
          <w:szCs w:val="18"/>
        </w:rPr>
        <w:t>Cronje v Pelser</w:t>
      </w:r>
      <w:r w:rsidRPr="00491E7B">
        <w:rPr>
          <w:rFonts w:ascii="Times New Roman" w:hAnsi="Times New Roman" w:cs="Times New Roman"/>
          <w:sz w:val="18"/>
          <w:szCs w:val="18"/>
        </w:rPr>
        <w:t xml:space="preserve"> 1967 (2) SA 589 (A) at 593</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0240505"/>
      <w:docPartObj>
        <w:docPartGallery w:val="Page Numbers (Top of Page)"/>
        <w:docPartUnique/>
      </w:docPartObj>
    </w:sdtPr>
    <w:sdtEndPr>
      <w:rPr>
        <w:rFonts w:ascii="Times New Roman" w:hAnsi="Times New Roman" w:cs="Times New Roman"/>
        <w:noProof/>
      </w:rPr>
    </w:sdtEndPr>
    <w:sdtContent>
      <w:p w14:paraId="498FD4A7" w14:textId="67978869" w:rsidR="00B72747" w:rsidRPr="00791FD2" w:rsidRDefault="00B72747">
        <w:pPr>
          <w:pStyle w:val="Header"/>
          <w:jc w:val="right"/>
          <w:rPr>
            <w:rFonts w:ascii="Times New Roman" w:hAnsi="Times New Roman" w:cs="Times New Roman"/>
            <w:noProof/>
          </w:rPr>
        </w:pPr>
        <w:r w:rsidRPr="00791FD2">
          <w:rPr>
            <w:rFonts w:ascii="Times New Roman" w:hAnsi="Times New Roman" w:cs="Times New Roman"/>
          </w:rPr>
          <w:fldChar w:fldCharType="begin"/>
        </w:r>
        <w:r w:rsidRPr="00791FD2">
          <w:rPr>
            <w:rFonts w:ascii="Times New Roman" w:hAnsi="Times New Roman" w:cs="Times New Roman"/>
          </w:rPr>
          <w:instrText xml:space="preserve"> PAGE   \* MERGEFORMAT </w:instrText>
        </w:r>
        <w:r w:rsidRPr="00791FD2">
          <w:rPr>
            <w:rFonts w:ascii="Times New Roman" w:hAnsi="Times New Roman" w:cs="Times New Roman"/>
          </w:rPr>
          <w:fldChar w:fldCharType="separate"/>
        </w:r>
        <w:r w:rsidR="00F936C6">
          <w:rPr>
            <w:rFonts w:ascii="Times New Roman" w:hAnsi="Times New Roman" w:cs="Times New Roman"/>
            <w:noProof/>
          </w:rPr>
          <w:t>1</w:t>
        </w:r>
        <w:r w:rsidRPr="00791FD2">
          <w:rPr>
            <w:rFonts w:ascii="Times New Roman" w:hAnsi="Times New Roman" w:cs="Times New Roman"/>
            <w:noProof/>
          </w:rPr>
          <w:fldChar w:fldCharType="end"/>
        </w:r>
      </w:p>
      <w:p w14:paraId="361DEF2F" w14:textId="3E48B768" w:rsidR="00B72747" w:rsidRPr="00791FD2" w:rsidRDefault="00B72747">
        <w:pPr>
          <w:pStyle w:val="Header"/>
          <w:jc w:val="right"/>
          <w:rPr>
            <w:rFonts w:ascii="Times New Roman" w:hAnsi="Times New Roman" w:cs="Times New Roman"/>
            <w:noProof/>
          </w:rPr>
        </w:pPr>
        <w:r w:rsidRPr="00791FD2">
          <w:rPr>
            <w:rFonts w:ascii="Times New Roman" w:hAnsi="Times New Roman" w:cs="Times New Roman"/>
            <w:noProof/>
          </w:rPr>
          <w:t>HH</w:t>
        </w:r>
        <w:r w:rsidR="004D3BE7">
          <w:rPr>
            <w:rFonts w:ascii="Times New Roman" w:hAnsi="Times New Roman" w:cs="Times New Roman"/>
            <w:noProof/>
          </w:rPr>
          <w:t xml:space="preserve"> 317-22</w:t>
        </w:r>
        <w:r w:rsidRPr="00791FD2">
          <w:rPr>
            <w:rFonts w:ascii="Times New Roman" w:hAnsi="Times New Roman" w:cs="Times New Roman"/>
            <w:noProof/>
          </w:rPr>
          <w:t xml:space="preserve"> </w:t>
        </w:r>
      </w:p>
      <w:p w14:paraId="60864A13" w14:textId="6191B908" w:rsidR="00B72747" w:rsidRDefault="00B72747">
        <w:pPr>
          <w:pStyle w:val="Header"/>
          <w:jc w:val="right"/>
          <w:rPr>
            <w:rFonts w:ascii="Times New Roman" w:hAnsi="Times New Roman" w:cs="Times New Roman"/>
            <w:noProof/>
          </w:rPr>
        </w:pPr>
        <w:r w:rsidRPr="00791FD2">
          <w:rPr>
            <w:rFonts w:ascii="Times New Roman" w:hAnsi="Times New Roman" w:cs="Times New Roman"/>
            <w:noProof/>
          </w:rPr>
          <w:t xml:space="preserve">HC </w:t>
        </w:r>
        <w:r w:rsidR="002A5BF2">
          <w:rPr>
            <w:rFonts w:ascii="Times New Roman" w:hAnsi="Times New Roman" w:cs="Times New Roman"/>
            <w:noProof/>
          </w:rPr>
          <w:t>4421</w:t>
        </w:r>
        <w:r>
          <w:rPr>
            <w:rFonts w:ascii="Times New Roman" w:hAnsi="Times New Roman" w:cs="Times New Roman"/>
            <w:noProof/>
          </w:rPr>
          <w:t>/2</w:t>
        </w:r>
        <w:r w:rsidR="002A5BF2">
          <w:rPr>
            <w:rFonts w:ascii="Times New Roman" w:hAnsi="Times New Roman" w:cs="Times New Roman"/>
            <w:noProof/>
          </w:rPr>
          <w:t>0</w:t>
        </w:r>
      </w:p>
      <w:p w14:paraId="4884136D" w14:textId="2F66EC4F" w:rsidR="00B72747" w:rsidRPr="00791FD2" w:rsidRDefault="002420FC">
        <w:pPr>
          <w:pStyle w:val="Header"/>
          <w:jc w:val="right"/>
          <w:rPr>
            <w:rFonts w:ascii="Times New Roman" w:hAnsi="Times New Roman" w:cs="Times New Roman"/>
          </w:rPr>
        </w:pPr>
      </w:p>
    </w:sdtContent>
  </w:sdt>
  <w:p w14:paraId="05E194F5" w14:textId="77777777" w:rsidR="00B72747" w:rsidRDefault="00B72747"/>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C4702"/>
    <w:multiLevelType w:val="hybridMultilevel"/>
    <w:tmpl w:val="EA14A25A"/>
    <w:lvl w:ilvl="0" w:tplc="887EEA2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4E43F5D"/>
    <w:multiLevelType w:val="hybridMultilevel"/>
    <w:tmpl w:val="698205C4"/>
    <w:lvl w:ilvl="0" w:tplc="E36EAA84">
      <w:start w:val="1"/>
      <w:numFmt w:val="decimal"/>
      <w:lvlText w:val="%1."/>
      <w:lvlJc w:val="left"/>
      <w:pPr>
        <w:ind w:left="720" w:hanging="360"/>
      </w:pPr>
      <w:rPr>
        <w:rFonts w:ascii="Arial" w:hAnsi="Arial" w:cs="Arial" w:hint="default"/>
        <w:sz w:val="24"/>
        <w:szCs w:val="24"/>
      </w:rPr>
    </w:lvl>
    <w:lvl w:ilvl="1" w:tplc="1C090019">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2" w15:restartNumberingAfterBreak="0">
    <w:nsid w:val="0D47162A"/>
    <w:multiLevelType w:val="hybridMultilevel"/>
    <w:tmpl w:val="6ADE3DF2"/>
    <w:lvl w:ilvl="0" w:tplc="14BCB39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12F732A5"/>
    <w:multiLevelType w:val="multilevel"/>
    <w:tmpl w:val="6FD0D9A2"/>
    <w:lvl w:ilvl="0">
      <w:start w:val="1"/>
      <w:numFmt w:val="decimal"/>
      <w:lvlText w:val="%1."/>
      <w:lvlJc w:val="left"/>
      <w:pPr>
        <w:ind w:left="1374" w:hanging="360"/>
      </w:pPr>
      <w:rPr>
        <w:rFonts w:ascii="Times New Roman" w:eastAsiaTheme="minorHAnsi" w:hAnsi="Times New Roman" w:cs="Times New Roman"/>
      </w:rPr>
    </w:lvl>
    <w:lvl w:ilvl="1">
      <w:start w:val="1"/>
      <w:numFmt w:val="decimal"/>
      <w:isLgl/>
      <w:lvlText w:val="%1.%2"/>
      <w:lvlJc w:val="left"/>
      <w:pPr>
        <w:ind w:left="1374" w:hanging="360"/>
      </w:pPr>
      <w:rPr>
        <w:rFonts w:hint="default"/>
      </w:rPr>
    </w:lvl>
    <w:lvl w:ilvl="2">
      <w:start w:val="1"/>
      <w:numFmt w:val="decimal"/>
      <w:isLgl/>
      <w:lvlText w:val="%1.%2.%3"/>
      <w:lvlJc w:val="left"/>
      <w:pPr>
        <w:ind w:left="1734" w:hanging="720"/>
      </w:pPr>
      <w:rPr>
        <w:rFonts w:hint="default"/>
      </w:rPr>
    </w:lvl>
    <w:lvl w:ilvl="3">
      <w:start w:val="1"/>
      <w:numFmt w:val="decimal"/>
      <w:isLgl/>
      <w:lvlText w:val="%1.%2.%3.%4"/>
      <w:lvlJc w:val="left"/>
      <w:pPr>
        <w:ind w:left="1734" w:hanging="720"/>
      </w:pPr>
      <w:rPr>
        <w:rFonts w:hint="default"/>
      </w:rPr>
    </w:lvl>
    <w:lvl w:ilvl="4">
      <w:start w:val="1"/>
      <w:numFmt w:val="decimal"/>
      <w:isLgl/>
      <w:lvlText w:val="%1.%2.%3.%4.%5"/>
      <w:lvlJc w:val="left"/>
      <w:pPr>
        <w:ind w:left="1734" w:hanging="720"/>
      </w:pPr>
      <w:rPr>
        <w:rFonts w:hint="default"/>
      </w:rPr>
    </w:lvl>
    <w:lvl w:ilvl="5">
      <w:start w:val="1"/>
      <w:numFmt w:val="decimal"/>
      <w:isLgl/>
      <w:lvlText w:val="%1.%2.%3.%4.%5.%6"/>
      <w:lvlJc w:val="left"/>
      <w:pPr>
        <w:ind w:left="2094" w:hanging="1080"/>
      </w:pPr>
      <w:rPr>
        <w:rFonts w:hint="default"/>
      </w:rPr>
    </w:lvl>
    <w:lvl w:ilvl="6">
      <w:start w:val="1"/>
      <w:numFmt w:val="decimal"/>
      <w:isLgl/>
      <w:lvlText w:val="%1.%2.%3.%4.%5.%6.%7"/>
      <w:lvlJc w:val="left"/>
      <w:pPr>
        <w:ind w:left="2094" w:hanging="1080"/>
      </w:pPr>
      <w:rPr>
        <w:rFonts w:hint="default"/>
      </w:rPr>
    </w:lvl>
    <w:lvl w:ilvl="7">
      <w:start w:val="1"/>
      <w:numFmt w:val="decimal"/>
      <w:isLgl/>
      <w:lvlText w:val="%1.%2.%3.%4.%5.%6.%7.%8"/>
      <w:lvlJc w:val="left"/>
      <w:pPr>
        <w:ind w:left="2454" w:hanging="1440"/>
      </w:pPr>
      <w:rPr>
        <w:rFonts w:hint="default"/>
      </w:rPr>
    </w:lvl>
    <w:lvl w:ilvl="8">
      <w:start w:val="1"/>
      <w:numFmt w:val="decimal"/>
      <w:isLgl/>
      <w:lvlText w:val="%1.%2.%3.%4.%5.%6.%7.%8.%9"/>
      <w:lvlJc w:val="left"/>
      <w:pPr>
        <w:ind w:left="2454" w:hanging="1440"/>
      </w:pPr>
      <w:rPr>
        <w:rFonts w:hint="default"/>
      </w:rPr>
    </w:lvl>
  </w:abstractNum>
  <w:abstractNum w:abstractNumId="4" w15:restartNumberingAfterBreak="0">
    <w:nsid w:val="13B82BDC"/>
    <w:multiLevelType w:val="hybridMultilevel"/>
    <w:tmpl w:val="FA402CC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223B6393"/>
    <w:multiLevelType w:val="hybridMultilevel"/>
    <w:tmpl w:val="0D8E522E"/>
    <w:lvl w:ilvl="0" w:tplc="D95E8BF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6" w15:restartNumberingAfterBreak="0">
    <w:nsid w:val="2883559B"/>
    <w:multiLevelType w:val="hybridMultilevel"/>
    <w:tmpl w:val="D8943710"/>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7" w15:restartNumberingAfterBreak="0">
    <w:nsid w:val="2E802AF8"/>
    <w:multiLevelType w:val="hybridMultilevel"/>
    <w:tmpl w:val="5D1C589A"/>
    <w:lvl w:ilvl="0" w:tplc="B218E89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33EF18C5"/>
    <w:multiLevelType w:val="hybridMultilevel"/>
    <w:tmpl w:val="DB42287A"/>
    <w:lvl w:ilvl="0" w:tplc="D50CC94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40A06FEC"/>
    <w:multiLevelType w:val="hybridMultilevel"/>
    <w:tmpl w:val="3BCA1A20"/>
    <w:lvl w:ilvl="0" w:tplc="565A3AE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42115A6B"/>
    <w:multiLevelType w:val="hybridMultilevel"/>
    <w:tmpl w:val="1B3401E0"/>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1" w15:restartNumberingAfterBreak="0">
    <w:nsid w:val="4B096269"/>
    <w:multiLevelType w:val="hybridMultilevel"/>
    <w:tmpl w:val="75EC7A8A"/>
    <w:lvl w:ilvl="0" w:tplc="28BC161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4C7C7E7E"/>
    <w:multiLevelType w:val="hybridMultilevel"/>
    <w:tmpl w:val="157EFFD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504828B4"/>
    <w:multiLevelType w:val="multilevel"/>
    <w:tmpl w:val="98522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13A6130"/>
    <w:multiLevelType w:val="hybridMultilevel"/>
    <w:tmpl w:val="9BC454F0"/>
    <w:lvl w:ilvl="0" w:tplc="ACD61DC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15:restartNumberingAfterBreak="0">
    <w:nsid w:val="575E7D93"/>
    <w:multiLevelType w:val="hybridMultilevel"/>
    <w:tmpl w:val="12BE50E0"/>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15:restartNumberingAfterBreak="0">
    <w:nsid w:val="58B84E69"/>
    <w:multiLevelType w:val="hybridMultilevel"/>
    <w:tmpl w:val="614E8A0A"/>
    <w:lvl w:ilvl="0" w:tplc="CE6471C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15:restartNumberingAfterBreak="0">
    <w:nsid w:val="58E80901"/>
    <w:multiLevelType w:val="hybridMultilevel"/>
    <w:tmpl w:val="896C8234"/>
    <w:lvl w:ilvl="0" w:tplc="5E36B97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15:restartNumberingAfterBreak="0">
    <w:nsid w:val="73333B11"/>
    <w:multiLevelType w:val="hybridMultilevel"/>
    <w:tmpl w:val="95F8B97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15:restartNumberingAfterBreak="0">
    <w:nsid w:val="73F37A7D"/>
    <w:multiLevelType w:val="hybridMultilevel"/>
    <w:tmpl w:val="F35A7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1D21CC"/>
    <w:multiLevelType w:val="hybridMultilevel"/>
    <w:tmpl w:val="2FECFDD6"/>
    <w:lvl w:ilvl="0" w:tplc="9DD475A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15:restartNumberingAfterBreak="0">
    <w:nsid w:val="76223728"/>
    <w:multiLevelType w:val="hybridMultilevel"/>
    <w:tmpl w:val="682E1894"/>
    <w:lvl w:ilvl="0" w:tplc="0409000F">
      <w:start w:val="1"/>
      <w:numFmt w:val="decimal"/>
      <w:lvlText w:val="%1."/>
      <w:lvlJc w:val="left"/>
      <w:pPr>
        <w:ind w:left="1014" w:hanging="360"/>
      </w:pPr>
    </w:lvl>
    <w:lvl w:ilvl="1" w:tplc="04090019">
      <w:start w:val="1"/>
      <w:numFmt w:val="lowerLetter"/>
      <w:lvlText w:val="%2."/>
      <w:lvlJc w:val="left"/>
      <w:pPr>
        <w:ind w:left="1734" w:hanging="360"/>
      </w:pPr>
    </w:lvl>
    <w:lvl w:ilvl="2" w:tplc="0409001B" w:tentative="1">
      <w:start w:val="1"/>
      <w:numFmt w:val="lowerRoman"/>
      <w:lvlText w:val="%3."/>
      <w:lvlJc w:val="right"/>
      <w:pPr>
        <w:ind w:left="2454" w:hanging="180"/>
      </w:pPr>
    </w:lvl>
    <w:lvl w:ilvl="3" w:tplc="0409000F" w:tentative="1">
      <w:start w:val="1"/>
      <w:numFmt w:val="decimal"/>
      <w:lvlText w:val="%4."/>
      <w:lvlJc w:val="left"/>
      <w:pPr>
        <w:ind w:left="3174" w:hanging="360"/>
      </w:pPr>
    </w:lvl>
    <w:lvl w:ilvl="4" w:tplc="04090019" w:tentative="1">
      <w:start w:val="1"/>
      <w:numFmt w:val="lowerLetter"/>
      <w:lvlText w:val="%5."/>
      <w:lvlJc w:val="left"/>
      <w:pPr>
        <w:ind w:left="3894" w:hanging="360"/>
      </w:pPr>
    </w:lvl>
    <w:lvl w:ilvl="5" w:tplc="0409001B" w:tentative="1">
      <w:start w:val="1"/>
      <w:numFmt w:val="lowerRoman"/>
      <w:lvlText w:val="%6."/>
      <w:lvlJc w:val="right"/>
      <w:pPr>
        <w:ind w:left="4614" w:hanging="180"/>
      </w:pPr>
    </w:lvl>
    <w:lvl w:ilvl="6" w:tplc="0409000F" w:tentative="1">
      <w:start w:val="1"/>
      <w:numFmt w:val="decimal"/>
      <w:lvlText w:val="%7."/>
      <w:lvlJc w:val="left"/>
      <w:pPr>
        <w:ind w:left="5334" w:hanging="360"/>
      </w:pPr>
    </w:lvl>
    <w:lvl w:ilvl="7" w:tplc="04090019" w:tentative="1">
      <w:start w:val="1"/>
      <w:numFmt w:val="lowerLetter"/>
      <w:lvlText w:val="%8."/>
      <w:lvlJc w:val="left"/>
      <w:pPr>
        <w:ind w:left="6054" w:hanging="360"/>
      </w:pPr>
    </w:lvl>
    <w:lvl w:ilvl="8" w:tplc="0409001B" w:tentative="1">
      <w:start w:val="1"/>
      <w:numFmt w:val="lowerRoman"/>
      <w:lvlText w:val="%9."/>
      <w:lvlJc w:val="right"/>
      <w:pPr>
        <w:ind w:left="6774" w:hanging="180"/>
      </w:pPr>
    </w:lvl>
  </w:abstractNum>
  <w:abstractNum w:abstractNumId="22" w15:restartNumberingAfterBreak="0">
    <w:nsid w:val="7965615F"/>
    <w:multiLevelType w:val="hybridMultilevel"/>
    <w:tmpl w:val="9052FB3C"/>
    <w:lvl w:ilvl="0" w:tplc="3009000F">
      <w:start w:val="1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3" w15:restartNumberingAfterBreak="0">
    <w:nsid w:val="799C1816"/>
    <w:multiLevelType w:val="hybridMultilevel"/>
    <w:tmpl w:val="DBB2FCF4"/>
    <w:lvl w:ilvl="0" w:tplc="25BCFB8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4" w15:restartNumberingAfterBreak="0">
    <w:nsid w:val="7A030B56"/>
    <w:multiLevelType w:val="hybridMultilevel"/>
    <w:tmpl w:val="8A80C056"/>
    <w:lvl w:ilvl="0" w:tplc="FC42FE8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9"/>
  </w:num>
  <w:num w:numId="2">
    <w:abstractNumId w:val="11"/>
  </w:num>
  <w:num w:numId="3">
    <w:abstractNumId w:val="21"/>
  </w:num>
  <w:num w:numId="4">
    <w:abstractNumId w:val="3"/>
  </w:num>
  <w:num w:numId="5">
    <w:abstractNumId w:val="8"/>
  </w:num>
  <w:num w:numId="6">
    <w:abstractNumId w:val="0"/>
  </w:num>
  <w:num w:numId="7">
    <w:abstractNumId w:val="24"/>
  </w:num>
  <w:num w:numId="8">
    <w:abstractNumId w:val="2"/>
  </w:num>
  <w:num w:numId="9">
    <w:abstractNumId w:val="15"/>
  </w:num>
  <w:num w:numId="10">
    <w:abstractNumId w:val="14"/>
  </w:num>
  <w:num w:numId="11">
    <w:abstractNumId w:val="17"/>
  </w:num>
  <w:num w:numId="12">
    <w:abstractNumId w:val="12"/>
  </w:num>
  <w:num w:numId="13">
    <w:abstractNumId w:val="1"/>
  </w:num>
  <w:num w:numId="14">
    <w:abstractNumId w:val="22"/>
  </w:num>
  <w:num w:numId="15">
    <w:abstractNumId w:val="13"/>
  </w:num>
  <w:num w:numId="16">
    <w:abstractNumId w:val="20"/>
  </w:num>
  <w:num w:numId="17">
    <w:abstractNumId w:val="23"/>
  </w:num>
  <w:num w:numId="18">
    <w:abstractNumId w:val="10"/>
  </w:num>
  <w:num w:numId="19">
    <w:abstractNumId w:val="9"/>
  </w:num>
  <w:num w:numId="20">
    <w:abstractNumId w:val="4"/>
  </w:num>
  <w:num w:numId="21">
    <w:abstractNumId w:val="16"/>
  </w:num>
  <w:num w:numId="22">
    <w:abstractNumId w:val="7"/>
  </w:num>
  <w:num w:numId="23">
    <w:abstractNumId w:val="5"/>
  </w:num>
  <w:num w:numId="24">
    <w:abstractNumId w:val="6"/>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54D"/>
    <w:rsid w:val="00000277"/>
    <w:rsid w:val="00000485"/>
    <w:rsid w:val="0000054D"/>
    <w:rsid w:val="00000649"/>
    <w:rsid w:val="0000353F"/>
    <w:rsid w:val="00004E48"/>
    <w:rsid w:val="00006354"/>
    <w:rsid w:val="00007781"/>
    <w:rsid w:val="000100E4"/>
    <w:rsid w:val="00013BC1"/>
    <w:rsid w:val="00015659"/>
    <w:rsid w:val="0001570C"/>
    <w:rsid w:val="00015B41"/>
    <w:rsid w:val="0001668F"/>
    <w:rsid w:val="00017E83"/>
    <w:rsid w:val="00020BD4"/>
    <w:rsid w:val="00021749"/>
    <w:rsid w:val="000236C7"/>
    <w:rsid w:val="00023786"/>
    <w:rsid w:val="000247AB"/>
    <w:rsid w:val="00027973"/>
    <w:rsid w:val="00027BFD"/>
    <w:rsid w:val="00032F73"/>
    <w:rsid w:val="00034937"/>
    <w:rsid w:val="00034BB6"/>
    <w:rsid w:val="00034D2C"/>
    <w:rsid w:val="0003549B"/>
    <w:rsid w:val="0003558C"/>
    <w:rsid w:val="00037923"/>
    <w:rsid w:val="00041543"/>
    <w:rsid w:val="00041B61"/>
    <w:rsid w:val="00043725"/>
    <w:rsid w:val="000451F6"/>
    <w:rsid w:val="000472D5"/>
    <w:rsid w:val="00051823"/>
    <w:rsid w:val="000529FD"/>
    <w:rsid w:val="00053321"/>
    <w:rsid w:val="00053BE2"/>
    <w:rsid w:val="000549FF"/>
    <w:rsid w:val="00055F45"/>
    <w:rsid w:val="00057DC9"/>
    <w:rsid w:val="00060352"/>
    <w:rsid w:val="00062640"/>
    <w:rsid w:val="00062A1D"/>
    <w:rsid w:val="00063EB3"/>
    <w:rsid w:val="000652A4"/>
    <w:rsid w:val="00065491"/>
    <w:rsid w:val="00066D2E"/>
    <w:rsid w:val="0006739E"/>
    <w:rsid w:val="00071AFF"/>
    <w:rsid w:val="00072247"/>
    <w:rsid w:val="0007272B"/>
    <w:rsid w:val="00072C97"/>
    <w:rsid w:val="0007391C"/>
    <w:rsid w:val="00073C86"/>
    <w:rsid w:val="00073D1D"/>
    <w:rsid w:val="00073D80"/>
    <w:rsid w:val="000744F4"/>
    <w:rsid w:val="0007479A"/>
    <w:rsid w:val="000757C5"/>
    <w:rsid w:val="000767BB"/>
    <w:rsid w:val="00077B24"/>
    <w:rsid w:val="00080112"/>
    <w:rsid w:val="00080BF3"/>
    <w:rsid w:val="00083A8E"/>
    <w:rsid w:val="000852DD"/>
    <w:rsid w:val="00085309"/>
    <w:rsid w:val="00085651"/>
    <w:rsid w:val="0008754B"/>
    <w:rsid w:val="00087D54"/>
    <w:rsid w:val="000901BD"/>
    <w:rsid w:val="00090D46"/>
    <w:rsid w:val="00090E44"/>
    <w:rsid w:val="00092711"/>
    <w:rsid w:val="00092BA7"/>
    <w:rsid w:val="00094987"/>
    <w:rsid w:val="00094AC3"/>
    <w:rsid w:val="00094B58"/>
    <w:rsid w:val="00094BD3"/>
    <w:rsid w:val="00096533"/>
    <w:rsid w:val="00096ABE"/>
    <w:rsid w:val="000A0D81"/>
    <w:rsid w:val="000A1B0A"/>
    <w:rsid w:val="000A289D"/>
    <w:rsid w:val="000A3540"/>
    <w:rsid w:val="000A3E94"/>
    <w:rsid w:val="000A3EB3"/>
    <w:rsid w:val="000A40FB"/>
    <w:rsid w:val="000A5393"/>
    <w:rsid w:val="000A5C8F"/>
    <w:rsid w:val="000A64E7"/>
    <w:rsid w:val="000A74E3"/>
    <w:rsid w:val="000A7CF6"/>
    <w:rsid w:val="000B0326"/>
    <w:rsid w:val="000B05BA"/>
    <w:rsid w:val="000B255F"/>
    <w:rsid w:val="000B3FE5"/>
    <w:rsid w:val="000B4214"/>
    <w:rsid w:val="000C03D6"/>
    <w:rsid w:val="000C1926"/>
    <w:rsid w:val="000C1B6D"/>
    <w:rsid w:val="000C297E"/>
    <w:rsid w:val="000C2EEF"/>
    <w:rsid w:val="000C3843"/>
    <w:rsid w:val="000C3CD5"/>
    <w:rsid w:val="000C3E98"/>
    <w:rsid w:val="000C48D8"/>
    <w:rsid w:val="000C50D1"/>
    <w:rsid w:val="000C5A87"/>
    <w:rsid w:val="000C5E9D"/>
    <w:rsid w:val="000C735C"/>
    <w:rsid w:val="000C7DBD"/>
    <w:rsid w:val="000D0383"/>
    <w:rsid w:val="000D33BD"/>
    <w:rsid w:val="000D361C"/>
    <w:rsid w:val="000D381F"/>
    <w:rsid w:val="000D3F8C"/>
    <w:rsid w:val="000D44D3"/>
    <w:rsid w:val="000D52AE"/>
    <w:rsid w:val="000D74CD"/>
    <w:rsid w:val="000E08C2"/>
    <w:rsid w:val="000E3EE7"/>
    <w:rsid w:val="000E4371"/>
    <w:rsid w:val="000E4B74"/>
    <w:rsid w:val="000F4340"/>
    <w:rsid w:val="000F4E18"/>
    <w:rsid w:val="000F6384"/>
    <w:rsid w:val="00100DAB"/>
    <w:rsid w:val="00102237"/>
    <w:rsid w:val="00103075"/>
    <w:rsid w:val="0010610B"/>
    <w:rsid w:val="00107E07"/>
    <w:rsid w:val="00113FD3"/>
    <w:rsid w:val="00114671"/>
    <w:rsid w:val="00114BB4"/>
    <w:rsid w:val="00114F10"/>
    <w:rsid w:val="001161DE"/>
    <w:rsid w:val="00117450"/>
    <w:rsid w:val="00120F1D"/>
    <w:rsid w:val="00120FE8"/>
    <w:rsid w:val="00122D09"/>
    <w:rsid w:val="00127892"/>
    <w:rsid w:val="00127F20"/>
    <w:rsid w:val="0013112C"/>
    <w:rsid w:val="0013367D"/>
    <w:rsid w:val="00134B56"/>
    <w:rsid w:val="00136FD0"/>
    <w:rsid w:val="001401C6"/>
    <w:rsid w:val="00140A98"/>
    <w:rsid w:val="001420E9"/>
    <w:rsid w:val="00145764"/>
    <w:rsid w:val="001465F0"/>
    <w:rsid w:val="001475E0"/>
    <w:rsid w:val="00156EF0"/>
    <w:rsid w:val="0016023F"/>
    <w:rsid w:val="00161B6F"/>
    <w:rsid w:val="00164780"/>
    <w:rsid w:val="001663A6"/>
    <w:rsid w:val="001727D2"/>
    <w:rsid w:val="00173BED"/>
    <w:rsid w:val="0017445F"/>
    <w:rsid w:val="00174D94"/>
    <w:rsid w:val="0018103A"/>
    <w:rsid w:val="001819F7"/>
    <w:rsid w:val="001830CE"/>
    <w:rsid w:val="001839CA"/>
    <w:rsid w:val="00184B82"/>
    <w:rsid w:val="001871F4"/>
    <w:rsid w:val="001919AC"/>
    <w:rsid w:val="00192FC0"/>
    <w:rsid w:val="001930D4"/>
    <w:rsid w:val="00193BFF"/>
    <w:rsid w:val="0019532F"/>
    <w:rsid w:val="001A1E70"/>
    <w:rsid w:val="001A3060"/>
    <w:rsid w:val="001A4E64"/>
    <w:rsid w:val="001A5FD6"/>
    <w:rsid w:val="001B42A5"/>
    <w:rsid w:val="001B4EE5"/>
    <w:rsid w:val="001B53E2"/>
    <w:rsid w:val="001B6E97"/>
    <w:rsid w:val="001C0C28"/>
    <w:rsid w:val="001C16D0"/>
    <w:rsid w:val="001C56B4"/>
    <w:rsid w:val="001D08B4"/>
    <w:rsid w:val="001D40CA"/>
    <w:rsid w:val="001D6ECB"/>
    <w:rsid w:val="001E0411"/>
    <w:rsid w:val="001E3F06"/>
    <w:rsid w:val="001E4B97"/>
    <w:rsid w:val="001E4F6A"/>
    <w:rsid w:val="001E66B7"/>
    <w:rsid w:val="001E71E5"/>
    <w:rsid w:val="001E7591"/>
    <w:rsid w:val="001F0EE9"/>
    <w:rsid w:val="001F30CC"/>
    <w:rsid w:val="001F4B18"/>
    <w:rsid w:val="001F50F0"/>
    <w:rsid w:val="001F60B1"/>
    <w:rsid w:val="001F7462"/>
    <w:rsid w:val="00203C3A"/>
    <w:rsid w:val="0020541C"/>
    <w:rsid w:val="00205E83"/>
    <w:rsid w:val="00206B44"/>
    <w:rsid w:val="00210891"/>
    <w:rsid w:val="00210A10"/>
    <w:rsid w:val="00210A92"/>
    <w:rsid w:val="00210FFB"/>
    <w:rsid w:val="0021384A"/>
    <w:rsid w:val="002138C9"/>
    <w:rsid w:val="00213A26"/>
    <w:rsid w:val="00214A97"/>
    <w:rsid w:val="00215572"/>
    <w:rsid w:val="00215B2B"/>
    <w:rsid w:val="002165B5"/>
    <w:rsid w:val="0021664F"/>
    <w:rsid w:val="002176B7"/>
    <w:rsid w:val="0022141E"/>
    <w:rsid w:val="00222F74"/>
    <w:rsid w:val="002237FF"/>
    <w:rsid w:val="002266E7"/>
    <w:rsid w:val="00226D57"/>
    <w:rsid w:val="002309BD"/>
    <w:rsid w:val="002315BA"/>
    <w:rsid w:val="00232207"/>
    <w:rsid w:val="002333A9"/>
    <w:rsid w:val="0023398C"/>
    <w:rsid w:val="00233C45"/>
    <w:rsid w:val="00234150"/>
    <w:rsid w:val="002341F0"/>
    <w:rsid w:val="00234A6A"/>
    <w:rsid w:val="0023588B"/>
    <w:rsid w:val="0023728B"/>
    <w:rsid w:val="002420FC"/>
    <w:rsid w:val="0024644E"/>
    <w:rsid w:val="002470AB"/>
    <w:rsid w:val="002500DD"/>
    <w:rsid w:val="00250890"/>
    <w:rsid w:val="002511D4"/>
    <w:rsid w:val="002516B8"/>
    <w:rsid w:val="00252036"/>
    <w:rsid w:val="00252054"/>
    <w:rsid w:val="002527BC"/>
    <w:rsid w:val="00252ED0"/>
    <w:rsid w:val="00253E2C"/>
    <w:rsid w:val="00255FD9"/>
    <w:rsid w:val="00256392"/>
    <w:rsid w:val="00257C62"/>
    <w:rsid w:val="00260BFF"/>
    <w:rsid w:val="0026572C"/>
    <w:rsid w:val="00265999"/>
    <w:rsid w:val="002659DF"/>
    <w:rsid w:val="00267483"/>
    <w:rsid w:val="00267A19"/>
    <w:rsid w:val="00267ECE"/>
    <w:rsid w:val="002712C6"/>
    <w:rsid w:val="00276A8B"/>
    <w:rsid w:val="0027701A"/>
    <w:rsid w:val="00280442"/>
    <w:rsid w:val="002824AB"/>
    <w:rsid w:val="002824F6"/>
    <w:rsid w:val="00283F43"/>
    <w:rsid w:val="002866DC"/>
    <w:rsid w:val="0028687B"/>
    <w:rsid w:val="00286F48"/>
    <w:rsid w:val="00291F88"/>
    <w:rsid w:val="002937E2"/>
    <w:rsid w:val="00293AF7"/>
    <w:rsid w:val="002949BF"/>
    <w:rsid w:val="00294EC7"/>
    <w:rsid w:val="0029529F"/>
    <w:rsid w:val="002957F8"/>
    <w:rsid w:val="002967A8"/>
    <w:rsid w:val="00296D0E"/>
    <w:rsid w:val="002A0479"/>
    <w:rsid w:val="002A1435"/>
    <w:rsid w:val="002A2852"/>
    <w:rsid w:val="002A29FA"/>
    <w:rsid w:val="002A39D3"/>
    <w:rsid w:val="002A4335"/>
    <w:rsid w:val="002A4723"/>
    <w:rsid w:val="002A4887"/>
    <w:rsid w:val="002A4D24"/>
    <w:rsid w:val="002A4E8D"/>
    <w:rsid w:val="002A5390"/>
    <w:rsid w:val="002A5BF2"/>
    <w:rsid w:val="002A5D90"/>
    <w:rsid w:val="002A605C"/>
    <w:rsid w:val="002A644E"/>
    <w:rsid w:val="002A6DEA"/>
    <w:rsid w:val="002A7AF7"/>
    <w:rsid w:val="002B05D6"/>
    <w:rsid w:val="002B1303"/>
    <w:rsid w:val="002B3FB8"/>
    <w:rsid w:val="002B5511"/>
    <w:rsid w:val="002B6160"/>
    <w:rsid w:val="002B6E96"/>
    <w:rsid w:val="002B728F"/>
    <w:rsid w:val="002C0975"/>
    <w:rsid w:val="002C0BFE"/>
    <w:rsid w:val="002C0DD4"/>
    <w:rsid w:val="002C123B"/>
    <w:rsid w:val="002C3571"/>
    <w:rsid w:val="002C6E9E"/>
    <w:rsid w:val="002D2134"/>
    <w:rsid w:val="002D219A"/>
    <w:rsid w:val="002D2EC5"/>
    <w:rsid w:val="002D3095"/>
    <w:rsid w:val="002D30A5"/>
    <w:rsid w:val="002D51B7"/>
    <w:rsid w:val="002D63CF"/>
    <w:rsid w:val="002D6688"/>
    <w:rsid w:val="002D6B1C"/>
    <w:rsid w:val="002E0C19"/>
    <w:rsid w:val="002E0E38"/>
    <w:rsid w:val="002E106C"/>
    <w:rsid w:val="002E19E3"/>
    <w:rsid w:val="002E4EDA"/>
    <w:rsid w:val="002E692B"/>
    <w:rsid w:val="002F164D"/>
    <w:rsid w:val="002F3D60"/>
    <w:rsid w:val="002F5661"/>
    <w:rsid w:val="002F6B65"/>
    <w:rsid w:val="002F76E5"/>
    <w:rsid w:val="003002AE"/>
    <w:rsid w:val="00302D4F"/>
    <w:rsid w:val="0030438A"/>
    <w:rsid w:val="00304514"/>
    <w:rsid w:val="003112DE"/>
    <w:rsid w:val="00312748"/>
    <w:rsid w:val="00313D0B"/>
    <w:rsid w:val="0031552B"/>
    <w:rsid w:val="00322F28"/>
    <w:rsid w:val="003236D0"/>
    <w:rsid w:val="00323844"/>
    <w:rsid w:val="003257CB"/>
    <w:rsid w:val="00325BC4"/>
    <w:rsid w:val="00325FD3"/>
    <w:rsid w:val="00326220"/>
    <w:rsid w:val="00327A1D"/>
    <w:rsid w:val="003307AB"/>
    <w:rsid w:val="00330ECF"/>
    <w:rsid w:val="003323F5"/>
    <w:rsid w:val="00333687"/>
    <w:rsid w:val="0033379E"/>
    <w:rsid w:val="00333D91"/>
    <w:rsid w:val="00334F23"/>
    <w:rsid w:val="00335ACC"/>
    <w:rsid w:val="0033662A"/>
    <w:rsid w:val="003424D8"/>
    <w:rsid w:val="00342597"/>
    <w:rsid w:val="00342E9B"/>
    <w:rsid w:val="003435A7"/>
    <w:rsid w:val="00343B77"/>
    <w:rsid w:val="0034576C"/>
    <w:rsid w:val="00351270"/>
    <w:rsid w:val="0035492C"/>
    <w:rsid w:val="00360A4C"/>
    <w:rsid w:val="003627BD"/>
    <w:rsid w:val="003628B9"/>
    <w:rsid w:val="0036317F"/>
    <w:rsid w:val="00363772"/>
    <w:rsid w:val="00366508"/>
    <w:rsid w:val="003665DD"/>
    <w:rsid w:val="003677B9"/>
    <w:rsid w:val="00367BB5"/>
    <w:rsid w:val="00370780"/>
    <w:rsid w:val="00371B30"/>
    <w:rsid w:val="00375251"/>
    <w:rsid w:val="00375A81"/>
    <w:rsid w:val="00377FCE"/>
    <w:rsid w:val="00381781"/>
    <w:rsid w:val="00383764"/>
    <w:rsid w:val="00384F1B"/>
    <w:rsid w:val="00385B92"/>
    <w:rsid w:val="003876A2"/>
    <w:rsid w:val="0038781E"/>
    <w:rsid w:val="003916F2"/>
    <w:rsid w:val="003923DE"/>
    <w:rsid w:val="00393918"/>
    <w:rsid w:val="003954AF"/>
    <w:rsid w:val="00395598"/>
    <w:rsid w:val="00395707"/>
    <w:rsid w:val="00396B65"/>
    <w:rsid w:val="003A0165"/>
    <w:rsid w:val="003A1460"/>
    <w:rsid w:val="003A1853"/>
    <w:rsid w:val="003A2779"/>
    <w:rsid w:val="003A3241"/>
    <w:rsid w:val="003A604D"/>
    <w:rsid w:val="003A753A"/>
    <w:rsid w:val="003A7FAF"/>
    <w:rsid w:val="003B443C"/>
    <w:rsid w:val="003C3C04"/>
    <w:rsid w:val="003C4595"/>
    <w:rsid w:val="003C4CF6"/>
    <w:rsid w:val="003C4EF0"/>
    <w:rsid w:val="003C516F"/>
    <w:rsid w:val="003C5516"/>
    <w:rsid w:val="003C6469"/>
    <w:rsid w:val="003D021F"/>
    <w:rsid w:val="003D03D7"/>
    <w:rsid w:val="003D10D9"/>
    <w:rsid w:val="003D18D0"/>
    <w:rsid w:val="003D301F"/>
    <w:rsid w:val="003D4706"/>
    <w:rsid w:val="003D47AD"/>
    <w:rsid w:val="003D4D0C"/>
    <w:rsid w:val="003E3C42"/>
    <w:rsid w:val="003F0D40"/>
    <w:rsid w:val="003F13E3"/>
    <w:rsid w:val="003F148C"/>
    <w:rsid w:val="003F187A"/>
    <w:rsid w:val="003F1C63"/>
    <w:rsid w:val="003F3BA7"/>
    <w:rsid w:val="003F4BD6"/>
    <w:rsid w:val="003F584D"/>
    <w:rsid w:val="003F5E42"/>
    <w:rsid w:val="003F707C"/>
    <w:rsid w:val="003F738A"/>
    <w:rsid w:val="00400E03"/>
    <w:rsid w:val="00401E02"/>
    <w:rsid w:val="00402393"/>
    <w:rsid w:val="004039C2"/>
    <w:rsid w:val="00404459"/>
    <w:rsid w:val="004050D4"/>
    <w:rsid w:val="004054CF"/>
    <w:rsid w:val="0041016D"/>
    <w:rsid w:val="00410FE5"/>
    <w:rsid w:val="004128F2"/>
    <w:rsid w:val="00412CD3"/>
    <w:rsid w:val="004132A1"/>
    <w:rsid w:val="0041382E"/>
    <w:rsid w:val="00414E6F"/>
    <w:rsid w:val="00415265"/>
    <w:rsid w:val="00415487"/>
    <w:rsid w:val="004209AF"/>
    <w:rsid w:val="00421A5C"/>
    <w:rsid w:val="00422399"/>
    <w:rsid w:val="00424BF0"/>
    <w:rsid w:val="0042502A"/>
    <w:rsid w:val="00427D93"/>
    <w:rsid w:val="0043205B"/>
    <w:rsid w:val="00432620"/>
    <w:rsid w:val="004326DF"/>
    <w:rsid w:val="00432F5E"/>
    <w:rsid w:val="00433546"/>
    <w:rsid w:val="0043369B"/>
    <w:rsid w:val="00433F4E"/>
    <w:rsid w:val="00434061"/>
    <w:rsid w:val="00434307"/>
    <w:rsid w:val="00435D81"/>
    <w:rsid w:val="004360C3"/>
    <w:rsid w:val="00441666"/>
    <w:rsid w:val="00441AFF"/>
    <w:rsid w:val="00441C59"/>
    <w:rsid w:val="00443AC5"/>
    <w:rsid w:val="00443D6D"/>
    <w:rsid w:val="00443FE0"/>
    <w:rsid w:val="0044475E"/>
    <w:rsid w:val="00447627"/>
    <w:rsid w:val="00450C25"/>
    <w:rsid w:val="00452A5A"/>
    <w:rsid w:val="00452F75"/>
    <w:rsid w:val="00453E5B"/>
    <w:rsid w:val="00454E3E"/>
    <w:rsid w:val="00461B5A"/>
    <w:rsid w:val="0046241B"/>
    <w:rsid w:val="00463259"/>
    <w:rsid w:val="00463AE0"/>
    <w:rsid w:val="004647F4"/>
    <w:rsid w:val="00467F61"/>
    <w:rsid w:val="00471AE6"/>
    <w:rsid w:val="00473957"/>
    <w:rsid w:val="00474600"/>
    <w:rsid w:val="00474E86"/>
    <w:rsid w:val="00475369"/>
    <w:rsid w:val="00477865"/>
    <w:rsid w:val="00477E12"/>
    <w:rsid w:val="00477F35"/>
    <w:rsid w:val="00480946"/>
    <w:rsid w:val="00481225"/>
    <w:rsid w:val="004823AF"/>
    <w:rsid w:val="0048281C"/>
    <w:rsid w:val="00482DF6"/>
    <w:rsid w:val="00482DFA"/>
    <w:rsid w:val="00482EEC"/>
    <w:rsid w:val="004838B6"/>
    <w:rsid w:val="00484FA2"/>
    <w:rsid w:val="004864F7"/>
    <w:rsid w:val="0049058B"/>
    <w:rsid w:val="00493F77"/>
    <w:rsid w:val="00494BDC"/>
    <w:rsid w:val="0049613D"/>
    <w:rsid w:val="00497B15"/>
    <w:rsid w:val="004A104D"/>
    <w:rsid w:val="004A15EC"/>
    <w:rsid w:val="004A3754"/>
    <w:rsid w:val="004A5130"/>
    <w:rsid w:val="004A5590"/>
    <w:rsid w:val="004A5B2F"/>
    <w:rsid w:val="004A5FAA"/>
    <w:rsid w:val="004A724A"/>
    <w:rsid w:val="004A76C4"/>
    <w:rsid w:val="004B0384"/>
    <w:rsid w:val="004B1140"/>
    <w:rsid w:val="004B2D8C"/>
    <w:rsid w:val="004B4DF8"/>
    <w:rsid w:val="004B550A"/>
    <w:rsid w:val="004B55E5"/>
    <w:rsid w:val="004B73F4"/>
    <w:rsid w:val="004B7A0C"/>
    <w:rsid w:val="004C1275"/>
    <w:rsid w:val="004C285D"/>
    <w:rsid w:val="004C3FD3"/>
    <w:rsid w:val="004C5DA4"/>
    <w:rsid w:val="004C73F8"/>
    <w:rsid w:val="004C75A9"/>
    <w:rsid w:val="004C7A0F"/>
    <w:rsid w:val="004D1087"/>
    <w:rsid w:val="004D1A2A"/>
    <w:rsid w:val="004D2C91"/>
    <w:rsid w:val="004D3BE7"/>
    <w:rsid w:val="004D48D9"/>
    <w:rsid w:val="004E1BDB"/>
    <w:rsid w:val="004E2AE9"/>
    <w:rsid w:val="004E303A"/>
    <w:rsid w:val="004E36DC"/>
    <w:rsid w:val="004E59AE"/>
    <w:rsid w:val="004E670A"/>
    <w:rsid w:val="004E6EDF"/>
    <w:rsid w:val="004E766A"/>
    <w:rsid w:val="004E7BA2"/>
    <w:rsid w:val="004F18D2"/>
    <w:rsid w:val="004F244B"/>
    <w:rsid w:val="004F2F8D"/>
    <w:rsid w:val="004F4DE0"/>
    <w:rsid w:val="00500406"/>
    <w:rsid w:val="00500785"/>
    <w:rsid w:val="00500E1C"/>
    <w:rsid w:val="005025C9"/>
    <w:rsid w:val="00504C92"/>
    <w:rsid w:val="005052B3"/>
    <w:rsid w:val="0050581D"/>
    <w:rsid w:val="00506B27"/>
    <w:rsid w:val="00507796"/>
    <w:rsid w:val="005077FF"/>
    <w:rsid w:val="00507954"/>
    <w:rsid w:val="0051022E"/>
    <w:rsid w:val="005132C3"/>
    <w:rsid w:val="00516320"/>
    <w:rsid w:val="00531711"/>
    <w:rsid w:val="005317C8"/>
    <w:rsid w:val="005371C9"/>
    <w:rsid w:val="00541B8F"/>
    <w:rsid w:val="00542C01"/>
    <w:rsid w:val="00542F34"/>
    <w:rsid w:val="00542FF7"/>
    <w:rsid w:val="00543412"/>
    <w:rsid w:val="00544169"/>
    <w:rsid w:val="005446C1"/>
    <w:rsid w:val="00544AA4"/>
    <w:rsid w:val="00544D0F"/>
    <w:rsid w:val="00545192"/>
    <w:rsid w:val="00545E5F"/>
    <w:rsid w:val="00546C98"/>
    <w:rsid w:val="00550D8E"/>
    <w:rsid w:val="00552609"/>
    <w:rsid w:val="005534A0"/>
    <w:rsid w:val="00555401"/>
    <w:rsid w:val="0055552E"/>
    <w:rsid w:val="00555D4F"/>
    <w:rsid w:val="0055637B"/>
    <w:rsid w:val="00556C2C"/>
    <w:rsid w:val="00560B87"/>
    <w:rsid w:val="00562E16"/>
    <w:rsid w:val="00563237"/>
    <w:rsid w:val="005634DC"/>
    <w:rsid w:val="00564705"/>
    <w:rsid w:val="00565928"/>
    <w:rsid w:val="005719E7"/>
    <w:rsid w:val="00573F7F"/>
    <w:rsid w:val="005742C8"/>
    <w:rsid w:val="0057599D"/>
    <w:rsid w:val="005767C4"/>
    <w:rsid w:val="005805AC"/>
    <w:rsid w:val="00585558"/>
    <w:rsid w:val="00586545"/>
    <w:rsid w:val="00587907"/>
    <w:rsid w:val="005917A6"/>
    <w:rsid w:val="00593D2D"/>
    <w:rsid w:val="005941F8"/>
    <w:rsid w:val="00594AA7"/>
    <w:rsid w:val="00595C10"/>
    <w:rsid w:val="005A0198"/>
    <w:rsid w:val="005A0A76"/>
    <w:rsid w:val="005A1E60"/>
    <w:rsid w:val="005A4745"/>
    <w:rsid w:val="005A6833"/>
    <w:rsid w:val="005A7FFC"/>
    <w:rsid w:val="005B1604"/>
    <w:rsid w:val="005B409E"/>
    <w:rsid w:val="005B58E8"/>
    <w:rsid w:val="005B625C"/>
    <w:rsid w:val="005B70AB"/>
    <w:rsid w:val="005B787A"/>
    <w:rsid w:val="005B7D4B"/>
    <w:rsid w:val="005C21EE"/>
    <w:rsid w:val="005C272F"/>
    <w:rsid w:val="005C3AB0"/>
    <w:rsid w:val="005C400D"/>
    <w:rsid w:val="005C4CC2"/>
    <w:rsid w:val="005C5708"/>
    <w:rsid w:val="005D03FE"/>
    <w:rsid w:val="005D046D"/>
    <w:rsid w:val="005D0B37"/>
    <w:rsid w:val="005D29D4"/>
    <w:rsid w:val="005D3234"/>
    <w:rsid w:val="005D3635"/>
    <w:rsid w:val="005D4750"/>
    <w:rsid w:val="005D55B3"/>
    <w:rsid w:val="005D692E"/>
    <w:rsid w:val="005D7388"/>
    <w:rsid w:val="005E09DD"/>
    <w:rsid w:val="005E2559"/>
    <w:rsid w:val="005E2E9E"/>
    <w:rsid w:val="005E3098"/>
    <w:rsid w:val="005E37B7"/>
    <w:rsid w:val="005E4C0B"/>
    <w:rsid w:val="005E67B4"/>
    <w:rsid w:val="005F15C1"/>
    <w:rsid w:val="005F3C69"/>
    <w:rsid w:val="005F5715"/>
    <w:rsid w:val="005F7E01"/>
    <w:rsid w:val="00604926"/>
    <w:rsid w:val="00605087"/>
    <w:rsid w:val="0060607A"/>
    <w:rsid w:val="006067D8"/>
    <w:rsid w:val="00611A92"/>
    <w:rsid w:val="006133D2"/>
    <w:rsid w:val="00613DE9"/>
    <w:rsid w:val="00614641"/>
    <w:rsid w:val="00614C48"/>
    <w:rsid w:val="00615263"/>
    <w:rsid w:val="00621579"/>
    <w:rsid w:val="006221C5"/>
    <w:rsid w:val="006239C7"/>
    <w:rsid w:val="006249E8"/>
    <w:rsid w:val="00626A78"/>
    <w:rsid w:val="00627782"/>
    <w:rsid w:val="00630575"/>
    <w:rsid w:val="00630F36"/>
    <w:rsid w:val="00631240"/>
    <w:rsid w:val="00631E9E"/>
    <w:rsid w:val="00633924"/>
    <w:rsid w:val="006339D6"/>
    <w:rsid w:val="00636182"/>
    <w:rsid w:val="00636250"/>
    <w:rsid w:val="00637E4D"/>
    <w:rsid w:val="00640200"/>
    <w:rsid w:val="00640FF3"/>
    <w:rsid w:val="0064407C"/>
    <w:rsid w:val="006462E4"/>
    <w:rsid w:val="00646D4F"/>
    <w:rsid w:val="00650AE8"/>
    <w:rsid w:val="00651B71"/>
    <w:rsid w:val="006531B0"/>
    <w:rsid w:val="006533A2"/>
    <w:rsid w:val="00654432"/>
    <w:rsid w:val="00655D1C"/>
    <w:rsid w:val="006562FF"/>
    <w:rsid w:val="0066106E"/>
    <w:rsid w:val="00662052"/>
    <w:rsid w:val="00662958"/>
    <w:rsid w:val="006640C4"/>
    <w:rsid w:val="0066449E"/>
    <w:rsid w:val="00665A2F"/>
    <w:rsid w:val="006665E0"/>
    <w:rsid w:val="0066747B"/>
    <w:rsid w:val="00673422"/>
    <w:rsid w:val="00673DD0"/>
    <w:rsid w:val="006740FA"/>
    <w:rsid w:val="006756A4"/>
    <w:rsid w:val="00675712"/>
    <w:rsid w:val="00677842"/>
    <w:rsid w:val="00681CF4"/>
    <w:rsid w:val="00682FC0"/>
    <w:rsid w:val="00684F1A"/>
    <w:rsid w:val="00686286"/>
    <w:rsid w:val="0068693D"/>
    <w:rsid w:val="006911DA"/>
    <w:rsid w:val="00691483"/>
    <w:rsid w:val="00693E50"/>
    <w:rsid w:val="00694673"/>
    <w:rsid w:val="00694AE1"/>
    <w:rsid w:val="006953CD"/>
    <w:rsid w:val="00695816"/>
    <w:rsid w:val="00696152"/>
    <w:rsid w:val="006A2233"/>
    <w:rsid w:val="006A337E"/>
    <w:rsid w:val="006A3ADD"/>
    <w:rsid w:val="006B1AC7"/>
    <w:rsid w:val="006B2B04"/>
    <w:rsid w:val="006B5662"/>
    <w:rsid w:val="006B648A"/>
    <w:rsid w:val="006C12A6"/>
    <w:rsid w:val="006C294F"/>
    <w:rsid w:val="006C2C5B"/>
    <w:rsid w:val="006C2E8A"/>
    <w:rsid w:val="006C3A66"/>
    <w:rsid w:val="006C4094"/>
    <w:rsid w:val="006C473F"/>
    <w:rsid w:val="006C50B2"/>
    <w:rsid w:val="006C5C41"/>
    <w:rsid w:val="006C6EC1"/>
    <w:rsid w:val="006D0D47"/>
    <w:rsid w:val="006D13F0"/>
    <w:rsid w:val="006D3050"/>
    <w:rsid w:val="006E1435"/>
    <w:rsid w:val="006E26C6"/>
    <w:rsid w:val="006E2F01"/>
    <w:rsid w:val="006E2FFA"/>
    <w:rsid w:val="006E362D"/>
    <w:rsid w:val="006E3AFB"/>
    <w:rsid w:val="006E4263"/>
    <w:rsid w:val="006E4C88"/>
    <w:rsid w:val="006E60A7"/>
    <w:rsid w:val="006F1E5E"/>
    <w:rsid w:val="006F2C9E"/>
    <w:rsid w:val="006F3917"/>
    <w:rsid w:val="006F55B6"/>
    <w:rsid w:val="006F5A3D"/>
    <w:rsid w:val="006F605F"/>
    <w:rsid w:val="00702E51"/>
    <w:rsid w:val="00704B5F"/>
    <w:rsid w:val="007056C8"/>
    <w:rsid w:val="007056FD"/>
    <w:rsid w:val="00707B44"/>
    <w:rsid w:val="00714DA1"/>
    <w:rsid w:val="00715A85"/>
    <w:rsid w:val="00722851"/>
    <w:rsid w:val="007243CA"/>
    <w:rsid w:val="0072641D"/>
    <w:rsid w:val="00727EDF"/>
    <w:rsid w:val="00731278"/>
    <w:rsid w:val="00731FB8"/>
    <w:rsid w:val="00733B2C"/>
    <w:rsid w:val="00736F34"/>
    <w:rsid w:val="0074061E"/>
    <w:rsid w:val="007406D6"/>
    <w:rsid w:val="00741DC7"/>
    <w:rsid w:val="00743438"/>
    <w:rsid w:val="007436B1"/>
    <w:rsid w:val="007438FB"/>
    <w:rsid w:val="00744468"/>
    <w:rsid w:val="00750DCE"/>
    <w:rsid w:val="00750ED9"/>
    <w:rsid w:val="00753D7C"/>
    <w:rsid w:val="00753DB7"/>
    <w:rsid w:val="0075405C"/>
    <w:rsid w:val="0075507E"/>
    <w:rsid w:val="007555DD"/>
    <w:rsid w:val="0075799D"/>
    <w:rsid w:val="007629E3"/>
    <w:rsid w:val="007640C9"/>
    <w:rsid w:val="00765718"/>
    <w:rsid w:val="00765CCC"/>
    <w:rsid w:val="00765EB1"/>
    <w:rsid w:val="00767CC0"/>
    <w:rsid w:val="007704E4"/>
    <w:rsid w:val="00772ADF"/>
    <w:rsid w:val="00772BA7"/>
    <w:rsid w:val="00772E44"/>
    <w:rsid w:val="0077371A"/>
    <w:rsid w:val="00774086"/>
    <w:rsid w:val="007743C6"/>
    <w:rsid w:val="0077616D"/>
    <w:rsid w:val="007772E5"/>
    <w:rsid w:val="00777B1A"/>
    <w:rsid w:val="00780870"/>
    <w:rsid w:val="00786F3E"/>
    <w:rsid w:val="00787723"/>
    <w:rsid w:val="007906B0"/>
    <w:rsid w:val="007906D8"/>
    <w:rsid w:val="00791466"/>
    <w:rsid w:val="00791552"/>
    <w:rsid w:val="00791FD2"/>
    <w:rsid w:val="00793C03"/>
    <w:rsid w:val="00793E2D"/>
    <w:rsid w:val="00793F44"/>
    <w:rsid w:val="00795760"/>
    <w:rsid w:val="00795DB5"/>
    <w:rsid w:val="0079609F"/>
    <w:rsid w:val="007A05CA"/>
    <w:rsid w:val="007A0D14"/>
    <w:rsid w:val="007A4CFC"/>
    <w:rsid w:val="007A5C4B"/>
    <w:rsid w:val="007A6C87"/>
    <w:rsid w:val="007A782C"/>
    <w:rsid w:val="007B1AA9"/>
    <w:rsid w:val="007B290A"/>
    <w:rsid w:val="007B31ED"/>
    <w:rsid w:val="007B48BC"/>
    <w:rsid w:val="007B5870"/>
    <w:rsid w:val="007B6889"/>
    <w:rsid w:val="007C039F"/>
    <w:rsid w:val="007C1EBB"/>
    <w:rsid w:val="007C343A"/>
    <w:rsid w:val="007C47BF"/>
    <w:rsid w:val="007C484B"/>
    <w:rsid w:val="007C710A"/>
    <w:rsid w:val="007C743D"/>
    <w:rsid w:val="007D0CFB"/>
    <w:rsid w:val="007D11D3"/>
    <w:rsid w:val="007D2172"/>
    <w:rsid w:val="007D3A57"/>
    <w:rsid w:val="007D420F"/>
    <w:rsid w:val="007D4286"/>
    <w:rsid w:val="007D4A85"/>
    <w:rsid w:val="007D5C89"/>
    <w:rsid w:val="007E08E5"/>
    <w:rsid w:val="007E26AF"/>
    <w:rsid w:val="007E2C8C"/>
    <w:rsid w:val="007E2FBA"/>
    <w:rsid w:val="007E30B9"/>
    <w:rsid w:val="007E3CB5"/>
    <w:rsid w:val="007E5891"/>
    <w:rsid w:val="007E7682"/>
    <w:rsid w:val="007F0F17"/>
    <w:rsid w:val="007F17B7"/>
    <w:rsid w:val="007F1B43"/>
    <w:rsid w:val="007F2390"/>
    <w:rsid w:val="007F33A0"/>
    <w:rsid w:val="007F40AE"/>
    <w:rsid w:val="007F5C6C"/>
    <w:rsid w:val="007F709A"/>
    <w:rsid w:val="00800CC3"/>
    <w:rsid w:val="008010A5"/>
    <w:rsid w:val="00804DE7"/>
    <w:rsid w:val="00805D3F"/>
    <w:rsid w:val="00806972"/>
    <w:rsid w:val="00810BE3"/>
    <w:rsid w:val="0081305E"/>
    <w:rsid w:val="00813365"/>
    <w:rsid w:val="0081395A"/>
    <w:rsid w:val="00814FBB"/>
    <w:rsid w:val="00815477"/>
    <w:rsid w:val="008159F2"/>
    <w:rsid w:val="00816BBC"/>
    <w:rsid w:val="00820E4F"/>
    <w:rsid w:val="00822139"/>
    <w:rsid w:val="00822C03"/>
    <w:rsid w:val="00823504"/>
    <w:rsid w:val="0082391F"/>
    <w:rsid w:val="0082508C"/>
    <w:rsid w:val="008278D3"/>
    <w:rsid w:val="00827B54"/>
    <w:rsid w:val="008303E3"/>
    <w:rsid w:val="008308B0"/>
    <w:rsid w:val="00832D47"/>
    <w:rsid w:val="008330C2"/>
    <w:rsid w:val="00833B1F"/>
    <w:rsid w:val="00834055"/>
    <w:rsid w:val="008347AC"/>
    <w:rsid w:val="00842A45"/>
    <w:rsid w:val="00842D0B"/>
    <w:rsid w:val="008446E8"/>
    <w:rsid w:val="00844861"/>
    <w:rsid w:val="008453B1"/>
    <w:rsid w:val="00845DAD"/>
    <w:rsid w:val="00846BD7"/>
    <w:rsid w:val="0084778E"/>
    <w:rsid w:val="008502CF"/>
    <w:rsid w:val="00850D97"/>
    <w:rsid w:val="00851165"/>
    <w:rsid w:val="00852FF3"/>
    <w:rsid w:val="008545A0"/>
    <w:rsid w:val="00856B7F"/>
    <w:rsid w:val="00857B17"/>
    <w:rsid w:val="00860775"/>
    <w:rsid w:val="008614B9"/>
    <w:rsid w:val="008619EE"/>
    <w:rsid w:val="0086254D"/>
    <w:rsid w:val="00863DE9"/>
    <w:rsid w:val="00866653"/>
    <w:rsid w:val="00871E25"/>
    <w:rsid w:val="008746C5"/>
    <w:rsid w:val="008761DE"/>
    <w:rsid w:val="00876FAA"/>
    <w:rsid w:val="00880576"/>
    <w:rsid w:val="00883B2D"/>
    <w:rsid w:val="008851EC"/>
    <w:rsid w:val="008855C0"/>
    <w:rsid w:val="00885FC0"/>
    <w:rsid w:val="00886449"/>
    <w:rsid w:val="00886908"/>
    <w:rsid w:val="00886F53"/>
    <w:rsid w:val="008902BF"/>
    <w:rsid w:val="00890962"/>
    <w:rsid w:val="00893465"/>
    <w:rsid w:val="008947A5"/>
    <w:rsid w:val="00896C6F"/>
    <w:rsid w:val="008A3714"/>
    <w:rsid w:val="008A48BF"/>
    <w:rsid w:val="008A4B55"/>
    <w:rsid w:val="008A5AEF"/>
    <w:rsid w:val="008B0DDE"/>
    <w:rsid w:val="008B1C35"/>
    <w:rsid w:val="008B2179"/>
    <w:rsid w:val="008B2AEC"/>
    <w:rsid w:val="008B2DF2"/>
    <w:rsid w:val="008B3D46"/>
    <w:rsid w:val="008B426C"/>
    <w:rsid w:val="008B4B38"/>
    <w:rsid w:val="008B5778"/>
    <w:rsid w:val="008B5DDC"/>
    <w:rsid w:val="008B7232"/>
    <w:rsid w:val="008B7800"/>
    <w:rsid w:val="008C073E"/>
    <w:rsid w:val="008C27A8"/>
    <w:rsid w:val="008C3166"/>
    <w:rsid w:val="008C3682"/>
    <w:rsid w:val="008C3CC9"/>
    <w:rsid w:val="008C7028"/>
    <w:rsid w:val="008D1E47"/>
    <w:rsid w:val="008D2019"/>
    <w:rsid w:val="008D3502"/>
    <w:rsid w:val="008D4C86"/>
    <w:rsid w:val="008D540E"/>
    <w:rsid w:val="008D6105"/>
    <w:rsid w:val="008D6142"/>
    <w:rsid w:val="008E0431"/>
    <w:rsid w:val="008E0B10"/>
    <w:rsid w:val="008E22E7"/>
    <w:rsid w:val="008E2FAD"/>
    <w:rsid w:val="008E45FD"/>
    <w:rsid w:val="008E542A"/>
    <w:rsid w:val="008E7948"/>
    <w:rsid w:val="008F2112"/>
    <w:rsid w:val="008F27E5"/>
    <w:rsid w:val="008F323D"/>
    <w:rsid w:val="008F3572"/>
    <w:rsid w:val="008F5216"/>
    <w:rsid w:val="008F56A9"/>
    <w:rsid w:val="00901377"/>
    <w:rsid w:val="00901D1C"/>
    <w:rsid w:val="00901EEA"/>
    <w:rsid w:val="0090275D"/>
    <w:rsid w:val="00907753"/>
    <w:rsid w:val="00910A59"/>
    <w:rsid w:val="00911DA2"/>
    <w:rsid w:val="009136F9"/>
    <w:rsid w:val="00914232"/>
    <w:rsid w:val="009145D9"/>
    <w:rsid w:val="00914BFD"/>
    <w:rsid w:val="00917231"/>
    <w:rsid w:val="0092142C"/>
    <w:rsid w:val="00922B5F"/>
    <w:rsid w:val="00923C11"/>
    <w:rsid w:val="00926BE9"/>
    <w:rsid w:val="00927195"/>
    <w:rsid w:val="00927277"/>
    <w:rsid w:val="009318B7"/>
    <w:rsid w:val="00932E6F"/>
    <w:rsid w:val="0093315F"/>
    <w:rsid w:val="00934988"/>
    <w:rsid w:val="009356AA"/>
    <w:rsid w:val="009361AD"/>
    <w:rsid w:val="009366E1"/>
    <w:rsid w:val="00937505"/>
    <w:rsid w:val="00940C33"/>
    <w:rsid w:val="00944375"/>
    <w:rsid w:val="00950171"/>
    <w:rsid w:val="00950DB6"/>
    <w:rsid w:val="00951EEC"/>
    <w:rsid w:val="00953172"/>
    <w:rsid w:val="00955BB1"/>
    <w:rsid w:val="0096127F"/>
    <w:rsid w:val="00961B1C"/>
    <w:rsid w:val="0096367C"/>
    <w:rsid w:val="00965513"/>
    <w:rsid w:val="00965581"/>
    <w:rsid w:val="0096606A"/>
    <w:rsid w:val="00967DFD"/>
    <w:rsid w:val="009702C4"/>
    <w:rsid w:val="00970438"/>
    <w:rsid w:val="00973F53"/>
    <w:rsid w:val="00974E4B"/>
    <w:rsid w:val="009803AC"/>
    <w:rsid w:val="00980E4A"/>
    <w:rsid w:val="009832F0"/>
    <w:rsid w:val="00983A16"/>
    <w:rsid w:val="0098543C"/>
    <w:rsid w:val="00985FBF"/>
    <w:rsid w:val="00986817"/>
    <w:rsid w:val="00987655"/>
    <w:rsid w:val="00987680"/>
    <w:rsid w:val="00995901"/>
    <w:rsid w:val="0099650E"/>
    <w:rsid w:val="009969AF"/>
    <w:rsid w:val="00996B58"/>
    <w:rsid w:val="00996DC0"/>
    <w:rsid w:val="009A0216"/>
    <w:rsid w:val="009A0AA1"/>
    <w:rsid w:val="009A0D3A"/>
    <w:rsid w:val="009A3B84"/>
    <w:rsid w:val="009A3D63"/>
    <w:rsid w:val="009A46AA"/>
    <w:rsid w:val="009A5A8E"/>
    <w:rsid w:val="009A71C4"/>
    <w:rsid w:val="009A72D6"/>
    <w:rsid w:val="009A7D5B"/>
    <w:rsid w:val="009B1806"/>
    <w:rsid w:val="009B2DC5"/>
    <w:rsid w:val="009B36EB"/>
    <w:rsid w:val="009B469E"/>
    <w:rsid w:val="009B4B29"/>
    <w:rsid w:val="009B4F8F"/>
    <w:rsid w:val="009C0790"/>
    <w:rsid w:val="009C0A5E"/>
    <w:rsid w:val="009C480E"/>
    <w:rsid w:val="009C7E75"/>
    <w:rsid w:val="009D4E08"/>
    <w:rsid w:val="009D5E68"/>
    <w:rsid w:val="009D6BCC"/>
    <w:rsid w:val="009D6DDF"/>
    <w:rsid w:val="009D7866"/>
    <w:rsid w:val="009E0397"/>
    <w:rsid w:val="009E0647"/>
    <w:rsid w:val="009E1C83"/>
    <w:rsid w:val="009E26CD"/>
    <w:rsid w:val="009E3A23"/>
    <w:rsid w:val="009E42EB"/>
    <w:rsid w:val="009E6479"/>
    <w:rsid w:val="009E65E9"/>
    <w:rsid w:val="009E6F78"/>
    <w:rsid w:val="009E7414"/>
    <w:rsid w:val="009F2D63"/>
    <w:rsid w:val="009F3CC7"/>
    <w:rsid w:val="009F4533"/>
    <w:rsid w:val="009F536D"/>
    <w:rsid w:val="009F5699"/>
    <w:rsid w:val="009F57AD"/>
    <w:rsid w:val="009F7ABF"/>
    <w:rsid w:val="00A010C1"/>
    <w:rsid w:val="00A01289"/>
    <w:rsid w:val="00A02C9C"/>
    <w:rsid w:val="00A0748B"/>
    <w:rsid w:val="00A13B0F"/>
    <w:rsid w:val="00A13BD6"/>
    <w:rsid w:val="00A13CF4"/>
    <w:rsid w:val="00A15094"/>
    <w:rsid w:val="00A16DAD"/>
    <w:rsid w:val="00A2323B"/>
    <w:rsid w:val="00A26543"/>
    <w:rsid w:val="00A26862"/>
    <w:rsid w:val="00A27BD1"/>
    <w:rsid w:val="00A30440"/>
    <w:rsid w:val="00A31347"/>
    <w:rsid w:val="00A33DCC"/>
    <w:rsid w:val="00A34536"/>
    <w:rsid w:val="00A34A12"/>
    <w:rsid w:val="00A35448"/>
    <w:rsid w:val="00A40849"/>
    <w:rsid w:val="00A4094B"/>
    <w:rsid w:val="00A41366"/>
    <w:rsid w:val="00A42C67"/>
    <w:rsid w:val="00A45DC0"/>
    <w:rsid w:val="00A46154"/>
    <w:rsid w:val="00A502CB"/>
    <w:rsid w:val="00A51193"/>
    <w:rsid w:val="00A52461"/>
    <w:rsid w:val="00A5380F"/>
    <w:rsid w:val="00A53C65"/>
    <w:rsid w:val="00A551AB"/>
    <w:rsid w:val="00A572AE"/>
    <w:rsid w:val="00A62182"/>
    <w:rsid w:val="00A63026"/>
    <w:rsid w:val="00A65784"/>
    <w:rsid w:val="00A6669F"/>
    <w:rsid w:val="00A66F5C"/>
    <w:rsid w:val="00A711C9"/>
    <w:rsid w:val="00A713D4"/>
    <w:rsid w:val="00A72FB6"/>
    <w:rsid w:val="00A7336D"/>
    <w:rsid w:val="00A741CC"/>
    <w:rsid w:val="00A764B3"/>
    <w:rsid w:val="00A7715D"/>
    <w:rsid w:val="00A776B1"/>
    <w:rsid w:val="00A80A06"/>
    <w:rsid w:val="00A86374"/>
    <w:rsid w:val="00A86886"/>
    <w:rsid w:val="00A912CE"/>
    <w:rsid w:val="00A925C4"/>
    <w:rsid w:val="00A92F78"/>
    <w:rsid w:val="00A9398B"/>
    <w:rsid w:val="00A941C0"/>
    <w:rsid w:val="00A96273"/>
    <w:rsid w:val="00A97E73"/>
    <w:rsid w:val="00AA1CEA"/>
    <w:rsid w:val="00AA22CF"/>
    <w:rsid w:val="00AA32B1"/>
    <w:rsid w:val="00AA4B93"/>
    <w:rsid w:val="00AA7545"/>
    <w:rsid w:val="00AA76D8"/>
    <w:rsid w:val="00AA7A9A"/>
    <w:rsid w:val="00AB102C"/>
    <w:rsid w:val="00AB192A"/>
    <w:rsid w:val="00AB3ABB"/>
    <w:rsid w:val="00AB47AD"/>
    <w:rsid w:val="00AB6822"/>
    <w:rsid w:val="00AC0AC6"/>
    <w:rsid w:val="00AC27CC"/>
    <w:rsid w:val="00AC2B7A"/>
    <w:rsid w:val="00AC2D73"/>
    <w:rsid w:val="00AC3AC5"/>
    <w:rsid w:val="00AC4507"/>
    <w:rsid w:val="00AC4651"/>
    <w:rsid w:val="00AC5EF3"/>
    <w:rsid w:val="00AC7B38"/>
    <w:rsid w:val="00AD033C"/>
    <w:rsid w:val="00AD1920"/>
    <w:rsid w:val="00AD7DDA"/>
    <w:rsid w:val="00AE231B"/>
    <w:rsid w:val="00AE24E0"/>
    <w:rsid w:val="00AE4B5D"/>
    <w:rsid w:val="00AE5E9F"/>
    <w:rsid w:val="00AE620C"/>
    <w:rsid w:val="00AE6669"/>
    <w:rsid w:val="00AE7088"/>
    <w:rsid w:val="00AF128F"/>
    <w:rsid w:val="00AF5DF4"/>
    <w:rsid w:val="00AF6A4B"/>
    <w:rsid w:val="00AF6FFD"/>
    <w:rsid w:val="00AF701E"/>
    <w:rsid w:val="00AF748E"/>
    <w:rsid w:val="00AF7640"/>
    <w:rsid w:val="00B01181"/>
    <w:rsid w:val="00B0124A"/>
    <w:rsid w:val="00B017AC"/>
    <w:rsid w:val="00B01A80"/>
    <w:rsid w:val="00B02346"/>
    <w:rsid w:val="00B042BF"/>
    <w:rsid w:val="00B04E76"/>
    <w:rsid w:val="00B0577E"/>
    <w:rsid w:val="00B066B7"/>
    <w:rsid w:val="00B07359"/>
    <w:rsid w:val="00B077B3"/>
    <w:rsid w:val="00B10942"/>
    <w:rsid w:val="00B1162C"/>
    <w:rsid w:val="00B12B0B"/>
    <w:rsid w:val="00B16B40"/>
    <w:rsid w:val="00B16DA8"/>
    <w:rsid w:val="00B2015A"/>
    <w:rsid w:val="00B205FA"/>
    <w:rsid w:val="00B21C89"/>
    <w:rsid w:val="00B2456B"/>
    <w:rsid w:val="00B251BE"/>
    <w:rsid w:val="00B279DF"/>
    <w:rsid w:val="00B309C0"/>
    <w:rsid w:val="00B31EFC"/>
    <w:rsid w:val="00B3228D"/>
    <w:rsid w:val="00B329C7"/>
    <w:rsid w:val="00B33663"/>
    <w:rsid w:val="00B33FB5"/>
    <w:rsid w:val="00B34C23"/>
    <w:rsid w:val="00B359ED"/>
    <w:rsid w:val="00B36ABB"/>
    <w:rsid w:val="00B43130"/>
    <w:rsid w:val="00B4415A"/>
    <w:rsid w:val="00B45D6E"/>
    <w:rsid w:val="00B46BBE"/>
    <w:rsid w:val="00B47E03"/>
    <w:rsid w:val="00B5268C"/>
    <w:rsid w:val="00B5385D"/>
    <w:rsid w:val="00B55582"/>
    <w:rsid w:val="00B569F4"/>
    <w:rsid w:val="00B579E6"/>
    <w:rsid w:val="00B57FDD"/>
    <w:rsid w:val="00B60EC7"/>
    <w:rsid w:val="00B612FE"/>
    <w:rsid w:val="00B6140B"/>
    <w:rsid w:val="00B6167D"/>
    <w:rsid w:val="00B63625"/>
    <w:rsid w:val="00B650F6"/>
    <w:rsid w:val="00B65978"/>
    <w:rsid w:val="00B70E43"/>
    <w:rsid w:val="00B72200"/>
    <w:rsid w:val="00B72747"/>
    <w:rsid w:val="00B729A9"/>
    <w:rsid w:val="00B72CF0"/>
    <w:rsid w:val="00B76817"/>
    <w:rsid w:val="00B77208"/>
    <w:rsid w:val="00B77FD6"/>
    <w:rsid w:val="00B808F8"/>
    <w:rsid w:val="00B80DEB"/>
    <w:rsid w:val="00B816B5"/>
    <w:rsid w:val="00B82EAD"/>
    <w:rsid w:val="00B82F32"/>
    <w:rsid w:val="00B833E7"/>
    <w:rsid w:val="00B85514"/>
    <w:rsid w:val="00B855AF"/>
    <w:rsid w:val="00B85C52"/>
    <w:rsid w:val="00B91B27"/>
    <w:rsid w:val="00B94AD4"/>
    <w:rsid w:val="00B96978"/>
    <w:rsid w:val="00B96A13"/>
    <w:rsid w:val="00B97F51"/>
    <w:rsid w:val="00B97F70"/>
    <w:rsid w:val="00BA00CE"/>
    <w:rsid w:val="00BA22F3"/>
    <w:rsid w:val="00BA2EEB"/>
    <w:rsid w:val="00BA3B24"/>
    <w:rsid w:val="00BA45F5"/>
    <w:rsid w:val="00BA5647"/>
    <w:rsid w:val="00BA66D2"/>
    <w:rsid w:val="00BA723A"/>
    <w:rsid w:val="00BA751A"/>
    <w:rsid w:val="00BB590F"/>
    <w:rsid w:val="00BB5A87"/>
    <w:rsid w:val="00BB6082"/>
    <w:rsid w:val="00BB6B51"/>
    <w:rsid w:val="00BB71AD"/>
    <w:rsid w:val="00BB7A3C"/>
    <w:rsid w:val="00BB7C76"/>
    <w:rsid w:val="00BC0ADE"/>
    <w:rsid w:val="00BC0B3B"/>
    <w:rsid w:val="00BC48A8"/>
    <w:rsid w:val="00BC6306"/>
    <w:rsid w:val="00BC66AB"/>
    <w:rsid w:val="00BC67FB"/>
    <w:rsid w:val="00BC7495"/>
    <w:rsid w:val="00BC7817"/>
    <w:rsid w:val="00BC7BBA"/>
    <w:rsid w:val="00BD0E4F"/>
    <w:rsid w:val="00BD15C5"/>
    <w:rsid w:val="00BD2F51"/>
    <w:rsid w:val="00BD3010"/>
    <w:rsid w:val="00BD312A"/>
    <w:rsid w:val="00BD32C0"/>
    <w:rsid w:val="00BD4B8C"/>
    <w:rsid w:val="00BE4012"/>
    <w:rsid w:val="00BE53F9"/>
    <w:rsid w:val="00BE5D2A"/>
    <w:rsid w:val="00BE70BF"/>
    <w:rsid w:val="00BE7AA1"/>
    <w:rsid w:val="00BF0D23"/>
    <w:rsid w:val="00BF477A"/>
    <w:rsid w:val="00BF5D4B"/>
    <w:rsid w:val="00BF7B7E"/>
    <w:rsid w:val="00C020BB"/>
    <w:rsid w:val="00C02575"/>
    <w:rsid w:val="00C0489F"/>
    <w:rsid w:val="00C049B2"/>
    <w:rsid w:val="00C06EF9"/>
    <w:rsid w:val="00C138F8"/>
    <w:rsid w:val="00C151F8"/>
    <w:rsid w:val="00C17254"/>
    <w:rsid w:val="00C17F8E"/>
    <w:rsid w:val="00C20096"/>
    <w:rsid w:val="00C20D6E"/>
    <w:rsid w:val="00C218A9"/>
    <w:rsid w:val="00C24749"/>
    <w:rsid w:val="00C2601A"/>
    <w:rsid w:val="00C27404"/>
    <w:rsid w:val="00C31EFD"/>
    <w:rsid w:val="00C322CF"/>
    <w:rsid w:val="00C32384"/>
    <w:rsid w:val="00C32475"/>
    <w:rsid w:val="00C356EC"/>
    <w:rsid w:val="00C357F6"/>
    <w:rsid w:val="00C363C0"/>
    <w:rsid w:val="00C36ECC"/>
    <w:rsid w:val="00C407A0"/>
    <w:rsid w:val="00C40998"/>
    <w:rsid w:val="00C44C55"/>
    <w:rsid w:val="00C46FBC"/>
    <w:rsid w:val="00C47447"/>
    <w:rsid w:val="00C53223"/>
    <w:rsid w:val="00C534FE"/>
    <w:rsid w:val="00C53CCA"/>
    <w:rsid w:val="00C54B25"/>
    <w:rsid w:val="00C56D80"/>
    <w:rsid w:val="00C57350"/>
    <w:rsid w:val="00C57406"/>
    <w:rsid w:val="00C57A29"/>
    <w:rsid w:val="00C60A4C"/>
    <w:rsid w:val="00C61B9E"/>
    <w:rsid w:val="00C62259"/>
    <w:rsid w:val="00C6356F"/>
    <w:rsid w:val="00C63F07"/>
    <w:rsid w:val="00C65E28"/>
    <w:rsid w:val="00C66769"/>
    <w:rsid w:val="00C66D99"/>
    <w:rsid w:val="00C6712A"/>
    <w:rsid w:val="00C6766A"/>
    <w:rsid w:val="00C7005E"/>
    <w:rsid w:val="00C702B0"/>
    <w:rsid w:val="00C70EA8"/>
    <w:rsid w:val="00C74532"/>
    <w:rsid w:val="00C74EF1"/>
    <w:rsid w:val="00C75A47"/>
    <w:rsid w:val="00C76E76"/>
    <w:rsid w:val="00C77C77"/>
    <w:rsid w:val="00C77D69"/>
    <w:rsid w:val="00C80C74"/>
    <w:rsid w:val="00C8267F"/>
    <w:rsid w:val="00C86096"/>
    <w:rsid w:val="00C872F0"/>
    <w:rsid w:val="00C92056"/>
    <w:rsid w:val="00C92A9F"/>
    <w:rsid w:val="00C92D8A"/>
    <w:rsid w:val="00CA05F4"/>
    <w:rsid w:val="00CA08A1"/>
    <w:rsid w:val="00CA1BEA"/>
    <w:rsid w:val="00CA2D04"/>
    <w:rsid w:val="00CA389D"/>
    <w:rsid w:val="00CA4828"/>
    <w:rsid w:val="00CA6427"/>
    <w:rsid w:val="00CA6DF9"/>
    <w:rsid w:val="00CA77F1"/>
    <w:rsid w:val="00CA7A90"/>
    <w:rsid w:val="00CB472F"/>
    <w:rsid w:val="00CB4859"/>
    <w:rsid w:val="00CB5109"/>
    <w:rsid w:val="00CB75F1"/>
    <w:rsid w:val="00CC227D"/>
    <w:rsid w:val="00CC477B"/>
    <w:rsid w:val="00CC557E"/>
    <w:rsid w:val="00CC6961"/>
    <w:rsid w:val="00CD13EE"/>
    <w:rsid w:val="00CD20DC"/>
    <w:rsid w:val="00CD2521"/>
    <w:rsid w:val="00CD2B4A"/>
    <w:rsid w:val="00CD3682"/>
    <w:rsid w:val="00CD3DD2"/>
    <w:rsid w:val="00CD5B4B"/>
    <w:rsid w:val="00CD6186"/>
    <w:rsid w:val="00CD6B9E"/>
    <w:rsid w:val="00CD6C00"/>
    <w:rsid w:val="00CE1F04"/>
    <w:rsid w:val="00CE1FA5"/>
    <w:rsid w:val="00CE20BE"/>
    <w:rsid w:val="00CE2B9D"/>
    <w:rsid w:val="00CE3C74"/>
    <w:rsid w:val="00CE5C15"/>
    <w:rsid w:val="00CE60E5"/>
    <w:rsid w:val="00CE65EF"/>
    <w:rsid w:val="00CE6AAC"/>
    <w:rsid w:val="00CF0A6C"/>
    <w:rsid w:val="00CF14AC"/>
    <w:rsid w:val="00CF2A1C"/>
    <w:rsid w:val="00CF2FC7"/>
    <w:rsid w:val="00CF3C09"/>
    <w:rsid w:val="00CF44F3"/>
    <w:rsid w:val="00CF4D8E"/>
    <w:rsid w:val="00CF593C"/>
    <w:rsid w:val="00CF7A6C"/>
    <w:rsid w:val="00CF7BDE"/>
    <w:rsid w:val="00D00CB1"/>
    <w:rsid w:val="00D02428"/>
    <w:rsid w:val="00D03E8E"/>
    <w:rsid w:val="00D05A9F"/>
    <w:rsid w:val="00D06E25"/>
    <w:rsid w:val="00D074C5"/>
    <w:rsid w:val="00D114F9"/>
    <w:rsid w:val="00D12859"/>
    <w:rsid w:val="00D12D47"/>
    <w:rsid w:val="00D12DD4"/>
    <w:rsid w:val="00D1349E"/>
    <w:rsid w:val="00D13A8F"/>
    <w:rsid w:val="00D14163"/>
    <w:rsid w:val="00D1701F"/>
    <w:rsid w:val="00D17AAB"/>
    <w:rsid w:val="00D2049B"/>
    <w:rsid w:val="00D205AF"/>
    <w:rsid w:val="00D21CB2"/>
    <w:rsid w:val="00D227AF"/>
    <w:rsid w:val="00D24038"/>
    <w:rsid w:val="00D2403D"/>
    <w:rsid w:val="00D26747"/>
    <w:rsid w:val="00D26A4D"/>
    <w:rsid w:val="00D27CE0"/>
    <w:rsid w:val="00D30775"/>
    <w:rsid w:val="00D30789"/>
    <w:rsid w:val="00D312CC"/>
    <w:rsid w:val="00D33968"/>
    <w:rsid w:val="00D33B16"/>
    <w:rsid w:val="00D33EAA"/>
    <w:rsid w:val="00D34DEF"/>
    <w:rsid w:val="00D3676D"/>
    <w:rsid w:val="00D36921"/>
    <w:rsid w:val="00D4016D"/>
    <w:rsid w:val="00D43A65"/>
    <w:rsid w:val="00D45A12"/>
    <w:rsid w:val="00D45C5C"/>
    <w:rsid w:val="00D46775"/>
    <w:rsid w:val="00D47A72"/>
    <w:rsid w:val="00D47D7E"/>
    <w:rsid w:val="00D50A4F"/>
    <w:rsid w:val="00D50CA6"/>
    <w:rsid w:val="00D52794"/>
    <w:rsid w:val="00D52E74"/>
    <w:rsid w:val="00D53185"/>
    <w:rsid w:val="00D53C52"/>
    <w:rsid w:val="00D546C0"/>
    <w:rsid w:val="00D61705"/>
    <w:rsid w:val="00D61EBB"/>
    <w:rsid w:val="00D6280A"/>
    <w:rsid w:val="00D62823"/>
    <w:rsid w:val="00D63FEE"/>
    <w:rsid w:val="00D6528A"/>
    <w:rsid w:val="00D6535A"/>
    <w:rsid w:val="00D671C3"/>
    <w:rsid w:val="00D671CC"/>
    <w:rsid w:val="00D67517"/>
    <w:rsid w:val="00D70375"/>
    <w:rsid w:val="00D70E93"/>
    <w:rsid w:val="00D712F2"/>
    <w:rsid w:val="00D71414"/>
    <w:rsid w:val="00D71BEA"/>
    <w:rsid w:val="00D7212F"/>
    <w:rsid w:val="00D722F9"/>
    <w:rsid w:val="00D731DB"/>
    <w:rsid w:val="00D80706"/>
    <w:rsid w:val="00D8319C"/>
    <w:rsid w:val="00D831CA"/>
    <w:rsid w:val="00D84B91"/>
    <w:rsid w:val="00D863D3"/>
    <w:rsid w:val="00D872B3"/>
    <w:rsid w:val="00D911E3"/>
    <w:rsid w:val="00D92F5F"/>
    <w:rsid w:val="00D9335A"/>
    <w:rsid w:val="00D93ADC"/>
    <w:rsid w:val="00D9546F"/>
    <w:rsid w:val="00D973E4"/>
    <w:rsid w:val="00D97F79"/>
    <w:rsid w:val="00DA10F7"/>
    <w:rsid w:val="00DA3109"/>
    <w:rsid w:val="00DA36F6"/>
    <w:rsid w:val="00DA3F49"/>
    <w:rsid w:val="00DA65CB"/>
    <w:rsid w:val="00DA6CA3"/>
    <w:rsid w:val="00DA7214"/>
    <w:rsid w:val="00DB205F"/>
    <w:rsid w:val="00DB3423"/>
    <w:rsid w:val="00DB3BF3"/>
    <w:rsid w:val="00DB505C"/>
    <w:rsid w:val="00DB60AD"/>
    <w:rsid w:val="00DB627E"/>
    <w:rsid w:val="00DB7BDE"/>
    <w:rsid w:val="00DC009F"/>
    <w:rsid w:val="00DC1531"/>
    <w:rsid w:val="00DC2303"/>
    <w:rsid w:val="00DC365F"/>
    <w:rsid w:val="00DC3AB0"/>
    <w:rsid w:val="00DC4237"/>
    <w:rsid w:val="00DC5393"/>
    <w:rsid w:val="00DC628A"/>
    <w:rsid w:val="00DC772D"/>
    <w:rsid w:val="00DC7DFE"/>
    <w:rsid w:val="00DD0CAF"/>
    <w:rsid w:val="00DD3416"/>
    <w:rsid w:val="00DD395B"/>
    <w:rsid w:val="00DD3D89"/>
    <w:rsid w:val="00DD42D3"/>
    <w:rsid w:val="00DD4313"/>
    <w:rsid w:val="00DD4987"/>
    <w:rsid w:val="00DD51DC"/>
    <w:rsid w:val="00DD6028"/>
    <w:rsid w:val="00DD68B4"/>
    <w:rsid w:val="00DE3DDC"/>
    <w:rsid w:val="00DE410B"/>
    <w:rsid w:val="00DE4154"/>
    <w:rsid w:val="00DE44BF"/>
    <w:rsid w:val="00DE60CE"/>
    <w:rsid w:val="00DE65D2"/>
    <w:rsid w:val="00DF17D3"/>
    <w:rsid w:val="00DF25E3"/>
    <w:rsid w:val="00DF5C36"/>
    <w:rsid w:val="00DF6329"/>
    <w:rsid w:val="00DF75A1"/>
    <w:rsid w:val="00E00540"/>
    <w:rsid w:val="00E04F51"/>
    <w:rsid w:val="00E05622"/>
    <w:rsid w:val="00E056FA"/>
    <w:rsid w:val="00E07B3C"/>
    <w:rsid w:val="00E11728"/>
    <w:rsid w:val="00E11B26"/>
    <w:rsid w:val="00E1217A"/>
    <w:rsid w:val="00E1280D"/>
    <w:rsid w:val="00E1310E"/>
    <w:rsid w:val="00E13413"/>
    <w:rsid w:val="00E13620"/>
    <w:rsid w:val="00E13C93"/>
    <w:rsid w:val="00E148F8"/>
    <w:rsid w:val="00E15F9B"/>
    <w:rsid w:val="00E22C6D"/>
    <w:rsid w:val="00E24460"/>
    <w:rsid w:val="00E258A6"/>
    <w:rsid w:val="00E2629A"/>
    <w:rsid w:val="00E30DEF"/>
    <w:rsid w:val="00E30E2A"/>
    <w:rsid w:val="00E30EF9"/>
    <w:rsid w:val="00E3134C"/>
    <w:rsid w:val="00E32655"/>
    <w:rsid w:val="00E333F3"/>
    <w:rsid w:val="00E341FF"/>
    <w:rsid w:val="00E347DD"/>
    <w:rsid w:val="00E359EC"/>
    <w:rsid w:val="00E3742D"/>
    <w:rsid w:val="00E40187"/>
    <w:rsid w:val="00E41370"/>
    <w:rsid w:val="00E417E0"/>
    <w:rsid w:val="00E43302"/>
    <w:rsid w:val="00E4403F"/>
    <w:rsid w:val="00E44125"/>
    <w:rsid w:val="00E458D3"/>
    <w:rsid w:val="00E467D8"/>
    <w:rsid w:val="00E46965"/>
    <w:rsid w:val="00E46ED1"/>
    <w:rsid w:val="00E46FB0"/>
    <w:rsid w:val="00E475A1"/>
    <w:rsid w:val="00E513F0"/>
    <w:rsid w:val="00E533AE"/>
    <w:rsid w:val="00E53628"/>
    <w:rsid w:val="00E55AA9"/>
    <w:rsid w:val="00E56B41"/>
    <w:rsid w:val="00E57D27"/>
    <w:rsid w:val="00E57D7D"/>
    <w:rsid w:val="00E6012E"/>
    <w:rsid w:val="00E612CB"/>
    <w:rsid w:val="00E63DB8"/>
    <w:rsid w:val="00E656E2"/>
    <w:rsid w:val="00E660B0"/>
    <w:rsid w:val="00E67761"/>
    <w:rsid w:val="00E67E4B"/>
    <w:rsid w:val="00E71123"/>
    <w:rsid w:val="00E71608"/>
    <w:rsid w:val="00E722A2"/>
    <w:rsid w:val="00E73A4F"/>
    <w:rsid w:val="00E74D7D"/>
    <w:rsid w:val="00E837D8"/>
    <w:rsid w:val="00E8545C"/>
    <w:rsid w:val="00E87B0B"/>
    <w:rsid w:val="00E902FF"/>
    <w:rsid w:val="00E90DE3"/>
    <w:rsid w:val="00E90F41"/>
    <w:rsid w:val="00E91AC8"/>
    <w:rsid w:val="00E9238D"/>
    <w:rsid w:val="00E92F5C"/>
    <w:rsid w:val="00E934E4"/>
    <w:rsid w:val="00E935E4"/>
    <w:rsid w:val="00E942F3"/>
    <w:rsid w:val="00E9507C"/>
    <w:rsid w:val="00E95CD1"/>
    <w:rsid w:val="00E9739B"/>
    <w:rsid w:val="00E975FD"/>
    <w:rsid w:val="00EA47BE"/>
    <w:rsid w:val="00EA60AE"/>
    <w:rsid w:val="00EA6862"/>
    <w:rsid w:val="00EB0226"/>
    <w:rsid w:val="00EB0E64"/>
    <w:rsid w:val="00EB1AEB"/>
    <w:rsid w:val="00EB24FD"/>
    <w:rsid w:val="00EB3D42"/>
    <w:rsid w:val="00EB76A3"/>
    <w:rsid w:val="00EC0F6A"/>
    <w:rsid w:val="00EC142F"/>
    <w:rsid w:val="00EC2A1B"/>
    <w:rsid w:val="00EC3429"/>
    <w:rsid w:val="00EC6314"/>
    <w:rsid w:val="00EC67DD"/>
    <w:rsid w:val="00ED18F6"/>
    <w:rsid w:val="00ED2E03"/>
    <w:rsid w:val="00ED4B80"/>
    <w:rsid w:val="00ED53C1"/>
    <w:rsid w:val="00ED58BD"/>
    <w:rsid w:val="00ED7128"/>
    <w:rsid w:val="00EE2CF4"/>
    <w:rsid w:val="00EE4BA9"/>
    <w:rsid w:val="00EE52D1"/>
    <w:rsid w:val="00EE7365"/>
    <w:rsid w:val="00EF3337"/>
    <w:rsid w:val="00EF4F7A"/>
    <w:rsid w:val="00EF72E1"/>
    <w:rsid w:val="00F00114"/>
    <w:rsid w:val="00F0013A"/>
    <w:rsid w:val="00F01D7E"/>
    <w:rsid w:val="00F02B39"/>
    <w:rsid w:val="00F0403A"/>
    <w:rsid w:val="00F0486D"/>
    <w:rsid w:val="00F04AC5"/>
    <w:rsid w:val="00F06F48"/>
    <w:rsid w:val="00F105C4"/>
    <w:rsid w:val="00F10775"/>
    <w:rsid w:val="00F10CAA"/>
    <w:rsid w:val="00F11372"/>
    <w:rsid w:val="00F12679"/>
    <w:rsid w:val="00F14B77"/>
    <w:rsid w:val="00F156EA"/>
    <w:rsid w:val="00F1719E"/>
    <w:rsid w:val="00F210CF"/>
    <w:rsid w:val="00F2179C"/>
    <w:rsid w:val="00F21CF2"/>
    <w:rsid w:val="00F232FC"/>
    <w:rsid w:val="00F238E4"/>
    <w:rsid w:val="00F24860"/>
    <w:rsid w:val="00F27B22"/>
    <w:rsid w:val="00F35CDE"/>
    <w:rsid w:val="00F36C24"/>
    <w:rsid w:val="00F375A9"/>
    <w:rsid w:val="00F412D2"/>
    <w:rsid w:val="00F4149F"/>
    <w:rsid w:val="00F43CAF"/>
    <w:rsid w:val="00F449F2"/>
    <w:rsid w:val="00F50555"/>
    <w:rsid w:val="00F51D0E"/>
    <w:rsid w:val="00F52BB3"/>
    <w:rsid w:val="00F56F60"/>
    <w:rsid w:val="00F57ADC"/>
    <w:rsid w:val="00F602C4"/>
    <w:rsid w:val="00F617D5"/>
    <w:rsid w:val="00F62E9C"/>
    <w:rsid w:val="00F65FED"/>
    <w:rsid w:val="00F66DB2"/>
    <w:rsid w:val="00F75077"/>
    <w:rsid w:val="00F75C18"/>
    <w:rsid w:val="00F773FB"/>
    <w:rsid w:val="00F77ABC"/>
    <w:rsid w:val="00F80CB1"/>
    <w:rsid w:val="00F81D15"/>
    <w:rsid w:val="00F83778"/>
    <w:rsid w:val="00F856D4"/>
    <w:rsid w:val="00F87A78"/>
    <w:rsid w:val="00F87F0D"/>
    <w:rsid w:val="00F91E44"/>
    <w:rsid w:val="00F936C6"/>
    <w:rsid w:val="00F93AA7"/>
    <w:rsid w:val="00F93B80"/>
    <w:rsid w:val="00F93F31"/>
    <w:rsid w:val="00F94CF5"/>
    <w:rsid w:val="00F961C0"/>
    <w:rsid w:val="00F962D4"/>
    <w:rsid w:val="00FA13B8"/>
    <w:rsid w:val="00FA3190"/>
    <w:rsid w:val="00FA4EF9"/>
    <w:rsid w:val="00FA5097"/>
    <w:rsid w:val="00FA5D56"/>
    <w:rsid w:val="00FA71E3"/>
    <w:rsid w:val="00FA724D"/>
    <w:rsid w:val="00FB33F1"/>
    <w:rsid w:val="00FB5179"/>
    <w:rsid w:val="00FB7BBF"/>
    <w:rsid w:val="00FB7BFD"/>
    <w:rsid w:val="00FC1920"/>
    <w:rsid w:val="00FC403D"/>
    <w:rsid w:val="00FC569E"/>
    <w:rsid w:val="00FD2907"/>
    <w:rsid w:val="00FD2B40"/>
    <w:rsid w:val="00FD30AD"/>
    <w:rsid w:val="00FD4B7B"/>
    <w:rsid w:val="00FD548C"/>
    <w:rsid w:val="00FD5C68"/>
    <w:rsid w:val="00FD7021"/>
    <w:rsid w:val="00FE3AEA"/>
    <w:rsid w:val="00FE5287"/>
    <w:rsid w:val="00FE551D"/>
    <w:rsid w:val="00FE6CFE"/>
    <w:rsid w:val="00FF32BF"/>
    <w:rsid w:val="00FF7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2BF5C"/>
  <w15:docId w15:val="{3CF0958F-A1D6-431A-963C-5BEF2BE1A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5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54D"/>
  </w:style>
  <w:style w:type="paragraph" w:styleId="Footer">
    <w:name w:val="footer"/>
    <w:basedOn w:val="Normal"/>
    <w:link w:val="FooterChar"/>
    <w:uiPriority w:val="99"/>
    <w:unhideWhenUsed/>
    <w:rsid w:val="00000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54D"/>
  </w:style>
  <w:style w:type="paragraph" w:styleId="ListParagraph">
    <w:name w:val="List Paragraph"/>
    <w:basedOn w:val="Normal"/>
    <w:uiPriority w:val="34"/>
    <w:qFormat/>
    <w:rsid w:val="000B3FE5"/>
    <w:pPr>
      <w:ind w:left="720"/>
      <w:contextualSpacing/>
    </w:pPr>
  </w:style>
  <w:style w:type="paragraph" w:styleId="BalloonText">
    <w:name w:val="Balloon Text"/>
    <w:basedOn w:val="Normal"/>
    <w:link w:val="BalloonTextChar"/>
    <w:uiPriority w:val="99"/>
    <w:semiHidden/>
    <w:unhideWhenUsed/>
    <w:rsid w:val="003665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5DD"/>
    <w:rPr>
      <w:rFonts w:ascii="Tahoma" w:hAnsi="Tahoma" w:cs="Tahoma"/>
      <w:sz w:val="16"/>
      <w:szCs w:val="16"/>
    </w:rPr>
  </w:style>
  <w:style w:type="paragraph" w:styleId="FootnoteText">
    <w:name w:val="footnote text"/>
    <w:basedOn w:val="Normal"/>
    <w:link w:val="FootnoteTextChar"/>
    <w:uiPriority w:val="99"/>
    <w:unhideWhenUsed/>
    <w:rsid w:val="006F55B6"/>
    <w:pPr>
      <w:spacing w:after="0" w:line="240" w:lineRule="auto"/>
    </w:pPr>
    <w:rPr>
      <w:sz w:val="20"/>
      <w:szCs w:val="20"/>
    </w:rPr>
  </w:style>
  <w:style w:type="character" w:customStyle="1" w:styleId="FootnoteTextChar">
    <w:name w:val="Footnote Text Char"/>
    <w:basedOn w:val="DefaultParagraphFont"/>
    <w:link w:val="FootnoteText"/>
    <w:uiPriority w:val="99"/>
    <w:rsid w:val="006F55B6"/>
    <w:rPr>
      <w:sz w:val="20"/>
      <w:szCs w:val="20"/>
    </w:rPr>
  </w:style>
  <w:style w:type="character" w:styleId="FootnoteReference">
    <w:name w:val="footnote reference"/>
    <w:basedOn w:val="DefaultParagraphFont"/>
    <w:uiPriority w:val="99"/>
    <w:semiHidden/>
    <w:unhideWhenUsed/>
    <w:rsid w:val="006F55B6"/>
    <w:rPr>
      <w:vertAlign w:val="superscript"/>
    </w:rPr>
  </w:style>
  <w:style w:type="paragraph" w:styleId="EndnoteText">
    <w:name w:val="endnote text"/>
    <w:basedOn w:val="Normal"/>
    <w:link w:val="EndnoteTextChar"/>
    <w:uiPriority w:val="99"/>
    <w:semiHidden/>
    <w:unhideWhenUsed/>
    <w:rsid w:val="00334F2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34F23"/>
    <w:rPr>
      <w:sz w:val="20"/>
      <w:szCs w:val="20"/>
    </w:rPr>
  </w:style>
  <w:style w:type="character" w:styleId="EndnoteReference">
    <w:name w:val="endnote reference"/>
    <w:basedOn w:val="DefaultParagraphFont"/>
    <w:uiPriority w:val="99"/>
    <w:semiHidden/>
    <w:unhideWhenUsed/>
    <w:rsid w:val="00334F23"/>
    <w:rPr>
      <w:vertAlign w:val="superscript"/>
    </w:rPr>
  </w:style>
  <w:style w:type="character" w:styleId="CommentReference">
    <w:name w:val="annotation reference"/>
    <w:basedOn w:val="DefaultParagraphFont"/>
    <w:uiPriority w:val="99"/>
    <w:semiHidden/>
    <w:unhideWhenUsed/>
    <w:rsid w:val="00A13B0F"/>
    <w:rPr>
      <w:sz w:val="16"/>
      <w:szCs w:val="16"/>
    </w:rPr>
  </w:style>
  <w:style w:type="paragraph" w:styleId="CommentText">
    <w:name w:val="annotation text"/>
    <w:basedOn w:val="Normal"/>
    <w:link w:val="CommentTextChar"/>
    <w:uiPriority w:val="99"/>
    <w:semiHidden/>
    <w:unhideWhenUsed/>
    <w:rsid w:val="00A13B0F"/>
    <w:pPr>
      <w:spacing w:line="240" w:lineRule="auto"/>
    </w:pPr>
    <w:rPr>
      <w:sz w:val="20"/>
      <w:szCs w:val="20"/>
    </w:rPr>
  </w:style>
  <w:style w:type="character" w:customStyle="1" w:styleId="CommentTextChar">
    <w:name w:val="Comment Text Char"/>
    <w:basedOn w:val="DefaultParagraphFont"/>
    <w:link w:val="CommentText"/>
    <w:uiPriority w:val="99"/>
    <w:semiHidden/>
    <w:rsid w:val="00A13B0F"/>
    <w:rPr>
      <w:sz w:val="20"/>
      <w:szCs w:val="20"/>
    </w:rPr>
  </w:style>
  <w:style w:type="paragraph" w:styleId="CommentSubject">
    <w:name w:val="annotation subject"/>
    <w:basedOn w:val="CommentText"/>
    <w:next w:val="CommentText"/>
    <w:link w:val="CommentSubjectChar"/>
    <w:uiPriority w:val="99"/>
    <w:semiHidden/>
    <w:unhideWhenUsed/>
    <w:rsid w:val="00A13B0F"/>
    <w:rPr>
      <w:b/>
      <w:bCs/>
    </w:rPr>
  </w:style>
  <w:style w:type="character" w:customStyle="1" w:styleId="CommentSubjectChar">
    <w:name w:val="Comment Subject Char"/>
    <w:basedOn w:val="CommentTextChar"/>
    <w:link w:val="CommentSubject"/>
    <w:uiPriority w:val="99"/>
    <w:semiHidden/>
    <w:rsid w:val="00A13B0F"/>
    <w:rPr>
      <w:b/>
      <w:bCs/>
      <w:sz w:val="20"/>
      <w:szCs w:val="20"/>
    </w:rPr>
  </w:style>
  <w:style w:type="paragraph" w:customStyle="1" w:styleId="Default">
    <w:name w:val="Default"/>
    <w:rsid w:val="00210A92"/>
    <w:pPr>
      <w:autoSpaceDE w:val="0"/>
      <w:autoSpaceDN w:val="0"/>
      <w:adjustRightInd w:val="0"/>
      <w:spacing w:after="0" w:line="240" w:lineRule="auto"/>
    </w:pPr>
    <w:rPr>
      <w:rFonts w:ascii="Times New Roman" w:hAnsi="Times New Roman" w:cs="Times New Roman"/>
      <w:color w:val="000000"/>
      <w:sz w:val="24"/>
      <w:szCs w:val="24"/>
      <w:lang w:val="en-ZW"/>
    </w:rPr>
  </w:style>
  <w:style w:type="paragraph" w:styleId="BodyText">
    <w:name w:val="Body Text"/>
    <w:basedOn w:val="Normal"/>
    <w:link w:val="BodyTextChar"/>
    <w:semiHidden/>
    <w:rsid w:val="004D1A2A"/>
    <w:pPr>
      <w:spacing w:after="0" w:line="480" w:lineRule="auto"/>
    </w:pPr>
    <w:rPr>
      <w:rFonts w:ascii="Times New Roman" w:eastAsia="Times New Roman" w:hAnsi="Times New Roman" w:cs="Times New Roman"/>
      <w:sz w:val="24"/>
      <w:szCs w:val="20"/>
      <w:lang w:val="en-GB" w:eastAsia="en-ZW"/>
    </w:rPr>
  </w:style>
  <w:style w:type="character" w:customStyle="1" w:styleId="BodyTextChar">
    <w:name w:val="Body Text Char"/>
    <w:basedOn w:val="DefaultParagraphFont"/>
    <w:link w:val="BodyText"/>
    <w:semiHidden/>
    <w:rsid w:val="004D1A2A"/>
    <w:rPr>
      <w:rFonts w:ascii="Times New Roman" w:eastAsia="Times New Roman" w:hAnsi="Times New Roman" w:cs="Times New Roman"/>
      <w:sz w:val="24"/>
      <w:szCs w:val="20"/>
      <w:lang w:val="en-GB" w:eastAsia="en-ZW"/>
    </w:rPr>
  </w:style>
  <w:style w:type="character" w:customStyle="1" w:styleId="Bodytext0">
    <w:name w:val="Body text_"/>
    <w:basedOn w:val="DefaultParagraphFont"/>
    <w:link w:val="BodyText1"/>
    <w:rsid w:val="00DC5393"/>
    <w:rPr>
      <w:rFonts w:ascii="Times New Roman" w:eastAsia="Times New Roman" w:hAnsi="Times New Roman" w:cs="Times New Roman"/>
      <w:sz w:val="23"/>
      <w:szCs w:val="23"/>
      <w:shd w:val="clear" w:color="auto" w:fill="FFFFFF"/>
    </w:rPr>
  </w:style>
  <w:style w:type="character" w:customStyle="1" w:styleId="BodytextItalic">
    <w:name w:val="Body text + Italic"/>
    <w:basedOn w:val="Bodytext0"/>
    <w:rsid w:val="00DC5393"/>
    <w:rPr>
      <w:rFonts w:ascii="Times New Roman" w:eastAsia="Times New Roman" w:hAnsi="Times New Roman" w:cs="Times New Roman"/>
      <w:i/>
      <w:iCs/>
      <w:color w:val="000000"/>
      <w:spacing w:val="0"/>
      <w:w w:val="100"/>
      <w:position w:val="0"/>
      <w:sz w:val="23"/>
      <w:szCs w:val="23"/>
      <w:shd w:val="clear" w:color="auto" w:fill="FFFFFF"/>
      <w:lang w:val="en-US"/>
    </w:rPr>
  </w:style>
  <w:style w:type="paragraph" w:customStyle="1" w:styleId="BodyText1">
    <w:name w:val="Body Text1"/>
    <w:basedOn w:val="Normal"/>
    <w:link w:val="Bodytext0"/>
    <w:rsid w:val="00DC5393"/>
    <w:pPr>
      <w:widowControl w:val="0"/>
      <w:shd w:val="clear" w:color="auto" w:fill="FFFFFF"/>
      <w:spacing w:before="780" w:after="0" w:line="552" w:lineRule="exact"/>
      <w:ind w:hanging="360"/>
      <w:jc w:val="right"/>
    </w:pPr>
    <w:rPr>
      <w:rFonts w:ascii="Times New Roman" w:eastAsia="Times New Roman" w:hAnsi="Times New Roman" w:cs="Times New Roman"/>
      <w:sz w:val="23"/>
      <w:szCs w:val="23"/>
    </w:rPr>
  </w:style>
  <w:style w:type="character" w:customStyle="1" w:styleId="hgkelc">
    <w:name w:val="hgkelc"/>
    <w:basedOn w:val="DefaultParagraphFont"/>
    <w:rsid w:val="00AB6822"/>
  </w:style>
  <w:style w:type="paragraph" w:customStyle="1" w:styleId="footnotedescription">
    <w:name w:val="footnote description"/>
    <w:next w:val="Normal"/>
    <w:link w:val="footnotedescriptionChar"/>
    <w:hidden/>
    <w:rsid w:val="00E935E4"/>
    <w:pPr>
      <w:spacing w:after="0" w:line="216" w:lineRule="auto"/>
      <w:ind w:left="481" w:hanging="397"/>
      <w:jc w:val="both"/>
    </w:pPr>
    <w:rPr>
      <w:rFonts w:ascii="Calibri" w:eastAsia="Times New Roman" w:hAnsi="Calibri" w:cs="Calibri"/>
      <w:color w:val="000000"/>
      <w:sz w:val="18"/>
    </w:rPr>
  </w:style>
  <w:style w:type="character" w:customStyle="1" w:styleId="footnotedescriptionChar">
    <w:name w:val="footnote description Char"/>
    <w:link w:val="footnotedescription"/>
    <w:locked/>
    <w:rsid w:val="00E935E4"/>
    <w:rPr>
      <w:rFonts w:ascii="Calibri" w:eastAsia="Times New Roman" w:hAnsi="Calibri" w:cs="Calibri"/>
      <w:color w:val="000000"/>
      <w:sz w:val="18"/>
    </w:rPr>
  </w:style>
  <w:style w:type="character" w:customStyle="1" w:styleId="footnotemark">
    <w:name w:val="footnote mark"/>
    <w:hidden/>
    <w:rsid w:val="00E935E4"/>
    <w:rPr>
      <w:rFonts w:ascii="Calibri" w:eastAsia="Times New Roman" w:hAnsi="Calibri"/>
      <w:color w:val="000000"/>
      <w:sz w:val="18"/>
      <w:vertAlign w:val="superscript"/>
    </w:rPr>
  </w:style>
  <w:style w:type="character" w:styleId="Emphasis">
    <w:name w:val="Emphasis"/>
    <w:basedOn w:val="DefaultParagraphFont"/>
    <w:uiPriority w:val="20"/>
    <w:qFormat/>
    <w:rsid w:val="003A7FAF"/>
    <w:rPr>
      <w:i/>
      <w:iCs/>
    </w:rPr>
  </w:style>
  <w:style w:type="paragraph" w:styleId="NormalWeb">
    <w:name w:val="Normal (Web)"/>
    <w:basedOn w:val="Normal"/>
    <w:uiPriority w:val="99"/>
    <w:semiHidden/>
    <w:unhideWhenUsed/>
    <w:rsid w:val="003A7FAF"/>
    <w:pPr>
      <w:spacing w:after="100" w:afterAutospacing="1" w:line="240" w:lineRule="auto"/>
    </w:pPr>
    <w:rPr>
      <w:rFonts w:ascii="Times New Roman" w:eastAsia="Times New Roman" w:hAnsi="Times New Roman" w:cs="Times New Roman"/>
      <w:sz w:val="24"/>
      <w:szCs w:val="24"/>
      <w:lang w:val="en-ZW" w:eastAsia="en-ZW"/>
    </w:rPr>
  </w:style>
  <w:style w:type="character" w:customStyle="1" w:styleId="markedcontent">
    <w:name w:val="markedcontent"/>
    <w:basedOn w:val="DefaultParagraphFont"/>
    <w:rsid w:val="00F91E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071484">
      <w:bodyDiv w:val="1"/>
      <w:marLeft w:val="0"/>
      <w:marRight w:val="0"/>
      <w:marTop w:val="0"/>
      <w:marBottom w:val="0"/>
      <w:divBdr>
        <w:top w:val="none" w:sz="0" w:space="0" w:color="auto"/>
        <w:left w:val="none" w:sz="0" w:space="0" w:color="auto"/>
        <w:bottom w:val="none" w:sz="0" w:space="0" w:color="auto"/>
        <w:right w:val="none" w:sz="0" w:space="0" w:color="auto"/>
      </w:divBdr>
      <w:divsChild>
        <w:div w:id="1173109478">
          <w:marLeft w:val="0"/>
          <w:marRight w:val="0"/>
          <w:marTop w:val="0"/>
          <w:marBottom w:val="0"/>
          <w:divBdr>
            <w:top w:val="none" w:sz="0" w:space="0" w:color="auto"/>
            <w:left w:val="none" w:sz="0" w:space="0" w:color="auto"/>
            <w:bottom w:val="none" w:sz="0" w:space="0" w:color="auto"/>
            <w:right w:val="none" w:sz="0" w:space="0" w:color="auto"/>
          </w:divBdr>
          <w:divsChild>
            <w:div w:id="1577932437">
              <w:marLeft w:val="0"/>
              <w:marRight w:val="0"/>
              <w:marTop w:val="0"/>
              <w:marBottom w:val="0"/>
              <w:divBdr>
                <w:top w:val="none" w:sz="0" w:space="0" w:color="auto"/>
                <w:left w:val="none" w:sz="0" w:space="0" w:color="auto"/>
                <w:bottom w:val="none" w:sz="0" w:space="0" w:color="auto"/>
                <w:right w:val="none" w:sz="0" w:space="0" w:color="auto"/>
              </w:divBdr>
              <w:divsChild>
                <w:div w:id="1844854908">
                  <w:marLeft w:val="0"/>
                  <w:marRight w:val="0"/>
                  <w:marTop w:val="0"/>
                  <w:marBottom w:val="0"/>
                  <w:divBdr>
                    <w:top w:val="none" w:sz="0" w:space="0" w:color="auto"/>
                    <w:left w:val="none" w:sz="0" w:space="0" w:color="auto"/>
                    <w:bottom w:val="none" w:sz="0" w:space="0" w:color="auto"/>
                    <w:right w:val="none" w:sz="0" w:space="0" w:color="auto"/>
                  </w:divBdr>
                  <w:divsChild>
                    <w:div w:id="181172255">
                      <w:marLeft w:val="0"/>
                      <w:marRight w:val="0"/>
                      <w:marTop w:val="0"/>
                      <w:marBottom w:val="0"/>
                      <w:divBdr>
                        <w:top w:val="none" w:sz="0" w:space="0" w:color="auto"/>
                        <w:left w:val="none" w:sz="0" w:space="0" w:color="auto"/>
                        <w:bottom w:val="none" w:sz="0" w:space="0" w:color="auto"/>
                        <w:right w:val="none" w:sz="0" w:space="0" w:color="auto"/>
                      </w:divBdr>
                      <w:divsChild>
                        <w:div w:id="763847223">
                          <w:marLeft w:val="-150"/>
                          <w:marRight w:val="-150"/>
                          <w:marTop w:val="0"/>
                          <w:marBottom w:val="0"/>
                          <w:divBdr>
                            <w:top w:val="none" w:sz="0" w:space="0" w:color="auto"/>
                            <w:left w:val="none" w:sz="0" w:space="0" w:color="auto"/>
                            <w:bottom w:val="none" w:sz="0" w:space="0" w:color="auto"/>
                            <w:right w:val="none" w:sz="0" w:space="0" w:color="auto"/>
                          </w:divBdr>
                          <w:divsChild>
                            <w:div w:id="1096638001">
                              <w:marLeft w:val="0"/>
                              <w:marRight w:val="0"/>
                              <w:marTop w:val="0"/>
                              <w:marBottom w:val="0"/>
                              <w:divBdr>
                                <w:top w:val="none" w:sz="0" w:space="0" w:color="auto"/>
                                <w:left w:val="none" w:sz="0" w:space="0" w:color="auto"/>
                                <w:bottom w:val="none" w:sz="0" w:space="0" w:color="auto"/>
                                <w:right w:val="none" w:sz="0" w:space="0" w:color="auto"/>
                              </w:divBdr>
                              <w:divsChild>
                                <w:div w:id="2078086751">
                                  <w:marLeft w:val="0"/>
                                  <w:marRight w:val="0"/>
                                  <w:marTop w:val="0"/>
                                  <w:marBottom w:val="0"/>
                                  <w:divBdr>
                                    <w:top w:val="none" w:sz="0" w:space="0" w:color="auto"/>
                                    <w:left w:val="none" w:sz="0" w:space="0" w:color="auto"/>
                                    <w:bottom w:val="none" w:sz="0" w:space="0" w:color="auto"/>
                                    <w:right w:val="none" w:sz="0" w:space="0" w:color="auto"/>
                                  </w:divBdr>
                                  <w:divsChild>
                                    <w:div w:id="1717853400">
                                      <w:marLeft w:val="0"/>
                                      <w:marRight w:val="0"/>
                                      <w:marTop w:val="0"/>
                                      <w:marBottom w:val="0"/>
                                      <w:divBdr>
                                        <w:top w:val="none" w:sz="0" w:space="0" w:color="auto"/>
                                        <w:left w:val="none" w:sz="0" w:space="0" w:color="auto"/>
                                        <w:bottom w:val="none" w:sz="0" w:space="0" w:color="auto"/>
                                        <w:right w:val="none" w:sz="0" w:space="0" w:color="auto"/>
                                      </w:divBdr>
                                      <w:divsChild>
                                        <w:div w:id="1858960482">
                                          <w:marLeft w:val="0"/>
                                          <w:marRight w:val="0"/>
                                          <w:marTop w:val="0"/>
                                          <w:marBottom w:val="0"/>
                                          <w:divBdr>
                                            <w:top w:val="none" w:sz="0" w:space="0" w:color="auto"/>
                                            <w:left w:val="none" w:sz="0" w:space="0" w:color="auto"/>
                                            <w:bottom w:val="none" w:sz="0" w:space="0" w:color="auto"/>
                                            <w:right w:val="none" w:sz="0" w:space="0" w:color="auto"/>
                                          </w:divBdr>
                                          <w:divsChild>
                                            <w:div w:id="1253736139">
                                              <w:marLeft w:val="0"/>
                                              <w:marRight w:val="0"/>
                                              <w:marTop w:val="0"/>
                                              <w:marBottom w:val="0"/>
                                              <w:divBdr>
                                                <w:top w:val="none" w:sz="0" w:space="0" w:color="auto"/>
                                                <w:left w:val="none" w:sz="0" w:space="0" w:color="auto"/>
                                                <w:bottom w:val="none" w:sz="0" w:space="0" w:color="auto"/>
                                                <w:right w:val="none" w:sz="0" w:space="0" w:color="auto"/>
                                              </w:divBdr>
                                              <w:divsChild>
                                                <w:div w:id="463472602">
                                                  <w:marLeft w:val="0"/>
                                                  <w:marRight w:val="0"/>
                                                  <w:marTop w:val="0"/>
                                                  <w:marBottom w:val="0"/>
                                                  <w:divBdr>
                                                    <w:top w:val="none" w:sz="0" w:space="0" w:color="auto"/>
                                                    <w:left w:val="none" w:sz="0" w:space="0" w:color="auto"/>
                                                    <w:bottom w:val="none" w:sz="0" w:space="0" w:color="auto"/>
                                                    <w:right w:val="none" w:sz="0" w:space="0" w:color="auto"/>
                                                  </w:divBdr>
                                                  <w:divsChild>
                                                    <w:div w:id="1706520141">
                                                      <w:marLeft w:val="0"/>
                                                      <w:marRight w:val="0"/>
                                                      <w:marTop w:val="0"/>
                                                      <w:marBottom w:val="0"/>
                                                      <w:divBdr>
                                                        <w:top w:val="none" w:sz="0" w:space="0" w:color="auto"/>
                                                        <w:left w:val="none" w:sz="0" w:space="0" w:color="auto"/>
                                                        <w:bottom w:val="none" w:sz="0" w:space="0" w:color="auto"/>
                                                        <w:right w:val="none" w:sz="0" w:space="0" w:color="auto"/>
                                                      </w:divBdr>
                                                      <w:divsChild>
                                                        <w:div w:id="212284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3966767">
      <w:bodyDiv w:val="1"/>
      <w:marLeft w:val="0"/>
      <w:marRight w:val="0"/>
      <w:marTop w:val="0"/>
      <w:marBottom w:val="0"/>
      <w:divBdr>
        <w:top w:val="none" w:sz="0" w:space="0" w:color="auto"/>
        <w:left w:val="none" w:sz="0" w:space="0" w:color="auto"/>
        <w:bottom w:val="none" w:sz="0" w:space="0" w:color="auto"/>
        <w:right w:val="none" w:sz="0" w:space="0" w:color="auto"/>
      </w:divBdr>
      <w:divsChild>
        <w:div w:id="1793330496">
          <w:marLeft w:val="0"/>
          <w:marRight w:val="0"/>
          <w:marTop w:val="0"/>
          <w:marBottom w:val="0"/>
          <w:divBdr>
            <w:top w:val="none" w:sz="0" w:space="0" w:color="auto"/>
            <w:left w:val="none" w:sz="0" w:space="0" w:color="auto"/>
            <w:bottom w:val="none" w:sz="0" w:space="0" w:color="auto"/>
            <w:right w:val="none" w:sz="0" w:space="0" w:color="auto"/>
          </w:divBdr>
          <w:divsChild>
            <w:div w:id="20121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519777">
      <w:bodyDiv w:val="1"/>
      <w:marLeft w:val="0"/>
      <w:marRight w:val="0"/>
      <w:marTop w:val="0"/>
      <w:marBottom w:val="0"/>
      <w:divBdr>
        <w:top w:val="none" w:sz="0" w:space="0" w:color="auto"/>
        <w:left w:val="none" w:sz="0" w:space="0" w:color="auto"/>
        <w:bottom w:val="none" w:sz="0" w:space="0" w:color="auto"/>
        <w:right w:val="none" w:sz="0" w:space="0" w:color="auto"/>
      </w:divBdr>
    </w:div>
    <w:div w:id="186832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D4684-1FD0-4732-8CCC-82EB2CE83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5680</Words>
  <Characters>32377</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jsc-Mujuru</dc:creator>
  <cp:keywords/>
  <dc:description/>
  <cp:lastModifiedBy>JSC</cp:lastModifiedBy>
  <cp:revision>2</cp:revision>
  <cp:lastPrinted>2022-05-17T08:45:00Z</cp:lastPrinted>
  <dcterms:created xsi:type="dcterms:W3CDTF">2022-05-20T08:09:00Z</dcterms:created>
  <dcterms:modified xsi:type="dcterms:W3CDTF">2022-05-20T08:09:00Z</dcterms:modified>
</cp:coreProperties>
</file>