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59" w:rsidRPr="00D10188" w:rsidRDefault="009A4459" w:rsidP="009A4459">
      <w:pPr>
        <w:pStyle w:val="NoSpacing"/>
        <w:jc w:val="both"/>
        <w:rPr>
          <w:b/>
          <w:szCs w:val="24"/>
        </w:rPr>
      </w:pPr>
      <w:r>
        <w:rPr>
          <w:b/>
          <w:szCs w:val="24"/>
        </w:rPr>
        <w:t xml:space="preserve">MTHOKOZISI NCUBE </w:t>
      </w:r>
      <w:bookmarkStart w:id="0" w:name="_GoBack"/>
      <w:bookmarkEnd w:id="0"/>
    </w:p>
    <w:p w:rsidR="009A4459" w:rsidRPr="00D10188" w:rsidRDefault="009A4459" w:rsidP="009A4459">
      <w:pPr>
        <w:pStyle w:val="NoSpacing"/>
        <w:jc w:val="both"/>
        <w:rPr>
          <w:b/>
          <w:szCs w:val="24"/>
        </w:rPr>
      </w:pPr>
    </w:p>
    <w:p w:rsidR="009A4459" w:rsidRPr="00D10188" w:rsidRDefault="009A4459" w:rsidP="009A4459">
      <w:pPr>
        <w:pStyle w:val="NoSpacing"/>
        <w:jc w:val="both"/>
        <w:rPr>
          <w:b/>
          <w:szCs w:val="24"/>
        </w:rPr>
      </w:pPr>
      <w:r w:rsidRPr="00D10188">
        <w:rPr>
          <w:b/>
          <w:szCs w:val="24"/>
        </w:rPr>
        <w:t>Versus</w:t>
      </w:r>
    </w:p>
    <w:p w:rsidR="009A4459" w:rsidRPr="00D10188" w:rsidRDefault="009A4459" w:rsidP="009A4459">
      <w:pPr>
        <w:pStyle w:val="NoSpacing"/>
        <w:jc w:val="both"/>
        <w:rPr>
          <w:b/>
          <w:szCs w:val="24"/>
        </w:rPr>
      </w:pPr>
    </w:p>
    <w:p w:rsidR="009A4459" w:rsidRPr="00D10188" w:rsidRDefault="009A4459" w:rsidP="009A4459">
      <w:pPr>
        <w:pStyle w:val="NoSpacing"/>
        <w:jc w:val="both"/>
        <w:rPr>
          <w:b/>
          <w:szCs w:val="24"/>
        </w:rPr>
      </w:pPr>
      <w:r w:rsidRPr="00D10188">
        <w:rPr>
          <w:b/>
          <w:szCs w:val="24"/>
        </w:rPr>
        <w:t>THE STATE</w:t>
      </w:r>
    </w:p>
    <w:p w:rsidR="009A4459" w:rsidRPr="00D10188" w:rsidRDefault="009A4459" w:rsidP="009A4459">
      <w:pPr>
        <w:pStyle w:val="NoSpacing"/>
        <w:jc w:val="both"/>
        <w:rPr>
          <w:b/>
          <w:szCs w:val="24"/>
        </w:rPr>
      </w:pPr>
    </w:p>
    <w:p w:rsidR="009A4459" w:rsidRPr="00D10188" w:rsidRDefault="009A4459" w:rsidP="009A4459">
      <w:pPr>
        <w:pStyle w:val="NoSpacing"/>
        <w:jc w:val="both"/>
        <w:rPr>
          <w:szCs w:val="24"/>
        </w:rPr>
      </w:pPr>
      <w:r w:rsidRPr="00D10188">
        <w:rPr>
          <w:szCs w:val="24"/>
        </w:rPr>
        <w:t>IN THE HIGH COURT OF ZIMBABWE</w:t>
      </w:r>
    </w:p>
    <w:p w:rsidR="009A4459" w:rsidRPr="00D10188" w:rsidRDefault="009A4459" w:rsidP="009A4459">
      <w:pPr>
        <w:pStyle w:val="NoSpacing"/>
        <w:jc w:val="both"/>
        <w:rPr>
          <w:szCs w:val="24"/>
        </w:rPr>
      </w:pPr>
      <w:r>
        <w:rPr>
          <w:szCs w:val="24"/>
        </w:rPr>
        <w:t>DUBE-BANDA</w:t>
      </w:r>
      <w:r w:rsidRPr="00D10188">
        <w:rPr>
          <w:szCs w:val="24"/>
        </w:rPr>
        <w:t xml:space="preserve"> J</w:t>
      </w:r>
    </w:p>
    <w:p w:rsidR="009A4459" w:rsidRPr="00D10188" w:rsidRDefault="009A4459" w:rsidP="009A4459">
      <w:pPr>
        <w:pStyle w:val="NoSpacing"/>
        <w:jc w:val="both"/>
        <w:rPr>
          <w:szCs w:val="24"/>
        </w:rPr>
      </w:pPr>
      <w:r>
        <w:rPr>
          <w:szCs w:val="24"/>
        </w:rPr>
        <w:t xml:space="preserve">BULAWAYO 29 DECEMBER 2021 &amp; </w:t>
      </w:r>
      <w:r w:rsidR="001D2692">
        <w:rPr>
          <w:szCs w:val="24"/>
        </w:rPr>
        <w:t>13 JANUARY 2022</w:t>
      </w:r>
    </w:p>
    <w:p w:rsidR="009A4459" w:rsidRPr="00D10188" w:rsidRDefault="009A4459" w:rsidP="009A4459">
      <w:pPr>
        <w:pStyle w:val="NoSpacing"/>
        <w:jc w:val="both"/>
        <w:rPr>
          <w:szCs w:val="24"/>
        </w:rPr>
      </w:pPr>
    </w:p>
    <w:p w:rsidR="009A4459" w:rsidRPr="00D10188" w:rsidRDefault="009A4459" w:rsidP="009A4459">
      <w:pPr>
        <w:pStyle w:val="NoSpacing"/>
        <w:jc w:val="both"/>
        <w:rPr>
          <w:b/>
          <w:szCs w:val="24"/>
        </w:rPr>
      </w:pPr>
      <w:r w:rsidRPr="00D10188">
        <w:rPr>
          <w:b/>
          <w:szCs w:val="24"/>
        </w:rPr>
        <w:t>Application for bail pending appeal</w:t>
      </w:r>
    </w:p>
    <w:p w:rsidR="009A4459" w:rsidRPr="00D10188" w:rsidRDefault="009A4459" w:rsidP="009A4459">
      <w:pPr>
        <w:pStyle w:val="NoSpacing"/>
        <w:jc w:val="both"/>
        <w:rPr>
          <w:szCs w:val="24"/>
        </w:rPr>
      </w:pPr>
    </w:p>
    <w:p w:rsidR="009A4459" w:rsidRPr="00D10188" w:rsidRDefault="001D2692" w:rsidP="009A4459">
      <w:pPr>
        <w:pStyle w:val="NoSpacing"/>
        <w:jc w:val="both"/>
        <w:rPr>
          <w:szCs w:val="24"/>
        </w:rPr>
      </w:pPr>
      <w:r>
        <w:rPr>
          <w:i/>
          <w:szCs w:val="24"/>
        </w:rPr>
        <w:t>B.E. Ndlovu</w:t>
      </w:r>
      <w:r w:rsidR="009A4459" w:rsidRPr="00D10188">
        <w:rPr>
          <w:szCs w:val="24"/>
        </w:rPr>
        <w:t xml:space="preserve"> for the applicant</w:t>
      </w:r>
    </w:p>
    <w:p w:rsidR="009A4459" w:rsidRPr="00D10188" w:rsidRDefault="001D2692" w:rsidP="009A4459">
      <w:pPr>
        <w:pStyle w:val="NoSpacing"/>
        <w:jc w:val="both"/>
        <w:rPr>
          <w:szCs w:val="24"/>
        </w:rPr>
      </w:pPr>
      <w:r>
        <w:rPr>
          <w:i/>
          <w:szCs w:val="24"/>
        </w:rPr>
        <w:t xml:space="preserve">T.M. Nyathi </w:t>
      </w:r>
      <w:r w:rsidR="009A4459" w:rsidRPr="00D10188">
        <w:rPr>
          <w:szCs w:val="24"/>
        </w:rPr>
        <w:t>for the respondent</w:t>
      </w:r>
    </w:p>
    <w:p w:rsidR="00370B0F" w:rsidRPr="00370B0F" w:rsidRDefault="009A4459" w:rsidP="00370B0F">
      <w:pPr>
        <w:jc w:val="both"/>
        <w:rPr>
          <w:rFonts w:cs="Times New Roman"/>
          <w:szCs w:val="24"/>
        </w:rPr>
      </w:pPr>
      <w:r w:rsidRPr="00D10188">
        <w:rPr>
          <w:szCs w:val="24"/>
        </w:rPr>
        <w:tab/>
      </w:r>
      <w:r w:rsidR="001D2692" w:rsidRPr="00C92C84">
        <w:rPr>
          <w:rFonts w:cs="Times New Roman"/>
          <w:b/>
          <w:szCs w:val="24"/>
        </w:rPr>
        <w:t>DUBE-BANDA</w:t>
      </w:r>
      <w:r w:rsidRPr="00C92C84">
        <w:rPr>
          <w:rFonts w:cs="Times New Roman"/>
          <w:b/>
          <w:szCs w:val="24"/>
        </w:rPr>
        <w:t xml:space="preserve"> J:</w:t>
      </w:r>
      <w:r w:rsidR="0049123F" w:rsidRPr="00C92C84">
        <w:rPr>
          <w:rFonts w:cs="Times New Roman"/>
          <w:b/>
          <w:szCs w:val="24"/>
        </w:rPr>
        <w:t xml:space="preserve"> </w:t>
      </w:r>
      <w:r w:rsidR="00B21A75" w:rsidRPr="00C92C84">
        <w:rPr>
          <w:rFonts w:cs="Times New Roman"/>
          <w:szCs w:val="24"/>
        </w:rPr>
        <w:t xml:space="preserve">This is an application for bail pending </w:t>
      </w:r>
      <w:r w:rsidR="006501D4" w:rsidRPr="00C92C84">
        <w:rPr>
          <w:rFonts w:cs="Times New Roman"/>
          <w:szCs w:val="24"/>
        </w:rPr>
        <w:t xml:space="preserve">appeal. The applicant was arraigned before the Regional Magistrate’s Court sitting in Bulawayo, on a charge of rape as defined in section 65 of the Criminal Law (Codification and Reform) Act [Chapter 9:23]. The allegations against him were briefly as follows: </w:t>
      </w:r>
      <w:r w:rsidR="007B4308" w:rsidRPr="00C92C84">
        <w:rPr>
          <w:rFonts w:cs="Times New Roman"/>
          <w:szCs w:val="24"/>
        </w:rPr>
        <w:t xml:space="preserve">that </w:t>
      </w:r>
      <w:r w:rsidR="00C963C2" w:rsidRPr="00C92C84">
        <w:rPr>
          <w:rFonts w:cs="Times New Roman"/>
          <w:szCs w:val="24"/>
        </w:rPr>
        <w:t xml:space="preserve">on the </w:t>
      </w:r>
      <w:r w:rsidR="00686E45" w:rsidRPr="00C92C84">
        <w:rPr>
          <w:rFonts w:cs="Times New Roman"/>
          <w:szCs w:val="24"/>
        </w:rPr>
        <w:t>18 March 2021</w:t>
      </w:r>
      <w:r w:rsidR="00D23E69">
        <w:rPr>
          <w:rFonts w:cs="Times New Roman"/>
          <w:szCs w:val="24"/>
        </w:rPr>
        <w:t xml:space="preserve"> he</w:t>
      </w:r>
      <w:r w:rsidR="00CE653D" w:rsidRPr="00C92C84">
        <w:rPr>
          <w:rFonts w:cs="Times New Roman"/>
          <w:szCs w:val="24"/>
        </w:rPr>
        <w:t xml:space="preserve"> unlawfully had sexually intercourse with complaint without her consent. </w:t>
      </w:r>
      <w:r w:rsidR="006501D4" w:rsidRPr="00C92C84">
        <w:rPr>
          <w:rFonts w:cs="Times New Roman"/>
          <w:szCs w:val="24"/>
        </w:rPr>
        <w:t>After a protracted trial he w</w:t>
      </w:r>
      <w:r w:rsidR="007B4308" w:rsidRPr="00C92C84">
        <w:rPr>
          <w:rFonts w:cs="Times New Roman"/>
          <w:szCs w:val="24"/>
        </w:rPr>
        <w:t>as convicted</w:t>
      </w:r>
      <w:r w:rsidR="006501D4" w:rsidRPr="00C92C84">
        <w:rPr>
          <w:rFonts w:cs="Times New Roman"/>
          <w:szCs w:val="24"/>
        </w:rPr>
        <w:t xml:space="preserve"> and sentenc</w:t>
      </w:r>
      <w:r w:rsidR="007B4308" w:rsidRPr="00C92C84">
        <w:rPr>
          <w:rFonts w:cs="Times New Roman"/>
          <w:szCs w:val="24"/>
        </w:rPr>
        <w:t xml:space="preserve">ed to 10 years imprisonment. </w:t>
      </w:r>
      <w:r w:rsidR="00370B0F">
        <w:rPr>
          <w:rFonts w:cs="Times New Roman"/>
          <w:szCs w:val="24"/>
        </w:rPr>
        <w:tab/>
      </w:r>
    </w:p>
    <w:p w:rsidR="003C33CB" w:rsidRDefault="00370B0F" w:rsidP="001A53A6">
      <w:pPr>
        <w:jc w:val="both"/>
        <w:rPr>
          <w:rFonts w:cs="Times New Roman"/>
          <w:color w:val="000000"/>
          <w:szCs w:val="24"/>
          <w:lang w:val="en-ZW"/>
        </w:rPr>
      </w:pPr>
      <w:r>
        <w:t xml:space="preserve"> </w:t>
      </w:r>
      <w:r>
        <w:tab/>
      </w:r>
      <w:r w:rsidRPr="00370B0F">
        <w:rPr>
          <w:rFonts w:cs="Times New Roman"/>
          <w:szCs w:val="24"/>
        </w:rPr>
        <w:t xml:space="preserve">Aggrieved </w:t>
      </w:r>
      <w:r w:rsidR="00A165FC">
        <w:rPr>
          <w:rFonts w:cs="Times New Roman"/>
          <w:szCs w:val="24"/>
        </w:rPr>
        <w:t>by his</w:t>
      </w:r>
      <w:r w:rsidR="00D937BE">
        <w:rPr>
          <w:rFonts w:cs="Times New Roman"/>
          <w:szCs w:val="24"/>
        </w:rPr>
        <w:t xml:space="preserve"> </w:t>
      </w:r>
      <w:r w:rsidR="00A165FC">
        <w:rPr>
          <w:rFonts w:cs="Times New Roman"/>
          <w:szCs w:val="24"/>
        </w:rPr>
        <w:t>conviction</w:t>
      </w:r>
      <w:r w:rsidRPr="00370B0F">
        <w:rPr>
          <w:rFonts w:cs="Times New Roman"/>
          <w:szCs w:val="24"/>
        </w:rPr>
        <w:t xml:space="preserve"> applicant noted an appeal to this court and such appeal is still pending under cover of case numb</w:t>
      </w:r>
      <w:r w:rsidR="00D937BE">
        <w:rPr>
          <w:rFonts w:cs="Times New Roman"/>
          <w:szCs w:val="24"/>
        </w:rPr>
        <w:t>er HCA 73/21</w:t>
      </w:r>
      <w:r w:rsidRPr="00370B0F">
        <w:rPr>
          <w:rFonts w:cs="Times New Roman"/>
          <w:szCs w:val="24"/>
        </w:rPr>
        <w:t>. Applicant now seeks to be released on bail pending the finalization of the appeal.</w:t>
      </w:r>
      <w:r w:rsidR="001A53A6">
        <w:rPr>
          <w:rFonts w:cs="Times New Roman"/>
          <w:szCs w:val="24"/>
        </w:rPr>
        <w:t xml:space="preserve"> </w:t>
      </w:r>
      <w:r w:rsidR="007F3BF8" w:rsidRPr="007F3BF8">
        <w:rPr>
          <w:rFonts w:cs="Times New Roman"/>
          <w:color w:val="000000"/>
          <w:szCs w:val="24"/>
          <w:lang w:val="en-ZW"/>
        </w:rPr>
        <w:t>The grounds upon which applicant seeks to be released on bail pending appeal are set out in his statement in support of this applicat</w:t>
      </w:r>
      <w:r w:rsidR="004478D2">
        <w:rPr>
          <w:rFonts w:cs="Times New Roman"/>
          <w:color w:val="000000"/>
          <w:szCs w:val="24"/>
          <w:lang w:val="en-ZW"/>
        </w:rPr>
        <w:t>ion. In his written application</w:t>
      </w:r>
      <w:r w:rsidR="007F3BF8" w:rsidRPr="007F3BF8">
        <w:rPr>
          <w:rFonts w:cs="Times New Roman"/>
          <w:color w:val="000000"/>
          <w:szCs w:val="24"/>
          <w:lang w:val="en-ZW"/>
        </w:rPr>
        <w:t xml:space="preserve"> applicant contends that he has prospects of success on appeal because his guilt was not proved beyond a reasonable doubt as required by the law.</w:t>
      </w:r>
      <w:r w:rsidR="004478D2">
        <w:rPr>
          <w:rFonts w:cs="Times New Roman"/>
          <w:color w:val="000000"/>
          <w:szCs w:val="24"/>
          <w:lang w:val="en-ZW"/>
        </w:rPr>
        <w:t xml:space="preserve"> It is argued that in her statement to the police complainant indicated that the person who </w:t>
      </w:r>
      <w:r w:rsidR="0046108D">
        <w:rPr>
          <w:rFonts w:cs="Times New Roman"/>
          <w:color w:val="000000"/>
          <w:szCs w:val="24"/>
          <w:lang w:val="en-ZW"/>
        </w:rPr>
        <w:t xml:space="preserve">raped her had a tattoo </w:t>
      </w:r>
      <w:r w:rsidR="009D07F5">
        <w:rPr>
          <w:rFonts w:cs="Times New Roman"/>
          <w:color w:val="000000"/>
          <w:szCs w:val="24"/>
          <w:lang w:val="en-ZW"/>
        </w:rPr>
        <w:t xml:space="preserve">and a dreadlock, while applicant did not have any of those features. </w:t>
      </w:r>
      <w:r w:rsidR="000223D1">
        <w:rPr>
          <w:rFonts w:cs="Times New Roman"/>
          <w:color w:val="000000"/>
          <w:szCs w:val="24"/>
          <w:lang w:val="en-ZW"/>
        </w:rPr>
        <w:t xml:space="preserve">It is contended that this is a case of mistaken identity. </w:t>
      </w:r>
    </w:p>
    <w:p w:rsidR="009F5C74" w:rsidRPr="00177855" w:rsidRDefault="009F5C74" w:rsidP="001A53A6">
      <w:pPr>
        <w:jc w:val="both"/>
        <w:rPr>
          <w:color w:val="211F1F"/>
          <w:szCs w:val="24"/>
        </w:rPr>
      </w:pPr>
      <w:r>
        <w:rPr>
          <w:rFonts w:cs="Times New Roman"/>
          <w:color w:val="000000"/>
          <w:szCs w:val="24"/>
          <w:lang w:val="en-ZW"/>
        </w:rPr>
        <w:tab/>
      </w:r>
      <w:r w:rsidR="00EA1E86" w:rsidRPr="00177855">
        <w:rPr>
          <w:color w:val="211F1F"/>
          <w:szCs w:val="24"/>
        </w:rPr>
        <w:t>In its written response respondent opposed t</w:t>
      </w:r>
      <w:r w:rsidRPr="00177855">
        <w:rPr>
          <w:color w:val="211F1F"/>
          <w:szCs w:val="24"/>
        </w:rPr>
        <w:t>he release of t</w:t>
      </w:r>
      <w:r w:rsidR="00EA1E86" w:rsidRPr="00177855">
        <w:rPr>
          <w:color w:val="211F1F"/>
          <w:szCs w:val="24"/>
        </w:rPr>
        <w:t xml:space="preserve">he applicant on bail pending appeal. </w:t>
      </w:r>
      <w:r w:rsidR="00A165FC">
        <w:rPr>
          <w:color w:val="211F1F"/>
          <w:szCs w:val="24"/>
        </w:rPr>
        <w:t>It being</w:t>
      </w:r>
      <w:r w:rsidR="00294C86" w:rsidRPr="00177855">
        <w:rPr>
          <w:color w:val="211F1F"/>
          <w:szCs w:val="24"/>
        </w:rPr>
        <w:t xml:space="preserve"> argued that the prospects of success on appeal are non-existent and the reasoning of the trial court cannot be faulted and is sound at law. </w:t>
      </w:r>
      <w:r w:rsidR="00F72F23" w:rsidRPr="00177855">
        <w:rPr>
          <w:color w:val="211F1F"/>
          <w:szCs w:val="24"/>
        </w:rPr>
        <w:t xml:space="preserve">It is contended that the state proved its case beyond a reasonable doubt. Further it is argued that applicant </w:t>
      </w:r>
      <w:r w:rsidR="000B5D4E" w:rsidRPr="00177855">
        <w:rPr>
          <w:color w:val="211F1F"/>
          <w:szCs w:val="24"/>
        </w:rPr>
        <w:t xml:space="preserve">was sentenced to a ten year prison term and if released on bail this would be an inducement to abscond. </w:t>
      </w:r>
    </w:p>
    <w:p w:rsidR="0047546E" w:rsidRDefault="00D80FA4" w:rsidP="001A53A6">
      <w:pPr>
        <w:jc w:val="both"/>
        <w:rPr>
          <w:rFonts w:cs="Times New Roman"/>
          <w:szCs w:val="24"/>
          <w:lang w:val="en-ZW"/>
        </w:rPr>
      </w:pPr>
      <w:r w:rsidRPr="00177855">
        <w:rPr>
          <w:color w:val="211F1F"/>
          <w:szCs w:val="24"/>
        </w:rPr>
        <w:lastRenderedPageBreak/>
        <w:tab/>
      </w:r>
      <w:r w:rsidRPr="0047546E">
        <w:rPr>
          <w:color w:val="211F1F"/>
          <w:szCs w:val="24"/>
        </w:rPr>
        <w:t xml:space="preserve">Mr </w:t>
      </w:r>
      <w:r w:rsidRPr="0047546E">
        <w:rPr>
          <w:i/>
          <w:color w:val="211F1F"/>
          <w:szCs w:val="24"/>
        </w:rPr>
        <w:t>Nyathi</w:t>
      </w:r>
      <w:r w:rsidRPr="0047546E">
        <w:rPr>
          <w:color w:val="211F1F"/>
          <w:szCs w:val="24"/>
        </w:rPr>
        <w:t xml:space="preserve"> in his oral submissions in court</w:t>
      </w:r>
      <w:r w:rsidR="0047546E" w:rsidRPr="0047546E">
        <w:rPr>
          <w:color w:val="211F1F"/>
          <w:szCs w:val="24"/>
        </w:rPr>
        <w:t xml:space="preserve"> conceded that it is in</w:t>
      </w:r>
      <w:r w:rsidR="0047546E" w:rsidRPr="0047546E">
        <w:rPr>
          <w:rFonts w:cs="Times New Roman"/>
          <w:szCs w:val="24"/>
          <w:lang w:val="en-ZW"/>
        </w:rPr>
        <w:t xml:space="preserve"> the int</w:t>
      </w:r>
      <w:r w:rsidR="009C0F16">
        <w:rPr>
          <w:rFonts w:cs="Times New Roman"/>
          <w:szCs w:val="24"/>
          <w:lang w:val="en-ZW"/>
        </w:rPr>
        <w:t>erests of justice for applicant</w:t>
      </w:r>
      <w:r w:rsidR="0047546E" w:rsidRPr="0047546E">
        <w:rPr>
          <w:rFonts w:cs="Times New Roman"/>
          <w:szCs w:val="24"/>
          <w:lang w:val="en-ZW"/>
        </w:rPr>
        <w:t xml:space="preserve"> to be released on bail.</w:t>
      </w:r>
      <w:r w:rsidR="0047546E">
        <w:rPr>
          <w:rFonts w:cs="Times New Roman"/>
          <w:szCs w:val="24"/>
          <w:lang w:val="en-ZW"/>
        </w:rPr>
        <w:t xml:space="preserve"> Counsel argued </w:t>
      </w:r>
      <w:r w:rsidR="00D55DF8">
        <w:rPr>
          <w:rFonts w:cs="Times New Roman"/>
          <w:szCs w:val="24"/>
          <w:lang w:val="en-ZW"/>
        </w:rPr>
        <w:t xml:space="preserve">that it was not proved that applicant was the perpetrator of the crime of which he was convicted. Counsel anchored his argument on the issue of tattoos and </w:t>
      </w:r>
      <w:r w:rsidR="009A71B3">
        <w:rPr>
          <w:rFonts w:cs="Times New Roman"/>
          <w:szCs w:val="24"/>
          <w:lang w:val="en-ZW"/>
        </w:rPr>
        <w:t xml:space="preserve">dreadlocks and contended that this might be a case of a mistaken identity. </w:t>
      </w:r>
      <w:r w:rsidR="00C37FDF">
        <w:rPr>
          <w:rFonts w:cs="Times New Roman"/>
          <w:szCs w:val="24"/>
          <w:lang w:val="en-ZW"/>
        </w:rPr>
        <w:t xml:space="preserve">Mr </w:t>
      </w:r>
      <w:r w:rsidR="00C37FDF" w:rsidRPr="00C37FDF">
        <w:rPr>
          <w:rFonts w:cs="Times New Roman"/>
          <w:i/>
          <w:szCs w:val="24"/>
          <w:lang w:val="en-ZW"/>
        </w:rPr>
        <w:t>Nyathi</w:t>
      </w:r>
      <w:r w:rsidR="00C37FDF">
        <w:rPr>
          <w:rFonts w:cs="Times New Roman"/>
          <w:szCs w:val="24"/>
          <w:lang w:val="en-ZW"/>
        </w:rPr>
        <w:t xml:space="preserve"> is not the counsel w</w:t>
      </w:r>
      <w:r w:rsidR="003C1422">
        <w:rPr>
          <w:rFonts w:cs="Times New Roman"/>
          <w:szCs w:val="24"/>
          <w:lang w:val="en-ZW"/>
        </w:rPr>
        <w:t xml:space="preserve">ho drafted the written response referred to above. </w:t>
      </w:r>
      <w:r w:rsidR="00C37FDF">
        <w:rPr>
          <w:rFonts w:cs="Times New Roman"/>
          <w:szCs w:val="24"/>
          <w:lang w:val="en-ZW"/>
        </w:rPr>
        <w:t xml:space="preserve"> </w:t>
      </w:r>
    </w:p>
    <w:p w:rsidR="00EC67F6" w:rsidRPr="00EC67F6" w:rsidRDefault="00EC67F6" w:rsidP="00EC67F6">
      <w:pPr>
        <w:ind w:firstLine="720"/>
        <w:jc w:val="both"/>
        <w:rPr>
          <w:rFonts w:cs="Times New Roman"/>
          <w:szCs w:val="24"/>
          <w:lang w:val="en-ZW"/>
        </w:rPr>
      </w:pPr>
      <w:r w:rsidRPr="00EC67F6">
        <w:rPr>
          <w:szCs w:val="24"/>
        </w:rPr>
        <w:t>In considering whether it is in the interests of j</w:t>
      </w:r>
      <w:r w:rsidR="00E20C2C">
        <w:rPr>
          <w:szCs w:val="24"/>
        </w:rPr>
        <w:t>ustice to release the applicant</w:t>
      </w:r>
      <w:r w:rsidRPr="00EC67F6">
        <w:rPr>
          <w:szCs w:val="24"/>
        </w:rPr>
        <w:t xml:space="preserve"> on bail pending appeal, the court will be guided by the following principles: prospects of success on appeal; likelihood of abscondment in the light of the gravity of the offence and the sentence imposed; likely delay before the appeal is heard and the right of an individual to liberty. See: </w:t>
      </w:r>
      <w:r w:rsidRPr="00EC67F6">
        <w:rPr>
          <w:i/>
          <w:iCs/>
          <w:szCs w:val="24"/>
        </w:rPr>
        <w:t xml:space="preserve">S </w:t>
      </w:r>
      <w:r w:rsidRPr="00EC67F6">
        <w:rPr>
          <w:szCs w:val="24"/>
        </w:rPr>
        <w:t xml:space="preserve">v </w:t>
      </w:r>
      <w:proofErr w:type="spellStart"/>
      <w:r w:rsidRPr="00EC67F6">
        <w:rPr>
          <w:i/>
          <w:iCs/>
          <w:szCs w:val="24"/>
        </w:rPr>
        <w:t>Dzawo</w:t>
      </w:r>
      <w:proofErr w:type="spellEnd"/>
      <w:r w:rsidRPr="00EC67F6">
        <w:rPr>
          <w:i/>
          <w:iCs/>
          <w:szCs w:val="24"/>
        </w:rPr>
        <w:t xml:space="preserve"> </w:t>
      </w:r>
      <w:r w:rsidRPr="00EC67F6">
        <w:rPr>
          <w:szCs w:val="24"/>
        </w:rPr>
        <w:t xml:space="preserve">1998 (1) ZLR 536; </w:t>
      </w:r>
      <w:r w:rsidRPr="00EC67F6">
        <w:rPr>
          <w:i/>
          <w:iCs/>
          <w:szCs w:val="24"/>
        </w:rPr>
        <w:t xml:space="preserve">S </w:t>
      </w:r>
      <w:r w:rsidRPr="00EC67F6">
        <w:rPr>
          <w:szCs w:val="24"/>
        </w:rPr>
        <w:t xml:space="preserve">v </w:t>
      </w:r>
      <w:r w:rsidRPr="00EC67F6">
        <w:rPr>
          <w:i/>
          <w:iCs/>
          <w:szCs w:val="24"/>
        </w:rPr>
        <w:t xml:space="preserve">Bennet </w:t>
      </w:r>
      <w:r w:rsidRPr="00EC67F6">
        <w:rPr>
          <w:szCs w:val="24"/>
        </w:rPr>
        <w:t xml:space="preserve">1985 (2) ZLR 205 (HC); </w:t>
      </w:r>
      <w:r w:rsidRPr="00EC67F6">
        <w:rPr>
          <w:i/>
          <w:iCs/>
          <w:szCs w:val="24"/>
        </w:rPr>
        <w:t xml:space="preserve">S </w:t>
      </w:r>
      <w:r w:rsidRPr="00EC67F6">
        <w:rPr>
          <w:szCs w:val="24"/>
        </w:rPr>
        <w:t xml:space="preserve">v </w:t>
      </w:r>
      <w:r w:rsidRPr="00EC67F6">
        <w:rPr>
          <w:i/>
          <w:iCs/>
          <w:szCs w:val="24"/>
        </w:rPr>
        <w:t xml:space="preserve">Ncube &amp; Ors </w:t>
      </w:r>
      <w:r w:rsidRPr="00EC67F6">
        <w:rPr>
          <w:szCs w:val="24"/>
        </w:rPr>
        <w:t xml:space="preserve">HB 04-03. The court has to factor in all the relevant considerations, and determine whether individually and / or cumulatively they constitute circumstances which would qualify to admit a convicted and sentenced person to bail. It can be said that it would not be in the interests of justice to deny bail pending appeal to an individual who has demonstrated prospects of success on appeal. See: </w:t>
      </w:r>
      <w:r w:rsidRPr="00EC67F6">
        <w:rPr>
          <w:i/>
          <w:iCs/>
          <w:szCs w:val="24"/>
        </w:rPr>
        <w:t xml:space="preserve">S </w:t>
      </w:r>
      <w:r w:rsidRPr="00EC67F6">
        <w:rPr>
          <w:szCs w:val="24"/>
        </w:rPr>
        <w:t xml:space="preserve">v </w:t>
      </w:r>
      <w:r w:rsidRPr="00EC67F6">
        <w:rPr>
          <w:i/>
          <w:iCs/>
          <w:szCs w:val="24"/>
        </w:rPr>
        <w:t>Kilpin</w:t>
      </w:r>
      <w:r w:rsidRPr="00EC67F6">
        <w:rPr>
          <w:szCs w:val="24"/>
        </w:rPr>
        <w:t>1978 RLR 282. A person who is able to demonstrate on a balance of probabilities that his appeal enjoys prospects of success is unlikely to abscond and would rather present himself to clear his name. Such person’s right to liberty should be given effect to, this safeguards against the risk of having an otherwise innocent person languish in prison in respect of a case for which he might end up being cleared by the appeal court leading to an ‘empty victory.’</w:t>
      </w:r>
    </w:p>
    <w:p w:rsidR="00C43C4C" w:rsidRDefault="00AC6EE9" w:rsidP="00C43C4C">
      <w:pPr>
        <w:jc w:val="both"/>
        <w:rPr>
          <w:rFonts w:cs="Times New Roman"/>
          <w:color w:val="242121"/>
          <w:szCs w:val="24"/>
          <w:shd w:val="clear" w:color="auto" w:fill="FFFFFF"/>
        </w:rPr>
      </w:pPr>
      <w:r w:rsidRPr="00EC67F6">
        <w:rPr>
          <w:rFonts w:cs="Times New Roman"/>
          <w:color w:val="000000"/>
          <w:szCs w:val="24"/>
          <w:lang w:val="en-ZW"/>
        </w:rPr>
        <w:tab/>
      </w:r>
      <w:r w:rsidR="00156666" w:rsidRPr="00C76B50">
        <w:rPr>
          <w:color w:val="232020"/>
          <w:szCs w:val="24"/>
        </w:rPr>
        <w:t xml:space="preserve">I am mindful of the caution that a bail application is ‘not a dress rehearsal’ for the court ultimately hearing the appeal. </w:t>
      </w:r>
      <w:r w:rsidR="00156666" w:rsidRPr="00C76B50">
        <w:rPr>
          <w:szCs w:val="24"/>
        </w:rPr>
        <w:t xml:space="preserve">I am entitled though to take into account the </w:t>
      </w:r>
      <w:r w:rsidR="00DF1DDC">
        <w:rPr>
          <w:szCs w:val="24"/>
        </w:rPr>
        <w:t>prospects of success on</w:t>
      </w:r>
      <w:r w:rsidR="00C76B50" w:rsidRPr="00C76B50">
        <w:rPr>
          <w:szCs w:val="24"/>
        </w:rPr>
        <w:t xml:space="preserve"> appeal</w:t>
      </w:r>
      <w:r w:rsidR="00156666" w:rsidRPr="00C76B50">
        <w:rPr>
          <w:szCs w:val="24"/>
        </w:rPr>
        <w:t xml:space="preserve"> as far as that could be determined at this stage.</w:t>
      </w:r>
      <w:r w:rsidR="00450075">
        <w:rPr>
          <w:rFonts w:cs="Times New Roman"/>
          <w:color w:val="000000"/>
          <w:szCs w:val="24"/>
          <w:lang w:val="en-ZW"/>
        </w:rPr>
        <w:t xml:space="preserve"> </w:t>
      </w:r>
      <w:r w:rsidR="00DF1DDC">
        <w:rPr>
          <w:rFonts w:cs="Times New Roman"/>
          <w:color w:val="000000"/>
          <w:szCs w:val="24"/>
          <w:lang w:val="en-ZW"/>
        </w:rPr>
        <w:t xml:space="preserve">On the facts of this case </w:t>
      </w:r>
      <w:r w:rsidR="00DF1DDC">
        <w:rPr>
          <w:rFonts w:cs="Times New Roman"/>
          <w:color w:val="242121"/>
          <w:szCs w:val="24"/>
          <w:shd w:val="clear" w:color="auto" w:fill="FFFFFF"/>
        </w:rPr>
        <w:t>o</w:t>
      </w:r>
      <w:r w:rsidR="00612303" w:rsidRPr="000E7B7F">
        <w:rPr>
          <w:rFonts w:cs="Times New Roman"/>
          <w:color w:val="242121"/>
          <w:szCs w:val="24"/>
          <w:shd w:val="clear" w:color="auto" w:fill="FFFFFF"/>
        </w:rPr>
        <w:t>bviously the appeal court would be alive to the risk that an honest witness who is con</w:t>
      </w:r>
      <w:r w:rsidR="00612303">
        <w:rPr>
          <w:rFonts w:cs="Times New Roman"/>
          <w:color w:val="242121"/>
          <w:szCs w:val="24"/>
          <w:shd w:val="clear" w:color="auto" w:fill="FFFFFF"/>
        </w:rPr>
        <w:t>vinced of the correctness of her</w:t>
      </w:r>
      <w:r w:rsidR="00612303" w:rsidRPr="000E7B7F">
        <w:rPr>
          <w:rFonts w:cs="Times New Roman"/>
          <w:color w:val="242121"/>
          <w:szCs w:val="24"/>
          <w:shd w:val="clear" w:color="auto" w:fill="FFFFFF"/>
        </w:rPr>
        <w:t xml:space="preserve"> identification </w:t>
      </w:r>
      <w:r w:rsidR="00612303">
        <w:rPr>
          <w:rFonts w:cs="Times New Roman"/>
          <w:color w:val="242121"/>
          <w:szCs w:val="24"/>
          <w:shd w:val="clear" w:color="auto" w:fill="FFFFFF"/>
        </w:rPr>
        <w:t xml:space="preserve">might nevertheless be mistaken. See: </w:t>
      </w:r>
      <w:r w:rsidR="00612303" w:rsidRPr="009D577C">
        <w:rPr>
          <w:rFonts w:cs="Times New Roman"/>
          <w:i/>
          <w:color w:val="242121"/>
          <w:szCs w:val="24"/>
          <w:shd w:val="clear" w:color="auto" w:fill="FFFFFF"/>
        </w:rPr>
        <w:t xml:space="preserve">S v </w:t>
      </w:r>
      <w:proofErr w:type="spellStart"/>
      <w:r w:rsidR="00612303" w:rsidRPr="009D577C">
        <w:rPr>
          <w:rFonts w:cs="Times New Roman"/>
          <w:i/>
          <w:color w:val="242121"/>
          <w:szCs w:val="24"/>
          <w:shd w:val="clear" w:color="auto" w:fill="FFFFFF"/>
        </w:rPr>
        <w:t>Mthetwa</w:t>
      </w:r>
      <w:proofErr w:type="spellEnd"/>
      <w:r w:rsidR="00612303" w:rsidRPr="009D577C">
        <w:rPr>
          <w:rFonts w:cs="Times New Roman"/>
          <w:i/>
          <w:color w:val="242121"/>
          <w:szCs w:val="24"/>
          <w:shd w:val="clear" w:color="auto" w:fill="FFFFFF"/>
        </w:rPr>
        <w:t> </w:t>
      </w:r>
      <w:hyperlink r:id="rId6" w:tooltip="View LawCiteRecord" w:history="1">
        <w:r w:rsidR="00612303" w:rsidRPr="009D577C">
          <w:rPr>
            <w:rStyle w:val="Hyperlink"/>
            <w:rFonts w:cs="Times New Roman"/>
            <w:bCs/>
            <w:color w:val="auto"/>
            <w:szCs w:val="24"/>
            <w:u w:val="none"/>
            <w:shd w:val="clear" w:color="auto" w:fill="FFFFFF"/>
          </w:rPr>
          <w:t>1972 (3) SA 766</w:t>
        </w:r>
      </w:hyperlink>
      <w:r w:rsidR="00612303" w:rsidRPr="009D577C">
        <w:rPr>
          <w:rFonts w:cs="Times New Roman"/>
          <w:szCs w:val="24"/>
          <w:shd w:val="clear" w:color="auto" w:fill="FFFFFF"/>
        </w:rPr>
        <w:t> </w:t>
      </w:r>
      <w:r w:rsidR="00612303">
        <w:rPr>
          <w:rFonts w:cs="Times New Roman"/>
          <w:color w:val="242121"/>
          <w:szCs w:val="24"/>
          <w:shd w:val="clear" w:color="auto" w:fill="FFFFFF"/>
        </w:rPr>
        <w:t>(A) at 768A-C</w:t>
      </w:r>
      <w:r w:rsidR="00612303" w:rsidRPr="000E7B7F">
        <w:rPr>
          <w:rFonts w:cs="Times New Roman"/>
          <w:color w:val="242121"/>
          <w:szCs w:val="24"/>
          <w:shd w:val="clear" w:color="auto" w:fill="FFFFFF"/>
        </w:rPr>
        <w:t xml:space="preserve">. For the purposes of this application I take the view that the risk of honest error was reduced by the following facts and evidence: </w:t>
      </w:r>
      <w:r w:rsidR="00DF317C">
        <w:rPr>
          <w:rFonts w:cs="Times New Roman"/>
          <w:color w:val="242121"/>
          <w:szCs w:val="24"/>
          <w:shd w:val="clear" w:color="auto" w:fill="FFFFFF"/>
        </w:rPr>
        <w:t xml:space="preserve">there is no dispute that complainant was raped; </w:t>
      </w:r>
      <w:r w:rsidR="00612303" w:rsidRPr="000E7B7F">
        <w:rPr>
          <w:rFonts w:cs="Times New Roman"/>
          <w:color w:val="242121"/>
          <w:szCs w:val="24"/>
          <w:shd w:val="clear" w:color="auto" w:fill="FFFFFF"/>
        </w:rPr>
        <w:t xml:space="preserve">there is no dispute that </w:t>
      </w:r>
      <w:r w:rsidR="00612303">
        <w:rPr>
          <w:rFonts w:cs="Times New Roman"/>
          <w:color w:val="242121"/>
          <w:szCs w:val="24"/>
          <w:shd w:val="clear" w:color="auto" w:fill="FFFFFF"/>
        </w:rPr>
        <w:t xml:space="preserve">it is </w:t>
      </w:r>
      <w:r w:rsidR="00612303" w:rsidRPr="000E7B7F">
        <w:rPr>
          <w:rFonts w:cs="Times New Roman"/>
          <w:color w:val="242121"/>
          <w:szCs w:val="24"/>
          <w:shd w:val="clear" w:color="auto" w:fill="FFFFFF"/>
        </w:rPr>
        <w:t>applicant and his friend who assisted complainant and her mother with firewood, the complainant and her mother spent a considerable time</w:t>
      </w:r>
      <w:r w:rsidR="00793453">
        <w:rPr>
          <w:rFonts w:cs="Times New Roman"/>
          <w:color w:val="242121"/>
          <w:szCs w:val="24"/>
          <w:shd w:val="clear" w:color="auto" w:fill="FFFFFF"/>
        </w:rPr>
        <w:t xml:space="preserve"> with applicant and his friend;</w:t>
      </w:r>
      <w:r w:rsidR="00C43C4C">
        <w:rPr>
          <w:rFonts w:cs="Times New Roman"/>
          <w:color w:val="242121"/>
          <w:szCs w:val="24"/>
          <w:shd w:val="clear" w:color="auto" w:fill="FFFFFF"/>
        </w:rPr>
        <w:t xml:space="preserve"> complainant informed the police that she was able to identify her assailant and that such person was at a place where a foundation was being dug. She said the assailant was </w:t>
      </w:r>
      <w:r w:rsidR="00C43C4C">
        <w:rPr>
          <w:rFonts w:cs="Times New Roman"/>
          <w:color w:val="242121"/>
          <w:szCs w:val="24"/>
          <w:shd w:val="clear" w:color="auto" w:fill="FFFFFF"/>
        </w:rPr>
        <w:lastRenderedPageBreak/>
        <w:t>one of those persons who gave her and her mother fire wood. Complainant led the police the place where they were given fire wood, which place turned out to be applicant’s place of work. T</w:t>
      </w:r>
      <w:r w:rsidR="00C43C4C" w:rsidRPr="000E7B7F">
        <w:rPr>
          <w:rFonts w:cs="Times New Roman"/>
          <w:color w:val="242121"/>
          <w:szCs w:val="24"/>
          <w:shd w:val="clear" w:color="auto" w:fill="FFFFFF"/>
        </w:rPr>
        <w:t>he complainant point</w:t>
      </w:r>
      <w:r w:rsidR="00C43C4C">
        <w:rPr>
          <w:rFonts w:cs="Times New Roman"/>
          <w:color w:val="242121"/>
          <w:szCs w:val="24"/>
          <w:shd w:val="clear" w:color="auto" w:fill="FFFFFF"/>
        </w:rPr>
        <w:t xml:space="preserve">ed the applicant to the police </w:t>
      </w:r>
      <w:r w:rsidR="00C43C4C" w:rsidRPr="000E7B7F">
        <w:rPr>
          <w:rFonts w:cs="Times New Roman"/>
          <w:color w:val="242121"/>
          <w:szCs w:val="24"/>
          <w:shd w:val="clear" w:color="auto" w:fill="FFFFFF"/>
        </w:rPr>
        <w:t>and before anything was said</w:t>
      </w:r>
      <w:r w:rsidR="0013431B">
        <w:rPr>
          <w:rFonts w:cs="Times New Roman"/>
          <w:color w:val="242121"/>
          <w:szCs w:val="24"/>
          <w:shd w:val="clear" w:color="auto" w:fill="FFFFFF"/>
        </w:rPr>
        <w:t xml:space="preserve"> to him</w:t>
      </w:r>
      <w:r w:rsidR="00C43C4C" w:rsidRPr="000E7B7F">
        <w:rPr>
          <w:rFonts w:cs="Times New Roman"/>
          <w:color w:val="242121"/>
          <w:szCs w:val="24"/>
          <w:shd w:val="clear" w:color="auto" w:fill="FFFFFF"/>
        </w:rPr>
        <w:t xml:space="preserve"> </w:t>
      </w:r>
      <w:r w:rsidR="00C43C4C">
        <w:rPr>
          <w:rFonts w:cs="Times New Roman"/>
          <w:color w:val="242121"/>
          <w:szCs w:val="24"/>
          <w:shd w:val="clear" w:color="auto" w:fill="FFFFFF"/>
        </w:rPr>
        <w:t xml:space="preserve">he took to his heels. </w:t>
      </w:r>
      <w:r w:rsidR="00C43C4C" w:rsidRPr="000E7B7F">
        <w:rPr>
          <w:rFonts w:cs="Times New Roman"/>
          <w:color w:val="242121"/>
          <w:szCs w:val="24"/>
          <w:shd w:val="clear" w:color="auto" w:fill="FFFFFF"/>
        </w:rPr>
        <w:t xml:space="preserve">To me the complainant was in no doubt </w:t>
      </w:r>
      <w:r w:rsidR="00C43C4C">
        <w:rPr>
          <w:rFonts w:cs="Times New Roman"/>
          <w:color w:val="242121"/>
          <w:szCs w:val="24"/>
          <w:shd w:val="clear" w:color="auto" w:fill="FFFFFF"/>
        </w:rPr>
        <w:t xml:space="preserve">as to who had raped her. </w:t>
      </w:r>
    </w:p>
    <w:p w:rsidR="00517D36" w:rsidRPr="00A86E65" w:rsidRDefault="00D26774" w:rsidP="00517D36">
      <w:pPr>
        <w:jc w:val="both"/>
        <w:rPr>
          <w:rFonts w:cs="Times New Roman"/>
          <w:color w:val="242121"/>
          <w:szCs w:val="24"/>
          <w:shd w:val="clear" w:color="auto" w:fill="FFFFFF"/>
        </w:rPr>
      </w:pPr>
      <w:r>
        <w:rPr>
          <w:rFonts w:cs="Times New Roman"/>
          <w:color w:val="242121"/>
          <w:szCs w:val="24"/>
          <w:shd w:val="clear" w:color="auto" w:fill="FFFFFF"/>
        </w:rPr>
        <w:tab/>
      </w:r>
      <w:r w:rsidR="00CE352B" w:rsidRPr="00A86E65">
        <w:rPr>
          <w:rFonts w:cs="Times New Roman"/>
          <w:color w:val="242121"/>
          <w:szCs w:val="24"/>
          <w:shd w:val="clear" w:color="auto" w:fill="FFFFFF"/>
        </w:rPr>
        <w:t xml:space="preserve">Applicant’s case </w:t>
      </w:r>
      <w:r w:rsidR="00047278" w:rsidRPr="00A86E65">
        <w:rPr>
          <w:rFonts w:cs="Times New Roman"/>
          <w:color w:val="242121"/>
          <w:szCs w:val="24"/>
          <w:shd w:val="clear" w:color="auto" w:fill="FFFFFF"/>
        </w:rPr>
        <w:t xml:space="preserve">of mistaken identification </w:t>
      </w:r>
      <w:r w:rsidR="00CE352B" w:rsidRPr="00A86E65">
        <w:rPr>
          <w:rFonts w:cs="Times New Roman"/>
          <w:color w:val="242121"/>
          <w:szCs w:val="24"/>
          <w:shd w:val="clear" w:color="auto" w:fill="FFFFFF"/>
        </w:rPr>
        <w:t xml:space="preserve">turns on the issue of a tattoo and </w:t>
      </w:r>
      <w:r w:rsidR="00047278" w:rsidRPr="00A86E65">
        <w:rPr>
          <w:rFonts w:cs="Times New Roman"/>
          <w:color w:val="242121"/>
          <w:szCs w:val="24"/>
          <w:shd w:val="clear" w:color="auto" w:fill="FFFFFF"/>
        </w:rPr>
        <w:t xml:space="preserve">dreadlocks. </w:t>
      </w:r>
      <w:r w:rsidR="00390A82" w:rsidRPr="00A86E65">
        <w:rPr>
          <w:rFonts w:cs="Times New Roman"/>
          <w:color w:val="242121"/>
          <w:szCs w:val="24"/>
          <w:shd w:val="clear" w:color="auto" w:fill="FFFFFF"/>
        </w:rPr>
        <w:t xml:space="preserve">Under cross-examination complainant explained that the tattoo </w:t>
      </w:r>
      <w:r w:rsidR="0013431B">
        <w:rPr>
          <w:rFonts w:cs="Times New Roman"/>
          <w:color w:val="242121"/>
          <w:szCs w:val="24"/>
          <w:shd w:val="clear" w:color="auto" w:fill="FFFFFF"/>
        </w:rPr>
        <w:t xml:space="preserve">that she saw </w:t>
      </w:r>
      <w:r w:rsidR="002F6682">
        <w:rPr>
          <w:rFonts w:cs="Times New Roman"/>
          <w:color w:val="242121"/>
          <w:szCs w:val="24"/>
          <w:shd w:val="clear" w:color="auto" w:fill="FFFFFF"/>
        </w:rPr>
        <w:t xml:space="preserve">on the assailant </w:t>
      </w:r>
      <w:r w:rsidR="00BE39BA" w:rsidRPr="00A86E65">
        <w:rPr>
          <w:rFonts w:cs="Times New Roman"/>
          <w:color w:val="242121"/>
          <w:szCs w:val="24"/>
          <w:shd w:val="clear" w:color="auto" w:fill="FFFFFF"/>
        </w:rPr>
        <w:t>was draw</w:t>
      </w:r>
      <w:r w:rsidR="002F6682">
        <w:rPr>
          <w:rFonts w:cs="Times New Roman"/>
          <w:color w:val="242121"/>
          <w:szCs w:val="24"/>
          <w:shd w:val="clear" w:color="auto" w:fill="FFFFFF"/>
        </w:rPr>
        <w:t>n using a mighty marker</w:t>
      </w:r>
      <w:r w:rsidR="00BE39BA" w:rsidRPr="00A86E65">
        <w:rPr>
          <w:rFonts w:cs="Times New Roman"/>
          <w:color w:val="242121"/>
          <w:szCs w:val="24"/>
          <w:shd w:val="clear" w:color="auto" w:fill="FFFFFF"/>
        </w:rPr>
        <w:t xml:space="preserve"> and that it was not similar to other tattoos. </w:t>
      </w:r>
      <w:r w:rsidR="0013431B">
        <w:rPr>
          <w:rFonts w:cs="Times New Roman"/>
          <w:color w:val="242121"/>
          <w:szCs w:val="24"/>
          <w:shd w:val="clear" w:color="auto" w:fill="FFFFFF"/>
        </w:rPr>
        <w:t xml:space="preserve">Obviously such a tattoo is not </w:t>
      </w:r>
      <w:r w:rsidR="00C122DC">
        <w:rPr>
          <w:rFonts w:cs="Times New Roman"/>
          <w:color w:val="242121"/>
          <w:szCs w:val="24"/>
          <w:shd w:val="clear" w:color="auto" w:fill="FFFFFF"/>
        </w:rPr>
        <w:t xml:space="preserve">permanent. </w:t>
      </w:r>
      <w:r w:rsidR="00247D33" w:rsidRPr="00A86E65">
        <w:rPr>
          <w:rFonts w:cs="Times New Roman"/>
          <w:color w:val="242121"/>
          <w:szCs w:val="24"/>
          <w:shd w:val="clear" w:color="auto" w:fill="FFFFFF"/>
        </w:rPr>
        <w:t xml:space="preserve">In cross examination the issue of dreadlocks was not put to the complainant. </w:t>
      </w:r>
      <w:r w:rsidR="00A74B89" w:rsidRPr="00A86E65">
        <w:rPr>
          <w:rFonts w:cs="Times New Roman"/>
          <w:color w:val="242121"/>
          <w:szCs w:val="24"/>
          <w:shd w:val="clear" w:color="auto" w:fill="FFFFFF"/>
        </w:rPr>
        <w:t>For the purposes of this application</w:t>
      </w:r>
      <w:r w:rsidR="00C122DC">
        <w:rPr>
          <w:rFonts w:cs="Times New Roman"/>
          <w:color w:val="242121"/>
          <w:szCs w:val="24"/>
          <w:shd w:val="clear" w:color="auto" w:fill="FFFFFF"/>
        </w:rPr>
        <w:t>,</w:t>
      </w:r>
      <w:r w:rsidR="00A74B89" w:rsidRPr="00A86E65">
        <w:rPr>
          <w:rFonts w:cs="Times New Roman"/>
          <w:color w:val="242121"/>
          <w:szCs w:val="24"/>
          <w:shd w:val="clear" w:color="auto" w:fill="FFFFFF"/>
        </w:rPr>
        <w:t xml:space="preserve"> I take the view that this issue of tattoos and dreadlocks has just been taken out of context. </w:t>
      </w:r>
      <w:r w:rsidR="00D31DAE" w:rsidRPr="00452BA1">
        <w:rPr>
          <w:szCs w:val="24"/>
        </w:rPr>
        <w:t xml:space="preserve">It is for </w:t>
      </w:r>
      <w:r w:rsidR="00452BA1" w:rsidRPr="00452BA1">
        <w:rPr>
          <w:szCs w:val="24"/>
        </w:rPr>
        <w:t xml:space="preserve">this reason that </w:t>
      </w:r>
      <w:r w:rsidR="00D31DAE" w:rsidRPr="00452BA1">
        <w:rPr>
          <w:szCs w:val="24"/>
        </w:rPr>
        <w:t xml:space="preserve">I hold the view </w:t>
      </w:r>
      <w:r w:rsidR="00452BA1" w:rsidRPr="00452BA1">
        <w:rPr>
          <w:szCs w:val="24"/>
        </w:rPr>
        <w:t xml:space="preserve">that the concession by Mr </w:t>
      </w:r>
      <w:r w:rsidR="00452BA1" w:rsidRPr="002F6682">
        <w:rPr>
          <w:i/>
          <w:szCs w:val="24"/>
        </w:rPr>
        <w:t>Nyathi</w:t>
      </w:r>
      <w:r w:rsidR="00452BA1" w:rsidRPr="00452BA1">
        <w:rPr>
          <w:szCs w:val="24"/>
        </w:rPr>
        <w:t xml:space="preserve"> wa</w:t>
      </w:r>
      <w:r w:rsidR="00D31DAE" w:rsidRPr="00452BA1">
        <w:rPr>
          <w:szCs w:val="24"/>
        </w:rPr>
        <w:t>s not been properly taken.</w:t>
      </w:r>
      <w:r w:rsidR="00452BA1">
        <w:rPr>
          <w:rFonts w:cs="Times New Roman"/>
          <w:color w:val="242121"/>
          <w:szCs w:val="24"/>
          <w:shd w:val="clear" w:color="auto" w:fill="FFFFFF"/>
        </w:rPr>
        <w:t xml:space="preserve"> </w:t>
      </w:r>
      <w:r w:rsidR="00A86E65" w:rsidRPr="00A86E65">
        <w:rPr>
          <w:rFonts w:cs="Times New Roman"/>
          <w:color w:val="000000"/>
          <w:szCs w:val="24"/>
          <w:lang w:val="en-ZW"/>
        </w:rPr>
        <w:t>O</w:t>
      </w:r>
      <w:r w:rsidR="00517D36" w:rsidRPr="00A86E65">
        <w:rPr>
          <w:rFonts w:cs="Times New Roman"/>
          <w:color w:val="000000"/>
          <w:szCs w:val="24"/>
          <w:lang w:val="en-ZW"/>
        </w:rPr>
        <w:t>n the evi</w:t>
      </w:r>
      <w:r w:rsidR="00A86E65">
        <w:rPr>
          <w:rFonts w:cs="Times New Roman"/>
          <w:color w:val="000000"/>
          <w:szCs w:val="24"/>
          <w:lang w:val="en-ZW"/>
        </w:rPr>
        <w:t>dence on record, my thinking is</w:t>
      </w:r>
      <w:r w:rsidR="00517D36" w:rsidRPr="00A86E65">
        <w:rPr>
          <w:rFonts w:cs="Times New Roman"/>
          <w:color w:val="000000"/>
          <w:szCs w:val="24"/>
          <w:lang w:val="en-ZW"/>
        </w:rPr>
        <w:t xml:space="preserve"> that applicant has no prospects o</w:t>
      </w:r>
      <w:r w:rsidR="002F6682">
        <w:rPr>
          <w:rFonts w:cs="Times New Roman"/>
          <w:color w:val="000000"/>
          <w:szCs w:val="24"/>
          <w:lang w:val="en-ZW"/>
        </w:rPr>
        <w:t>f success on appeal against</w:t>
      </w:r>
      <w:r w:rsidR="00517D36" w:rsidRPr="00A86E65">
        <w:rPr>
          <w:rFonts w:cs="Times New Roman"/>
          <w:color w:val="000000"/>
          <w:szCs w:val="24"/>
          <w:lang w:val="en-ZW"/>
        </w:rPr>
        <w:t xml:space="preserve"> conviction. </w:t>
      </w:r>
    </w:p>
    <w:p w:rsidR="00997B0F" w:rsidRDefault="00B65984" w:rsidP="00B65984">
      <w:pPr>
        <w:ind w:firstLine="720"/>
        <w:jc w:val="both"/>
        <w:rPr>
          <w:rFonts w:cs="Times New Roman"/>
          <w:color w:val="242121"/>
          <w:szCs w:val="24"/>
          <w:shd w:val="clear" w:color="auto" w:fill="FFFFFF"/>
        </w:rPr>
      </w:pPr>
      <w:r w:rsidRPr="008844B9">
        <w:rPr>
          <w:szCs w:val="24"/>
        </w:rPr>
        <w:t>The prospects of success and the possibility of abscondment are interconnected. The less likely the prospects of success, the more the inducement there is on applicant to abscond. In the circumstances, there is a real likelihood that the applicant will be tempted to abscond and not await to serve the prison term at the conclusion of the appeal. The fact that he has been convicted and has already experienced incarceration, and is fully aware of the sentence imposed, affords abundant incentive for him to abscond. There is, therefore, a high probability that he will abscond if he is released on bail pending appeal. In light of this, the appellant fails the second test as he is a flight risk.</w:t>
      </w:r>
      <w:r w:rsidR="00997B0F" w:rsidRPr="008844B9">
        <w:rPr>
          <w:rFonts w:cs="Times New Roman"/>
          <w:color w:val="242121"/>
          <w:szCs w:val="24"/>
          <w:shd w:val="clear" w:color="auto" w:fill="FFFFFF"/>
        </w:rPr>
        <w:tab/>
      </w:r>
    </w:p>
    <w:p w:rsidR="00956687" w:rsidRPr="00956687" w:rsidRDefault="00956687" w:rsidP="00956687">
      <w:pPr>
        <w:ind w:firstLine="720"/>
        <w:jc w:val="both"/>
        <w:rPr>
          <w:rFonts w:cs="Times New Roman"/>
          <w:color w:val="242121"/>
          <w:szCs w:val="24"/>
          <w:shd w:val="clear" w:color="auto" w:fill="FFFFFF"/>
        </w:rPr>
      </w:pPr>
      <w:r w:rsidRPr="00956687">
        <w:rPr>
          <w:rFonts w:cs="Times New Roman"/>
          <w:szCs w:val="24"/>
        </w:rPr>
        <w:t xml:space="preserve">In consideration of the facts and submissions in support and against the granting of bail, viewed individually and holistically, I take the view that applicant did not discharge the </w:t>
      </w:r>
      <w:r w:rsidRPr="00956687">
        <w:rPr>
          <w:rFonts w:cs="Times New Roman"/>
          <w:i/>
          <w:iCs/>
          <w:szCs w:val="24"/>
        </w:rPr>
        <w:t>onus</w:t>
      </w:r>
      <w:r w:rsidRPr="00956687">
        <w:rPr>
          <w:rFonts w:cs="Times New Roman"/>
          <w:szCs w:val="24"/>
        </w:rPr>
        <w:t xml:space="preserve"> of showing that it would be in the interests of justice to release him on bail at this stage. In </w:t>
      </w:r>
      <w:r w:rsidRPr="00956687">
        <w:rPr>
          <w:rFonts w:cs="Times New Roman"/>
          <w:i/>
          <w:iCs/>
          <w:szCs w:val="24"/>
        </w:rPr>
        <w:t xml:space="preserve">State </w:t>
      </w:r>
      <w:r w:rsidRPr="00956687">
        <w:rPr>
          <w:rFonts w:cs="Times New Roman"/>
          <w:szCs w:val="24"/>
        </w:rPr>
        <w:t xml:space="preserve">v </w:t>
      </w:r>
      <w:proofErr w:type="spellStart"/>
      <w:r w:rsidRPr="00956687">
        <w:rPr>
          <w:rFonts w:cs="Times New Roman"/>
          <w:i/>
          <w:iCs/>
          <w:szCs w:val="24"/>
        </w:rPr>
        <w:t>Tengende</w:t>
      </w:r>
      <w:proofErr w:type="spellEnd"/>
      <w:r w:rsidRPr="00956687">
        <w:rPr>
          <w:rFonts w:cs="Times New Roman"/>
          <w:i/>
          <w:iCs/>
          <w:szCs w:val="24"/>
        </w:rPr>
        <w:t xml:space="preserve"> &amp; </w:t>
      </w:r>
      <w:proofErr w:type="spellStart"/>
      <w:r w:rsidRPr="00956687">
        <w:rPr>
          <w:rFonts w:cs="Times New Roman"/>
          <w:i/>
          <w:iCs/>
          <w:szCs w:val="24"/>
        </w:rPr>
        <w:t>Ors</w:t>
      </w:r>
      <w:proofErr w:type="spellEnd"/>
      <w:r w:rsidRPr="00956687">
        <w:rPr>
          <w:rFonts w:cs="Times New Roman"/>
          <w:i/>
          <w:iCs/>
          <w:szCs w:val="24"/>
        </w:rPr>
        <w:t xml:space="preserve"> </w:t>
      </w:r>
      <w:r w:rsidRPr="00956687">
        <w:rPr>
          <w:rFonts w:cs="Times New Roman"/>
          <w:szCs w:val="24"/>
        </w:rPr>
        <w:t>1987 ZLR 445, the court held that the proper approach in applications for bail pending appeal is that in the absence of positive grounds for granting bail it will be refused. Applicant has not proffered any positive gro</w:t>
      </w:r>
      <w:r w:rsidR="007863C4">
        <w:rPr>
          <w:rFonts w:cs="Times New Roman"/>
          <w:szCs w:val="24"/>
        </w:rPr>
        <w:t>unds for allowing him to be released</w:t>
      </w:r>
      <w:r w:rsidRPr="00956687">
        <w:rPr>
          <w:rFonts w:cs="Times New Roman"/>
          <w:szCs w:val="24"/>
        </w:rPr>
        <w:t xml:space="preserve"> on bail. In my view, the prospect of a prison term, coupled with his fresh experience of post-trial incarceration, affords abundant incentive for him to abscond. See: </w:t>
      </w:r>
      <w:r w:rsidRPr="00956687">
        <w:rPr>
          <w:rFonts w:cs="Times New Roman"/>
          <w:i/>
          <w:iCs/>
          <w:szCs w:val="24"/>
        </w:rPr>
        <w:t xml:space="preserve">S v </w:t>
      </w:r>
      <w:proofErr w:type="spellStart"/>
      <w:r w:rsidRPr="00956687">
        <w:rPr>
          <w:rFonts w:cs="Times New Roman"/>
          <w:i/>
          <w:iCs/>
          <w:szCs w:val="24"/>
        </w:rPr>
        <w:t>Gumbura</w:t>
      </w:r>
      <w:proofErr w:type="spellEnd"/>
      <w:r w:rsidRPr="00956687">
        <w:rPr>
          <w:rFonts w:cs="Times New Roman"/>
          <w:i/>
          <w:iCs/>
          <w:szCs w:val="24"/>
        </w:rPr>
        <w:t xml:space="preserve"> </w:t>
      </w:r>
      <w:r w:rsidRPr="00956687">
        <w:rPr>
          <w:rFonts w:cs="Times New Roman"/>
          <w:szCs w:val="24"/>
        </w:rPr>
        <w:t>SC 349/14.</w:t>
      </w:r>
      <w:r w:rsidR="00DA7CC3">
        <w:rPr>
          <w:rFonts w:cs="Times New Roman"/>
          <w:szCs w:val="24"/>
        </w:rPr>
        <w:t xml:space="preserve"> It is for these reasons that this application must fail. </w:t>
      </w:r>
    </w:p>
    <w:p w:rsidR="00956687" w:rsidRDefault="00911DB9" w:rsidP="00B65984">
      <w:pPr>
        <w:ind w:firstLine="720"/>
        <w:jc w:val="both"/>
        <w:rPr>
          <w:szCs w:val="24"/>
        </w:rPr>
      </w:pPr>
      <w:r w:rsidRPr="00A02083">
        <w:rPr>
          <w:szCs w:val="24"/>
        </w:rPr>
        <w:lastRenderedPageBreak/>
        <w:t>In the result, the application fo</w:t>
      </w:r>
      <w:r w:rsidR="00E01D84" w:rsidRPr="00A02083">
        <w:rPr>
          <w:szCs w:val="24"/>
        </w:rPr>
        <w:t>r bail pending appeal is dismisse</w:t>
      </w:r>
      <w:r w:rsidRPr="00A02083">
        <w:rPr>
          <w:szCs w:val="24"/>
        </w:rPr>
        <w:t xml:space="preserve">d </w:t>
      </w:r>
      <w:r w:rsidR="002427F4">
        <w:rPr>
          <w:szCs w:val="24"/>
        </w:rPr>
        <w:t xml:space="preserve">and </w:t>
      </w:r>
      <w:r w:rsidRPr="00A02083">
        <w:rPr>
          <w:szCs w:val="24"/>
        </w:rPr>
        <w:t>applicant shall remain in prison.</w:t>
      </w:r>
    </w:p>
    <w:p w:rsidR="00A02083" w:rsidRDefault="00A02083" w:rsidP="00A02083">
      <w:pPr>
        <w:autoSpaceDE w:val="0"/>
        <w:autoSpaceDN w:val="0"/>
        <w:adjustRightInd w:val="0"/>
        <w:spacing w:before="0" w:beforeAutospacing="0" w:after="0" w:afterAutospacing="0" w:line="240" w:lineRule="auto"/>
        <w:rPr>
          <w:rFonts w:cs="Times New Roman"/>
          <w:i/>
          <w:iCs/>
          <w:color w:val="000000"/>
          <w:sz w:val="23"/>
          <w:szCs w:val="23"/>
          <w:lang w:val="en-ZW"/>
        </w:rPr>
      </w:pPr>
    </w:p>
    <w:p w:rsidR="00A02083" w:rsidRPr="00516CFE" w:rsidRDefault="00A02083" w:rsidP="00A02083">
      <w:pPr>
        <w:autoSpaceDE w:val="0"/>
        <w:autoSpaceDN w:val="0"/>
        <w:adjustRightInd w:val="0"/>
        <w:spacing w:before="0" w:beforeAutospacing="0" w:after="0" w:afterAutospacing="0" w:line="240" w:lineRule="auto"/>
        <w:rPr>
          <w:rFonts w:cs="Times New Roman"/>
          <w:i/>
          <w:iCs/>
          <w:color w:val="000000"/>
          <w:sz w:val="23"/>
          <w:szCs w:val="23"/>
          <w:lang w:val="en-ZW"/>
        </w:rPr>
      </w:pPr>
    </w:p>
    <w:p w:rsidR="00A02083" w:rsidRPr="00516CFE" w:rsidRDefault="00A02083" w:rsidP="00A02083">
      <w:pPr>
        <w:autoSpaceDE w:val="0"/>
        <w:autoSpaceDN w:val="0"/>
        <w:adjustRightInd w:val="0"/>
        <w:spacing w:before="0" w:beforeAutospacing="0" w:after="0" w:afterAutospacing="0" w:line="240" w:lineRule="auto"/>
        <w:rPr>
          <w:rFonts w:cs="Times New Roman"/>
          <w:i/>
          <w:iCs/>
          <w:color w:val="000000"/>
          <w:sz w:val="23"/>
          <w:szCs w:val="23"/>
          <w:lang w:val="en-ZW"/>
        </w:rPr>
      </w:pPr>
    </w:p>
    <w:p w:rsidR="00A02083" w:rsidRPr="00A02083" w:rsidRDefault="00516CFE" w:rsidP="00A02083">
      <w:pPr>
        <w:autoSpaceDE w:val="0"/>
        <w:autoSpaceDN w:val="0"/>
        <w:adjustRightInd w:val="0"/>
        <w:spacing w:before="0" w:beforeAutospacing="0" w:after="0" w:afterAutospacing="0" w:line="240" w:lineRule="auto"/>
        <w:rPr>
          <w:rFonts w:cs="Times New Roman"/>
          <w:color w:val="000000"/>
          <w:szCs w:val="24"/>
          <w:lang w:val="en-ZW"/>
        </w:rPr>
      </w:pPr>
      <w:proofErr w:type="spellStart"/>
      <w:r w:rsidRPr="00516CFE">
        <w:rPr>
          <w:rFonts w:cs="Times New Roman"/>
          <w:i/>
          <w:color w:val="000000"/>
          <w:szCs w:val="24"/>
          <w:lang w:val="en-ZW"/>
        </w:rPr>
        <w:t>Makiya</w:t>
      </w:r>
      <w:proofErr w:type="spellEnd"/>
      <w:r w:rsidRPr="00516CFE">
        <w:rPr>
          <w:rFonts w:cs="Times New Roman"/>
          <w:i/>
          <w:color w:val="000000"/>
          <w:szCs w:val="24"/>
          <w:lang w:val="en-ZW"/>
        </w:rPr>
        <w:t xml:space="preserve"> &amp; Partners </w:t>
      </w:r>
      <w:r w:rsidR="00A02083" w:rsidRPr="00A02083">
        <w:rPr>
          <w:rFonts w:cs="Times New Roman"/>
          <w:color w:val="000000"/>
          <w:szCs w:val="24"/>
          <w:lang w:val="en-ZW"/>
        </w:rPr>
        <w:t xml:space="preserve">applicant’s legal practitioners </w:t>
      </w:r>
    </w:p>
    <w:p w:rsidR="00A02083" w:rsidRPr="00A02083" w:rsidRDefault="00A02083" w:rsidP="00A02083">
      <w:pPr>
        <w:spacing w:line="240" w:lineRule="auto"/>
        <w:jc w:val="both"/>
        <w:rPr>
          <w:rFonts w:cs="Times New Roman"/>
          <w:szCs w:val="24"/>
          <w:shd w:val="clear" w:color="auto" w:fill="FFFFFF"/>
        </w:rPr>
      </w:pPr>
      <w:r w:rsidRPr="00A02083">
        <w:rPr>
          <w:rFonts w:cs="Times New Roman"/>
          <w:i/>
          <w:iCs/>
          <w:color w:val="000000"/>
          <w:szCs w:val="24"/>
          <w:lang w:val="en-ZW"/>
        </w:rPr>
        <w:t>Prosecutor-General’s Office</w:t>
      </w:r>
      <w:r w:rsidR="00A502F0">
        <w:rPr>
          <w:rFonts w:cs="Times New Roman"/>
          <w:color w:val="000000"/>
          <w:szCs w:val="24"/>
          <w:lang w:val="en-ZW"/>
        </w:rPr>
        <w:t xml:space="preserve"> </w:t>
      </w:r>
      <w:r w:rsidRPr="00A02083">
        <w:rPr>
          <w:rFonts w:cs="Times New Roman"/>
          <w:color w:val="000000"/>
          <w:szCs w:val="24"/>
          <w:lang w:val="en-ZW"/>
        </w:rPr>
        <w:t>respondent’s legal practitioners</w:t>
      </w:r>
    </w:p>
    <w:p w:rsidR="00C43C4C" w:rsidRPr="00A02083" w:rsidRDefault="00C43C4C" w:rsidP="00C43C4C">
      <w:pPr>
        <w:jc w:val="both"/>
        <w:rPr>
          <w:rFonts w:cs="Times New Roman"/>
          <w:szCs w:val="24"/>
          <w:lang w:val="en-ZW"/>
        </w:rPr>
      </w:pPr>
      <w:r w:rsidRPr="00A02083">
        <w:rPr>
          <w:rFonts w:cs="Times New Roman"/>
          <w:szCs w:val="24"/>
          <w:shd w:val="clear" w:color="auto" w:fill="FFFFFF"/>
        </w:rPr>
        <w:t xml:space="preserve"> </w:t>
      </w:r>
    </w:p>
    <w:p w:rsidR="0049123F" w:rsidRDefault="0049123F" w:rsidP="009A4459"/>
    <w:sectPr w:rsidR="004912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CE" w:rsidRDefault="001009CE" w:rsidP="001009CE">
      <w:pPr>
        <w:spacing w:before="0" w:after="0" w:line="240" w:lineRule="auto"/>
      </w:pPr>
      <w:r>
        <w:separator/>
      </w:r>
    </w:p>
  </w:endnote>
  <w:endnote w:type="continuationSeparator" w:id="0">
    <w:p w:rsidR="001009CE" w:rsidRDefault="001009CE" w:rsidP="001009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CE" w:rsidRDefault="001009CE" w:rsidP="001009CE">
      <w:pPr>
        <w:spacing w:before="0" w:after="0" w:line="240" w:lineRule="auto"/>
      </w:pPr>
      <w:r>
        <w:separator/>
      </w:r>
    </w:p>
  </w:footnote>
  <w:footnote w:type="continuationSeparator" w:id="0">
    <w:p w:rsidR="001009CE" w:rsidRDefault="001009CE" w:rsidP="001009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17935"/>
      <w:docPartObj>
        <w:docPartGallery w:val="Page Numbers (Top of Page)"/>
        <w:docPartUnique/>
      </w:docPartObj>
    </w:sdtPr>
    <w:sdtEndPr>
      <w:rPr>
        <w:noProof/>
      </w:rPr>
    </w:sdtEndPr>
    <w:sdtContent>
      <w:p w:rsidR="001009CE" w:rsidRDefault="001009CE" w:rsidP="001009CE">
        <w:pPr>
          <w:pStyle w:val="NoSpacing"/>
          <w:ind w:left="7920" w:firstLine="720"/>
          <w:rPr>
            <w:noProof/>
          </w:rPr>
        </w:pPr>
        <w:r>
          <w:fldChar w:fldCharType="begin"/>
        </w:r>
        <w:r>
          <w:instrText xml:space="preserve"> PAGE   \* MERGEFORMAT </w:instrText>
        </w:r>
        <w:r>
          <w:fldChar w:fldCharType="separate"/>
        </w:r>
        <w:r w:rsidR="00D411B6">
          <w:rPr>
            <w:noProof/>
          </w:rPr>
          <w:t>4</w:t>
        </w:r>
        <w:r>
          <w:rPr>
            <w:noProof/>
          </w:rPr>
          <w:fldChar w:fldCharType="end"/>
        </w:r>
      </w:p>
      <w:p w:rsidR="001009CE" w:rsidRDefault="001009CE" w:rsidP="001009CE">
        <w:pPr>
          <w:pStyle w:val="NoSpacing"/>
          <w:ind w:left="7200" w:firstLine="720"/>
          <w:rPr>
            <w:noProof/>
          </w:rPr>
        </w:pPr>
        <w:r>
          <w:rPr>
            <w:noProof/>
          </w:rPr>
          <w:t>HB 1</w:t>
        </w:r>
        <w:r w:rsidR="00D411B6">
          <w:rPr>
            <w:noProof/>
          </w:rPr>
          <w:t>4</w:t>
        </w:r>
        <w:r>
          <w:rPr>
            <w:noProof/>
          </w:rPr>
          <w:t>/22</w:t>
        </w:r>
      </w:p>
      <w:p w:rsidR="001009CE" w:rsidRDefault="001009CE" w:rsidP="001009CE">
        <w:pPr>
          <w:pStyle w:val="NoSpacing"/>
          <w:ind w:left="7200"/>
        </w:pPr>
        <w:r>
          <w:rPr>
            <w:noProof/>
          </w:rPr>
          <w:t xml:space="preserve">        HCB 411/21</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2D"/>
    <w:rsid w:val="000223D1"/>
    <w:rsid w:val="00026637"/>
    <w:rsid w:val="00047278"/>
    <w:rsid w:val="000B26E3"/>
    <w:rsid w:val="000B5D4E"/>
    <w:rsid w:val="000E7B7F"/>
    <w:rsid w:val="001009CE"/>
    <w:rsid w:val="00106FB3"/>
    <w:rsid w:val="0013431B"/>
    <w:rsid w:val="00156666"/>
    <w:rsid w:val="00177855"/>
    <w:rsid w:val="001A53A6"/>
    <w:rsid w:val="001D2692"/>
    <w:rsid w:val="002427F4"/>
    <w:rsid w:val="00247D33"/>
    <w:rsid w:val="00294C86"/>
    <w:rsid w:val="002C4375"/>
    <w:rsid w:val="002F6682"/>
    <w:rsid w:val="0031615E"/>
    <w:rsid w:val="00370B0F"/>
    <w:rsid w:val="00390A82"/>
    <w:rsid w:val="003C1422"/>
    <w:rsid w:val="003C33CB"/>
    <w:rsid w:val="003C7E5B"/>
    <w:rsid w:val="00442BE3"/>
    <w:rsid w:val="004478D2"/>
    <w:rsid w:val="00450075"/>
    <w:rsid w:val="00452BA1"/>
    <w:rsid w:val="0046108D"/>
    <w:rsid w:val="0047546E"/>
    <w:rsid w:val="0049123F"/>
    <w:rsid w:val="00503D83"/>
    <w:rsid w:val="00506F32"/>
    <w:rsid w:val="00516CFE"/>
    <w:rsid w:val="00517D36"/>
    <w:rsid w:val="00531DA9"/>
    <w:rsid w:val="00550F23"/>
    <w:rsid w:val="005B764B"/>
    <w:rsid w:val="00612303"/>
    <w:rsid w:val="006501D4"/>
    <w:rsid w:val="00686E45"/>
    <w:rsid w:val="007308B1"/>
    <w:rsid w:val="007863C4"/>
    <w:rsid w:val="00793453"/>
    <w:rsid w:val="007B4308"/>
    <w:rsid w:val="007F3BF8"/>
    <w:rsid w:val="00846640"/>
    <w:rsid w:val="00861AB2"/>
    <w:rsid w:val="008844B9"/>
    <w:rsid w:val="008A35EE"/>
    <w:rsid w:val="00911DB9"/>
    <w:rsid w:val="00956687"/>
    <w:rsid w:val="00975D4C"/>
    <w:rsid w:val="009765EC"/>
    <w:rsid w:val="00997B0F"/>
    <w:rsid w:val="009A4459"/>
    <w:rsid w:val="009A71B3"/>
    <w:rsid w:val="009C0F16"/>
    <w:rsid w:val="009D07F5"/>
    <w:rsid w:val="009D28A8"/>
    <w:rsid w:val="009D577C"/>
    <w:rsid w:val="009F5C74"/>
    <w:rsid w:val="00A02083"/>
    <w:rsid w:val="00A10A2D"/>
    <w:rsid w:val="00A165FC"/>
    <w:rsid w:val="00A44797"/>
    <w:rsid w:val="00A502F0"/>
    <w:rsid w:val="00A74B89"/>
    <w:rsid w:val="00A86E65"/>
    <w:rsid w:val="00AB0299"/>
    <w:rsid w:val="00AC6EE9"/>
    <w:rsid w:val="00B21257"/>
    <w:rsid w:val="00B21A75"/>
    <w:rsid w:val="00B65984"/>
    <w:rsid w:val="00BA2E77"/>
    <w:rsid w:val="00BD4924"/>
    <w:rsid w:val="00BE39BA"/>
    <w:rsid w:val="00C122DC"/>
    <w:rsid w:val="00C37FDF"/>
    <w:rsid w:val="00C43C4C"/>
    <w:rsid w:val="00C74642"/>
    <w:rsid w:val="00C76B50"/>
    <w:rsid w:val="00C92C84"/>
    <w:rsid w:val="00C963C2"/>
    <w:rsid w:val="00CE352B"/>
    <w:rsid w:val="00CE653D"/>
    <w:rsid w:val="00D23E69"/>
    <w:rsid w:val="00D26774"/>
    <w:rsid w:val="00D31DAE"/>
    <w:rsid w:val="00D411B6"/>
    <w:rsid w:val="00D55DF8"/>
    <w:rsid w:val="00D80FA4"/>
    <w:rsid w:val="00D937BE"/>
    <w:rsid w:val="00DA7CC3"/>
    <w:rsid w:val="00DF1DDC"/>
    <w:rsid w:val="00DF317C"/>
    <w:rsid w:val="00E01D84"/>
    <w:rsid w:val="00E20C2C"/>
    <w:rsid w:val="00EA1E86"/>
    <w:rsid w:val="00EC67F6"/>
    <w:rsid w:val="00F172C5"/>
    <w:rsid w:val="00F2792B"/>
    <w:rsid w:val="00F72F23"/>
    <w:rsid w:val="00F82D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B9E358D-77AC-4781-B021-DB486B24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59"/>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459"/>
    <w:pPr>
      <w:keepLines/>
      <w:spacing w:before="100" w:beforeAutospacing="1" w:after="100" w:afterAutospacing="1" w:line="240" w:lineRule="auto"/>
      <w:contextualSpacing/>
    </w:pPr>
    <w:rPr>
      <w:rFonts w:ascii="Times New Roman" w:hAnsi="Times New Roman"/>
      <w:sz w:val="24"/>
      <w:lang w:val="en-US"/>
    </w:rPr>
  </w:style>
  <w:style w:type="character" w:styleId="Hyperlink">
    <w:name w:val="Hyperlink"/>
    <w:basedOn w:val="DefaultParagraphFont"/>
    <w:uiPriority w:val="99"/>
    <w:semiHidden/>
    <w:unhideWhenUsed/>
    <w:rsid w:val="00861AB2"/>
    <w:rPr>
      <w:color w:val="0000FF"/>
      <w:u w:val="single"/>
    </w:rPr>
  </w:style>
  <w:style w:type="paragraph" w:customStyle="1" w:styleId="Default">
    <w:name w:val="Default"/>
    <w:rsid w:val="006501D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23E6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E69"/>
    <w:rPr>
      <w:rFonts w:ascii="Segoe UI" w:hAnsi="Segoe UI" w:cs="Segoe UI"/>
      <w:sz w:val="18"/>
      <w:szCs w:val="18"/>
      <w:lang w:val="en-US"/>
    </w:rPr>
  </w:style>
  <w:style w:type="paragraph" w:styleId="Header">
    <w:name w:val="header"/>
    <w:basedOn w:val="Normal"/>
    <w:link w:val="HeaderChar"/>
    <w:uiPriority w:val="99"/>
    <w:unhideWhenUsed/>
    <w:rsid w:val="001009C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009CE"/>
    <w:rPr>
      <w:rFonts w:ascii="Times New Roman" w:hAnsi="Times New Roman"/>
      <w:sz w:val="24"/>
      <w:lang w:val="en-US"/>
    </w:rPr>
  </w:style>
  <w:style w:type="paragraph" w:styleId="Footer">
    <w:name w:val="footer"/>
    <w:basedOn w:val="Normal"/>
    <w:link w:val="FooterChar"/>
    <w:uiPriority w:val="99"/>
    <w:unhideWhenUsed/>
    <w:rsid w:val="001009C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009CE"/>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lii.org/cgi-bin/LawCite?cit=1972%20%283%29%20SA%2076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30</cp:revision>
  <cp:lastPrinted>2022-01-12T11:41:00Z</cp:lastPrinted>
  <dcterms:created xsi:type="dcterms:W3CDTF">2022-01-07T17:04:00Z</dcterms:created>
  <dcterms:modified xsi:type="dcterms:W3CDTF">2022-01-12T11:43:00Z</dcterms:modified>
</cp:coreProperties>
</file>