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2AE" w:rsidRPr="00074DCF" w:rsidRDefault="004F4713" w:rsidP="000F58BD">
      <w:pPr>
        <w:pStyle w:val="NoSpacing"/>
        <w:jc w:val="both"/>
        <w:rPr>
          <w:b/>
          <w:szCs w:val="24"/>
        </w:rPr>
      </w:pPr>
      <w:r w:rsidRPr="00074DCF">
        <w:rPr>
          <w:b/>
          <w:szCs w:val="24"/>
        </w:rPr>
        <w:t>MQHELE NDLOVU</w:t>
      </w:r>
    </w:p>
    <w:p w:rsidR="004F4713" w:rsidRPr="00074DCF" w:rsidRDefault="004F4713" w:rsidP="000F58BD">
      <w:pPr>
        <w:pStyle w:val="NoSpacing"/>
        <w:jc w:val="both"/>
        <w:rPr>
          <w:b/>
          <w:szCs w:val="24"/>
        </w:rPr>
      </w:pPr>
    </w:p>
    <w:p w:rsidR="004F4713" w:rsidRPr="00074DCF" w:rsidRDefault="004F4713" w:rsidP="000F58BD">
      <w:pPr>
        <w:pStyle w:val="NoSpacing"/>
        <w:jc w:val="both"/>
        <w:rPr>
          <w:b/>
          <w:szCs w:val="24"/>
        </w:rPr>
      </w:pPr>
      <w:r w:rsidRPr="00074DCF">
        <w:rPr>
          <w:b/>
          <w:szCs w:val="24"/>
        </w:rPr>
        <w:t>Versus</w:t>
      </w:r>
    </w:p>
    <w:p w:rsidR="004F4713" w:rsidRPr="00074DCF" w:rsidRDefault="004F4713" w:rsidP="000F58BD">
      <w:pPr>
        <w:pStyle w:val="NoSpacing"/>
        <w:jc w:val="both"/>
        <w:rPr>
          <w:b/>
          <w:szCs w:val="24"/>
        </w:rPr>
      </w:pPr>
    </w:p>
    <w:p w:rsidR="004F4713" w:rsidRPr="00074DCF" w:rsidRDefault="004F4713" w:rsidP="000F58BD">
      <w:pPr>
        <w:pStyle w:val="NoSpacing"/>
        <w:jc w:val="both"/>
        <w:rPr>
          <w:b/>
          <w:szCs w:val="24"/>
        </w:rPr>
      </w:pPr>
      <w:r w:rsidRPr="00074DCF">
        <w:rPr>
          <w:b/>
          <w:szCs w:val="24"/>
        </w:rPr>
        <w:t>MAGADALENI SIBANDA</w:t>
      </w:r>
    </w:p>
    <w:p w:rsidR="004F4713" w:rsidRPr="00074DCF" w:rsidRDefault="004F4713" w:rsidP="000F58BD">
      <w:pPr>
        <w:pStyle w:val="NoSpacing"/>
        <w:jc w:val="both"/>
        <w:rPr>
          <w:b/>
          <w:szCs w:val="24"/>
        </w:rPr>
      </w:pPr>
    </w:p>
    <w:p w:rsidR="004F4713" w:rsidRPr="00074DCF" w:rsidRDefault="004F4713" w:rsidP="000F58BD">
      <w:pPr>
        <w:pStyle w:val="NoSpacing"/>
        <w:jc w:val="both"/>
        <w:rPr>
          <w:b/>
          <w:szCs w:val="24"/>
        </w:rPr>
      </w:pPr>
      <w:r w:rsidRPr="00074DCF">
        <w:rPr>
          <w:b/>
          <w:szCs w:val="24"/>
        </w:rPr>
        <w:t>And</w:t>
      </w:r>
    </w:p>
    <w:p w:rsidR="004F4713" w:rsidRPr="00074DCF" w:rsidRDefault="004F4713" w:rsidP="000F58BD">
      <w:pPr>
        <w:pStyle w:val="NoSpacing"/>
        <w:jc w:val="both"/>
        <w:rPr>
          <w:b/>
          <w:szCs w:val="24"/>
        </w:rPr>
      </w:pPr>
    </w:p>
    <w:p w:rsidR="004F4713" w:rsidRPr="00074DCF" w:rsidRDefault="000F58BD" w:rsidP="000F58BD">
      <w:pPr>
        <w:pStyle w:val="NoSpacing"/>
        <w:jc w:val="both"/>
        <w:rPr>
          <w:b/>
          <w:szCs w:val="24"/>
        </w:rPr>
      </w:pPr>
      <w:r w:rsidRPr="00074DCF">
        <w:rPr>
          <w:b/>
          <w:szCs w:val="24"/>
        </w:rPr>
        <w:t>REGISTRAR OF DEEDS, BULAWAYO</w:t>
      </w:r>
      <w:r w:rsidR="004F4713" w:rsidRPr="00074DCF">
        <w:rPr>
          <w:b/>
          <w:szCs w:val="24"/>
        </w:rPr>
        <w:t>, NO</w:t>
      </w:r>
    </w:p>
    <w:p w:rsidR="000F58BD" w:rsidRPr="00074DCF" w:rsidRDefault="000F58BD" w:rsidP="000F58BD">
      <w:pPr>
        <w:pStyle w:val="NoSpacing"/>
        <w:jc w:val="both"/>
        <w:rPr>
          <w:szCs w:val="24"/>
        </w:rPr>
      </w:pPr>
    </w:p>
    <w:p w:rsidR="00D872AE" w:rsidRPr="00074DCF" w:rsidRDefault="00D872AE" w:rsidP="000F58BD">
      <w:pPr>
        <w:pStyle w:val="NoSpacing"/>
        <w:jc w:val="both"/>
        <w:rPr>
          <w:szCs w:val="24"/>
        </w:rPr>
      </w:pPr>
      <w:r w:rsidRPr="00074DCF">
        <w:rPr>
          <w:szCs w:val="24"/>
        </w:rPr>
        <w:t>THE HIGH COURT OF ZIMBABWE</w:t>
      </w:r>
    </w:p>
    <w:p w:rsidR="00D872AE" w:rsidRPr="00074DCF" w:rsidRDefault="00D872AE" w:rsidP="000F58BD">
      <w:pPr>
        <w:pStyle w:val="NoSpacing"/>
        <w:jc w:val="both"/>
        <w:rPr>
          <w:szCs w:val="24"/>
        </w:rPr>
      </w:pPr>
      <w:r w:rsidRPr="00074DCF">
        <w:rPr>
          <w:szCs w:val="24"/>
        </w:rPr>
        <w:t>BERE J</w:t>
      </w:r>
    </w:p>
    <w:p w:rsidR="00D872AE" w:rsidRPr="00074DCF" w:rsidRDefault="00D872AE" w:rsidP="000F58BD">
      <w:pPr>
        <w:pStyle w:val="NoSpacing"/>
        <w:jc w:val="both"/>
        <w:rPr>
          <w:szCs w:val="24"/>
        </w:rPr>
      </w:pPr>
      <w:r w:rsidRPr="00074DCF">
        <w:rPr>
          <w:szCs w:val="24"/>
        </w:rPr>
        <w:t>BULAWAYO:  22 MARCH 2016 AND 25 JULY 2019</w:t>
      </w:r>
    </w:p>
    <w:p w:rsidR="00D872AE" w:rsidRPr="00074DCF" w:rsidRDefault="00D872AE" w:rsidP="000F58BD">
      <w:pPr>
        <w:pStyle w:val="NoSpacing"/>
        <w:jc w:val="both"/>
        <w:rPr>
          <w:szCs w:val="24"/>
        </w:rPr>
      </w:pPr>
      <w:bookmarkStart w:id="0" w:name="_GoBack"/>
      <w:bookmarkEnd w:id="0"/>
    </w:p>
    <w:p w:rsidR="004F4713" w:rsidRPr="00074DCF" w:rsidRDefault="004F4713" w:rsidP="000F58BD">
      <w:pPr>
        <w:pStyle w:val="NoSpacing"/>
        <w:jc w:val="both"/>
        <w:rPr>
          <w:b/>
          <w:szCs w:val="24"/>
        </w:rPr>
      </w:pPr>
      <w:r w:rsidRPr="00074DCF">
        <w:rPr>
          <w:b/>
          <w:szCs w:val="24"/>
        </w:rPr>
        <w:t>Opposed Application</w:t>
      </w:r>
    </w:p>
    <w:p w:rsidR="00D872AE" w:rsidRPr="00074DCF" w:rsidRDefault="00D872AE" w:rsidP="000F58BD">
      <w:pPr>
        <w:pStyle w:val="NoSpacing"/>
        <w:jc w:val="both"/>
        <w:rPr>
          <w:szCs w:val="24"/>
        </w:rPr>
      </w:pPr>
    </w:p>
    <w:p w:rsidR="00D872AE" w:rsidRPr="00074DCF" w:rsidRDefault="00D872AE" w:rsidP="000F58BD">
      <w:pPr>
        <w:pStyle w:val="NoSpacing"/>
        <w:jc w:val="both"/>
        <w:rPr>
          <w:szCs w:val="24"/>
        </w:rPr>
      </w:pPr>
      <w:r w:rsidRPr="00074DCF">
        <w:rPr>
          <w:i/>
          <w:szCs w:val="24"/>
        </w:rPr>
        <w:t>Z C Ncube,</w:t>
      </w:r>
      <w:r w:rsidRPr="00074DCF">
        <w:rPr>
          <w:szCs w:val="24"/>
        </w:rPr>
        <w:t xml:space="preserve"> for the Applicant</w:t>
      </w:r>
    </w:p>
    <w:p w:rsidR="00D872AE" w:rsidRPr="00074DCF" w:rsidRDefault="00D872AE" w:rsidP="000F58BD">
      <w:pPr>
        <w:pStyle w:val="NoSpacing"/>
        <w:jc w:val="both"/>
        <w:rPr>
          <w:szCs w:val="24"/>
        </w:rPr>
      </w:pPr>
      <w:r w:rsidRPr="00074DCF">
        <w:rPr>
          <w:i/>
          <w:szCs w:val="24"/>
        </w:rPr>
        <w:t>K Sibanda</w:t>
      </w:r>
      <w:r w:rsidRPr="00074DCF">
        <w:rPr>
          <w:szCs w:val="24"/>
        </w:rPr>
        <w:t>, for the respondent</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b/>
          <w:sz w:val="24"/>
          <w:szCs w:val="24"/>
        </w:rPr>
        <w:t xml:space="preserve">BERE J:     </w:t>
      </w:r>
      <w:r w:rsidR="000F58BD" w:rsidRPr="00074DCF">
        <w:rPr>
          <w:rFonts w:ascii="Times New Roman" w:hAnsi="Times New Roman" w:cs="Times New Roman"/>
          <w:sz w:val="24"/>
          <w:szCs w:val="24"/>
        </w:rPr>
        <w:t>O</w:t>
      </w:r>
      <w:r w:rsidRPr="00074DCF">
        <w:rPr>
          <w:rFonts w:ascii="Times New Roman" w:hAnsi="Times New Roman" w:cs="Times New Roman"/>
          <w:sz w:val="24"/>
          <w:szCs w:val="24"/>
        </w:rPr>
        <w:t xml:space="preserve">n 22 March 2016, and after reading the documents filed of record and hearing arguments from </w:t>
      </w:r>
      <w:r w:rsidRPr="00074DCF">
        <w:rPr>
          <w:rFonts w:ascii="Times New Roman" w:hAnsi="Times New Roman" w:cs="Times New Roman"/>
          <w:i/>
          <w:sz w:val="24"/>
          <w:szCs w:val="24"/>
        </w:rPr>
        <w:t>Mr Z C Ncube</w:t>
      </w:r>
      <w:r w:rsidRPr="00074DCF">
        <w:rPr>
          <w:rFonts w:ascii="Times New Roman" w:hAnsi="Times New Roman" w:cs="Times New Roman"/>
          <w:sz w:val="24"/>
          <w:szCs w:val="24"/>
        </w:rPr>
        <w:t xml:space="preserve"> (for the applicant) and </w:t>
      </w:r>
      <w:r w:rsidRPr="00074DCF">
        <w:rPr>
          <w:rFonts w:ascii="Times New Roman" w:hAnsi="Times New Roman" w:cs="Times New Roman"/>
          <w:i/>
          <w:sz w:val="24"/>
          <w:szCs w:val="24"/>
        </w:rPr>
        <w:t>Mr K Siband</w:t>
      </w:r>
      <w:r w:rsidR="000F58BD" w:rsidRPr="00074DCF">
        <w:rPr>
          <w:rFonts w:ascii="Times New Roman" w:hAnsi="Times New Roman" w:cs="Times New Roman"/>
          <w:i/>
          <w:sz w:val="24"/>
          <w:szCs w:val="24"/>
        </w:rPr>
        <w:t>a</w:t>
      </w:r>
      <w:r w:rsidRPr="00074DCF">
        <w:rPr>
          <w:rFonts w:ascii="Times New Roman" w:hAnsi="Times New Roman" w:cs="Times New Roman"/>
          <w:sz w:val="24"/>
          <w:szCs w:val="24"/>
        </w:rPr>
        <w:t xml:space="preserve"> (for the first respondent), I made the following determination:</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“IT IS ORDERED THAT:</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t xml:space="preserve"> The validity of the agreement of sale entered into between the Applicant and 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 xml:space="preserve"> </w:t>
      </w:r>
      <w:r w:rsidR="004F4713" w:rsidRPr="00074DCF">
        <w:rPr>
          <w:rFonts w:ascii="Times New Roman" w:hAnsi="Times New Roman" w:cs="Times New Roman"/>
          <w:sz w:val="24"/>
          <w:szCs w:val="24"/>
        </w:rPr>
        <w:t>r</w:t>
      </w:r>
      <w:r w:rsidRPr="00074DCF">
        <w:rPr>
          <w:rFonts w:ascii="Times New Roman" w:hAnsi="Times New Roman" w:cs="Times New Roman"/>
          <w:sz w:val="24"/>
          <w:szCs w:val="24"/>
        </w:rPr>
        <w:t>espondent on 18 December 2014 be and is hereby confirmed.</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t>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 xml:space="preserve"> Respondent and all those claiming occupation  through her, be and are ordered to vacate the premises  known as Stand Number 4051 Nketa 7, Bulawayo within   five (5) days of granting of this order.</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t>Failing 2, above, the Sheriff of the High Court of Zimbabwe, or his lawful agents be and are hereby</w:t>
      </w:r>
      <w:r w:rsidR="004F4713" w:rsidRPr="00074DCF">
        <w:rPr>
          <w:rFonts w:ascii="Times New Roman" w:hAnsi="Times New Roman" w:cs="Times New Roman"/>
          <w:sz w:val="24"/>
          <w:szCs w:val="24"/>
        </w:rPr>
        <w:t xml:space="preserve"> </w:t>
      </w:r>
      <w:r w:rsidRPr="00074DCF">
        <w:rPr>
          <w:rFonts w:ascii="Times New Roman" w:hAnsi="Times New Roman" w:cs="Times New Roman"/>
          <w:sz w:val="24"/>
          <w:szCs w:val="24"/>
        </w:rPr>
        <w:t>authorized and directed to evict 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 xml:space="preserve"> Respondent and  all those claiming through her occupation from the  aforesaid Stand Number 4051 Nketa Township of Lot 400A  Umgan</w:t>
      </w:r>
      <w:r w:rsidR="000F58BD" w:rsidRPr="00074DCF">
        <w:rPr>
          <w:rFonts w:ascii="Times New Roman" w:hAnsi="Times New Roman" w:cs="Times New Roman"/>
          <w:sz w:val="24"/>
          <w:szCs w:val="24"/>
        </w:rPr>
        <w:t>w</w:t>
      </w:r>
      <w:r w:rsidRPr="00074DCF">
        <w:rPr>
          <w:rFonts w:ascii="Times New Roman" w:hAnsi="Times New Roman" w:cs="Times New Roman"/>
          <w:sz w:val="24"/>
          <w:szCs w:val="24"/>
        </w:rPr>
        <w:t>in</w:t>
      </w:r>
      <w:r w:rsidR="000F58BD" w:rsidRPr="00074DCF">
        <w:rPr>
          <w:rFonts w:ascii="Times New Roman" w:hAnsi="Times New Roman" w:cs="Times New Roman"/>
          <w:sz w:val="24"/>
          <w:szCs w:val="24"/>
        </w:rPr>
        <w:t>i</w:t>
      </w:r>
      <w:r w:rsidRPr="00074DCF">
        <w:rPr>
          <w:rFonts w:ascii="Times New Roman" w:hAnsi="Times New Roman" w:cs="Times New Roman"/>
          <w:sz w:val="24"/>
          <w:szCs w:val="24"/>
        </w:rPr>
        <w:t xml:space="preserve"> also known as Number 4051 Nketa7, Bulawayo.</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t xml:space="preserve"> 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 xml:space="preserve"> Respondent be and is hereby ordered to</w:t>
      </w:r>
      <w:r w:rsidR="000F58BD" w:rsidRPr="00074DCF">
        <w:rPr>
          <w:rFonts w:ascii="Times New Roman" w:hAnsi="Times New Roman" w:cs="Times New Roman"/>
          <w:sz w:val="24"/>
          <w:szCs w:val="24"/>
        </w:rPr>
        <w:t xml:space="preserve"> </w:t>
      </w:r>
      <w:r w:rsidRPr="00074DCF">
        <w:rPr>
          <w:rFonts w:ascii="Times New Roman" w:hAnsi="Times New Roman" w:cs="Times New Roman"/>
          <w:sz w:val="24"/>
          <w:szCs w:val="24"/>
        </w:rPr>
        <w:t>facilitate transfer of Stand Number 4051 Nketa 7, Bulawayo into the names of the Applicant by signing all necessary documents to effect transfer and furnishing the Applicant’s conveyancers with the original title deed held under deed of transfer number 2385/2007, a copy of the rates clearance certificate and a copy of the capital gains tax certificate, within five (5) days of being called upon to do so by the Applicant’s conveyancers failing which, the Sheriff of the High Court of Zimbabwe or his lawful deputy shall be authorized to act on his behalf.</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lastRenderedPageBreak/>
        <w:t>In the event that the Applicant is obliged to pay any sums of money towards the procurement of the rates clearance certificate for the capital gains tax</w:t>
      </w:r>
      <w:r w:rsidR="004F4713" w:rsidRPr="00074DCF">
        <w:rPr>
          <w:rFonts w:ascii="Times New Roman" w:hAnsi="Times New Roman" w:cs="Times New Roman"/>
          <w:sz w:val="24"/>
          <w:szCs w:val="24"/>
        </w:rPr>
        <w:t xml:space="preserve"> </w:t>
      </w:r>
      <w:r w:rsidRPr="00074DCF">
        <w:rPr>
          <w:rFonts w:ascii="Times New Roman" w:hAnsi="Times New Roman" w:cs="Times New Roman"/>
          <w:sz w:val="24"/>
          <w:szCs w:val="24"/>
        </w:rPr>
        <w:t>certificate, then the Applicant shall be entitled to recover such payment from 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 xml:space="preserve"> </w:t>
      </w:r>
      <w:r w:rsidR="004F4713" w:rsidRPr="00074DCF">
        <w:rPr>
          <w:rFonts w:ascii="Times New Roman" w:hAnsi="Times New Roman" w:cs="Times New Roman"/>
          <w:sz w:val="24"/>
          <w:szCs w:val="24"/>
        </w:rPr>
        <w:t>r</w:t>
      </w:r>
      <w:r w:rsidRPr="00074DCF">
        <w:rPr>
          <w:rFonts w:ascii="Times New Roman" w:hAnsi="Times New Roman" w:cs="Times New Roman"/>
          <w:sz w:val="24"/>
          <w:szCs w:val="24"/>
        </w:rPr>
        <w:t>espondent by producing to the Registrar of this Honourable Court proof of such payment in which event the Registrar shall be authorized to issue a writ of execution in such amount.</w:t>
      </w:r>
    </w:p>
    <w:p w:rsidR="00D872AE" w:rsidRPr="00074DCF" w:rsidRDefault="00D872AE" w:rsidP="000F58BD">
      <w:pPr>
        <w:pStyle w:val="ListParagraph"/>
        <w:numPr>
          <w:ilvl w:val="0"/>
          <w:numId w:val="1"/>
        </w:numPr>
        <w:spacing w:line="240" w:lineRule="auto"/>
        <w:jc w:val="both"/>
        <w:rPr>
          <w:rFonts w:ascii="Times New Roman" w:hAnsi="Times New Roman" w:cs="Times New Roman"/>
          <w:sz w:val="24"/>
          <w:szCs w:val="24"/>
        </w:rPr>
      </w:pPr>
      <w:r w:rsidRPr="00074DCF">
        <w:rPr>
          <w:rFonts w:ascii="Times New Roman" w:hAnsi="Times New Roman" w:cs="Times New Roman"/>
          <w:sz w:val="24"/>
          <w:szCs w:val="24"/>
        </w:rPr>
        <w:t>The 1</w:t>
      </w:r>
      <w:r w:rsidRPr="00074DCF">
        <w:rPr>
          <w:rFonts w:ascii="Times New Roman" w:hAnsi="Times New Roman" w:cs="Times New Roman"/>
          <w:sz w:val="24"/>
          <w:szCs w:val="24"/>
          <w:vertAlign w:val="superscript"/>
        </w:rPr>
        <w:t>st</w:t>
      </w:r>
      <w:r w:rsidRPr="00074DCF">
        <w:rPr>
          <w:rFonts w:ascii="Times New Roman" w:hAnsi="Times New Roman" w:cs="Times New Roman"/>
          <w:sz w:val="24"/>
          <w:szCs w:val="24"/>
        </w:rPr>
        <w:t>respondent be and is hereby ordered to pay</w:t>
      </w:r>
      <w:r w:rsidR="004F4713" w:rsidRPr="00074DCF">
        <w:rPr>
          <w:rFonts w:ascii="Times New Roman" w:hAnsi="Times New Roman" w:cs="Times New Roman"/>
          <w:sz w:val="24"/>
          <w:szCs w:val="24"/>
        </w:rPr>
        <w:t xml:space="preserve"> </w:t>
      </w:r>
      <w:r w:rsidRPr="00074DCF">
        <w:rPr>
          <w:rFonts w:ascii="Times New Roman" w:hAnsi="Times New Roman" w:cs="Times New Roman"/>
          <w:sz w:val="24"/>
          <w:szCs w:val="24"/>
        </w:rPr>
        <w:t>the costs of suit on an attorney and client scale.”</w:t>
      </w:r>
    </w:p>
    <w:p w:rsidR="00D872AE" w:rsidRPr="00074DCF" w:rsidRDefault="00D872AE" w:rsidP="000F58BD">
      <w:pPr>
        <w:spacing w:line="240" w:lineRule="auto"/>
        <w:ind w:firstLine="1440"/>
        <w:jc w:val="both"/>
        <w:rPr>
          <w:rFonts w:ascii="Times New Roman" w:hAnsi="Times New Roman" w:cs="Times New Roman"/>
          <w:sz w:val="24"/>
          <w:szCs w:val="24"/>
        </w:rPr>
      </w:pP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Subsequent to the granting of the order the now applicant filed a chamber application seeking condonation to appeal against the judgment.  This prompted a request for the reasons for judgment.  Here are they.</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 xml:space="preserve">On 14 May 2015 the applicant filed an application in this court seeking an order which the court granted on 22 March </w:t>
      </w:r>
      <w:r w:rsidR="000F58BD" w:rsidRPr="00074DCF">
        <w:rPr>
          <w:rFonts w:ascii="Times New Roman" w:hAnsi="Times New Roman" w:cs="Times New Roman"/>
          <w:sz w:val="24"/>
          <w:szCs w:val="24"/>
        </w:rPr>
        <w:t xml:space="preserve">2016 </w:t>
      </w:r>
      <w:r w:rsidRPr="00074DCF">
        <w:rPr>
          <w:rFonts w:ascii="Times New Roman" w:hAnsi="Times New Roman" w:cs="Times New Roman"/>
          <w:sz w:val="24"/>
          <w:szCs w:val="24"/>
        </w:rPr>
        <w:t>as laid out above.</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 xml:space="preserve">The basis of the application was that on 17 December 2014 the respondent gave her erswhile legal practitioner, Mr Mlamuli Ncube, a Special Power of Attorney to sell her property, </w:t>
      </w:r>
      <w:r w:rsidRPr="00074DCF">
        <w:rPr>
          <w:rFonts w:ascii="Times New Roman" w:hAnsi="Times New Roman" w:cs="Times New Roman"/>
          <w:i/>
          <w:sz w:val="24"/>
          <w:szCs w:val="24"/>
        </w:rPr>
        <w:t>viz</w:t>
      </w:r>
      <w:r w:rsidRPr="00074DCF">
        <w:rPr>
          <w:rFonts w:ascii="Times New Roman" w:hAnsi="Times New Roman" w:cs="Times New Roman"/>
          <w:sz w:val="24"/>
          <w:szCs w:val="24"/>
        </w:rPr>
        <w:t xml:space="preserve">, house number 4051 Nketa 7, Bulawayo.  </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On 18 December 2014, the applicant concluded a purchase agreement of the house in question with the seller’s duly appointed agent who acknowledged receipt of the agreed sale price of the house.</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 xml:space="preserve">When the first respondent failed to give vacant possession of the property, the applicant then sought to enforce the agreement of sale. </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 xml:space="preserve">In response to the application filed by the applicant, the respondent argued that despite having given her agent the Special Power of Attorney to dispose of her property, she had </w:t>
      </w:r>
      <w:r w:rsidRPr="00074DCF">
        <w:rPr>
          <w:rFonts w:ascii="Times New Roman" w:hAnsi="Times New Roman" w:cs="Times New Roman"/>
          <w:sz w:val="24"/>
          <w:szCs w:val="24"/>
        </w:rPr>
        <w:lastRenderedPageBreak/>
        <w:t xml:space="preserve">revoked that power at the time of the sale.  In other words, the first respondent argued that her agent had no authority to sell her property to the applicant. </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The first respondent also argued that her case and that of the applicant had material disputes of fact which could not be resolved by way of application procedure but by trial.</w:t>
      </w:r>
    </w:p>
    <w:p w:rsidR="00D872AE" w:rsidRPr="00074DCF" w:rsidRDefault="00D872AE" w:rsidP="000F58BD">
      <w:pPr>
        <w:spacing w:line="480" w:lineRule="auto"/>
        <w:jc w:val="both"/>
        <w:rPr>
          <w:rFonts w:ascii="Times New Roman" w:hAnsi="Times New Roman" w:cs="Times New Roman"/>
          <w:sz w:val="24"/>
          <w:szCs w:val="24"/>
          <w:u w:val="single"/>
        </w:rPr>
      </w:pPr>
      <w:r w:rsidRPr="00074DCF">
        <w:rPr>
          <w:rFonts w:ascii="Times New Roman" w:hAnsi="Times New Roman" w:cs="Times New Roman"/>
          <w:sz w:val="24"/>
          <w:szCs w:val="24"/>
          <w:u w:val="single"/>
        </w:rPr>
        <w:t>The issues</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From the simple dispute between the parties I decipher the following to be the issues for determination, in this case.</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The first issue is whether or not the agent was authorized to dispose of the property and consequently the validity of the sale agreement.  The second issue is whether or not the application procedure was appropriate in this case.</w:t>
      </w:r>
    </w:p>
    <w:p w:rsidR="00D872AE" w:rsidRPr="00074DCF" w:rsidRDefault="00D872AE" w:rsidP="000F58BD">
      <w:pPr>
        <w:spacing w:line="480" w:lineRule="auto"/>
        <w:contextualSpacing/>
        <w:jc w:val="both"/>
        <w:rPr>
          <w:rFonts w:ascii="Times New Roman" w:hAnsi="Times New Roman" w:cs="Times New Roman"/>
          <w:sz w:val="24"/>
          <w:szCs w:val="24"/>
          <w:u w:val="single"/>
        </w:rPr>
      </w:pPr>
      <w:r w:rsidRPr="00074DCF">
        <w:rPr>
          <w:rFonts w:ascii="Times New Roman" w:hAnsi="Times New Roman" w:cs="Times New Roman"/>
          <w:sz w:val="24"/>
          <w:szCs w:val="24"/>
          <w:u w:val="single"/>
        </w:rPr>
        <w:t>The Legal Position</w:t>
      </w:r>
    </w:p>
    <w:p w:rsidR="00D872AE" w:rsidRPr="00074DCF" w:rsidRDefault="00D872AE" w:rsidP="000F58BD">
      <w:pPr>
        <w:spacing w:before="240" w:line="480" w:lineRule="auto"/>
        <w:ind w:firstLine="720"/>
        <w:contextualSpacing/>
        <w:jc w:val="both"/>
        <w:rPr>
          <w:rFonts w:ascii="Times New Roman" w:hAnsi="Times New Roman" w:cs="Times New Roman"/>
          <w:sz w:val="24"/>
          <w:szCs w:val="24"/>
        </w:rPr>
      </w:pPr>
      <w:r w:rsidRPr="00074DCF">
        <w:rPr>
          <w:rFonts w:ascii="Times New Roman" w:hAnsi="Times New Roman" w:cs="Times New Roman"/>
          <w:sz w:val="24"/>
          <w:szCs w:val="24"/>
        </w:rPr>
        <w:t xml:space="preserve">Coming to the fore in this application is the relationship between an agent and principal and how this relationship impacts on innocent third parties.  There is a plethora of authorities that have elucidated on the relationship between an agent and their principal.  In the case of MRC for </w:t>
      </w:r>
      <w:r w:rsidRPr="00074DCF">
        <w:rPr>
          <w:rFonts w:ascii="Times New Roman" w:hAnsi="Times New Roman" w:cs="Times New Roman"/>
          <w:i/>
          <w:sz w:val="24"/>
          <w:szCs w:val="24"/>
        </w:rPr>
        <w:t>Econ</w:t>
      </w:r>
      <w:r w:rsidR="000F58BD" w:rsidRPr="00074DCF">
        <w:rPr>
          <w:rFonts w:ascii="Times New Roman" w:hAnsi="Times New Roman" w:cs="Times New Roman"/>
          <w:i/>
          <w:sz w:val="24"/>
          <w:szCs w:val="24"/>
        </w:rPr>
        <w:t>o</w:t>
      </w:r>
      <w:r w:rsidRPr="00074DCF">
        <w:rPr>
          <w:rFonts w:ascii="Times New Roman" w:hAnsi="Times New Roman" w:cs="Times New Roman"/>
          <w:i/>
          <w:sz w:val="24"/>
          <w:szCs w:val="24"/>
        </w:rPr>
        <w:t>mic Affairs, Environment and Tourism Eastern Cape v Kruizenga</w:t>
      </w:r>
      <w:r w:rsidRPr="00074DCF">
        <w:rPr>
          <w:rStyle w:val="FootnoteReference"/>
          <w:rFonts w:ascii="Times New Roman" w:hAnsi="Times New Roman" w:cs="Times New Roman"/>
          <w:sz w:val="24"/>
          <w:szCs w:val="24"/>
        </w:rPr>
        <w:footnoteReference w:id="2"/>
      </w:r>
      <w:r w:rsidRPr="00074DCF">
        <w:rPr>
          <w:rFonts w:ascii="Times New Roman" w:hAnsi="Times New Roman" w:cs="Times New Roman"/>
          <w:sz w:val="24"/>
          <w:szCs w:val="24"/>
        </w:rPr>
        <w:t xml:space="preserve"> referred to me by applicant’s counsel, the court captured the relationship between an agent and a principal as follows:</w:t>
      </w:r>
    </w:p>
    <w:p w:rsidR="00D872AE" w:rsidRPr="00074DCF" w:rsidRDefault="00D872AE" w:rsidP="000F58BD">
      <w:pPr>
        <w:spacing w:before="240" w:line="240" w:lineRule="auto"/>
        <w:ind w:left="720"/>
        <w:contextualSpacing/>
        <w:jc w:val="both"/>
        <w:rPr>
          <w:rFonts w:ascii="Times New Roman" w:hAnsi="Times New Roman" w:cs="Times New Roman"/>
          <w:sz w:val="24"/>
          <w:szCs w:val="24"/>
        </w:rPr>
      </w:pPr>
      <w:r w:rsidRPr="00074DCF">
        <w:rPr>
          <w:rFonts w:ascii="Times New Roman" w:hAnsi="Times New Roman" w:cs="Times New Roman"/>
          <w:sz w:val="24"/>
          <w:szCs w:val="24"/>
        </w:rPr>
        <w:t xml:space="preserve">“As it is the representative and not the principal who concludes the juristic act, the question whether the parties were in agreement has to be determined with reference to the intention of the representative.  The principal’s intention is not relevant to the question whether consensus necessary to produce a contract existed or did not exist, knowledge required [acquired] by the representative is imputed to the principal and a contract </w:t>
      </w:r>
      <w:r w:rsidRPr="00074DCF">
        <w:rPr>
          <w:rFonts w:ascii="Times New Roman" w:hAnsi="Times New Roman" w:cs="Times New Roman"/>
          <w:sz w:val="24"/>
          <w:szCs w:val="24"/>
        </w:rPr>
        <w:lastRenderedPageBreak/>
        <w:t xml:space="preserve">concluded by the representative on terms not intended by the principal does not affect the issue of consensus.” </w:t>
      </w:r>
    </w:p>
    <w:p w:rsidR="00D872AE" w:rsidRPr="00074DCF" w:rsidRDefault="00D872AE" w:rsidP="000F58BD">
      <w:pPr>
        <w:spacing w:before="240" w:line="240" w:lineRule="auto"/>
        <w:ind w:left="1440"/>
        <w:contextualSpacing/>
        <w:jc w:val="both"/>
        <w:rPr>
          <w:rFonts w:ascii="Times New Roman" w:hAnsi="Times New Roman" w:cs="Times New Roman"/>
          <w:sz w:val="24"/>
          <w:szCs w:val="24"/>
        </w:rPr>
      </w:pPr>
    </w:p>
    <w:p w:rsidR="00D872AE" w:rsidRDefault="00D872AE" w:rsidP="00074DCF">
      <w:pPr>
        <w:spacing w:before="240" w:line="240" w:lineRule="auto"/>
        <w:ind w:left="720"/>
        <w:contextualSpacing/>
        <w:jc w:val="both"/>
        <w:rPr>
          <w:rFonts w:ascii="Times New Roman" w:hAnsi="Times New Roman" w:cs="Times New Roman"/>
          <w:i/>
          <w:sz w:val="24"/>
          <w:szCs w:val="24"/>
        </w:rPr>
      </w:pPr>
      <w:r w:rsidRPr="00074DCF">
        <w:rPr>
          <w:rFonts w:ascii="Times New Roman" w:hAnsi="Times New Roman" w:cs="Times New Roman"/>
          <w:sz w:val="24"/>
          <w:szCs w:val="24"/>
        </w:rPr>
        <w:t xml:space="preserve">See also </w:t>
      </w:r>
      <w:r w:rsidRPr="00074DCF">
        <w:rPr>
          <w:rFonts w:ascii="Times New Roman" w:hAnsi="Times New Roman" w:cs="Times New Roman"/>
          <w:i/>
          <w:sz w:val="24"/>
          <w:szCs w:val="24"/>
        </w:rPr>
        <w:t>Glofinco v Absa Bank Limited (t/a United Bank)</w:t>
      </w:r>
      <w:r w:rsidRPr="00074DCF">
        <w:rPr>
          <w:rStyle w:val="FootnoteReference"/>
          <w:rFonts w:ascii="Times New Roman" w:hAnsi="Times New Roman" w:cs="Times New Roman"/>
          <w:sz w:val="24"/>
          <w:szCs w:val="24"/>
        </w:rPr>
        <w:footnoteReference w:id="3"/>
      </w:r>
    </w:p>
    <w:p w:rsidR="00074DCF" w:rsidRPr="00074DCF" w:rsidRDefault="00074DCF" w:rsidP="000F58BD">
      <w:pPr>
        <w:spacing w:before="240" w:line="240" w:lineRule="auto"/>
        <w:contextualSpacing/>
        <w:jc w:val="both"/>
        <w:rPr>
          <w:rFonts w:ascii="Times New Roman" w:hAnsi="Times New Roman" w:cs="Times New Roman"/>
          <w:sz w:val="24"/>
          <w:szCs w:val="24"/>
        </w:rPr>
      </w:pP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 xml:space="preserve">In the case of </w:t>
      </w:r>
      <w:r w:rsidRPr="00074DCF">
        <w:rPr>
          <w:rFonts w:ascii="Times New Roman" w:hAnsi="Times New Roman" w:cs="Times New Roman"/>
          <w:i/>
          <w:sz w:val="24"/>
          <w:szCs w:val="24"/>
        </w:rPr>
        <w:t>Freeman `&amp; Lockyer</w:t>
      </w:r>
      <w:r w:rsidRPr="00074DCF">
        <w:rPr>
          <w:rFonts w:ascii="Times New Roman" w:hAnsi="Times New Roman" w:cs="Times New Roman"/>
          <w:sz w:val="24"/>
          <w:szCs w:val="24"/>
        </w:rPr>
        <w:t xml:space="preserve"> vs </w:t>
      </w:r>
      <w:r w:rsidRPr="00074DCF">
        <w:rPr>
          <w:rFonts w:ascii="Times New Roman" w:hAnsi="Times New Roman" w:cs="Times New Roman"/>
          <w:i/>
          <w:sz w:val="24"/>
          <w:szCs w:val="24"/>
        </w:rPr>
        <w:t>Buckhurst Park Properties (Mangal) Limited and Anor</w:t>
      </w:r>
      <w:r w:rsidRPr="00074DCF">
        <w:rPr>
          <w:rStyle w:val="FootnoteReference"/>
          <w:rFonts w:ascii="Times New Roman" w:hAnsi="Times New Roman" w:cs="Times New Roman"/>
          <w:sz w:val="24"/>
          <w:szCs w:val="24"/>
        </w:rPr>
        <w:footnoteReference w:id="4"/>
      </w:r>
      <w:r w:rsidRPr="00074DCF">
        <w:rPr>
          <w:rFonts w:ascii="Times New Roman" w:hAnsi="Times New Roman" w:cs="Times New Roman"/>
          <w:sz w:val="24"/>
          <w:szCs w:val="24"/>
        </w:rPr>
        <w:t xml:space="preserve"> which is one of the leading cases on agency in England, D</w:t>
      </w:r>
      <w:r w:rsidRPr="00074DCF">
        <w:rPr>
          <w:rFonts w:ascii="Times New Roman" w:hAnsi="Times New Roman" w:cs="Times New Roman"/>
          <w:sz w:val="20"/>
          <w:szCs w:val="20"/>
        </w:rPr>
        <w:t>IPLOCK</w:t>
      </w:r>
      <w:r w:rsidRPr="00074DCF">
        <w:rPr>
          <w:rFonts w:ascii="Times New Roman" w:hAnsi="Times New Roman" w:cs="Times New Roman"/>
          <w:sz w:val="24"/>
          <w:szCs w:val="24"/>
        </w:rPr>
        <w:t xml:space="preserve"> LJ expressed the legal position in the following terms:</w:t>
      </w:r>
    </w:p>
    <w:p w:rsidR="00D872AE" w:rsidRPr="00074DCF" w:rsidRDefault="00D872AE" w:rsidP="000F58BD">
      <w:pPr>
        <w:spacing w:line="240" w:lineRule="auto"/>
        <w:ind w:left="720"/>
        <w:contextualSpacing/>
        <w:jc w:val="both"/>
        <w:rPr>
          <w:rFonts w:ascii="Times New Roman" w:hAnsi="Times New Roman" w:cs="Times New Roman"/>
          <w:sz w:val="24"/>
          <w:szCs w:val="24"/>
        </w:rPr>
      </w:pPr>
      <w:r w:rsidRPr="00074DCF">
        <w:rPr>
          <w:rFonts w:ascii="Times New Roman" w:hAnsi="Times New Roman" w:cs="Times New Roman"/>
          <w:sz w:val="24"/>
          <w:szCs w:val="24"/>
        </w:rPr>
        <w:t>“The</w:t>
      </w:r>
      <w:r w:rsidR="000F58BD" w:rsidRPr="00074DCF">
        <w:rPr>
          <w:rFonts w:ascii="Times New Roman" w:hAnsi="Times New Roman" w:cs="Times New Roman"/>
          <w:sz w:val="24"/>
          <w:szCs w:val="24"/>
        </w:rPr>
        <w:t xml:space="preserve"> </w:t>
      </w:r>
      <w:r w:rsidRPr="00074DCF">
        <w:rPr>
          <w:rFonts w:ascii="Times New Roman" w:hAnsi="Times New Roman" w:cs="Times New Roman"/>
          <w:sz w:val="24"/>
          <w:szCs w:val="24"/>
        </w:rPr>
        <w:t>representation which creates ‘apparent’</w:t>
      </w:r>
      <w:r w:rsidR="000F58BD" w:rsidRPr="00074DCF">
        <w:rPr>
          <w:rFonts w:ascii="Times New Roman" w:hAnsi="Times New Roman" w:cs="Times New Roman"/>
          <w:sz w:val="24"/>
          <w:szCs w:val="24"/>
        </w:rPr>
        <w:t xml:space="preserve"> </w:t>
      </w:r>
      <w:r w:rsidRPr="00074DCF">
        <w:rPr>
          <w:rFonts w:ascii="Times New Roman" w:hAnsi="Times New Roman" w:cs="Times New Roman"/>
          <w:sz w:val="24"/>
          <w:szCs w:val="24"/>
        </w:rPr>
        <w:t>authority may take a variety of forms of which the commonest is representation by conduct, that is, by permitting the agent to act in some way in the conduct of the principal’s business with other persons.  By so doing the principal represents to anyone who becomes aware that the agent is so acting, that the agent has authority to enter on behalf of the principal into contracts with other persons of the kind which an agent so acting in the conduct of his principal’s business has usually ‘actual’ authority to enter into.”</w:t>
      </w:r>
    </w:p>
    <w:p w:rsidR="00D872AE" w:rsidRPr="00074DCF" w:rsidRDefault="00D872AE" w:rsidP="000F58BD">
      <w:pPr>
        <w:spacing w:line="480" w:lineRule="auto"/>
        <w:ind w:firstLine="1350"/>
        <w:jc w:val="both"/>
        <w:rPr>
          <w:rFonts w:ascii="Times New Roman" w:hAnsi="Times New Roman" w:cs="Times New Roman"/>
          <w:sz w:val="24"/>
          <w:szCs w:val="24"/>
        </w:rPr>
      </w:pP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 xml:space="preserve">Similar sentiments are expressed in the Zimbabwean case of </w:t>
      </w:r>
      <w:r w:rsidRPr="00074DCF">
        <w:rPr>
          <w:rFonts w:ascii="Times New Roman" w:hAnsi="Times New Roman" w:cs="Times New Roman"/>
          <w:i/>
          <w:sz w:val="24"/>
          <w:szCs w:val="24"/>
        </w:rPr>
        <w:t>Seniors Service (Pvt) Ltd vs Nyoni</w:t>
      </w:r>
      <w:r w:rsidRPr="00074DCF">
        <w:rPr>
          <w:rStyle w:val="FootnoteReference"/>
          <w:rFonts w:ascii="Times New Roman" w:hAnsi="Times New Roman" w:cs="Times New Roman"/>
          <w:sz w:val="24"/>
          <w:szCs w:val="24"/>
        </w:rPr>
        <w:footnoteReference w:id="5"/>
      </w:r>
    </w:p>
    <w:p w:rsidR="00D872AE" w:rsidRPr="00074DCF" w:rsidRDefault="00D872AE" w:rsidP="000F58BD">
      <w:pPr>
        <w:spacing w:line="480" w:lineRule="auto"/>
        <w:ind w:firstLine="630"/>
        <w:jc w:val="both"/>
        <w:rPr>
          <w:rFonts w:ascii="Times New Roman" w:hAnsi="Times New Roman" w:cs="Times New Roman"/>
          <w:i/>
          <w:sz w:val="24"/>
          <w:szCs w:val="24"/>
        </w:rPr>
      </w:pPr>
      <w:r w:rsidRPr="00074DCF">
        <w:rPr>
          <w:rFonts w:ascii="Times New Roman" w:hAnsi="Times New Roman" w:cs="Times New Roman"/>
          <w:sz w:val="24"/>
          <w:szCs w:val="24"/>
        </w:rPr>
        <w:t>On issues of material disputes of facts, the authorities are clear that such disputes of fact do not arise merely because a litigant desires them to so exist, but that the circumstances dictate such existence.  The facts must, upon close analysis demonstrate that they cannot be resolved outside trial proceedings and that they must be relevant to the legal issues requiring determination.  If such material disputes of fact are far-fetched, the court will naturally reject such averments and adopt a robust approach in resolving the parties</w:t>
      </w:r>
      <w:r w:rsidR="000F58BD" w:rsidRPr="00074DCF">
        <w:rPr>
          <w:rFonts w:ascii="Times New Roman" w:hAnsi="Times New Roman" w:cs="Times New Roman"/>
          <w:sz w:val="24"/>
          <w:szCs w:val="24"/>
        </w:rPr>
        <w:t>’</w:t>
      </w:r>
      <w:r w:rsidRPr="00074DCF">
        <w:rPr>
          <w:rFonts w:ascii="Times New Roman" w:hAnsi="Times New Roman" w:cs="Times New Roman"/>
          <w:sz w:val="24"/>
          <w:szCs w:val="24"/>
        </w:rPr>
        <w:t xml:space="preserve"> dispute on the papers </w:t>
      </w:r>
      <w:r w:rsidRPr="00074DCF">
        <w:rPr>
          <w:rFonts w:ascii="Times New Roman" w:hAnsi="Times New Roman" w:cs="Times New Roman"/>
          <w:sz w:val="24"/>
          <w:szCs w:val="24"/>
        </w:rPr>
        <w:lastRenderedPageBreak/>
        <w:t xml:space="preserve">without the agony of going through trial.  See </w:t>
      </w:r>
      <w:r w:rsidRPr="00074DCF">
        <w:rPr>
          <w:rFonts w:ascii="Times New Roman" w:hAnsi="Times New Roman" w:cs="Times New Roman"/>
          <w:i/>
          <w:sz w:val="24"/>
          <w:szCs w:val="24"/>
        </w:rPr>
        <w:t>National Director of Public</w:t>
      </w:r>
      <w:r w:rsidR="00074DCF" w:rsidRPr="00074DCF">
        <w:rPr>
          <w:rFonts w:ascii="Times New Roman" w:hAnsi="Times New Roman" w:cs="Times New Roman"/>
          <w:i/>
          <w:sz w:val="24"/>
          <w:szCs w:val="24"/>
        </w:rPr>
        <w:t xml:space="preserve"> </w:t>
      </w:r>
      <w:r w:rsidRPr="00074DCF">
        <w:rPr>
          <w:rFonts w:ascii="Times New Roman" w:hAnsi="Times New Roman" w:cs="Times New Roman"/>
          <w:i/>
          <w:sz w:val="24"/>
          <w:szCs w:val="24"/>
        </w:rPr>
        <w:t>Prosecutions vs Zuma</w:t>
      </w:r>
      <w:r w:rsidRPr="00074DCF">
        <w:rPr>
          <w:rStyle w:val="FootnoteReference"/>
          <w:rFonts w:ascii="Times New Roman" w:hAnsi="Times New Roman" w:cs="Times New Roman"/>
          <w:i/>
          <w:sz w:val="24"/>
          <w:szCs w:val="24"/>
        </w:rPr>
        <w:footnoteReference w:id="6"/>
      </w:r>
      <w:r w:rsidRPr="00074DCF">
        <w:rPr>
          <w:rFonts w:ascii="Times New Roman" w:hAnsi="Times New Roman" w:cs="Times New Roman"/>
          <w:sz w:val="24"/>
          <w:szCs w:val="24"/>
        </w:rPr>
        <w:t xml:space="preserve"> and </w:t>
      </w:r>
      <w:r w:rsidRPr="00074DCF">
        <w:rPr>
          <w:rFonts w:ascii="Times New Roman" w:hAnsi="Times New Roman" w:cs="Times New Roman"/>
          <w:i/>
          <w:sz w:val="24"/>
          <w:szCs w:val="24"/>
        </w:rPr>
        <w:t>Zimbabwe Bonded Fibreglass (Private)Limited vs Peech</w:t>
      </w:r>
      <w:r w:rsidRPr="00074DCF">
        <w:rPr>
          <w:rStyle w:val="FootnoteReference"/>
          <w:rFonts w:ascii="Times New Roman" w:hAnsi="Times New Roman" w:cs="Times New Roman"/>
          <w:i/>
          <w:sz w:val="24"/>
          <w:szCs w:val="24"/>
        </w:rPr>
        <w:footnoteReference w:id="7"/>
      </w:r>
    </w:p>
    <w:p w:rsidR="00D872AE" w:rsidRPr="00074DCF" w:rsidRDefault="00D872AE" w:rsidP="000F58BD">
      <w:pPr>
        <w:spacing w:line="480" w:lineRule="auto"/>
        <w:contextualSpacing/>
        <w:jc w:val="both"/>
        <w:rPr>
          <w:rFonts w:ascii="Times New Roman" w:hAnsi="Times New Roman" w:cs="Times New Roman"/>
          <w:sz w:val="24"/>
          <w:szCs w:val="24"/>
          <w:u w:val="single"/>
        </w:rPr>
      </w:pPr>
      <w:r w:rsidRPr="00074DCF">
        <w:rPr>
          <w:rFonts w:ascii="Times New Roman" w:hAnsi="Times New Roman" w:cs="Times New Roman"/>
          <w:sz w:val="24"/>
          <w:szCs w:val="24"/>
          <w:u w:val="single"/>
        </w:rPr>
        <w:t>Application of the Law to the facts of this case.</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It is the position in this case as stated by the applicant and admitted by the first respondent that Annexure “B”, the Special Power of Attorney to sell the property in question was given to the first respondent’s agent Mlamuli Ncube on 17 December 2014, a day before the property was sold to the applicant.</w:t>
      </w:r>
    </w:p>
    <w:p w:rsidR="00D872AE" w:rsidRPr="00074DCF" w:rsidRDefault="00D872AE" w:rsidP="000F58BD">
      <w:pPr>
        <w:spacing w:line="480" w:lineRule="auto"/>
        <w:ind w:firstLine="720"/>
        <w:jc w:val="both"/>
        <w:rPr>
          <w:rFonts w:ascii="Times New Roman" w:hAnsi="Times New Roman" w:cs="Times New Roman"/>
          <w:sz w:val="24"/>
          <w:szCs w:val="24"/>
        </w:rPr>
      </w:pPr>
      <w:r w:rsidRPr="00074DCF">
        <w:rPr>
          <w:rFonts w:ascii="Times New Roman" w:hAnsi="Times New Roman" w:cs="Times New Roman"/>
          <w:sz w:val="24"/>
          <w:szCs w:val="24"/>
        </w:rPr>
        <w:t>It is also not in dispute that when the applicant went to view the property in the company of the first respondent’s agent, they saw the first respondent who allowed them to view the property.  This is clear from the applicant’s founding affidavit where he states as follows:</w:t>
      </w:r>
    </w:p>
    <w:p w:rsidR="00D872AE" w:rsidRPr="00074DCF" w:rsidRDefault="00D872AE" w:rsidP="000F58BD">
      <w:pPr>
        <w:spacing w:line="240" w:lineRule="auto"/>
        <w:ind w:left="720"/>
        <w:contextualSpacing/>
        <w:jc w:val="both"/>
        <w:rPr>
          <w:rFonts w:ascii="Times New Roman" w:hAnsi="Times New Roman" w:cs="Times New Roman"/>
          <w:sz w:val="24"/>
          <w:szCs w:val="24"/>
        </w:rPr>
      </w:pPr>
      <w:r w:rsidRPr="00074DCF">
        <w:rPr>
          <w:rFonts w:ascii="Times New Roman" w:hAnsi="Times New Roman" w:cs="Times New Roman"/>
          <w:sz w:val="24"/>
          <w:szCs w:val="24"/>
        </w:rPr>
        <w:t>“--- there was nothing to suggest that Mr Mlamuli Ncube did not have the first respondent’s authority as the first respondent represented that Mr Mlamuli Ncube had autho</w:t>
      </w:r>
      <w:r w:rsidR="00074DCF" w:rsidRPr="00074DCF">
        <w:rPr>
          <w:rFonts w:ascii="Times New Roman" w:hAnsi="Times New Roman" w:cs="Times New Roman"/>
          <w:sz w:val="24"/>
          <w:szCs w:val="24"/>
        </w:rPr>
        <w:t>r</w:t>
      </w:r>
      <w:r w:rsidRPr="00074DCF">
        <w:rPr>
          <w:rFonts w:ascii="Times New Roman" w:hAnsi="Times New Roman" w:cs="Times New Roman"/>
          <w:sz w:val="24"/>
          <w:szCs w:val="24"/>
        </w:rPr>
        <w:t xml:space="preserve">ity as the latter was her legal practitioners and also because at the time of the sale, </w:t>
      </w:r>
      <w:r w:rsidRPr="00074DCF">
        <w:rPr>
          <w:rFonts w:ascii="Times New Roman" w:hAnsi="Times New Roman" w:cs="Times New Roman"/>
          <w:sz w:val="24"/>
          <w:szCs w:val="24"/>
          <w:u w:val="single"/>
        </w:rPr>
        <w:t>the 1</w:t>
      </w:r>
      <w:r w:rsidRPr="00074DCF">
        <w:rPr>
          <w:rFonts w:ascii="Times New Roman" w:hAnsi="Times New Roman" w:cs="Times New Roman"/>
          <w:sz w:val="24"/>
          <w:szCs w:val="24"/>
          <w:u w:val="single"/>
          <w:vertAlign w:val="superscript"/>
        </w:rPr>
        <w:t>st</w:t>
      </w:r>
      <w:r w:rsidRPr="00074DCF">
        <w:rPr>
          <w:rFonts w:ascii="Times New Roman" w:hAnsi="Times New Roman" w:cs="Times New Roman"/>
          <w:sz w:val="24"/>
          <w:szCs w:val="24"/>
          <w:u w:val="single"/>
        </w:rPr>
        <w:t xml:space="preserve"> respondent allowed me to view the house and satisfy myself as to its condition”</w:t>
      </w:r>
      <w:r w:rsidRPr="00074DCF">
        <w:rPr>
          <w:rFonts w:ascii="Times New Roman" w:hAnsi="Times New Roman" w:cs="Times New Roman"/>
          <w:sz w:val="24"/>
          <w:szCs w:val="24"/>
        </w:rPr>
        <w:t xml:space="preserve"> my emphasis.</w:t>
      </w:r>
    </w:p>
    <w:p w:rsidR="00074DCF" w:rsidRPr="00074DCF" w:rsidRDefault="00074DCF" w:rsidP="000F58BD">
      <w:pPr>
        <w:spacing w:line="480" w:lineRule="auto"/>
        <w:jc w:val="both"/>
        <w:rPr>
          <w:rFonts w:ascii="Times New Roman" w:hAnsi="Times New Roman" w:cs="Times New Roman"/>
          <w:sz w:val="24"/>
          <w:szCs w:val="24"/>
        </w:rPr>
      </w:pP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 xml:space="preserve">It will be noted that in her opposing affidavit, the first respondent did not controvert this clearly pointed averment made against her by the applicant.  One would have thought, the first respondent, having been presented with an opportunity to revoke her special Power of Attorney in favour of the agent in public, she would have done so by objecting to the viewing of the house by the applicant. The respondent did not. She chose to remain aloof when her agent was showing the applicant the house. </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lastRenderedPageBreak/>
        <w:tab/>
        <w:t>The respondent cannot purport to have secretly revoked her clear instructions to his agent to the detriment of innocent third parties like the applicant who purchased the house on the strength of what the first respondent manifested in public, that she had authorized the agent to sell the property.  There is overwhelming evidence that the first respondent conducted herself in a way that led to the applicant believing that the sale of the house was above board.</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The issues which I have tried to summarize, which are common cause in this matter and relevant to the disposal or determination of the dispute between the parties do not give room to any material disputes of fact, if anything, that averment is illusory.</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From the averments contained in the first respondent’s opposing affidavit one gets the impre</w:t>
      </w:r>
      <w:r w:rsidR="00074DCF" w:rsidRPr="00074DCF">
        <w:rPr>
          <w:rFonts w:ascii="Times New Roman" w:hAnsi="Times New Roman" w:cs="Times New Roman"/>
          <w:sz w:val="24"/>
          <w:szCs w:val="24"/>
        </w:rPr>
        <w:t>ss</w:t>
      </w:r>
      <w:r w:rsidRPr="00074DCF">
        <w:rPr>
          <w:rFonts w:ascii="Times New Roman" w:hAnsi="Times New Roman" w:cs="Times New Roman"/>
          <w:sz w:val="24"/>
          <w:szCs w:val="24"/>
        </w:rPr>
        <w:t>ion that the only reason that led to the first respondent to attempt to renege from the sale agreement is because her agent has not given her the money for the sale of the house. If this observation is correct (as I believe it should be), the respondent must direct her anger and energy against her agent and not to the innocent purchaser, the applicant.</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On the question of costs, I am more than satisfied that the first respondent has not been candid with the court and that by opposing this case, she was indulging in a fishing expedition.  Such litigants cannot escape a punitive order of costs.</w:t>
      </w:r>
    </w:p>
    <w:p w:rsidR="00D872AE" w:rsidRPr="00074DCF" w:rsidRDefault="00D872AE" w:rsidP="000F58BD">
      <w:pPr>
        <w:spacing w:line="480" w:lineRule="auto"/>
        <w:jc w:val="both"/>
        <w:rPr>
          <w:rFonts w:ascii="Times New Roman" w:hAnsi="Times New Roman" w:cs="Times New Roman"/>
          <w:sz w:val="24"/>
          <w:szCs w:val="24"/>
        </w:rPr>
      </w:pPr>
      <w:r w:rsidRPr="00074DCF">
        <w:rPr>
          <w:rFonts w:ascii="Times New Roman" w:hAnsi="Times New Roman" w:cs="Times New Roman"/>
          <w:sz w:val="24"/>
          <w:szCs w:val="24"/>
        </w:rPr>
        <w:tab/>
        <w:t>It was for these reasons that I granted the order against the first respondent on 22 March 2016.</w:t>
      </w:r>
    </w:p>
    <w:p w:rsidR="00074DCF" w:rsidRDefault="00074DCF" w:rsidP="000F58BD">
      <w:pPr>
        <w:pStyle w:val="NoSpacing"/>
        <w:jc w:val="both"/>
        <w:rPr>
          <w:i/>
          <w:szCs w:val="24"/>
        </w:rPr>
      </w:pPr>
    </w:p>
    <w:p w:rsidR="00074DCF" w:rsidRDefault="00074DCF" w:rsidP="000F58BD">
      <w:pPr>
        <w:pStyle w:val="NoSpacing"/>
        <w:jc w:val="both"/>
        <w:rPr>
          <w:i/>
          <w:szCs w:val="24"/>
        </w:rPr>
      </w:pPr>
    </w:p>
    <w:p w:rsidR="00D872AE" w:rsidRPr="00074DCF" w:rsidRDefault="00D872AE" w:rsidP="000F58BD">
      <w:pPr>
        <w:pStyle w:val="NoSpacing"/>
        <w:jc w:val="both"/>
        <w:rPr>
          <w:szCs w:val="24"/>
        </w:rPr>
      </w:pPr>
      <w:r w:rsidRPr="00074DCF">
        <w:rPr>
          <w:i/>
          <w:szCs w:val="24"/>
        </w:rPr>
        <w:t>Ncube &amp; Partners Legal Practitioners</w:t>
      </w:r>
      <w:r w:rsidRPr="00074DCF">
        <w:rPr>
          <w:szCs w:val="24"/>
        </w:rPr>
        <w:t>, Applicant’s Legal Practitioners</w:t>
      </w:r>
    </w:p>
    <w:p w:rsidR="0054317D" w:rsidRPr="00074DCF" w:rsidRDefault="00D872AE" w:rsidP="00074DCF">
      <w:pPr>
        <w:pStyle w:val="NoSpacing"/>
        <w:jc w:val="both"/>
        <w:rPr>
          <w:rFonts w:cs="Times New Roman"/>
          <w:szCs w:val="24"/>
        </w:rPr>
      </w:pPr>
      <w:r w:rsidRPr="00074DCF">
        <w:rPr>
          <w:i/>
          <w:szCs w:val="24"/>
        </w:rPr>
        <w:t>Mathonsi Ncube Law Chambers</w:t>
      </w:r>
      <w:r w:rsidRPr="00074DCF">
        <w:rPr>
          <w:szCs w:val="24"/>
        </w:rPr>
        <w:t>, first Respondent’s Legal Practitioners</w:t>
      </w:r>
    </w:p>
    <w:sectPr w:rsidR="0054317D" w:rsidRPr="00074DC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D15" w:rsidRDefault="00691D15" w:rsidP="00D872AE">
      <w:pPr>
        <w:spacing w:after="0" w:line="240" w:lineRule="auto"/>
      </w:pPr>
      <w:r>
        <w:separator/>
      </w:r>
    </w:p>
  </w:endnote>
  <w:endnote w:type="continuationSeparator" w:id="1">
    <w:p w:rsidR="00691D15" w:rsidRDefault="00691D15" w:rsidP="00D87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D15" w:rsidRDefault="00691D15" w:rsidP="00D872AE">
      <w:pPr>
        <w:spacing w:after="0" w:line="240" w:lineRule="auto"/>
      </w:pPr>
      <w:r>
        <w:separator/>
      </w:r>
    </w:p>
  </w:footnote>
  <w:footnote w:type="continuationSeparator" w:id="1">
    <w:p w:rsidR="00691D15" w:rsidRDefault="00691D15" w:rsidP="00D872AE">
      <w:pPr>
        <w:spacing w:after="0" w:line="240" w:lineRule="auto"/>
      </w:pPr>
      <w:r>
        <w:continuationSeparator/>
      </w:r>
    </w:p>
  </w:footnote>
  <w:footnote w:id="2">
    <w:p w:rsidR="00D872AE" w:rsidRDefault="00D872AE" w:rsidP="00D872AE">
      <w:pPr>
        <w:pStyle w:val="FootnoteText"/>
      </w:pPr>
      <w:r>
        <w:rPr>
          <w:rStyle w:val="FootnoteReference"/>
        </w:rPr>
        <w:footnoteRef/>
      </w:r>
      <w:r>
        <w:t xml:space="preserve"> 2006 (6) SA 264 at para 292, note 105</w:t>
      </w:r>
    </w:p>
  </w:footnote>
  <w:footnote w:id="3">
    <w:p w:rsidR="00D872AE" w:rsidRDefault="00D872AE" w:rsidP="00D872AE">
      <w:pPr>
        <w:pStyle w:val="FootnoteText"/>
      </w:pPr>
      <w:r>
        <w:rPr>
          <w:rStyle w:val="FootnoteReference"/>
        </w:rPr>
        <w:footnoteRef/>
      </w:r>
      <w:r>
        <w:t xml:space="preserve"> 2002 (6) SA 470 (SCA) at 480 D-R</w:t>
      </w:r>
    </w:p>
  </w:footnote>
  <w:footnote w:id="4">
    <w:p w:rsidR="00D872AE" w:rsidRDefault="00D872AE" w:rsidP="00D872AE">
      <w:pPr>
        <w:pStyle w:val="FootnoteText"/>
      </w:pPr>
      <w:r>
        <w:rPr>
          <w:rStyle w:val="FootnoteReference"/>
        </w:rPr>
        <w:footnoteRef/>
      </w:r>
      <w:r>
        <w:t xml:space="preserve"> 1964 (2) 2B 480 (CA) at pp503-4</w:t>
      </w:r>
    </w:p>
  </w:footnote>
  <w:footnote w:id="5">
    <w:p w:rsidR="00D872AE" w:rsidRDefault="00D872AE" w:rsidP="00D872AE">
      <w:pPr>
        <w:pStyle w:val="FootnoteText"/>
      </w:pPr>
      <w:r>
        <w:rPr>
          <w:rStyle w:val="FootnoteReference"/>
        </w:rPr>
        <w:footnoteRef/>
      </w:r>
      <w:r>
        <w:t xml:space="preserve"> 1986 (2) ZLR 293 (S) at pp. 300-301 </w:t>
      </w:r>
    </w:p>
  </w:footnote>
  <w:footnote w:id="6">
    <w:p w:rsidR="00D872AE" w:rsidRDefault="00D872AE" w:rsidP="00D872AE">
      <w:pPr>
        <w:pStyle w:val="FootnoteText"/>
      </w:pPr>
      <w:r>
        <w:rPr>
          <w:rStyle w:val="FootnoteReference"/>
        </w:rPr>
        <w:footnoteRef/>
      </w:r>
      <w:r>
        <w:t xml:space="preserve"> 2009 (2) SA 277 (SCA) at para 26</w:t>
      </w:r>
    </w:p>
  </w:footnote>
  <w:footnote w:id="7">
    <w:p w:rsidR="00D872AE" w:rsidRDefault="00D872AE" w:rsidP="00D872AE">
      <w:pPr>
        <w:pStyle w:val="FootnoteText"/>
      </w:pPr>
      <w:r>
        <w:rPr>
          <w:rStyle w:val="FootnoteReference"/>
        </w:rPr>
        <w:footnoteRef/>
      </w:r>
      <w:r>
        <w:t xml:space="preserve"> 1987 (2) ZLR 338 (SC)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6843"/>
      <w:docPartObj>
        <w:docPartGallery w:val="Page Numbers (Top of Page)"/>
        <w:docPartUnique/>
      </w:docPartObj>
    </w:sdtPr>
    <w:sdtContent>
      <w:p w:rsidR="000F58BD" w:rsidRDefault="000F58BD">
        <w:pPr>
          <w:pStyle w:val="Header"/>
          <w:jc w:val="right"/>
        </w:pPr>
        <w:fldSimple w:instr=" PAGE   \* MERGEFORMAT ">
          <w:r w:rsidR="00074DCF">
            <w:rPr>
              <w:noProof/>
            </w:rPr>
            <w:t>1</w:t>
          </w:r>
        </w:fldSimple>
      </w:p>
      <w:p w:rsidR="000F58BD" w:rsidRDefault="000F58BD">
        <w:pPr>
          <w:pStyle w:val="Header"/>
          <w:jc w:val="right"/>
        </w:pPr>
        <w:r>
          <w:t>HB 108/19</w:t>
        </w:r>
      </w:p>
      <w:p w:rsidR="000F58BD" w:rsidRDefault="000F58BD">
        <w:pPr>
          <w:pStyle w:val="Header"/>
          <w:jc w:val="right"/>
        </w:pPr>
        <w:r>
          <w:t>HC 1200/15</w:t>
        </w:r>
      </w:p>
    </w:sdtContent>
  </w:sdt>
  <w:p w:rsidR="000F58BD" w:rsidRDefault="000F58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94D20"/>
    <w:multiLevelType w:val="hybridMultilevel"/>
    <w:tmpl w:val="2F8C7EA6"/>
    <w:lvl w:ilvl="0" w:tplc="D4AC4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72AE"/>
    <w:rsid w:val="0004552E"/>
    <w:rsid w:val="00074DCF"/>
    <w:rsid w:val="000F58BD"/>
    <w:rsid w:val="001D126B"/>
    <w:rsid w:val="002C7F8A"/>
    <w:rsid w:val="003A3365"/>
    <w:rsid w:val="003E5BAA"/>
    <w:rsid w:val="003F6528"/>
    <w:rsid w:val="00477B02"/>
    <w:rsid w:val="004F4713"/>
    <w:rsid w:val="0054317D"/>
    <w:rsid w:val="0068662E"/>
    <w:rsid w:val="00691D15"/>
    <w:rsid w:val="006A03C9"/>
    <w:rsid w:val="00701C30"/>
    <w:rsid w:val="007B49A6"/>
    <w:rsid w:val="007D0B26"/>
    <w:rsid w:val="007D2790"/>
    <w:rsid w:val="008A7672"/>
    <w:rsid w:val="008C3209"/>
    <w:rsid w:val="009E5C1A"/>
    <w:rsid w:val="00A50BC8"/>
    <w:rsid w:val="00C61900"/>
    <w:rsid w:val="00D20B4C"/>
    <w:rsid w:val="00D872AE"/>
    <w:rsid w:val="00E10C27"/>
    <w:rsid w:val="00EA4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2AE"/>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D872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2AE"/>
    <w:rPr>
      <w:sz w:val="20"/>
      <w:szCs w:val="20"/>
    </w:rPr>
  </w:style>
  <w:style w:type="character" w:styleId="FootnoteReference">
    <w:name w:val="footnote reference"/>
    <w:basedOn w:val="DefaultParagraphFont"/>
    <w:uiPriority w:val="99"/>
    <w:semiHidden/>
    <w:unhideWhenUsed/>
    <w:rsid w:val="00D872AE"/>
    <w:rPr>
      <w:vertAlign w:val="superscript"/>
    </w:rPr>
  </w:style>
  <w:style w:type="paragraph" w:styleId="ListParagraph">
    <w:name w:val="List Paragraph"/>
    <w:basedOn w:val="Normal"/>
    <w:uiPriority w:val="34"/>
    <w:qFormat/>
    <w:rsid w:val="004F4713"/>
    <w:pPr>
      <w:ind w:left="720"/>
      <w:contextualSpacing/>
    </w:pPr>
  </w:style>
  <w:style w:type="paragraph" w:styleId="Header">
    <w:name w:val="header"/>
    <w:basedOn w:val="Normal"/>
    <w:link w:val="HeaderChar"/>
    <w:uiPriority w:val="99"/>
    <w:unhideWhenUsed/>
    <w:rsid w:val="000F5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8BD"/>
  </w:style>
  <w:style w:type="paragraph" w:styleId="Footer">
    <w:name w:val="footer"/>
    <w:basedOn w:val="Normal"/>
    <w:link w:val="FooterChar"/>
    <w:uiPriority w:val="99"/>
    <w:semiHidden/>
    <w:unhideWhenUsed/>
    <w:rsid w:val="000F58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8BD"/>
  </w:style>
</w:styles>
</file>

<file path=word/webSettings.xml><?xml version="1.0" encoding="utf-8"?>
<w:webSettings xmlns:r="http://schemas.openxmlformats.org/officeDocument/2006/relationships" xmlns:w="http://schemas.openxmlformats.org/wordprocessingml/2006/main">
  <w:divs>
    <w:div w:id="2028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3</cp:revision>
  <cp:lastPrinted>2019-07-30T07:01:00Z</cp:lastPrinted>
  <dcterms:created xsi:type="dcterms:W3CDTF">2019-07-29T13:56:00Z</dcterms:created>
  <dcterms:modified xsi:type="dcterms:W3CDTF">2019-07-30T07:04:00Z</dcterms:modified>
</cp:coreProperties>
</file>