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85271" w14:textId="186DCF6E" w:rsidR="00307418" w:rsidRDefault="004631B6" w:rsidP="00CF2B5A">
      <w:pPr>
        <w:tabs>
          <w:tab w:val="left" w:pos="2268"/>
        </w:tabs>
        <w:rPr>
          <w:b/>
        </w:rPr>
      </w:pPr>
      <w:bookmarkStart w:id="0" w:name="_GoBack"/>
      <w:bookmarkEnd w:id="0"/>
      <w:r>
        <w:rPr>
          <w:b/>
          <w:u w:val="single"/>
        </w:rPr>
        <w:t>DISTRIBUTABLE</w:t>
      </w:r>
      <w:r w:rsidR="00CF2B5A" w:rsidRPr="00004988">
        <w:rPr>
          <w:b/>
        </w:rPr>
        <w:tab/>
        <w:t>(101)</w:t>
      </w:r>
      <w:r w:rsidR="00307418" w:rsidRPr="00CF2B5A">
        <w:rPr>
          <w:b/>
        </w:rPr>
        <w:tab/>
      </w:r>
    </w:p>
    <w:p w14:paraId="04D532CC" w14:textId="77777777" w:rsidR="00111ACE" w:rsidRDefault="00111ACE" w:rsidP="00CF2B5A">
      <w:pPr>
        <w:tabs>
          <w:tab w:val="left" w:pos="2268"/>
        </w:tabs>
        <w:rPr>
          <w:b/>
        </w:rPr>
      </w:pPr>
    </w:p>
    <w:p w14:paraId="020A707D" w14:textId="77777777" w:rsidR="00111ACE" w:rsidRPr="00CF2B5A" w:rsidRDefault="00111ACE" w:rsidP="00CF2B5A">
      <w:pPr>
        <w:tabs>
          <w:tab w:val="left" w:pos="2268"/>
        </w:tabs>
        <w:rPr>
          <w:b/>
          <w:u w:val="single"/>
        </w:rPr>
      </w:pPr>
    </w:p>
    <w:p w14:paraId="04A202DA" w14:textId="77777777" w:rsidR="00091263" w:rsidRPr="00385D3B" w:rsidRDefault="00091263" w:rsidP="00551F3F">
      <w:pPr>
        <w:rPr>
          <w:b/>
        </w:rPr>
      </w:pPr>
    </w:p>
    <w:p w14:paraId="297F96B6" w14:textId="4E370723" w:rsidR="00307418" w:rsidRPr="00385D3B" w:rsidRDefault="003D3149" w:rsidP="003D3149">
      <w:pPr>
        <w:pStyle w:val="ListParagraph"/>
        <w:numPr>
          <w:ilvl w:val="0"/>
          <w:numId w:val="20"/>
        </w:numPr>
        <w:jc w:val="center"/>
        <w:rPr>
          <w:b/>
        </w:rPr>
      </w:pPr>
      <w:r w:rsidRPr="00385D3B">
        <w:rPr>
          <w:b/>
        </w:rPr>
        <w:t xml:space="preserve">MOVEMENT </w:t>
      </w:r>
      <w:r w:rsidR="001454DC" w:rsidRPr="00385D3B">
        <w:rPr>
          <w:b/>
        </w:rPr>
        <w:t xml:space="preserve">    </w:t>
      </w:r>
      <w:r w:rsidRPr="00385D3B">
        <w:rPr>
          <w:b/>
        </w:rPr>
        <w:t xml:space="preserve">FOR </w:t>
      </w:r>
      <w:r w:rsidR="001454DC" w:rsidRPr="00385D3B">
        <w:rPr>
          <w:b/>
        </w:rPr>
        <w:t xml:space="preserve">    </w:t>
      </w:r>
      <w:r w:rsidRPr="00385D3B">
        <w:rPr>
          <w:b/>
        </w:rPr>
        <w:t xml:space="preserve">DEMOCRATIC </w:t>
      </w:r>
      <w:r w:rsidR="001454DC" w:rsidRPr="00385D3B">
        <w:rPr>
          <w:b/>
        </w:rPr>
        <w:t xml:space="preserve">    </w:t>
      </w:r>
      <w:r w:rsidRPr="00385D3B">
        <w:rPr>
          <w:b/>
        </w:rPr>
        <w:t xml:space="preserve">CHANGE- ALLIANCE (2) </w:t>
      </w:r>
      <w:r w:rsidR="00AF4111" w:rsidRPr="00385D3B">
        <w:rPr>
          <w:b/>
        </w:rPr>
        <w:t xml:space="preserve">   </w:t>
      </w:r>
      <w:r w:rsidRPr="00385D3B">
        <w:rPr>
          <w:b/>
        </w:rPr>
        <w:t xml:space="preserve">CHARLTON </w:t>
      </w:r>
      <w:r w:rsidR="001454DC" w:rsidRPr="00385D3B">
        <w:rPr>
          <w:b/>
        </w:rPr>
        <w:t xml:space="preserve">    </w:t>
      </w:r>
      <w:r w:rsidRPr="00385D3B">
        <w:rPr>
          <w:b/>
        </w:rPr>
        <w:t xml:space="preserve">HWENDE </w:t>
      </w:r>
      <w:r w:rsidR="00967061">
        <w:rPr>
          <w:b/>
        </w:rPr>
        <w:t xml:space="preserve">    </w:t>
      </w:r>
      <w:r w:rsidRPr="00385D3B">
        <w:rPr>
          <w:b/>
        </w:rPr>
        <w:t xml:space="preserve">(3) </w:t>
      </w:r>
      <w:r w:rsidR="00AF4111" w:rsidRPr="00385D3B">
        <w:rPr>
          <w:b/>
        </w:rPr>
        <w:t xml:space="preserve">    </w:t>
      </w:r>
      <w:r w:rsidRPr="00385D3B">
        <w:rPr>
          <w:b/>
        </w:rPr>
        <w:t xml:space="preserve">GODFREY </w:t>
      </w:r>
      <w:r w:rsidR="001454DC" w:rsidRPr="00385D3B">
        <w:rPr>
          <w:b/>
        </w:rPr>
        <w:t xml:space="preserve">    </w:t>
      </w:r>
      <w:r w:rsidRPr="00385D3B">
        <w:rPr>
          <w:b/>
        </w:rPr>
        <w:t xml:space="preserve">COTTON </w:t>
      </w:r>
    </w:p>
    <w:p w14:paraId="1EC59FE8" w14:textId="77777777" w:rsidR="00307418" w:rsidRPr="00385D3B" w:rsidRDefault="00307418" w:rsidP="00307418">
      <w:pPr>
        <w:jc w:val="center"/>
        <w:rPr>
          <w:b/>
        </w:rPr>
      </w:pPr>
      <w:proofErr w:type="gramStart"/>
      <w:r w:rsidRPr="00385D3B">
        <w:rPr>
          <w:b/>
        </w:rPr>
        <w:t>v</w:t>
      </w:r>
      <w:proofErr w:type="gramEnd"/>
      <w:r w:rsidRPr="00385D3B">
        <w:rPr>
          <w:b/>
        </w:rPr>
        <w:t xml:space="preserve"> </w:t>
      </w:r>
    </w:p>
    <w:p w14:paraId="09DB0931" w14:textId="0FC7761A" w:rsidR="00307418" w:rsidRPr="00385D3B" w:rsidRDefault="003D3149" w:rsidP="003D3149">
      <w:pPr>
        <w:pStyle w:val="ListParagraph"/>
        <w:numPr>
          <w:ilvl w:val="0"/>
          <w:numId w:val="21"/>
        </w:numPr>
        <w:jc w:val="center"/>
        <w:rPr>
          <w:b/>
        </w:rPr>
      </w:pPr>
      <w:r w:rsidRPr="00385D3B">
        <w:rPr>
          <w:b/>
        </w:rPr>
        <w:t xml:space="preserve">TENDAI </w:t>
      </w:r>
      <w:r w:rsidR="001454DC" w:rsidRPr="00385D3B">
        <w:rPr>
          <w:b/>
        </w:rPr>
        <w:t xml:space="preserve">    </w:t>
      </w:r>
      <w:r w:rsidRPr="00385D3B">
        <w:rPr>
          <w:b/>
        </w:rPr>
        <w:t xml:space="preserve">MUCHEKAHANZU </w:t>
      </w:r>
      <w:r w:rsidR="00967061">
        <w:rPr>
          <w:b/>
        </w:rPr>
        <w:t xml:space="preserve">    </w:t>
      </w:r>
      <w:r w:rsidRPr="00385D3B">
        <w:rPr>
          <w:b/>
        </w:rPr>
        <w:t>(2)</w:t>
      </w:r>
      <w:r w:rsidR="001454DC" w:rsidRPr="00385D3B">
        <w:rPr>
          <w:b/>
        </w:rPr>
        <w:t xml:space="preserve"> </w:t>
      </w:r>
      <w:r w:rsidR="00967061">
        <w:rPr>
          <w:b/>
        </w:rPr>
        <w:t xml:space="preserve">    </w:t>
      </w:r>
      <w:r w:rsidRPr="00385D3B">
        <w:rPr>
          <w:b/>
        </w:rPr>
        <w:t xml:space="preserve">FRIDAY </w:t>
      </w:r>
      <w:r w:rsidR="001454DC" w:rsidRPr="00385D3B">
        <w:rPr>
          <w:b/>
        </w:rPr>
        <w:t xml:space="preserve">     </w:t>
      </w:r>
      <w:r w:rsidRPr="00385D3B">
        <w:rPr>
          <w:b/>
        </w:rPr>
        <w:t xml:space="preserve">MULEYA </w:t>
      </w:r>
      <w:r w:rsidR="00AF4111" w:rsidRPr="00385D3B">
        <w:rPr>
          <w:b/>
        </w:rPr>
        <w:t xml:space="preserve">   </w:t>
      </w:r>
      <w:r w:rsidRPr="00385D3B">
        <w:rPr>
          <w:b/>
        </w:rPr>
        <w:t xml:space="preserve">(3) </w:t>
      </w:r>
      <w:r w:rsidR="00AF4111" w:rsidRPr="00385D3B">
        <w:rPr>
          <w:b/>
        </w:rPr>
        <w:t xml:space="preserve">    </w:t>
      </w:r>
      <w:r w:rsidRPr="00385D3B">
        <w:rPr>
          <w:b/>
        </w:rPr>
        <w:t xml:space="preserve">DOUGLAS </w:t>
      </w:r>
      <w:r w:rsidR="001454DC" w:rsidRPr="00385D3B">
        <w:rPr>
          <w:b/>
        </w:rPr>
        <w:t xml:space="preserve">    </w:t>
      </w:r>
      <w:r w:rsidRPr="00385D3B">
        <w:rPr>
          <w:b/>
        </w:rPr>
        <w:t xml:space="preserve">TOGARASEYI </w:t>
      </w:r>
      <w:r w:rsidR="001454DC" w:rsidRPr="00385D3B">
        <w:rPr>
          <w:b/>
        </w:rPr>
        <w:t xml:space="preserve">    </w:t>
      </w:r>
      <w:r w:rsidRPr="00385D3B">
        <w:rPr>
          <w:b/>
        </w:rPr>
        <w:t xml:space="preserve">MWONZORA </w:t>
      </w:r>
      <w:r w:rsidR="00AF4111" w:rsidRPr="00385D3B">
        <w:rPr>
          <w:b/>
        </w:rPr>
        <w:t xml:space="preserve">    </w:t>
      </w:r>
      <w:r w:rsidRPr="00385D3B">
        <w:rPr>
          <w:b/>
        </w:rPr>
        <w:t xml:space="preserve">(4) </w:t>
      </w:r>
      <w:r w:rsidR="00967061">
        <w:rPr>
          <w:b/>
        </w:rPr>
        <w:t xml:space="preserve">    </w:t>
      </w:r>
      <w:r w:rsidRPr="00385D3B">
        <w:rPr>
          <w:b/>
        </w:rPr>
        <w:t>MORGEN</w:t>
      </w:r>
      <w:r w:rsidR="001454DC" w:rsidRPr="00385D3B">
        <w:rPr>
          <w:b/>
        </w:rPr>
        <w:t xml:space="preserve">     </w:t>
      </w:r>
      <w:r w:rsidRPr="00385D3B">
        <w:rPr>
          <w:b/>
        </w:rPr>
        <w:t xml:space="preserve"> KOMICHI </w:t>
      </w:r>
      <w:r w:rsidR="00AF4111" w:rsidRPr="00385D3B">
        <w:rPr>
          <w:b/>
        </w:rPr>
        <w:t xml:space="preserve">    </w:t>
      </w:r>
      <w:r w:rsidRPr="00385D3B">
        <w:rPr>
          <w:b/>
        </w:rPr>
        <w:t xml:space="preserve">(5) </w:t>
      </w:r>
      <w:r w:rsidR="00AF4111" w:rsidRPr="00385D3B">
        <w:rPr>
          <w:b/>
        </w:rPr>
        <w:t xml:space="preserve">    </w:t>
      </w:r>
      <w:r w:rsidRPr="00385D3B">
        <w:rPr>
          <w:b/>
        </w:rPr>
        <w:t xml:space="preserve">MOVEMENT </w:t>
      </w:r>
      <w:r w:rsidR="001454DC" w:rsidRPr="00385D3B">
        <w:rPr>
          <w:b/>
        </w:rPr>
        <w:t xml:space="preserve">    </w:t>
      </w:r>
      <w:r w:rsidRPr="00385D3B">
        <w:rPr>
          <w:b/>
        </w:rPr>
        <w:t xml:space="preserve">FOR </w:t>
      </w:r>
      <w:r w:rsidR="001454DC" w:rsidRPr="00385D3B">
        <w:rPr>
          <w:b/>
        </w:rPr>
        <w:t xml:space="preserve">    </w:t>
      </w:r>
      <w:r w:rsidRPr="00385D3B">
        <w:rPr>
          <w:b/>
        </w:rPr>
        <w:t xml:space="preserve">DEMOCRATIC </w:t>
      </w:r>
      <w:r w:rsidR="001454DC" w:rsidRPr="00385D3B">
        <w:rPr>
          <w:b/>
        </w:rPr>
        <w:t xml:space="preserve">    </w:t>
      </w:r>
      <w:r w:rsidRPr="00385D3B">
        <w:rPr>
          <w:b/>
        </w:rPr>
        <w:t xml:space="preserve">CHANGE- TSVANGIRAI </w:t>
      </w:r>
      <w:r w:rsidR="00AF4111" w:rsidRPr="00385D3B">
        <w:rPr>
          <w:b/>
        </w:rPr>
        <w:t xml:space="preserve">    </w:t>
      </w:r>
      <w:r w:rsidRPr="00385D3B">
        <w:rPr>
          <w:b/>
        </w:rPr>
        <w:t xml:space="preserve">(6) </w:t>
      </w:r>
      <w:r w:rsidR="00AF4111" w:rsidRPr="00385D3B">
        <w:rPr>
          <w:b/>
        </w:rPr>
        <w:t xml:space="preserve">    </w:t>
      </w:r>
      <w:r w:rsidRPr="00385D3B">
        <w:rPr>
          <w:b/>
        </w:rPr>
        <w:t xml:space="preserve">MINISTER </w:t>
      </w:r>
      <w:r w:rsidR="001454DC" w:rsidRPr="00385D3B">
        <w:rPr>
          <w:b/>
        </w:rPr>
        <w:t xml:space="preserve">    </w:t>
      </w:r>
      <w:r w:rsidRPr="00385D3B">
        <w:rPr>
          <w:b/>
        </w:rPr>
        <w:t xml:space="preserve">OF </w:t>
      </w:r>
      <w:r w:rsidR="001454DC" w:rsidRPr="00385D3B">
        <w:rPr>
          <w:b/>
        </w:rPr>
        <w:t xml:space="preserve">    </w:t>
      </w:r>
      <w:r w:rsidRPr="00385D3B">
        <w:rPr>
          <w:b/>
        </w:rPr>
        <w:t xml:space="preserve">HOME AFFAIRS </w:t>
      </w:r>
      <w:r w:rsidR="001454DC" w:rsidRPr="00385D3B">
        <w:rPr>
          <w:b/>
        </w:rPr>
        <w:t xml:space="preserve">    </w:t>
      </w:r>
      <w:r w:rsidRPr="00385D3B">
        <w:rPr>
          <w:b/>
        </w:rPr>
        <w:t xml:space="preserve">AND </w:t>
      </w:r>
      <w:r w:rsidR="001454DC" w:rsidRPr="00385D3B">
        <w:rPr>
          <w:b/>
        </w:rPr>
        <w:t xml:space="preserve">    </w:t>
      </w:r>
      <w:r w:rsidRPr="00385D3B">
        <w:rPr>
          <w:b/>
        </w:rPr>
        <w:t xml:space="preserve">CULTURAL </w:t>
      </w:r>
      <w:r w:rsidR="001454DC" w:rsidRPr="00385D3B">
        <w:rPr>
          <w:b/>
        </w:rPr>
        <w:t xml:space="preserve">    </w:t>
      </w:r>
      <w:r w:rsidRPr="00385D3B">
        <w:rPr>
          <w:b/>
        </w:rPr>
        <w:t xml:space="preserve">HERITAGE </w:t>
      </w:r>
      <w:r w:rsidR="00AF4111" w:rsidRPr="00385D3B">
        <w:rPr>
          <w:b/>
        </w:rPr>
        <w:t xml:space="preserve">    </w:t>
      </w:r>
      <w:r w:rsidRPr="00385D3B">
        <w:rPr>
          <w:b/>
        </w:rPr>
        <w:t xml:space="preserve">(7) </w:t>
      </w:r>
      <w:r w:rsidR="00AF4111" w:rsidRPr="00385D3B">
        <w:rPr>
          <w:b/>
        </w:rPr>
        <w:t xml:space="preserve">    </w:t>
      </w:r>
      <w:r w:rsidRPr="00385D3B">
        <w:rPr>
          <w:b/>
        </w:rPr>
        <w:t xml:space="preserve">COMMISSIONER </w:t>
      </w:r>
      <w:r w:rsidR="001454DC" w:rsidRPr="00385D3B">
        <w:rPr>
          <w:b/>
        </w:rPr>
        <w:t xml:space="preserve">    </w:t>
      </w:r>
      <w:r w:rsidRPr="00385D3B">
        <w:rPr>
          <w:b/>
        </w:rPr>
        <w:t xml:space="preserve">GENERAL </w:t>
      </w:r>
      <w:r w:rsidR="001454DC" w:rsidRPr="00385D3B">
        <w:rPr>
          <w:b/>
        </w:rPr>
        <w:t xml:space="preserve">    </w:t>
      </w:r>
      <w:r w:rsidRPr="00385D3B">
        <w:rPr>
          <w:b/>
        </w:rPr>
        <w:t xml:space="preserve">OF </w:t>
      </w:r>
      <w:r w:rsidR="001454DC" w:rsidRPr="00385D3B">
        <w:rPr>
          <w:b/>
        </w:rPr>
        <w:t xml:space="preserve">    </w:t>
      </w:r>
      <w:r w:rsidRPr="00385D3B">
        <w:rPr>
          <w:b/>
        </w:rPr>
        <w:t xml:space="preserve">POLICE </w:t>
      </w:r>
      <w:r w:rsidR="00AF4111" w:rsidRPr="00385D3B">
        <w:rPr>
          <w:b/>
        </w:rPr>
        <w:t xml:space="preserve">    </w:t>
      </w:r>
      <w:r w:rsidRPr="00385D3B">
        <w:rPr>
          <w:b/>
        </w:rPr>
        <w:t xml:space="preserve">(8) </w:t>
      </w:r>
      <w:r w:rsidR="00AF4111" w:rsidRPr="00385D3B">
        <w:rPr>
          <w:b/>
        </w:rPr>
        <w:t xml:space="preserve">   </w:t>
      </w:r>
      <w:r w:rsidRPr="00385D3B">
        <w:rPr>
          <w:b/>
        </w:rPr>
        <w:t xml:space="preserve">THE MINISTER </w:t>
      </w:r>
      <w:r w:rsidR="001454DC" w:rsidRPr="00385D3B">
        <w:rPr>
          <w:b/>
        </w:rPr>
        <w:t xml:space="preserve">    </w:t>
      </w:r>
      <w:r w:rsidRPr="00385D3B">
        <w:rPr>
          <w:b/>
        </w:rPr>
        <w:t xml:space="preserve">OF </w:t>
      </w:r>
      <w:r w:rsidR="001454DC" w:rsidRPr="00385D3B">
        <w:rPr>
          <w:b/>
        </w:rPr>
        <w:t xml:space="preserve">    </w:t>
      </w:r>
      <w:r w:rsidRPr="00385D3B">
        <w:rPr>
          <w:b/>
        </w:rPr>
        <w:t xml:space="preserve">DEFENCE </w:t>
      </w:r>
      <w:r w:rsidR="001454DC" w:rsidRPr="00385D3B">
        <w:rPr>
          <w:b/>
        </w:rPr>
        <w:t xml:space="preserve">    </w:t>
      </w:r>
      <w:r w:rsidRPr="00385D3B">
        <w:rPr>
          <w:b/>
        </w:rPr>
        <w:t xml:space="preserve">AND </w:t>
      </w:r>
      <w:r w:rsidR="001454DC" w:rsidRPr="00385D3B">
        <w:rPr>
          <w:b/>
        </w:rPr>
        <w:t xml:space="preserve">    </w:t>
      </w:r>
      <w:r w:rsidRPr="00385D3B">
        <w:rPr>
          <w:b/>
        </w:rPr>
        <w:t xml:space="preserve">WAR </w:t>
      </w:r>
      <w:r w:rsidR="001454DC" w:rsidRPr="00385D3B">
        <w:rPr>
          <w:b/>
        </w:rPr>
        <w:t xml:space="preserve">    </w:t>
      </w:r>
      <w:r w:rsidRPr="00385D3B">
        <w:rPr>
          <w:b/>
        </w:rPr>
        <w:t>VETERANS</w:t>
      </w:r>
    </w:p>
    <w:p w14:paraId="5053C283" w14:textId="77777777" w:rsidR="004B61F3" w:rsidRPr="00385D3B" w:rsidRDefault="004B61F3" w:rsidP="00307418">
      <w:pPr>
        <w:jc w:val="center"/>
        <w:rPr>
          <w:b/>
        </w:rPr>
      </w:pPr>
    </w:p>
    <w:p w14:paraId="51E75B4F" w14:textId="77777777" w:rsidR="004B61F3" w:rsidRPr="00385D3B" w:rsidRDefault="004B61F3" w:rsidP="00307418">
      <w:pPr>
        <w:jc w:val="center"/>
        <w:rPr>
          <w:b/>
        </w:rPr>
      </w:pPr>
    </w:p>
    <w:p w14:paraId="32FC4D81" w14:textId="77777777" w:rsidR="00307418" w:rsidRPr="00385D3B" w:rsidRDefault="00307418" w:rsidP="00307418"/>
    <w:p w14:paraId="14362A41" w14:textId="720A884D" w:rsidR="00307418" w:rsidRPr="00385D3B" w:rsidRDefault="003D3149" w:rsidP="003D3149">
      <w:pPr>
        <w:pStyle w:val="ListParagraph"/>
        <w:numPr>
          <w:ilvl w:val="0"/>
          <w:numId w:val="22"/>
        </w:numPr>
        <w:jc w:val="center"/>
        <w:rPr>
          <w:b/>
        </w:rPr>
      </w:pPr>
      <w:r w:rsidRPr="00385D3B">
        <w:rPr>
          <w:b/>
        </w:rPr>
        <w:t xml:space="preserve">WASHINGTON </w:t>
      </w:r>
      <w:r w:rsidR="001454DC" w:rsidRPr="00385D3B">
        <w:rPr>
          <w:b/>
        </w:rPr>
        <w:t xml:space="preserve">    </w:t>
      </w:r>
      <w:r w:rsidRPr="00385D3B">
        <w:rPr>
          <w:b/>
        </w:rPr>
        <w:t xml:space="preserve">GAGA </w:t>
      </w:r>
      <w:r w:rsidR="00AF4111" w:rsidRPr="00385D3B">
        <w:rPr>
          <w:b/>
        </w:rPr>
        <w:t xml:space="preserve">    </w:t>
      </w:r>
      <w:r w:rsidRPr="00385D3B">
        <w:rPr>
          <w:b/>
        </w:rPr>
        <w:t xml:space="preserve">(2) </w:t>
      </w:r>
      <w:r w:rsidR="00AF4111" w:rsidRPr="00385D3B">
        <w:rPr>
          <w:b/>
        </w:rPr>
        <w:t xml:space="preserve">    </w:t>
      </w:r>
      <w:r w:rsidRPr="00385D3B">
        <w:rPr>
          <w:b/>
        </w:rPr>
        <w:t xml:space="preserve">CHANCELLOR </w:t>
      </w:r>
      <w:r w:rsidR="001454DC" w:rsidRPr="00385D3B">
        <w:rPr>
          <w:b/>
        </w:rPr>
        <w:t xml:space="preserve">    </w:t>
      </w:r>
      <w:r w:rsidRPr="00385D3B">
        <w:rPr>
          <w:b/>
        </w:rPr>
        <w:t xml:space="preserve">NYAMANDE </w:t>
      </w:r>
      <w:r w:rsidR="00AF4111" w:rsidRPr="00385D3B">
        <w:rPr>
          <w:b/>
        </w:rPr>
        <w:t xml:space="preserve">    </w:t>
      </w:r>
      <w:r w:rsidRPr="00385D3B">
        <w:rPr>
          <w:b/>
        </w:rPr>
        <w:t xml:space="preserve">(3) </w:t>
      </w:r>
      <w:r w:rsidR="00AF4111" w:rsidRPr="00385D3B">
        <w:rPr>
          <w:b/>
        </w:rPr>
        <w:t xml:space="preserve">    </w:t>
      </w:r>
      <w:r w:rsidRPr="00385D3B">
        <w:rPr>
          <w:b/>
        </w:rPr>
        <w:t xml:space="preserve">KUDAKWASHE </w:t>
      </w:r>
      <w:r w:rsidR="001454DC" w:rsidRPr="00385D3B">
        <w:rPr>
          <w:b/>
        </w:rPr>
        <w:t xml:space="preserve">    </w:t>
      </w:r>
      <w:r w:rsidRPr="00385D3B">
        <w:rPr>
          <w:b/>
        </w:rPr>
        <w:t>MATIBIRI</w:t>
      </w:r>
      <w:r w:rsidR="00967061">
        <w:rPr>
          <w:b/>
        </w:rPr>
        <w:t xml:space="preserve">    </w:t>
      </w:r>
      <w:r w:rsidRPr="00385D3B">
        <w:rPr>
          <w:b/>
        </w:rPr>
        <w:t xml:space="preserve"> (4) EDITH </w:t>
      </w:r>
      <w:r w:rsidR="001454DC" w:rsidRPr="00385D3B">
        <w:rPr>
          <w:b/>
        </w:rPr>
        <w:t xml:space="preserve">    </w:t>
      </w:r>
      <w:r w:rsidRPr="00385D3B">
        <w:rPr>
          <w:b/>
        </w:rPr>
        <w:t xml:space="preserve">SANA </w:t>
      </w:r>
      <w:r w:rsidR="001454DC" w:rsidRPr="00385D3B">
        <w:rPr>
          <w:b/>
        </w:rPr>
        <w:t xml:space="preserve">    </w:t>
      </w:r>
      <w:r w:rsidRPr="00385D3B">
        <w:rPr>
          <w:b/>
        </w:rPr>
        <w:t>MANYIKA</w:t>
      </w:r>
    </w:p>
    <w:p w14:paraId="7CFFB1A9" w14:textId="77777777" w:rsidR="00307418" w:rsidRPr="00385D3B" w:rsidRDefault="00307418" w:rsidP="00307418">
      <w:pPr>
        <w:jc w:val="center"/>
        <w:rPr>
          <w:b/>
        </w:rPr>
      </w:pPr>
      <w:proofErr w:type="gramStart"/>
      <w:r w:rsidRPr="00385D3B">
        <w:rPr>
          <w:b/>
        </w:rPr>
        <w:t>v</w:t>
      </w:r>
      <w:proofErr w:type="gramEnd"/>
    </w:p>
    <w:p w14:paraId="68A9D9DE" w14:textId="42885AC2" w:rsidR="00307418" w:rsidRPr="00385D3B" w:rsidRDefault="00F54BF2" w:rsidP="00307418">
      <w:pPr>
        <w:pStyle w:val="ListParagraph"/>
        <w:numPr>
          <w:ilvl w:val="0"/>
          <w:numId w:val="16"/>
        </w:numPr>
        <w:jc w:val="center"/>
        <w:rPr>
          <w:b/>
        </w:rPr>
      </w:pPr>
      <w:r w:rsidRPr="00385D3B">
        <w:rPr>
          <w:b/>
        </w:rPr>
        <w:t xml:space="preserve">COMMISSIONER </w:t>
      </w:r>
      <w:r w:rsidR="001454DC" w:rsidRPr="00385D3B">
        <w:rPr>
          <w:b/>
        </w:rPr>
        <w:t xml:space="preserve">    </w:t>
      </w:r>
      <w:r w:rsidRPr="00385D3B">
        <w:rPr>
          <w:b/>
        </w:rPr>
        <w:t xml:space="preserve">GENERAL </w:t>
      </w:r>
      <w:r w:rsidR="001454DC" w:rsidRPr="00385D3B">
        <w:rPr>
          <w:b/>
        </w:rPr>
        <w:t xml:space="preserve">    OF     </w:t>
      </w:r>
      <w:r w:rsidRPr="00385D3B">
        <w:rPr>
          <w:b/>
        </w:rPr>
        <w:t xml:space="preserve">POLICE </w:t>
      </w:r>
      <w:r w:rsidR="001454DC" w:rsidRPr="00385D3B">
        <w:rPr>
          <w:b/>
        </w:rPr>
        <w:t xml:space="preserve">    </w:t>
      </w:r>
      <w:r w:rsidRPr="00385D3B">
        <w:rPr>
          <w:b/>
        </w:rPr>
        <w:t>N. O.</w:t>
      </w:r>
      <w:r w:rsidR="00967061">
        <w:rPr>
          <w:b/>
        </w:rPr>
        <w:t xml:space="preserve">    </w:t>
      </w:r>
      <w:r w:rsidRPr="00385D3B">
        <w:rPr>
          <w:b/>
        </w:rPr>
        <w:t xml:space="preserve"> (2) </w:t>
      </w:r>
      <w:r w:rsidR="00AF4111" w:rsidRPr="00385D3B">
        <w:rPr>
          <w:b/>
        </w:rPr>
        <w:t xml:space="preserve">    </w:t>
      </w:r>
      <w:r w:rsidRPr="00385D3B">
        <w:rPr>
          <w:b/>
        </w:rPr>
        <w:t xml:space="preserve">COMMISSIONER </w:t>
      </w:r>
      <w:r w:rsidR="001454DC" w:rsidRPr="00385D3B">
        <w:rPr>
          <w:b/>
        </w:rPr>
        <w:t xml:space="preserve">   </w:t>
      </w:r>
      <w:r w:rsidR="00967061">
        <w:rPr>
          <w:b/>
        </w:rPr>
        <w:t>ZIMBABWE</w:t>
      </w:r>
      <w:r w:rsidR="001454DC" w:rsidRPr="00385D3B">
        <w:rPr>
          <w:b/>
        </w:rPr>
        <w:t xml:space="preserve"> </w:t>
      </w:r>
      <w:r w:rsidR="00967061">
        <w:rPr>
          <w:b/>
        </w:rPr>
        <w:t xml:space="preserve">    </w:t>
      </w:r>
      <w:r w:rsidRPr="00385D3B">
        <w:rPr>
          <w:b/>
        </w:rPr>
        <w:t xml:space="preserve">DEFENCE </w:t>
      </w:r>
      <w:r w:rsidR="001454DC" w:rsidRPr="00385D3B">
        <w:rPr>
          <w:b/>
        </w:rPr>
        <w:t xml:space="preserve">    </w:t>
      </w:r>
      <w:r w:rsidRPr="00385D3B">
        <w:rPr>
          <w:b/>
        </w:rPr>
        <w:t xml:space="preserve">FORCES </w:t>
      </w:r>
      <w:r w:rsidR="00AF4111" w:rsidRPr="00385D3B">
        <w:rPr>
          <w:b/>
        </w:rPr>
        <w:t xml:space="preserve">    </w:t>
      </w:r>
      <w:r w:rsidRPr="00385D3B">
        <w:rPr>
          <w:b/>
        </w:rPr>
        <w:t>(3) FRIDAY</w:t>
      </w:r>
      <w:r w:rsidR="001454DC" w:rsidRPr="00385D3B">
        <w:rPr>
          <w:b/>
        </w:rPr>
        <w:t xml:space="preserve">    </w:t>
      </w:r>
      <w:r w:rsidRPr="00385D3B">
        <w:rPr>
          <w:b/>
        </w:rPr>
        <w:t xml:space="preserve"> MULEYA </w:t>
      </w:r>
      <w:r w:rsidR="00AF4111" w:rsidRPr="00385D3B">
        <w:rPr>
          <w:b/>
        </w:rPr>
        <w:t xml:space="preserve">    </w:t>
      </w:r>
      <w:r w:rsidRPr="00385D3B">
        <w:rPr>
          <w:b/>
        </w:rPr>
        <w:t xml:space="preserve">(4) </w:t>
      </w:r>
      <w:r w:rsidR="00AF4111" w:rsidRPr="00385D3B">
        <w:rPr>
          <w:b/>
        </w:rPr>
        <w:t xml:space="preserve">    </w:t>
      </w:r>
      <w:r w:rsidRPr="00385D3B">
        <w:rPr>
          <w:b/>
        </w:rPr>
        <w:t xml:space="preserve">PAUL </w:t>
      </w:r>
      <w:r w:rsidR="001454DC" w:rsidRPr="00385D3B">
        <w:rPr>
          <w:b/>
        </w:rPr>
        <w:t xml:space="preserve">    </w:t>
      </w:r>
      <w:r w:rsidRPr="00385D3B">
        <w:rPr>
          <w:b/>
        </w:rPr>
        <w:t xml:space="preserve">GOREKORE </w:t>
      </w:r>
      <w:r w:rsidR="00967061">
        <w:rPr>
          <w:b/>
        </w:rPr>
        <w:t xml:space="preserve">    </w:t>
      </w:r>
      <w:r w:rsidRPr="00385D3B">
        <w:rPr>
          <w:b/>
        </w:rPr>
        <w:t xml:space="preserve">(5) TENDAI </w:t>
      </w:r>
      <w:r w:rsidR="001454DC" w:rsidRPr="00385D3B">
        <w:rPr>
          <w:b/>
        </w:rPr>
        <w:t xml:space="preserve">    </w:t>
      </w:r>
      <w:r w:rsidRPr="00385D3B">
        <w:rPr>
          <w:b/>
        </w:rPr>
        <w:t>MUCHEKAHANZU</w:t>
      </w:r>
    </w:p>
    <w:p w14:paraId="77EE5ED9" w14:textId="189E47CC" w:rsidR="00307418" w:rsidRPr="00385D3B" w:rsidRDefault="00307418" w:rsidP="00F54BF2">
      <w:pPr>
        <w:rPr>
          <w:b/>
        </w:rPr>
      </w:pPr>
    </w:p>
    <w:p w14:paraId="7E60CE85" w14:textId="77777777" w:rsidR="00307418" w:rsidRPr="00385D3B" w:rsidRDefault="00307418" w:rsidP="00307418">
      <w:pPr>
        <w:spacing w:line="480" w:lineRule="auto"/>
        <w:jc w:val="both"/>
        <w:rPr>
          <w:b/>
        </w:rPr>
      </w:pPr>
    </w:p>
    <w:p w14:paraId="62DFC75D" w14:textId="77777777" w:rsidR="00307418" w:rsidRPr="00385D3B" w:rsidRDefault="00307418" w:rsidP="00307418">
      <w:pPr>
        <w:jc w:val="both"/>
        <w:rPr>
          <w:b/>
        </w:rPr>
      </w:pPr>
      <w:r w:rsidRPr="00385D3B">
        <w:rPr>
          <w:b/>
        </w:rPr>
        <w:t>SUPREME COURT OF ZIMBABWE</w:t>
      </w:r>
    </w:p>
    <w:p w14:paraId="3DF02F26" w14:textId="5E1E75AA" w:rsidR="00307418" w:rsidRPr="00385D3B" w:rsidRDefault="005B634B" w:rsidP="00307418">
      <w:pPr>
        <w:jc w:val="both"/>
        <w:rPr>
          <w:b/>
        </w:rPr>
      </w:pPr>
      <w:r w:rsidRPr="00385D3B">
        <w:rPr>
          <w:b/>
        </w:rPr>
        <w:t>BHUNU</w:t>
      </w:r>
      <w:r w:rsidR="00AF5073" w:rsidRPr="00385D3B">
        <w:rPr>
          <w:b/>
        </w:rPr>
        <w:t xml:space="preserve"> JA</w:t>
      </w:r>
      <w:r w:rsidR="00307418" w:rsidRPr="00385D3B">
        <w:rPr>
          <w:b/>
        </w:rPr>
        <w:t xml:space="preserve">, </w:t>
      </w:r>
      <w:r w:rsidR="00F54BF2" w:rsidRPr="00385D3B">
        <w:rPr>
          <w:b/>
        </w:rPr>
        <w:t>CHIWESHE</w:t>
      </w:r>
      <w:r w:rsidR="00307418" w:rsidRPr="00385D3B">
        <w:rPr>
          <w:b/>
        </w:rPr>
        <w:t xml:space="preserve"> JA</w:t>
      </w:r>
      <w:r w:rsidRPr="00385D3B">
        <w:rPr>
          <w:b/>
        </w:rPr>
        <w:t xml:space="preserve"> &amp; CHATUKUTA JA</w:t>
      </w:r>
    </w:p>
    <w:p w14:paraId="424DA204" w14:textId="6ECACCD3" w:rsidR="00307418" w:rsidRPr="00385D3B" w:rsidRDefault="00307418" w:rsidP="00307418">
      <w:pPr>
        <w:jc w:val="both"/>
        <w:rPr>
          <w:b/>
        </w:rPr>
      </w:pPr>
      <w:r w:rsidRPr="00385D3B">
        <w:rPr>
          <w:b/>
        </w:rPr>
        <w:t xml:space="preserve">HARARE: </w:t>
      </w:r>
      <w:r w:rsidR="00F54BF2" w:rsidRPr="00385D3B">
        <w:rPr>
          <w:b/>
        </w:rPr>
        <w:t>2 NOVEMBER</w:t>
      </w:r>
      <w:r w:rsidRPr="00385D3B">
        <w:rPr>
          <w:b/>
        </w:rPr>
        <w:t xml:space="preserve"> 2021</w:t>
      </w:r>
      <w:r w:rsidR="00824A17" w:rsidRPr="00385D3B">
        <w:rPr>
          <w:b/>
        </w:rPr>
        <w:t xml:space="preserve"> &amp;</w:t>
      </w:r>
      <w:r w:rsidR="00F54BF2" w:rsidRPr="00385D3B">
        <w:rPr>
          <w:b/>
        </w:rPr>
        <w:t xml:space="preserve"> </w:t>
      </w:r>
      <w:r w:rsidR="000B1AA6" w:rsidRPr="00385D3B">
        <w:rPr>
          <w:b/>
        </w:rPr>
        <w:t>31 OCTOBER</w:t>
      </w:r>
      <w:r w:rsidR="00F54BF2" w:rsidRPr="00385D3B">
        <w:rPr>
          <w:b/>
        </w:rPr>
        <w:t xml:space="preserve"> </w:t>
      </w:r>
      <w:r w:rsidRPr="00385D3B">
        <w:rPr>
          <w:b/>
        </w:rPr>
        <w:t>2022</w:t>
      </w:r>
    </w:p>
    <w:p w14:paraId="6C7AD01E" w14:textId="77777777" w:rsidR="00824A17" w:rsidRPr="00385D3B" w:rsidRDefault="00824A17" w:rsidP="00307418">
      <w:pPr>
        <w:jc w:val="both"/>
        <w:rPr>
          <w:b/>
        </w:rPr>
      </w:pPr>
    </w:p>
    <w:p w14:paraId="3E8EF939" w14:textId="77777777" w:rsidR="00824A17" w:rsidRPr="00385D3B" w:rsidRDefault="00824A17" w:rsidP="00307418">
      <w:pPr>
        <w:jc w:val="both"/>
      </w:pPr>
    </w:p>
    <w:p w14:paraId="374D4BCB" w14:textId="77777777" w:rsidR="00AC2E32" w:rsidRPr="00385D3B" w:rsidRDefault="00AC2E32" w:rsidP="00307418">
      <w:pPr>
        <w:jc w:val="both"/>
      </w:pPr>
    </w:p>
    <w:p w14:paraId="2B618A82" w14:textId="36C59AB6" w:rsidR="00307418" w:rsidRPr="00385D3B" w:rsidRDefault="00CA131A" w:rsidP="00307418">
      <w:pPr>
        <w:spacing w:line="480" w:lineRule="auto"/>
        <w:jc w:val="both"/>
      </w:pPr>
      <w:r w:rsidRPr="00385D3B">
        <w:rPr>
          <w:i/>
        </w:rPr>
        <w:t xml:space="preserve">E. </w:t>
      </w:r>
      <w:proofErr w:type="spellStart"/>
      <w:r w:rsidRPr="00385D3B">
        <w:rPr>
          <w:i/>
        </w:rPr>
        <w:t>Mubaiwa</w:t>
      </w:r>
      <w:proofErr w:type="spellEnd"/>
      <w:r w:rsidR="00307418" w:rsidRPr="00385D3B">
        <w:t>, for the appellant</w:t>
      </w:r>
      <w:r w:rsidRPr="00385D3B">
        <w:t>s</w:t>
      </w:r>
      <w:r w:rsidR="00307418" w:rsidRPr="00385D3B">
        <w:t xml:space="preserve"> </w:t>
      </w:r>
    </w:p>
    <w:p w14:paraId="32D8C28D" w14:textId="1E21A3F7" w:rsidR="00307418" w:rsidRPr="00385D3B" w:rsidRDefault="00CA131A" w:rsidP="00307418">
      <w:pPr>
        <w:spacing w:line="480" w:lineRule="auto"/>
        <w:jc w:val="both"/>
      </w:pPr>
      <w:r w:rsidRPr="00385D3B">
        <w:rPr>
          <w:i/>
        </w:rPr>
        <w:t xml:space="preserve">L. </w:t>
      </w:r>
      <w:proofErr w:type="spellStart"/>
      <w:r w:rsidRPr="00385D3B">
        <w:rPr>
          <w:i/>
        </w:rPr>
        <w:t>Madhuku</w:t>
      </w:r>
      <w:proofErr w:type="spellEnd"/>
      <w:r w:rsidR="00AC2E32" w:rsidRPr="00385D3B">
        <w:t xml:space="preserve">, for the </w:t>
      </w:r>
      <w:r w:rsidR="00AF4111" w:rsidRPr="00385D3B">
        <w:t>first to sixth</w:t>
      </w:r>
      <w:r w:rsidRPr="00385D3B">
        <w:t xml:space="preserve"> </w:t>
      </w:r>
      <w:r w:rsidR="00AF4111" w:rsidRPr="00385D3B">
        <w:t>and third</w:t>
      </w:r>
      <w:r w:rsidRPr="00385D3B">
        <w:t xml:space="preserve"> to </w:t>
      </w:r>
      <w:r w:rsidR="00AF4111" w:rsidRPr="00385D3B">
        <w:t>fifth</w:t>
      </w:r>
      <w:r w:rsidRPr="00385D3B">
        <w:t xml:space="preserve"> </w:t>
      </w:r>
      <w:r w:rsidR="00307418" w:rsidRPr="00385D3B">
        <w:t>respondents</w:t>
      </w:r>
    </w:p>
    <w:p w14:paraId="190D399E" w14:textId="4815D786" w:rsidR="00385A51" w:rsidRDefault="00CA131A" w:rsidP="00307418">
      <w:pPr>
        <w:spacing w:line="480" w:lineRule="auto"/>
        <w:jc w:val="both"/>
      </w:pPr>
      <w:r w:rsidRPr="00385D3B">
        <w:t xml:space="preserve">Miss </w:t>
      </w:r>
      <w:r w:rsidRPr="00385D3B">
        <w:rPr>
          <w:i/>
        </w:rPr>
        <w:t xml:space="preserve">M. </w:t>
      </w:r>
      <w:proofErr w:type="spellStart"/>
      <w:r w:rsidRPr="00385D3B">
        <w:rPr>
          <w:i/>
        </w:rPr>
        <w:t>Mavhemwa</w:t>
      </w:r>
      <w:proofErr w:type="spellEnd"/>
      <w:r w:rsidRPr="00385D3B">
        <w:rPr>
          <w:i/>
        </w:rPr>
        <w:t xml:space="preserve">, </w:t>
      </w:r>
      <w:r w:rsidR="00AF4111" w:rsidRPr="00385D3B">
        <w:t>for the eighth</w:t>
      </w:r>
      <w:r w:rsidRPr="00385D3B">
        <w:t xml:space="preserve"> </w:t>
      </w:r>
      <w:r w:rsidR="00E377F7" w:rsidRPr="00385D3B">
        <w:t>to</w:t>
      </w:r>
      <w:r w:rsidRPr="00385D3B">
        <w:t xml:space="preserve"> </w:t>
      </w:r>
      <w:r w:rsidR="00E377F7" w:rsidRPr="00385D3B">
        <w:t>ninth</w:t>
      </w:r>
      <w:r w:rsidRPr="00385D3B">
        <w:t xml:space="preserve">, </w:t>
      </w:r>
      <w:r w:rsidR="00AF4111" w:rsidRPr="00385D3B">
        <w:t>first</w:t>
      </w:r>
      <w:r w:rsidRPr="00385D3B">
        <w:t xml:space="preserve"> </w:t>
      </w:r>
      <w:r w:rsidR="00AF4111" w:rsidRPr="00385D3B">
        <w:t>and</w:t>
      </w:r>
      <w:r w:rsidRPr="00385D3B">
        <w:t xml:space="preserve"> </w:t>
      </w:r>
      <w:r w:rsidR="00AF4111" w:rsidRPr="00385D3B">
        <w:t>second</w:t>
      </w:r>
      <w:r w:rsidRPr="00385D3B">
        <w:t xml:space="preserve"> respondents</w:t>
      </w:r>
    </w:p>
    <w:p w14:paraId="685FF990" w14:textId="77777777" w:rsidR="00385D3B" w:rsidRDefault="00385D3B" w:rsidP="00307418">
      <w:pPr>
        <w:spacing w:line="480" w:lineRule="auto"/>
        <w:jc w:val="both"/>
      </w:pPr>
    </w:p>
    <w:p w14:paraId="2B680FA8" w14:textId="7008E53C" w:rsidR="00385A51" w:rsidRPr="00385D3B" w:rsidRDefault="00385A51" w:rsidP="00385A51">
      <w:pPr>
        <w:tabs>
          <w:tab w:val="left" w:pos="1134"/>
        </w:tabs>
        <w:spacing w:line="480" w:lineRule="auto"/>
        <w:jc w:val="both"/>
      </w:pPr>
      <w:r w:rsidRPr="00385D3B">
        <w:tab/>
      </w:r>
      <w:r w:rsidRPr="00385D3B">
        <w:rPr>
          <w:b/>
        </w:rPr>
        <w:t>CHIWESHE JA</w:t>
      </w:r>
      <w:r w:rsidR="00C62245">
        <w:t>:</w:t>
      </w:r>
      <w:r w:rsidR="00C62245">
        <w:tab/>
      </w:r>
      <w:r w:rsidRPr="00385D3B">
        <w:t>This is an appeal against t</w:t>
      </w:r>
      <w:r w:rsidR="00A2635E">
        <w:t>he judgment of the High </w:t>
      </w:r>
      <w:r w:rsidR="00F94801" w:rsidRPr="00385D3B">
        <w:t>Court si</w:t>
      </w:r>
      <w:r w:rsidR="00AF4111" w:rsidRPr="00385D3B">
        <w:t>tting at Harare given on 26 </w:t>
      </w:r>
      <w:r w:rsidRPr="00385D3B">
        <w:t xml:space="preserve">June 2020 wherein the court </w:t>
      </w:r>
      <w:r w:rsidRPr="00385D3B">
        <w:rPr>
          <w:i/>
        </w:rPr>
        <w:t>a quo</w:t>
      </w:r>
      <w:r w:rsidRPr="00385D3B">
        <w:t xml:space="preserve"> dismissed </w:t>
      </w:r>
      <w:r w:rsidRPr="00385D3B">
        <w:lastRenderedPageBreak/>
        <w:t xml:space="preserve">with costs </w:t>
      </w:r>
      <w:r w:rsidR="00442701" w:rsidRPr="00385D3B">
        <w:t>on the higher scale two urgent chamber applications for spoliation orders brought by the appellants under case numbers HC 2811/20 and HC 2813/20 respectively.</w:t>
      </w:r>
    </w:p>
    <w:p w14:paraId="6AC909AA" w14:textId="77777777" w:rsidR="00442701" w:rsidRPr="00385D3B" w:rsidRDefault="00442701" w:rsidP="00385A51">
      <w:pPr>
        <w:tabs>
          <w:tab w:val="left" w:pos="1134"/>
        </w:tabs>
        <w:spacing w:line="480" w:lineRule="auto"/>
        <w:jc w:val="both"/>
      </w:pPr>
    </w:p>
    <w:p w14:paraId="23BC4D4C" w14:textId="12A9AC8C" w:rsidR="00442701" w:rsidRPr="00385D3B" w:rsidRDefault="009B343D" w:rsidP="00385A51">
      <w:pPr>
        <w:tabs>
          <w:tab w:val="left" w:pos="1134"/>
        </w:tabs>
        <w:spacing w:line="480" w:lineRule="auto"/>
        <w:jc w:val="both"/>
        <w:rPr>
          <w:b/>
          <w:u w:val="single"/>
        </w:rPr>
      </w:pPr>
      <w:r w:rsidRPr="00385D3B">
        <w:rPr>
          <w:b/>
          <w:u w:val="single"/>
        </w:rPr>
        <w:t>THE FACTS</w:t>
      </w:r>
    </w:p>
    <w:p w14:paraId="7D3C7035" w14:textId="7EEA2D51" w:rsidR="009B343D" w:rsidRPr="00385D3B" w:rsidRDefault="009B343D" w:rsidP="009B343D">
      <w:pPr>
        <w:tabs>
          <w:tab w:val="left" w:pos="1134"/>
        </w:tabs>
        <w:spacing w:line="480" w:lineRule="auto"/>
        <w:jc w:val="both"/>
      </w:pPr>
      <w:r w:rsidRPr="00385D3B">
        <w:tab/>
        <w:t>Th</w:t>
      </w:r>
      <w:r w:rsidR="00CB5F15" w:rsidRPr="00385D3B">
        <w:t>e appellants in both cases averr</w:t>
      </w:r>
      <w:r w:rsidRPr="00385D3B">
        <w:t xml:space="preserve">ed in the court </w:t>
      </w:r>
      <w:r w:rsidR="00AF4111" w:rsidRPr="00385D3B">
        <w:rPr>
          <w:i/>
        </w:rPr>
        <w:t>a </w:t>
      </w:r>
      <w:r w:rsidRPr="00385D3B">
        <w:rPr>
          <w:i/>
        </w:rPr>
        <w:t>quo</w:t>
      </w:r>
      <w:r w:rsidRPr="00385D3B">
        <w:t xml:space="preserve"> that as of 4 June 2020 they were in peaceful and undisturbed possession of the property called </w:t>
      </w:r>
      <w:r w:rsidR="00EC723A" w:rsidRPr="00385D3B">
        <w:t>S</w:t>
      </w:r>
      <w:r w:rsidRPr="00385D3B">
        <w:t>tand 856 Salisbury Township of Salisbury Lands, measuring 892 s</w:t>
      </w:r>
      <w:r w:rsidR="00A2635E">
        <w:t>quare meters, also known as No. </w:t>
      </w:r>
      <w:r w:rsidRPr="00385D3B">
        <w:t xml:space="preserve">44 Nelson Mandela Avenue Harare, otherwise known as </w:t>
      </w:r>
      <w:r w:rsidR="00040D02">
        <w:t>Harvest House.  It is</w:t>
      </w:r>
      <w:r w:rsidR="003A5C3D" w:rsidRPr="00385D3B">
        <w:t xml:space="preserve"> also known as Morgan Richard Tsvangirai House. The building consists of six floors all of which were occupied by officials and employees of the </w:t>
      </w:r>
      <w:r w:rsidR="00EC723A" w:rsidRPr="00385D3B">
        <w:t>first</w:t>
      </w:r>
      <w:r w:rsidR="003A5C3D" w:rsidRPr="00385D3B">
        <w:t xml:space="preserve"> appellant in HC 2811/20, a political party.</w:t>
      </w:r>
    </w:p>
    <w:p w14:paraId="441A28BD" w14:textId="77777777" w:rsidR="003A5C3D" w:rsidRPr="00385D3B" w:rsidRDefault="003A5C3D" w:rsidP="009B343D">
      <w:pPr>
        <w:tabs>
          <w:tab w:val="left" w:pos="1134"/>
        </w:tabs>
        <w:spacing w:line="480" w:lineRule="auto"/>
        <w:jc w:val="both"/>
      </w:pPr>
    </w:p>
    <w:p w14:paraId="3504CBCE" w14:textId="5881FB6B" w:rsidR="003A5C3D" w:rsidRPr="00385D3B" w:rsidRDefault="003A5C3D" w:rsidP="009B343D">
      <w:pPr>
        <w:tabs>
          <w:tab w:val="left" w:pos="1134"/>
        </w:tabs>
        <w:spacing w:line="480" w:lineRule="auto"/>
        <w:jc w:val="both"/>
      </w:pPr>
      <w:r w:rsidRPr="00385D3B">
        <w:tab/>
        <w:t xml:space="preserve">On the night of 4 June 2020 the appellants were dispossessed of these premises by the respondents. It is alleged that the respondents </w:t>
      </w:r>
      <w:r w:rsidR="00C06C75" w:rsidRPr="00385D3B">
        <w:t xml:space="preserve">used the coercive force of </w:t>
      </w:r>
      <w:r w:rsidR="003B3C69" w:rsidRPr="00385D3B">
        <w:t xml:space="preserve">military men and police officers to gain occupation of the premises </w:t>
      </w:r>
      <w:r w:rsidR="00AC4C7D">
        <w:t>to</w:t>
      </w:r>
      <w:r w:rsidR="003B3C69" w:rsidRPr="00385D3B">
        <w:t xml:space="preserve"> forcibly eject the appellants. The appellants contend that their ejection was wrongful and constituted illegal dispossession. It was for th</w:t>
      </w:r>
      <w:r w:rsidR="00CB5F15" w:rsidRPr="00385D3B">
        <w:t>is</w:t>
      </w:r>
      <w:r w:rsidR="003B3C69" w:rsidRPr="00385D3B">
        <w:t xml:space="preserve"> reason that the appellants approached the court </w:t>
      </w:r>
      <w:r w:rsidR="003B3C69" w:rsidRPr="00385D3B">
        <w:rPr>
          <w:i/>
        </w:rPr>
        <w:t>a quo</w:t>
      </w:r>
      <w:r w:rsidR="003B3C69" w:rsidRPr="00385D3B">
        <w:t xml:space="preserve"> seeking spoliatory relief.</w:t>
      </w:r>
    </w:p>
    <w:p w14:paraId="2821E961" w14:textId="77777777" w:rsidR="008E79C4" w:rsidRPr="00385D3B" w:rsidRDefault="008E79C4" w:rsidP="009B343D">
      <w:pPr>
        <w:tabs>
          <w:tab w:val="left" w:pos="1134"/>
        </w:tabs>
        <w:spacing w:line="480" w:lineRule="auto"/>
        <w:jc w:val="both"/>
      </w:pPr>
    </w:p>
    <w:p w14:paraId="65D4B49C" w14:textId="3B3BB9D5" w:rsidR="003B3C69" w:rsidRPr="00385D3B" w:rsidRDefault="003B3C69" w:rsidP="009B343D">
      <w:pPr>
        <w:tabs>
          <w:tab w:val="left" w:pos="1134"/>
        </w:tabs>
        <w:spacing w:line="480" w:lineRule="auto"/>
        <w:jc w:val="both"/>
      </w:pPr>
      <w:r w:rsidRPr="00385D3B">
        <w:tab/>
      </w:r>
      <w:r w:rsidR="00510952" w:rsidRPr="00385D3B">
        <w:t xml:space="preserve">The respondents opposed the applications for </w:t>
      </w:r>
      <w:r w:rsidR="00A51B62">
        <w:t xml:space="preserve">the </w:t>
      </w:r>
      <w:r w:rsidR="00510952" w:rsidRPr="00385D3B">
        <w:t>spoliation orders</w:t>
      </w:r>
      <w:r w:rsidR="00FA0D54" w:rsidRPr="00385D3B">
        <w:t xml:space="preserve"> in both cases. The court </w:t>
      </w:r>
      <w:r w:rsidR="00FA0D54" w:rsidRPr="00385D3B">
        <w:rPr>
          <w:i/>
        </w:rPr>
        <w:t xml:space="preserve">a quo </w:t>
      </w:r>
      <w:r w:rsidR="00FA0D54" w:rsidRPr="00385D3B">
        <w:t xml:space="preserve">heard both applications together and issued one judgment </w:t>
      </w:r>
      <w:r w:rsidR="00054FC6" w:rsidRPr="00385D3B">
        <w:t>dismissing both</w:t>
      </w:r>
      <w:r w:rsidR="00FA0D54" w:rsidRPr="00385D3B">
        <w:t xml:space="preserve"> applications.</w:t>
      </w:r>
    </w:p>
    <w:p w14:paraId="1EAF6465" w14:textId="77777777" w:rsidR="00054FC6" w:rsidRPr="00385D3B" w:rsidRDefault="00054FC6" w:rsidP="009B343D">
      <w:pPr>
        <w:tabs>
          <w:tab w:val="left" w:pos="1134"/>
        </w:tabs>
        <w:spacing w:line="480" w:lineRule="auto"/>
        <w:jc w:val="both"/>
      </w:pPr>
    </w:p>
    <w:p w14:paraId="49AB3B40" w14:textId="1428487E" w:rsidR="00054FC6" w:rsidRPr="00385D3B" w:rsidRDefault="00054FC6" w:rsidP="009B343D">
      <w:pPr>
        <w:tabs>
          <w:tab w:val="left" w:pos="1134"/>
        </w:tabs>
        <w:spacing w:line="480" w:lineRule="auto"/>
        <w:jc w:val="both"/>
      </w:pPr>
      <w:r w:rsidRPr="00385D3B">
        <w:lastRenderedPageBreak/>
        <w:tab/>
        <w:t>Dissatisfied with that outcome the appellants have noted th</w:t>
      </w:r>
      <w:r w:rsidR="00541BEE" w:rsidRPr="00385D3B">
        <w:t>is</w:t>
      </w:r>
      <w:r w:rsidRPr="00385D3B">
        <w:t xml:space="preserve"> appeal against</w:t>
      </w:r>
      <w:r w:rsidR="00AF4111" w:rsidRPr="00385D3B">
        <w:t xml:space="preserve"> the decision</w:t>
      </w:r>
      <w:r w:rsidR="00F93DFF">
        <w:t>s</w:t>
      </w:r>
      <w:r w:rsidR="00AF4111" w:rsidRPr="00385D3B">
        <w:t xml:space="preserve"> in both cases, HC </w:t>
      </w:r>
      <w:r w:rsidRPr="00385D3B">
        <w:t>2811/20 and HC 2813/20</w:t>
      </w:r>
      <w:r w:rsidR="00DB2647" w:rsidRPr="00385D3B">
        <w:t>.</w:t>
      </w:r>
    </w:p>
    <w:p w14:paraId="2E4FC2C8" w14:textId="77777777" w:rsidR="00DB2647" w:rsidRPr="00385D3B" w:rsidRDefault="00DB2647" w:rsidP="009B343D">
      <w:pPr>
        <w:tabs>
          <w:tab w:val="left" w:pos="1134"/>
        </w:tabs>
        <w:spacing w:line="480" w:lineRule="auto"/>
        <w:jc w:val="both"/>
      </w:pPr>
    </w:p>
    <w:p w14:paraId="4DD3C26D" w14:textId="57E506AA" w:rsidR="00DB2647" w:rsidRPr="00385D3B" w:rsidRDefault="00DB2647" w:rsidP="00582A3E">
      <w:pPr>
        <w:tabs>
          <w:tab w:val="left" w:pos="1134"/>
        </w:tabs>
        <w:spacing w:line="480" w:lineRule="auto"/>
        <w:jc w:val="both"/>
        <w:rPr>
          <w:b/>
          <w:u w:val="single"/>
        </w:rPr>
      </w:pPr>
      <w:r w:rsidRPr="00385D3B">
        <w:rPr>
          <w:b/>
          <w:u w:val="single"/>
        </w:rPr>
        <w:t>GROUNDS OF APPEAL</w:t>
      </w:r>
    </w:p>
    <w:p w14:paraId="03D80C6C" w14:textId="61FB86CE" w:rsidR="00E73604" w:rsidRPr="00385D3B" w:rsidRDefault="00582A3E" w:rsidP="00A2635E">
      <w:pPr>
        <w:spacing w:line="480" w:lineRule="auto"/>
        <w:ind w:left="426" w:hanging="426"/>
        <w:jc w:val="both"/>
      </w:pPr>
      <w:r w:rsidRPr="00385D3B">
        <w:t xml:space="preserve">1. </w:t>
      </w:r>
      <w:r w:rsidR="00A2635E">
        <w:tab/>
      </w:r>
      <w:r w:rsidR="00E73604" w:rsidRPr="00385D3B">
        <w:t xml:space="preserve">The court </w:t>
      </w:r>
      <w:r w:rsidR="00E73604" w:rsidRPr="00385D3B">
        <w:rPr>
          <w:i/>
        </w:rPr>
        <w:t>a quo</w:t>
      </w:r>
      <w:r w:rsidR="00E73604" w:rsidRPr="00385D3B">
        <w:t xml:space="preserve"> grossly erred in failing to grant the applica</w:t>
      </w:r>
      <w:r w:rsidR="005512D4" w:rsidRPr="00385D3B">
        <w:t xml:space="preserve">tions </w:t>
      </w:r>
      <w:r w:rsidR="00E73604" w:rsidRPr="00385D3B">
        <w:t>when the requirements of a spoliation order had been met.</w:t>
      </w:r>
    </w:p>
    <w:p w14:paraId="79D6420F" w14:textId="77777777" w:rsidR="00364E2C" w:rsidRPr="00385D3B" w:rsidRDefault="00364E2C" w:rsidP="008E79C4">
      <w:pPr>
        <w:pStyle w:val="ListParagraph"/>
        <w:tabs>
          <w:tab w:val="left" w:pos="1134"/>
        </w:tabs>
        <w:jc w:val="both"/>
      </w:pPr>
    </w:p>
    <w:p w14:paraId="40117C31" w14:textId="568655AA" w:rsidR="00364E2C" w:rsidRDefault="00E73604" w:rsidP="00770B0F">
      <w:pPr>
        <w:pStyle w:val="ListParagraph"/>
        <w:numPr>
          <w:ilvl w:val="0"/>
          <w:numId w:val="26"/>
        </w:numPr>
        <w:spacing w:line="480" w:lineRule="auto"/>
        <w:ind w:left="425" w:hanging="425"/>
        <w:jc w:val="both"/>
      </w:pPr>
      <w:r w:rsidRPr="00385D3B">
        <w:t xml:space="preserve">Court </w:t>
      </w:r>
      <w:r w:rsidRPr="00385D3B">
        <w:rPr>
          <w:i/>
        </w:rPr>
        <w:t>a quo</w:t>
      </w:r>
      <w:r w:rsidRPr="00385D3B">
        <w:t xml:space="preserve"> erred and misinterpreted </w:t>
      </w:r>
      <w:r w:rsidR="00F93DFF">
        <w:t xml:space="preserve">(sic) </w:t>
      </w:r>
      <w:r w:rsidRPr="00385D3B">
        <w:t>itself in taking judicial notice that the MDC was in occupation of the property from about the time of its formation when in fact and in law the legalities of occupation were irrelevant to the spoliatory remedies that were being sought.</w:t>
      </w:r>
    </w:p>
    <w:p w14:paraId="7A914BF9" w14:textId="77777777" w:rsidR="00770B0F" w:rsidRPr="00770B0F" w:rsidRDefault="00770B0F" w:rsidP="00770B0F">
      <w:pPr>
        <w:spacing w:line="480" w:lineRule="auto"/>
        <w:jc w:val="both"/>
        <w:rPr>
          <w:sz w:val="18"/>
        </w:rPr>
      </w:pPr>
    </w:p>
    <w:p w14:paraId="19C4CE3D" w14:textId="3B367BB7" w:rsidR="00E73604" w:rsidRPr="00385D3B" w:rsidRDefault="00E73604" w:rsidP="00A2635E">
      <w:pPr>
        <w:pStyle w:val="ListParagraph"/>
        <w:numPr>
          <w:ilvl w:val="0"/>
          <w:numId w:val="26"/>
        </w:numPr>
        <w:tabs>
          <w:tab w:val="left" w:pos="1134"/>
        </w:tabs>
        <w:spacing w:line="480" w:lineRule="auto"/>
        <w:ind w:left="426" w:hanging="426"/>
        <w:jc w:val="both"/>
      </w:pPr>
      <w:r w:rsidRPr="00385D3B">
        <w:t xml:space="preserve">The court </w:t>
      </w:r>
      <w:r w:rsidRPr="00385D3B">
        <w:rPr>
          <w:i/>
        </w:rPr>
        <w:t>a quo</w:t>
      </w:r>
      <w:r w:rsidRPr="00385D3B">
        <w:t xml:space="preserve"> so seriously misdirected itself on the facts which misdirection amounts to a mistake of law when it found that the MDC-T was one and the same thing as the MDC and that the headquarters of the MDC-T was Morgan Richard Tsvangirai House when there was no evidence to support that conclusion.</w:t>
      </w:r>
    </w:p>
    <w:p w14:paraId="60372EF6" w14:textId="77777777" w:rsidR="00364E2C" w:rsidRPr="00385D3B" w:rsidRDefault="00364E2C" w:rsidP="008E79C4">
      <w:pPr>
        <w:pStyle w:val="ListParagraph"/>
        <w:tabs>
          <w:tab w:val="left" w:pos="1134"/>
        </w:tabs>
        <w:jc w:val="both"/>
      </w:pPr>
    </w:p>
    <w:p w14:paraId="748D4DD3" w14:textId="1EC7C162" w:rsidR="00E73604" w:rsidRPr="00385D3B" w:rsidRDefault="00E73604" w:rsidP="00A2635E">
      <w:pPr>
        <w:pStyle w:val="ListParagraph"/>
        <w:numPr>
          <w:ilvl w:val="0"/>
          <w:numId w:val="26"/>
        </w:numPr>
        <w:tabs>
          <w:tab w:val="left" w:pos="1134"/>
        </w:tabs>
        <w:spacing w:line="480" w:lineRule="auto"/>
        <w:ind w:left="426" w:hanging="426"/>
        <w:jc w:val="both"/>
      </w:pPr>
      <w:r w:rsidRPr="00385D3B">
        <w:t xml:space="preserve">The court </w:t>
      </w:r>
      <w:r w:rsidRPr="00385D3B">
        <w:rPr>
          <w:i/>
        </w:rPr>
        <w:t>a quo</w:t>
      </w:r>
      <w:r w:rsidRPr="00385D3B">
        <w:t xml:space="preserve"> seriously erred and misdirected itself in holding that the mere fact that the MDC-T stated that its headquarters were/are at Morgan Richard Tsvangirai House, No. 44 Nelson Mandela Avenue, Harare meant that the owners of the property had confirmed the right of occupation to the MDC-T which finding was contrary to the unequivocal position of the owners that it had granted the right of occupation to the MDC Alliance.</w:t>
      </w:r>
    </w:p>
    <w:p w14:paraId="0BDE0A20" w14:textId="77777777" w:rsidR="00364E2C" w:rsidRPr="00385D3B" w:rsidRDefault="00364E2C" w:rsidP="008E79C4">
      <w:pPr>
        <w:pStyle w:val="ListParagraph"/>
        <w:tabs>
          <w:tab w:val="left" w:pos="1134"/>
        </w:tabs>
        <w:jc w:val="both"/>
      </w:pPr>
    </w:p>
    <w:p w14:paraId="258CE575" w14:textId="23C467C2" w:rsidR="00C23D4E" w:rsidRPr="00385D3B" w:rsidRDefault="00C23D4E" w:rsidP="00A2635E">
      <w:pPr>
        <w:pStyle w:val="ListParagraph"/>
        <w:numPr>
          <w:ilvl w:val="0"/>
          <w:numId w:val="26"/>
        </w:numPr>
        <w:tabs>
          <w:tab w:val="left" w:pos="1134"/>
        </w:tabs>
        <w:spacing w:line="480" w:lineRule="auto"/>
        <w:ind w:left="426" w:hanging="426"/>
        <w:jc w:val="both"/>
      </w:pPr>
      <w:r w:rsidRPr="00385D3B">
        <w:lastRenderedPageBreak/>
        <w:t xml:space="preserve">The court </w:t>
      </w:r>
      <w:r w:rsidRPr="00385D3B">
        <w:rPr>
          <w:i/>
        </w:rPr>
        <w:t xml:space="preserve">a quo </w:t>
      </w:r>
      <w:r w:rsidRPr="00385D3B">
        <w:t>also erred in holding that only juristic persons were in possession of the pro</w:t>
      </w:r>
      <w:r w:rsidR="00A80851">
        <w:t>perty when evidence before the c</w:t>
      </w:r>
      <w:r w:rsidRPr="00385D3B">
        <w:t xml:space="preserve">ourt showed that natural persons occupying the property under First Applicant and in their own right were also in possession of the property and were </w:t>
      </w:r>
      <w:r w:rsidR="00AF4111" w:rsidRPr="00385D3B">
        <w:t>unlawfully despoiled of by the r</w:t>
      </w:r>
      <w:r w:rsidRPr="00385D3B">
        <w:t>espondents.</w:t>
      </w:r>
    </w:p>
    <w:p w14:paraId="38540F5C" w14:textId="77777777" w:rsidR="00364E2C" w:rsidRPr="00385D3B" w:rsidRDefault="00364E2C" w:rsidP="00364E2C">
      <w:pPr>
        <w:pStyle w:val="ListParagraph"/>
        <w:tabs>
          <w:tab w:val="left" w:pos="1134"/>
        </w:tabs>
        <w:spacing w:line="480" w:lineRule="auto"/>
        <w:jc w:val="both"/>
      </w:pPr>
    </w:p>
    <w:p w14:paraId="6CACBBC3" w14:textId="63D2113B" w:rsidR="00C23D4E" w:rsidRPr="00385D3B" w:rsidRDefault="00C23D4E" w:rsidP="00A2635E">
      <w:pPr>
        <w:pStyle w:val="ListParagraph"/>
        <w:numPr>
          <w:ilvl w:val="0"/>
          <w:numId w:val="26"/>
        </w:numPr>
        <w:tabs>
          <w:tab w:val="left" w:pos="1134"/>
        </w:tabs>
        <w:spacing w:line="480" w:lineRule="auto"/>
        <w:ind w:left="426" w:hanging="426"/>
        <w:jc w:val="both"/>
      </w:pPr>
      <w:r w:rsidRPr="00385D3B">
        <w:t xml:space="preserve">The court </w:t>
      </w:r>
      <w:r w:rsidRPr="00385D3B">
        <w:rPr>
          <w:i/>
        </w:rPr>
        <w:t>a quo</w:t>
      </w:r>
      <w:r w:rsidRPr="00385D3B">
        <w:t xml:space="preserve"> also erred and misdirec</w:t>
      </w:r>
      <w:r w:rsidR="00A80851">
        <w:t>ted itself in holding that the a</w:t>
      </w:r>
      <w:r w:rsidRPr="00385D3B">
        <w:t>pplicants had no locus to sue for spoliat</w:t>
      </w:r>
      <w:r w:rsidR="00AF4111" w:rsidRPr="00385D3B">
        <w:t>ion when this was not even the r</w:t>
      </w:r>
      <w:r w:rsidRPr="00385D3B">
        <w:t>espond</w:t>
      </w:r>
      <w:r w:rsidR="00D73165" w:rsidRPr="00385D3B">
        <w:t>ents</w:t>
      </w:r>
      <w:r w:rsidRPr="00385D3B">
        <w:t>’ case</w:t>
      </w:r>
      <w:r w:rsidR="00D73165" w:rsidRPr="00385D3B">
        <w:t xml:space="preserve"> and when in any event they had such locus regard being had to the fact they were in occupation of the property</w:t>
      </w:r>
      <w:r w:rsidR="00AF4111" w:rsidRPr="00385D3B">
        <w:t>. Further and in any event the a</w:t>
      </w:r>
      <w:r w:rsidR="00D73165" w:rsidRPr="00385D3B">
        <w:t>pplicants were interested parties in this matter.</w:t>
      </w:r>
    </w:p>
    <w:p w14:paraId="5F9027CF" w14:textId="77777777" w:rsidR="00364E2C" w:rsidRDefault="00364E2C" w:rsidP="008E79C4">
      <w:pPr>
        <w:pStyle w:val="ListParagraph"/>
        <w:tabs>
          <w:tab w:val="left" w:pos="1134"/>
        </w:tabs>
        <w:jc w:val="both"/>
      </w:pPr>
    </w:p>
    <w:p w14:paraId="658A1D9C" w14:textId="77777777" w:rsidR="00111ACE" w:rsidRPr="00385D3B" w:rsidRDefault="00111ACE" w:rsidP="008E79C4">
      <w:pPr>
        <w:pStyle w:val="ListParagraph"/>
        <w:tabs>
          <w:tab w:val="left" w:pos="1134"/>
        </w:tabs>
        <w:jc w:val="both"/>
      </w:pPr>
    </w:p>
    <w:p w14:paraId="3C32260D" w14:textId="63B5FE9F" w:rsidR="00D73165" w:rsidRPr="00385D3B" w:rsidRDefault="00D73165" w:rsidP="00A2635E">
      <w:pPr>
        <w:pStyle w:val="ListParagraph"/>
        <w:numPr>
          <w:ilvl w:val="0"/>
          <w:numId w:val="26"/>
        </w:numPr>
        <w:tabs>
          <w:tab w:val="left" w:pos="1134"/>
        </w:tabs>
        <w:spacing w:line="480" w:lineRule="auto"/>
        <w:ind w:left="426" w:hanging="426"/>
        <w:jc w:val="both"/>
      </w:pPr>
      <w:r w:rsidRPr="00385D3B">
        <w:t xml:space="preserve">The court </w:t>
      </w:r>
      <w:r w:rsidRPr="00385D3B">
        <w:rPr>
          <w:i/>
        </w:rPr>
        <w:t>a quo</w:t>
      </w:r>
      <w:r w:rsidRPr="00385D3B">
        <w:t xml:space="preserve"> erred and misdirected itself in hold</w:t>
      </w:r>
      <w:r w:rsidR="00A80851">
        <w:t>ing that s</w:t>
      </w:r>
      <w:r w:rsidR="00A2635E">
        <w:t>ixth respondent in HC </w:t>
      </w:r>
      <w:r w:rsidRPr="00385D3B">
        <w:t>2811/20 had a contract with the owners of the property when no such con</w:t>
      </w:r>
      <w:r w:rsidR="00A2635E">
        <w:t>tract was exhibited before the c</w:t>
      </w:r>
      <w:r w:rsidRPr="00385D3B">
        <w:t xml:space="preserve">ourt and when none existed and when the owners were clear that they had given possession to </w:t>
      </w:r>
      <w:r w:rsidR="0050679C">
        <w:t>first a</w:t>
      </w:r>
      <w:r w:rsidR="00AF4111" w:rsidRPr="00385D3B">
        <w:t>pplicant in HC </w:t>
      </w:r>
      <w:r w:rsidRPr="00385D3B">
        <w:t>2811/20. The conclusion was contrary to the evidence.</w:t>
      </w:r>
    </w:p>
    <w:p w14:paraId="146E1E61" w14:textId="77777777" w:rsidR="00364E2C" w:rsidRDefault="00364E2C" w:rsidP="008E79C4">
      <w:pPr>
        <w:pStyle w:val="ListParagraph"/>
        <w:tabs>
          <w:tab w:val="left" w:pos="1134"/>
        </w:tabs>
        <w:jc w:val="both"/>
      </w:pPr>
    </w:p>
    <w:p w14:paraId="7E9EDE56" w14:textId="77777777" w:rsidR="00111ACE" w:rsidRPr="00385D3B" w:rsidRDefault="00111ACE" w:rsidP="008E79C4">
      <w:pPr>
        <w:pStyle w:val="ListParagraph"/>
        <w:tabs>
          <w:tab w:val="left" w:pos="1134"/>
        </w:tabs>
        <w:jc w:val="both"/>
      </w:pPr>
    </w:p>
    <w:p w14:paraId="5E75C0BF" w14:textId="1D8101FD" w:rsidR="00D73165" w:rsidRPr="00385D3B" w:rsidRDefault="00D73165" w:rsidP="00A2635E">
      <w:pPr>
        <w:pStyle w:val="ListParagraph"/>
        <w:numPr>
          <w:ilvl w:val="0"/>
          <w:numId w:val="26"/>
        </w:numPr>
        <w:spacing w:line="480" w:lineRule="auto"/>
        <w:ind w:left="567" w:hanging="567"/>
        <w:jc w:val="both"/>
      </w:pPr>
      <w:r w:rsidRPr="00385D3B">
        <w:t xml:space="preserve">The court </w:t>
      </w:r>
      <w:r w:rsidRPr="00385D3B">
        <w:rPr>
          <w:i/>
        </w:rPr>
        <w:t>a quo</w:t>
      </w:r>
      <w:r w:rsidRPr="00385D3B">
        <w:t xml:space="preserve"> erred and misdirected itself in failing to find that members of the Police force and the Zimbabwe National Army aided the act of spoliation which conduct had effect of putting both institutions into disrepute and constituted a dereliction of their constitutional functions.</w:t>
      </w:r>
    </w:p>
    <w:p w14:paraId="340DF212" w14:textId="77777777" w:rsidR="00364E2C" w:rsidRDefault="00364E2C" w:rsidP="008E79C4">
      <w:pPr>
        <w:pStyle w:val="ListParagraph"/>
        <w:tabs>
          <w:tab w:val="left" w:pos="1134"/>
        </w:tabs>
        <w:jc w:val="both"/>
      </w:pPr>
    </w:p>
    <w:p w14:paraId="2FC472F8" w14:textId="77777777" w:rsidR="00111ACE" w:rsidRPr="00385D3B" w:rsidRDefault="00111ACE" w:rsidP="008E79C4">
      <w:pPr>
        <w:pStyle w:val="ListParagraph"/>
        <w:tabs>
          <w:tab w:val="left" w:pos="1134"/>
        </w:tabs>
        <w:jc w:val="both"/>
      </w:pPr>
    </w:p>
    <w:p w14:paraId="7246B454" w14:textId="7F508206" w:rsidR="00D73165" w:rsidRPr="00385D3B" w:rsidRDefault="00D73165" w:rsidP="00A2635E">
      <w:pPr>
        <w:pStyle w:val="ListParagraph"/>
        <w:numPr>
          <w:ilvl w:val="0"/>
          <w:numId w:val="26"/>
        </w:numPr>
        <w:spacing w:line="480" w:lineRule="auto"/>
        <w:ind w:left="567" w:hanging="567"/>
        <w:jc w:val="both"/>
      </w:pPr>
      <w:r w:rsidRPr="00385D3B">
        <w:lastRenderedPageBreak/>
        <w:t xml:space="preserve">The </w:t>
      </w:r>
      <w:r w:rsidR="00364E2C" w:rsidRPr="00385D3B">
        <w:t>court</w:t>
      </w:r>
      <w:r w:rsidRPr="00385D3B">
        <w:rPr>
          <w:i/>
        </w:rPr>
        <w:t xml:space="preserve"> a quo</w:t>
      </w:r>
      <w:r w:rsidRPr="00385D3B">
        <w:t xml:space="preserve"> erred and misdirected itself in dism</w:t>
      </w:r>
      <w:r w:rsidR="00770B0F">
        <w:t>issing the application in Case </w:t>
      </w:r>
      <w:r w:rsidRPr="00385D3B">
        <w:t xml:space="preserve">No. </w:t>
      </w:r>
      <w:r w:rsidR="000B786F" w:rsidRPr="00385D3B">
        <w:t xml:space="preserve">HC </w:t>
      </w:r>
      <w:r w:rsidRPr="00385D3B">
        <w:t xml:space="preserve">2813/20 </w:t>
      </w:r>
      <w:r w:rsidR="000B786F" w:rsidRPr="00385D3B">
        <w:t xml:space="preserve">on the basis that </w:t>
      </w:r>
      <w:r w:rsidR="007647BC" w:rsidRPr="00385D3B">
        <w:t>The applicants in that case had refused or not disclosed their employer when such fact was irrelevant to the question whether they had been despoiled or not.</w:t>
      </w:r>
    </w:p>
    <w:p w14:paraId="06AAE816" w14:textId="77777777" w:rsidR="007647BC" w:rsidRPr="00385D3B" w:rsidRDefault="007647BC" w:rsidP="007647BC">
      <w:pPr>
        <w:pStyle w:val="ListParagraph"/>
        <w:tabs>
          <w:tab w:val="left" w:pos="1134"/>
        </w:tabs>
        <w:spacing w:line="480" w:lineRule="auto"/>
        <w:jc w:val="both"/>
      </w:pPr>
    </w:p>
    <w:p w14:paraId="43B0276B" w14:textId="64A2BD4A" w:rsidR="00DB2647" w:rsidRPr="00385D3B" w:rsidRDefault="00DB2647" w:rsidP="00DB2647">
      <w:pPr>
        <w:tabs>
          <w:tab w:val="left" w:pos="1134"/>
        </w:tabs>
        <w:spacing w:line="480" w:lineRule="auto"/>
        <w:jc w:val="both"/>
      </w:pPr>
      <w:r w:rsidRPr="00385D3B">
        <w:tab/>
        <w:t>The appellants sought the following relief.</w:t>
      </w:r>
    </w:p>
    <w:p w14:paraId="3D89A599" w14:textId="3E859874" w:rsidR="00DB2647" w:rsidRPr="00385D3B" w:rsidRDefault="00DB2647" w:rsidP="005F6BC8">
      <w:pPr>
        <w:tabs>
          <w:tab w:val="left" w:pos="993"/>
        </w:tabs>
        <w:spacing w:line="480" w:lineRule="auto"/>
        <w:ind w:left="567"/>
        <w:jc w:val="both"/>
      </w:pPr>
      <w:r w:rsidRPr="00385D3B">
        <w:t>“1. That the instant appeal succeeds with costs.</w:t>
      </w:r>
    </w:p>
    <w:p w14:paraId="651E3934" w14:textId="58A6697F" w:rsidR="00DB2647" w:rsidRPr="00385D3B" w:rsidRDefault="008E79C4" w:rsidP="005F6BC8">
      <w:pPr>
        <w:tabs>
          <w:tab w:val="left" w:pos="1701"/>
        </w:tabs>
        <w:spacing w:line="480" w:lineRule="auto"/>
        <w:ind w:left="993" w:hanging="851"/>
        <w:jc w:val="both"/>
      </w:pPr>
      <w:r w:rsidRPr="00385D3B">
        <w:t xml:space="preserve">    </w:t>
      </w:r>
      <w:r w:rsidR="00C62245">
        <w:t xml:space="preserve">     </w:t>
      </w:r>
      <w:r w:rsidRPr="00385D3B">
        <w:t xml:space="preserve"> </w:t>
      </w:r>
      <w:r w:rsidR="00DB2647" w:rsidRPr="00385D3B">
        <w:t xml:space="preserve">2. That the part of the judgment of the court </w:t>
      </w:r>
      <w:r w:rsidR="00DB2647" w:rsidRPr="00385D3B">
        <w:rPr>
          <w:i/>
        </w:rPr>
        <w:t>a quo</w:t>
      </w:r>
      <w:r w:rsidR="00DB2647" w:rsidRPr="00385D3B">
        <w:t xml:space="preserve"> </w:t>
      </w:r>
      <w:r w:rsidRPr="00385D3B">
        <w:t xml:space="preserve">  </w:t>
      </w:r>
      <w:r w:rsidR="00DB2647" w:rsidRPr="00385D3B">
        <w:t>dismissing the application in HC 2811/20 be set aside and be substituted with the following:</w:t>
      </w:r>
    </w:p>
    <w:p w14:paraId="381CD0C7" w14:textId="3E1AD971" w:rsidR="00DB2647" w:rsidRPr="00385D3B" w:rsidRDefault="008E79C4" w:rsidP="00A2635E">
      <w:pPr>
        <w:tabs>
          <w:tab w:val="left" w:pos="1134"/>
          <w:tab w:val="left" w:pos="1418"/>
        </w:tabs>
        <w:spacing w:line="480" w:lineRule="auto"/>
        <w:ind w:left="1985" w:hanging="709"/>
        <w:jc w:val="both"/>
      </w:pPr>
      <w:r w:rsidRPr="00385D3B">
        <w:t xml:space="preserve">   ‘</w:t>
      </w:r>
      <w:r w:rsidR="00DB2647" w:rsidRPr="00385D3B">
        <w:t>The application in HC 2811/20 be and is hereby granted.</w:t>
      </w:r>
      <w:r w:rsidRPr="00385D3B">
        <w:t>’</w:t>
      </w:r>
    </w:p>
    <w:p w14:paraId="16317506" w14:textId="032A05A2" w:rsidR="00DB2647" w:rsidRPr="00385D3B" w:rsidRDefault="001113DF" w:rsidP="005F6BC8">
      <w:pPr>
        <w:spacing w:line="480" w:lineRule="auto"/>
        <w:ind w:left="993" w:hanging="851"/>
        <w:jc w:val="both"/>
      </w:pPr>
      <w:r w:rsidRPr="00385D3B">
        <w:t xml:space="preserve">    </w:t>
      </w:r>
      <w:r w:rsidR="00C62245">
        <w:t xml:space="preserve">      </w:t>
      </w:r>
      <w:r w:rsidR="00DB2647" w:rsidRPr="00385D3B">
        <w:t xml:space="preserve">3. That the part of the judgment of the court </w:t>
      </w:r>
      <w:r w:rsidR="00DB2647" w:rsidRPr="00385D3B">
        <w:rPr>
          <w:i/>
        </w:rPr>
        <w:t>a quo</w:t>
      </w:r>
      <w:r w:rsidR="00DB2647" w:rsidRPr="00385D3B">
        <w:t xml:space="preserve">, </w:t>
      </w:r>
      <w:r w:rsidRPr="00385D3B">
        <w:t xml:space="preserve">  </w:t>
      </w:r>
      <w:r w:rsidR="00DB2647" w:rsidRPr="00385D3B">
        <w:t>dismissing the application in HC 2813/20 be set aside and be substituted with the following:</w:t>
      </w:r>
    </w:p>
    <w:p w14:paraId="5A9FB8D9" w14:textId="05004433" w:rsidR="00DB2647" w:rsidRPr="00385D3B" w:rsidRDefault="001113DF" w:rsidP="001113DF">
      <w:pPr>
        <w:tabs>
          <w:tab w:val="left" w:pos="1134"/>
        </w:tabs>
        <w:spacing w:line="480" w:lineRule="auto"/>
        <w:ind w:left="1440"/>
        <w:jc w:val="both"/>
      </w:pPr>
      <w:r w:rsidRPr="00385D3B">
        <w:t>‘</w:t>
      </w:r>
      <w:r w:rsidR="00DB2647" w:rsidRPr="00385D3B">
        <w:t>The application in HC 2813/20 be and is hereby granted.</w:t>
      </w:r>
      <w:r w:rsidRPr="00385D3B">
        <w:t>’”</w:t>
      </w:r>
    </w:p>
    <w:p w14:paraId="4AC59BE1" w14:textId="77777777" w:rsidR="00DB2647" w:rsidRPr="00385D3B" w:rsidRDefault="00DB2647" w:rsidP="00DB2647">
      <w:pPr>
        <w:tabs>
          <w:tab w:val="left" w:pos="1134"/>
        </w:tabs>
        <w:spacing w:line="480" w:lineRule="auto"/>
        <w:jc w:val="both"/>
      </w:pPr>
    </w:p>
    <w:p w14:paraId="0711818C" w14:textId="2E5517DA" w:rsidR="003B3C69" w:rsidRPr="00385D3B" w:rsidRDefault="00DB2647" w:rsidP="009B343D">
      <w:pPr>
        <w:tabs>
          <w:tab w:val="left" w:pos="1134"/>
        </w:tabs>
        <w:spacing w:line="480" w:lineRule="auto"/>
        <w:jc w:val="both"/>
        <w:rPr>
          <w:b/>
          <w:u w:val="single"/>
        </w:rPr>
      </w:pPr>
      <w:r w:rsidRPr="00385D3B">
        <w:rPr>
          <w:b/>
          <w:u w:val="single"/>
        </w:rPr>
        <w:t>THE ISSUE</w:t>
      </w:r>
    </w:p>
    <w:p w14:paraId="1FEBA63C" w14:textId="46497A1C" w:rsidR="00DB2647" w:rsidRPr="00385D3B" w:rsidRDefault="00DB2647" w:rsidP="005F6BC8">
      <w:pPr>
        <w:tabs>
          <w:tab w:val="left" w:pos="1134"/>
        </w:tabs>
        <w:spacing w:line="480" w:lineRule="auto"/>
        <w:jc w:val="both"/>
      </w:pPr>
      <w:r w:rsidRPr="00385D3B">
        <w:tab/>
        <w:t xml:space="preserve">The </w:t>
      </w:r>
      <w:r w:rsidR="005F6BC8">
        <w:t>grounds of appeal</w:t>
      </w:r>
      <w:r w:rsidRPr="00385D3B">
        <w:t xml:space="preserve"> only raise one issue, namely, whether the appellants were wrongfully dispossessed of the premises in q</w:t>
      </w:r>
      <w:r w:rsidR="006176C3" w:rsidRPr="00385D3B">
        <w:t>uestion.</w:t>
      </w:r>
    </w:p>
    <w:p w14:paraId="79275AD7" w14:textId="77777777" w:rsidR="006176C3" w:rsidRPr="00385D3B" w:rsidRDefault="006176C3" w:rsidP="009B343D">
      <w:pPr>
        <w:tabs>
          <w:tab w:val="left" w:pos="1134"/>
        </w:tabs>
        <w:spacing w:line="480" w:lineRule="auto"/>
        <w:jc w:val="both"/>
      </w:pPr>
    </w:p>
    <w:p w14:paraId="020B8306" w14:textId="5D005B2E" w:rsidR="006176C3" w:rsidRPr="00385D3B" w:rsidRDefault="006176C3" w:rsidP="009B343D">
      <w:pPr>
        <w:tabs>
          <w:tab w:val="left" w:pos="1134"/>
        </w:tabs>
        <w:spacing w:line="480" w:lineRule="auto"/>
        <w:jc w:val="both"/>
        <w:rPr>
          <w:b/>
          <w:u w:val="single"/>
        </w:rPr>
      </w:pPr>
      <w:r w:rsidRPr="00385D3B">
        <w:rPr>
          <w:b/>
          <w:u w:val="single"/>
        </w:rPr>
        <w:t>PRELIMINARY ISSUE</w:t>
      </w:r>
    </w:p>
    <w:p w14:paraId="49264A62" w14:textId="7B2A4EE3" w:rsidR="006176C3" w:rsidRPr="00385D3B" w:rsidRDefault="006176C3" w:rsidP="009B343D">
      <w:pPr>
        <w:tabs>
          <w:tab w:val="left" w:pos="1134"/>
        </w:tabs>
        <w:spacing w:line="480" w:lineRule="auto"/>
        <w:jc w:val="both"/>
      </w:pPr>
      <w:r w:rsidRPr="00385D3B">
        <w:tab/>
        <w:t>The respondent</w:t>
      </w:r>
      <w:r w:rsidR="005A58FC">
        <w:t>s</w:t>
      </w:r>
      <w:r w:rsidRPr="00385D3B">
        <w:t xml:space="preserve"> raised one valid point </w:t>
      </w:r>
      <w:r w:rsidRPr="00385D3B">
        <w:rPr>
          <w:i/>
        </w:rPr>
        <w:t xml:space="preserve">in </w:t>
      </w:r>
      <w:proofErr w:type="spellStart"/>
      <w:r w:rsidRPr="00385D3B">
        <w:rPr>
          <w:i/>
        </w:rPr>
        <w:t>limine</w:t>
      </w:r>
      <w:proofErr w:type="spellEnd"/>
      <w:r w:rsidRPr="00385D3B">
        <w:t xml:space="preserve">, namely, that the notice of appeal does not state the exact relief sought as required by </w:t>
      </w:r>
      <w:r w:rsidR="000D5E19" w:rsidRPr="00385D3B">
        <w:t>r</w:t>
      </w:r>
      <w:r w:rsidRPr="00385D3B">
        <w:t xml:space="preserve"> 37 (1)(e)of the Supreme Court Rules, 2018. I agree with that observation.</w:t>
      </w:r>
    </w:p>
    <w:p w14:paraId="1E7B52F6" w14:textId="4147673F" w:rsidR="00111ACE" w:rsidRPr="00385D3B" w:rsidRDefault="00111ACE" w:rsidP="009B343D">
      <w:pPr>
        <w:tabs>
          <w:tab w:val="left" w:pos="1134"/>
        </w:tabs>
        <w:spacing w:line="480" w:lineRule="auto"/>
        <w:jc w:val="both"/>
      </w:pPr>
      <w:r>
        <w:t xml:space="preserve">                                                                    </w:t>
      </w:r>
    </w:p>
    <w:p w14:paraId="5D41F670" w14:textId="16C081DE" w:rsidR="006176C3" w:rsidRPr="00385D3B" w:rsidRDefault="006176C3" w:rsidP="0050679C">
      <w:pPr>
        <w:tabs>
          <w:tab w:val="left" w:pos="1134"/>
        </w:tabs>
        <w:spacing w:line="480" w:lineRule="auto"/>
        <w:jc w:val="both"/>
      </w:pPr>
      <w:r w:rsidRPr="00385D3B">
        <w:lastRenderedPageBreak/>
        <w:tab/>
        <w:t xml:space="preserve">The relief sought must be the order that the appellant would have been granted in the court </w:t>
      </w:r>
      <w:r w:rsidRPr="00385D3B">
        <w:rPr>
          <w:i/>
        </w:rPr>
        <w:t>a quo</w:t>
      </w:r>
      <w:r w:rsidRPr="00385D3B">
        <w:t xml:space="preserve"> if its application had succeeded. Ordinarily such relief would have been granted in terms of the draft order as adopted or modified by the court </w:t>
      </w:r>
      <w:r w:rsidRPr="00385D3B">
        <w:rPr>
          <w:i/>
        </w:rPr>
        <w:t>a quo</w:t>
      </w:r>
      <w:r w:rsidRPr="00385D3B">
        <w:t xml:space="preserve">. That order represents the exact relief that is being sought in the Notice of Appeal. It is not sufficient to simply state as in this case that “The application be and is hereby granted.” It is mandatory to spell out the exact or actual relief sought. In other words the exact relief sought means the operative part of the order that could have been granted in the court </w:t>
      </w:r>
      <w:r w:rsidR="0050679C">
        <w:rPr>
          <w:i/>
        </w:rPr>
        <w:t>a </w:t>
      </w:r>
      <w:r w:rsidRPr="00385D3B">
        <w:rPr>
          <w:i/>
        </w:rPr>
        <w:t>quo</w:t>
      </w:r>
      <w:r w:rsidRPr="00385D3B">
        <w:t>.</w:t>
      </w:r>
    </w:p>
    <w:p w14:paraId="548A809E" w14:textId="77777777" w:rsidR="006176C3" w:rsidRPr="00385D3B" w:rsidRDefault="006176C3" w:rsidP="009B343D">
      <w:pPr>
        <w:tabs>
          <w:tab w:val="left" w:pos="1134"/>
        </w:tabs>
        <w:spacing w:line="480" w:lineRule="auto"/>
        <w:jc w:val="both"/>
      </w:pPr>
    </w:p>
    <w:p w14:paraId="07CB3C7F" w14:textId="4144F79D" w:rsidR="006176C3" w:rsidRPr="00385D3B" w:rsidRDefault="006176C3" w:rsidP="00A80851">
      <w:pPr>
        <w:tabs>
          <w:tab w:val="left" w:pos="1134"/>
        </w:tabs>
        <w:spacing w:line="480" w:lineRule="auto"/>
        <w:jc w:val="both"/>
      </w:pPr>
      <w:r w:rsidRPr="00385D3B">
        <w:tab/>
        <w:t>Accordingly I conclude that for that reason the notice</w:t>
      </w:r>
      <w:r w:rsidR="00E67237" w:rsidRPr="00385D3B">
        <w:t xml:space="preserve"> of appeal is defective and fatally so. It must be struck off </w:t>
      </w:r>
      <w:r w:rsidR="00812CEA" w:rsidRPr="00385D3B">
        <w:t xml:space="preserve">the roll </w:t>
      </w:r>
      <w:r w:rsidR="00E67237" w:rsidRPr="00385D3B">
        <w:t xml:space="preserve">for failure to comply with the mandatory provisions of </w:t>
      </w:r>
      <w:r w:rsidR="000D5E19" w:rsidRPr="00385D3B">
        <w:t>r</w:t>
      </w:r>
      <w:r w:rsidR="00E67237" w:rsidRPr="00385D3B">
        <w:t xml:space="preserve"> 37 (1</w:t>
      </w:r>
      <w:r w:rsidR="001620A9" w:rsidRPr="00385D3B">
        <w:t>) (</w:t>
      </w:r>
      <w:r w:rsidR="00E67237" w:rsidRPr="00385D3B">
        <w:t xml:space="preserve">e) of the Supreme Court Rules, 2018. See </w:t>
      </w:r>
      <w:r w:rsidR="00E67237" w:rsidRPr="00385D3B">
        <w:rPr>
          <w:i/>
        </w:rPr>
        <w:t xml:space="preserve">Christopher </w:t>
      </w:r>
      <w:proofErr w:type="spellStart"/>
      <w:r w:rsidR="00E67237" w:rsidRPr="00385D3B">
        <w:rPr>
          <w:i/>
        </w:rPr>
        <w:t>Sambaza</w:t>
      </w:r>
      <w:proofErr w:type="spellEnd"/>
      <w:r w:rsidR="00E67237" w:rsidRPr="00385D3B">
        <w:rPr>
          <w:i/>
        </w:rPr>
        <w:t xml:space="preserve"> v Al Shams Global BVI Limited </w:t>
      </w:r>
      <w:r w:rsidR="00E67237" w:rsidRPr="00385D3B">
        <w:t xml:space="preserve">SC 3/18, </w:t>
      </w:r>
      <w:proofErr w:type="spellStart"/>
      <w:r w:rsidR="00E67237" w:rsidRPr="00385D3B">
        <w:rPr>
          <w:i/>
        </w:rPr>
        <w:t>Ndlovu</w:t>
      </w:r>
      <w:proofErr w:type="spellEnd"/>
      <w:r w:rsidR="00E67237" w:rsidRPr="00385D3B">
        <w:rPr>
          <w:i/>
        </w:rPr>
        <w:t xml:space="preserve"> v </w:t>
      </w:r>
      <w:proofErr w:type="spellStart"/>
      <w:r w:rsidR="00E67237" w:rsidRPr="00385D3B">
        <w:rPr>
          <w:i/>
        </w:rPr>
        <w:t>Ndlovu</w:t>
      </w:r>
      <w:proofErr w:type="spellEnd"/>
      <w:r w:rsidR="00E67237" w:rsidRPr="00385D3B">
        <w:rPr>
          <w:i/>
        </w:rPr>
        <w:t xml:space="preserve"> and </w:t>
      </w:r>
      <w:proofErr w:type="spellStart"/>
      <w:r w:rsidR="00E67237" w:rsidRPr="00385D3B">
        <w:rPr>
          <w:i/>
        </w:rPr>
        <w:t>Anor</w:t>
      </w:r>
      <w:proofErr w:type="spellEnd"/>
      <w:r w:rsidR="00E67237" w:rsidRPr="00385D3B">
        <w:rPr>
          <w:i/>
        </w:rPr>
        <w:t xml:space="preserve"> </w:t>
      </w:r>
      <w:r w:rsidR="00E67237" w:rsidRPr="00385D3B">
        <w:t xml:space="preserve">SC 133/02 and </w:t>
      </w:r>
      <w:r w:rsidR="00E67237" w:rsidRPr="00385D3B">
        <w:rPr>
          <w:i/>
        </w:rPr>
        <w:t xml:space="preserve">Edward </w:t>
      </w:r>
      <w:proofErr w:type="spellStart"/>
      <w:r w:rsidR="00E67237" w:rsidRPr="00385D3B">
        <w:rPr>
          <w:i/>
        </w:rPr>
        <w:t>Mudyavanhu</w:t>
      </w:r>
      <w:proofErr w:type="spellEnd"/>
      <w:r w:rsidR="00E67237" w:rsidRPr="00385D3B">
        <w:rPr>
          <w:i/>
        </w:rPr>
        <w:t xml:space="preserve"> v Reggie Francis </w:t>
      </w:r>
      <w:proofErr w:type="spellStart"/>
      <w:r w:rsidR="00E67237" w:rsidRPr="00385D3B">
        <w:rPr>
          <w:i/>
        </w:rPr>
        <w:t>Saruchera</w:t>
      </w:r>
      <w:proofErr w:type="spellEnd"/>
      <w:r w:rsidR="00E67237" w:rsidRPr="00385D3B">
        <w:rPr>
          <w:i/>
        </w:rPr>
        <w:t xml:space="preserve"> </w:t>
      </w:r>
      <w:r w:rsidR="00E67237" w:rsidRPr="00385D3B">
        <w:t>SC 75/17</w:t>
      </w:r>
    </w:p>
    <w:p w14:paraId="185F16E7" w14:textId="77777777" w:rsidR="00E67237" w:rsidRPr="00385D3B" w:rsidRDefault="00E67237" w:rsidP="009B343D">
      <w:pPr>
        <w:tabs>
          <w:tab w:val="left" w:pos="1134"/>
        </w:tabs>
        <w:spacing w:line="480" w:lineRule="auto"/>
        <w:jc w:val="both"/>
      </w:pPr>
    </w:p>
    <w:p w14:paraId="40753028" w14:textId="2F2562C9" w:rsidR="00E67237" w:rsidRPr="00385D3B" w:rsidRDefault="00E67237" w:rsidP="009B343D">
      <w:pPr>
        <w:tabs>
          <w:tab w:val="left" w:pos="1134"/>
        </w:tabs>
        <w:spacing w:line="480" w:lineRule="auto"/>
        <w:jc w:val="both"/>
        <w:rPr>
          <w:b/>
          <w:u w:val="single"/>
        </w:rPr>
      </w:pPr>
      <w:r w:rsidRPr="00385D3B">
        <w:rPr>
          <w:b/>
          <w:u w:val="single"/>
        </w:rPr>
        <w:t>COSTS</w:t>
      </w:r>
    </w:p>
    <w:p w14:paraId="6AC5539B" w14:textId="64D23208" w:rsidR="00E67237" w:rsidRPr="00385D3B" w:rsidRDefault="00E67237" w:rsidP="009B343D">
      <w:pPr>
        <w:tabs>
          <w:tab w:val="left" w:pos="1134"/>
        </w:tabs>
        <w:spacing w:line="480" w:lineRule="auto"/>
        <w:jc w:val="both"/>
      </w:pPr>
      <w:r w:rsidRPr="00385D3B">
        <w:tab/>
        <w:t xml:space="preserve">The general rule is that costs follow the cause. The respondents seek costs on a </w:t>
      </w:r>
      <w:r w:rsidR="007825BD" w:rsidRPr="00385D3B">
        <w:t>legal practitioner and client scale. It is trite that su</w:t>
      </w:r>
      <w:r w:rsidR="001620A9" w:rsidRPr="00385D3B">
        <w:t>ch</w:t>
      </w:r>
      <w:r w:rsidR="007825BD" w:rsidRPr="00385D3B">
        <w:t xml:space="preserve"> costs on the higher scale will not be granted lightly. A party seeking such punitive costs must lay out in clear terms the justification for such an award. The grounds upon which a court may grant such costs are well laid out by the authors </w:t>
      </w:r>
      <w:proofErr w:type="spellStart"/>
      <w:r w:rsidR="007825BD" w:rsidRPr="00385D3B">
        <w:rPr>
          <w:i/>
        </w:rPr>
        <w:t>He</w:t>
      </w:r>
      <w:r w:rsidR="001F25EE">
        <w:rPr>
          <w:i/>
        </w:rPr>
        <w:t>rbstein</w:t>
      </w:r>
      <w:proofErr w:type="spellEnd"/>
      <w:r w:rsidR="007825BD" w:rsidRPr="00385D3B">
        <w:rPr>
          <w:i/>
        </w:rPr>
        <w:t xml:space="preserve"> and Van </w:t>
      </w:r>
      <w:proofErr w:type="spellStart"/>
      <w:r w:rsidR="007825BD" w:rsidRPr="00385D3B">
        <w:rPr>
          <w:i/>
        </w:rPr>
        <w:t>Winsen</w:t>
      </w:r>
      <w:proofErr w:type="spellEnd"/>
      <w:r w:rsidR="007825BD" w:rsidRPr="00385D3B">
        <w:t xml:space="preserve"> in their </w:t>
      </w:r>
      <w:r w:rsidR="00210CC2" w:rsidRPr="00385D3B">
        <w:t>work “</w:t>
      </w:r>
      <w:r w:rsidR="007825BD" w:rsidRPr="00385D3B">
        <w:t xml:space="preserve">The Civil Practice of the High Court and the Supreme Court of South Africa” fifth edition, </w:t>
      </w:r>
      <w:r w:rsidR="00133B41" w:rsidRPr="00385D3B">
        <w:t xml:space="preserve">volume 2 at </w:t>
      </w:r>
      <w:proofErr w:type="spellStart"/>
      <w:r w:rsidR="00133B41" w:rsidRPr="00385D3B">
        <w:t>p</w:t>
      </w:r>
      <w:r w:rsidR="0050181B" w:rsidRPr="00385D3B">
        <w:t>p</w:t>
      </w:r>
      <w:proofErr w:type="spellEnd"/>
      <w:r w:rsidR="00770B0F">
        <w:t> </w:t>
      </w:r>
      <w:r w:rsidR="00133B41" w:rsidRPr="00385D3B">
        <w:t>971 and 972. The l</w:t>
      </w:r>
      <w:r w:rsidR="00CE4E12" w:rsidRPr="00385D3B">
        <w:t>earned authors state as follows:</w:t>
      </w:r>
    </w:p>
    <w:p w14:paraId="511D4E0C" w14:textId="13109A9B" w:rsidR="00133B41" w:rsidRPr="00385D3B" w:rsidRDefault="00133B41" w:rsidP="0050181B">
      <w:pPr>
        <w:tabs>
          <w:tab w:val="left" w:pos="1134"/>
        </w:tabs>
        <w:ind w:left="720"/>
        <w:jc w:val="both"/>
      </w:pPr>
      <w:r w:rsidRPr="00385D3B">
        <w:lastRenderedPageBreak/>
        <w:t xml:space="preserve">“The grounds upon which the court may order a party to pay an </w:t>
      </w:r>
      <w:r w:rsidR="00922EC7" w:rsidRPr="00385D3B">
        <w:t>opponent’s</w:t>
      </w:r>
      <w:r w:rsidRPr="00385D3B">
        <w:t xml:space="preserve"> attorney- and </w:t>
      </w:r>
      <w:r w:rsidR="00CF7C01" w:rsidRPr="00385D3B">
        <w:t>client costs include the following: that the party has been guilty of dishonesty or fraud or had vexatious, reckless and malicious or frivolous motives; or committed grave misconduct either in the transaction under inquiry or in the conduct of the case. The court’s discretion to order the payment of attorney- and-client costs is not, however, restricted to cases of dishonest, improper or frau</w:t>
      </w:r>
      <w:r w:rsidR="00096F3B" w:rsidRPr="00385D3B">
        <w:t>dulent conduct: it includes all</w:t>
      </w:r>
      <w:r w:rsidR="00CF7C01" w:rsidRPr="00385D3B">
        <w:t xml:space="preserve"> cases in which special circumstances or considerations justify the granting of such an order. No exhaustive list exists.”</w:t>
      </w:r>
    </w:p>
    <w:p w14:paraId="24FFFACE" w14:textId="77777777" w:rsidR="0050181B" w:rsidRPr="00385D3B" w:rsidRDefault="0050181B" w:rsidP="0050181B">
      <w:pPr>
        <w:tabs>
          <w:tab w:val="left" w:pos="1134"/>
        </w:tabs>
        <w:ind w:left="720"/>
        <w:jc w:val="both"/>
      </w:pPr>
    </w:p>
    <w:p w14:paraId="0B456DE8" w14:textId="77777777" w:rsidR="0050181B" w:rsidRPr="00385D3B" w:rsidRDefault="0050181B" w:rsidP="0050181B">
      <w:pPr>
        <w:tabs>
          <w:tab w:val="left" w:pos="1134"/>
        </w:tabs>
        <w:ind w:left="720"/>
        <w:jc w:val="both"/>
      </w:pPr>
    </w:p>
    <w:p w14:paraId="0196122F" w14:textId="77777777" w:rsidR="0050181B" w:rsidRPr="00385D3B" w:rsidRDefault="0050181B" w:rsidP="0050181B">
      <w:pPr>
        <w:tabs>
          <w:tab w:val="left" w:pos="1134"/>
        </w:tabs>
        <w:ind w:left="720"/>
        <w:jc w:val="both"/>
      </w:pPr>
    </w:p>
    <w:p w14:paraId="0614870C" w14:textId="1F32707A" w:rsidR="004117C0" w:rsidRPr="00385D3B" w:rsidRDefault="004117C0" w:rsidP="009B343D">
      <w:pPr>
        <w:tabs>
          <w:tab w:val="left" w:pos="1134"/>
        </w:tabs>
        <w:spacing w:line="480" w:lineRule="auto"/>
        <w:jc w:val="both"/>
      </w:pPr>
      <w:r w:rsidRPr="00385D3B">
        <w:tab/>
        <w:t xml:space="preserve">See </w:t>
      </w:r>
      <w:proofErr w:type="spellStart"/>
      <w:r w:rsidRPr="00385D3B">
        <w:rPr>
          <w:i/>
        </w:rPr>
        <w:t>Mudzimu</w:t>
      </w:r>
      <w:proofErr w:type="spellEnd"/>
      <w:r w:rsidRPr="00385D3B">
        <w:rPr>
          <w:i/>
        </w:rPr>
        <w:t xml:space="preserve"> v </w:t>
      </w:r>
      <w:proofErr w:type="spellStart"/>
      <w:r w:rsidRPr="00385D3B">
        <w:rPr>
          <w:i/>
        </w:rPr>
        <w:t>Chinhoyi</w:t>
      </w:r>
      <w:proofErr w:type="spellEnd"/>
      <w:r w:rsidRPr="00385D3B">
        <w:rPr>
          <w:i/>
        </w:rPr>
        <w:t xml:space="preserve"> Municipality</w:t>
      </w:r>
      <w:r w:rsidRPr="00385D3B">
        <w:t xml:space="preserve"> 1986 (3) SA 140 (ZH)</w:t>
      </w:r>
      <w:r w:rsidR="00CE4E12" w:rsidRPr="00385D3B">
        <w:t>.</w:t>
      </w:r>
    </w:p>
    <w:p w14:paraId="061CF011" w14:textId="77777777" w:rsidR="00CE4E12" w:rsidRPr="00385D3B" w:rsidRDefault="00CE4E12" w:rsidP="009B343D">
      <w:pPr>
        <w:tabs>
          <w:tab w:val="left" w:pos="1134"/>
        </w:tabs>
        <w:spacing w:line="480" w:lineRule="auto"/>
        <w:jc w:val="both"/>
      </w:pPr>
    </w:p>
    <w:p w14:paraId="5C8D9732" w14:textId="4CCA83B0" w:rsidR="004117C0" w:rsidRPr="00385D3B" w:rsidRDefault="004117C0" w:rsidP="009B343D">
      <w:pPr>
        <w:tabs>
          <w:tab w:val="left" w:pos="1134"/>
        </w:tabs>
        <w:spacing w:line="480" w:lineRule="auto"/>
        <w:jc w:val="both"/>
      </w:pPr>
      <w:r w:rsidRPr="00385D3B">
        <w:tab/>
        <w:t xml:space="preserve">None of the above grounds or any other special circumstances have been canvassed by the respondent as a ground upon which costs on the higher scale could be awarded. That being the case </w:t>
      </w:r>
      <w:r w:rsidR="003D4B71" w:rsidRPr="00385D3B">
        <w:t>I am</w:t>
      </w:r>
      <w:r w:rsidRPr="00385D3B">
        <w:t xml:space="preserve"> not persuaded that such higher costs should be awarded. An order for costs on the party and party scale shall obtain.</w:t>
      </w:r>
    </w:p>
    <w:p w14:paraId="7C87B256" w14:textId="77777777" w:rsidR="00EE0293" w:rsidRPr="00385D3B" w:rsidRDefault="00EE0293" w:rsidP="009B343D">
      <w:pPr>
        <w:tabs>
          <w:tab w:val="left" w:pos="1134"/>
        </w:tabs>
        <w:spacing w:line="480" w:lineRule="auto"/>
        <w:jc w:val="both"/>
      </w:pPr>
    </w:p>
    <w:p w14:paraId="7CD18754" w14:textId="0D4195BC" w:rsidR="00EE0293" w:rsidRPr="00385D3B" w:rsidRDefault="00EE0293" w:rsidP="009B343D">
      <w:pPr>
        <w:tabs>
          <w:tab w:val="left" w:pos="1134"/>
        </w:tabs>
        <w:spacing w:line="480" w:lineRule="auto"/>
        <w:jc w:val="both"/>
        <w:rPr>
          <w:b/>
          <w:u w:val="single"/>
        </w:rPr>
      </w:pPr>
      <w:r w:rsidRPr="00385D3B">
        <w:rPr>
          <w:b/>
          <w:u w:val="single"/>
        </w:rPr>
        <w:t>DISPOSITION</w:t>
      </w:r>
    </w:p>
    <w:p w14:paraId="2819F649" w14:textId="339931E5" w:rsidR="00EE0293" w:rsidRPr="00385D3B" w:rsidRDefault="00EE0293" w:rsidP="001D5799">
      <w:pPr>
        <w:tabs>
          <w:tab w:val="left" w:pos="1134"/>
        </w:tabs>
        <w:spacing w:line="480" w:lineRule="auto"/>
        <w:jc w:val="both"/>
      </w:pPr>
      <w:r w:rsidRPr="00385D3B">
        <w:rPr>
          <w:b/>
        </w:rPr>
        <w:tab/>
      </w:r>
      <w:r w:rsidRPr="00385D3B">
        <w:t>In the result the following order</w:t>
      </w:r>
      <w:r w:rsidR="00CB6613">
        <w:t xml:space="preserve"> is issued</w:t>
      </w:r>
      <w:r w:rsidRPr="00385D3B">
        <w:t>:</w:t>
      </w:r>
    </w:p>
    <w:p w14:paraId="36BCC66A" w14:textId="28041133" w:rsidR="00EE0293" w:rsidRPr="00385D3B" w:rsidRDefault="008678EB" w:rsidP="00DA5741">
      <w:pPr>
        <w:tabs>
          <w:tab w:val="left" w:pos="1134"/>
        </w:tabs>
        <w:ind w:left="567"/>
        <w:jc w:val="both"/>
      </w:pPr>
      <w:r w:rsidRPr="00385D3B">
        <w:t>“</w:t>
      </w:r>
      <w:r w:rsidR="00EE0293" w:rsidRPr="00385D3B">
        <w:t xml:space="preserve">The </w:t>
      </w:r>
      <w:r w:rsidR="00CB6613">
        <w:t>matter</w:t>
      </w:r>
      <w:r w:rsidR="00EE0293" w:rsidRPr="00385D3B">
        <w:t xml:space="preserve"> be and is hereby struck off </w:t>
      </w:r>
      <w:r w:rsidR="004E3BFE" w:rsidRPr="00385D3B">
        <w:t xml:space="preserve">the roll </w:t>
      </w:r>
      <w:r w:rsidR="00EE0293" w:rsidRPr="00385D3B">
        <w:t>with costs on the ordinary scale.</w:t>
      </w:r>
      <w:r w:rsidRPr="00385D3B">
        <w:t>”</w:t>
      </w:r>
    </w:p>
    <w:p w14:paraId="24352F90" w14:textId="77777777" w:rsidR="00CD0450" w:rsidRPr="00385D3B" w:rsidRDefault="00CD0450" w:rsidP="001D5799">
      <w:pPr>
        <w:tabs>
          <w:tab w:val="left" w:pos="1134"/>
        </w:tabs>
        <w:spacing w:line="480" w:lineRule="auto"/>
        <w:ind w:left="567"/>
        <w:jc w:val="both"/>
      </w:pPr>
    </w:p>
    <w:p w14:paraId="60074EE8" w14:textId="77777777" w:rsidR="00A80851" w:rsidRDefault="00A80851" w:rsidP="00CE4E12">
      <w:pPr>
        <w:tabs>
          <w:tab w:val="left" w:pos="1134"/>
        </w:tabs>
        <w:spacing w:line="480" w:lineRule="auto"/>
        <w:jc w:val="both"/>
      </w:pPr>
    </w:p>
    <w:p w14:paraId="7D9BF08E" w14:textId="77777777" w:rsidR="004E205D" w:rsidRPr="00385D3B" w:rsidRDefault="004E205D" w:rsidP="00CE4E12">
      <w:pPr>
        <w:tabs>
          <w:tab w:val="left" w:pos="1134"/>
        </w:tabs>
        <w:spacing w:line="480" w:lineRule="auto"/>
        <w:jc w:val="both"/>
      </w:pPr>
    </w:p>
    <w:p w14:paraId="30C974C9" w14:textId="14434CE5" w:rsidR="00542FB4" w:rsidRDefault="00042C5D" w:rsidP="00F47BAB">
      <w:pPr>
        <w:tabs>
          <w:tab w:val="left" w:pos="1134"/>
        </w:tabs>
        <w:spacing w:line="480" w:lineRule="auto"/>
        <w:ind w:left="567"/>
        <w:jc w:val="both"/>
      </w:pPr>
      <w:r w:rsidRPr="00385D3B">
        <w:rPr>
          <w:b/>
        </w:rPr>
        <w:t xml:space="preserve">  </w:t>
      </w:r>
      <w:r w:rsidR="008215C1" w:rsidRPr="00385D3B">
        <w:rPr>
          <w:b/>
        </w:rPr>
        <w:tab/>
        <w:t xml:space="preserve">BHUNU </w:t>
      </w:r>
      <w:r w:rsidR="00542FB4" w:rsidRPr="00385D3B">
        <w:rPr>
          <w:b/>
        </w:rPr>
        <w:t>JA</w:t>
      </w:r>
      <w:r w:rsidR="002D7013">
        <w:rPr>
          <w:b/>
        </w:rPr>
        <w:t>:</w:t>
      </w:r>
      <w:r w:rsidR="00542FB4" w:rsidRPr="00385D3B">
        <w:tab/>
      </w:r>
      <w:r w:rsidR="008215C1" w:rsidRPr="00385D3B">
        <w:tab/>
      </w:r>
      <w:r w:rsidR="00542FB4" w:rsidRPr="00385D3B">
        <w:tab/>
        <w:t>I agree</w:t>
      </w:r>
    </w:p>
    <w:p w14:paraId="0D996D8F" w14:textId="77777777" w:rsidR="00CC5076" w:rsidRPr="00385D3B" w:rsidRDefault="00CC5076" w:rsidP="001D5799">
      <w:pPr>
        <w:tabs>
          <w:tab w:val="left" w:pos="1134"/>
        </w:tabs>
        <w:spacing w:line="480" w:lineRule="auto"/>
        <w:ind w:left="567"/>
        <w:jc w:val="both"/>
      </w:pPr>
    </w:p>
    <w:p w14:paraId="136B0B20" w14:textId="77777777" w:rsidR="00A80851" w:rsidRPr="00385D3B" w:rsidRDefault="00A80851" w:rsidP="001D5799">
      <w:pPr>
        <w:tabs>
          <w:tab w:val="left" w:pos="1134"/>
        </w:tabs>
        <w:spacing w:line="480" w:lineRule="auto"/>
        <w:ind w:left="567"/>
        <w:jc w:val="both"/>
      </w:pPr>
    </w:p>
    <w:p w14:paraId="45A37D66" w14:textId="74E9A54F" w:rsidR="003B3C69" w:rsidRDefault="008215C1" w:rsidP="00CE4E12">
      <w:pPr>
        <w:tabs>
          <w:tab w:val="left" w:pos="1134"/>
        </w:tabs>
        <w:spacing w:line="480" w:lineRule="auto"/>
        <w:ind w:left="567"/>
        <w:jc w:val="both"/>
      </w:pPr>
      <w:r w:rsidRPr="00385D3B">
        <w:rPr>
          <w:b/>
        </w:rPr>
        <w:tab/>
        <w:t xml:space="preserve">CHATUKUTA </w:t>
      </w:r>
      <w:r w:rsidR="00542FB4" w:rsidRPr="00385D3B">
        <w:rPr>
          <w:b/>
        </w:rPr>
        <w:t>JA</w:t>
      </w:r>
      <w:r w:rsidR="002D7013">
        <w:rPr>
          <w:b/>
        </w:rPr>
        <w:t>:</w:t>
      </w:r>
      <w:r w:rsidR="00542FB4" w:rsidRPr="00385D3B">
        <w:tab/>
      </w:r>
      <w:r w:rsidR="00542FB4" w:rsidRPr="00385D3B">
        <w:tab/>
        <w:t>I agree</w:t>
      </w:r>
    </w:p>
    <w:p w14:paraId="5F6F94F1" w14:textId="77777777" w:rsidR="00DA5741" w:rsidRPr="00385D3B" w:rsidRDefault="00DA5741" w:rsidP="00111ACE">
      <w:pPr>
        <w:tabs>
          <w:tab w:val="left" w:pos="1134"/>
        </w:tabs>
        <w:spacing w:line="480" w:lineRule="auto"/>
        <w:jc w:val="both"/>
      </w:pPr>
    </w:p>
    <w:p w14:paraId="57C4A08A" w14:textId="22C2E0DA" w:rsidR="0003379F" w:rsidRPr="00385D3B" w:rsidRDefault="009713CE" w:rsidP="00C62245">
      <w:pPr>
        <w:spacing w:line="480" w:lineRule="auto"/>
        <w:jc w:val="both"/>
        <w:rPr>
          <w:lang w:val="en-ZW"/>
        </w:rPr>
      </w:pPr>
      <w:proofErr w:type="spellStart"/>
      <w:r w:rsidRPr="00385D3B">
        <w:rPr>
          <w:i/>
          <w:lang w:val="en-ZW"/>
        </w:rPr>
        <w:lastRenderedPageBreak/>
        <w:t>Mbidzo</w:t>
      </w:r>
      <w:proofErr w:type="spellEnd"/>
      <w:r w:rsidRPr="00385D3B">
        <w:rPr>
          <w:i/>
          <w:lang w:val="en-ZW"/>
        </w:rPr>
        <w:t xml:space="preserve"> </w:t>
      </w:r>
      <w:proofErr w:type="spellStart"/>
      <w:r w:rsidRPr="00385D3B">
        <w:rPr>
          <w:i/>
          <w:lang w:val="en-ZW"/>
        </w:rPr>
        <w:t>Muchadehama</w:t>
      </w:r>
      <w:proofErr w:type="spellEnd"/>
      <w:r w:rsidRPr="00385D3B">
        <w:rPr>
          <w:i/>
          <w:lang w:val="en-ZW"/>
        </w:rPr>
        <w:t xml:space="preserve"> &amp; </w:t>
      </w:r>
      <w:proofErr w:type="spellStart"/>
      <w:r w:rsidRPr="00385D3B">
        <w:rPr>
          <w:i/>
          <w:lang w:val="en-ZW"/>
        </w:rPr>
        <w:t>Makoni</w:t>
      </w:r>
      <w:proofErr w:type="spellEnd"/>
      <w:r w:rsidRPr="00385D3B">
        <w:rPr>
          <w:lang w:val="en-ZW"/>
        </w:rPr>
        <w:t>, appellants’ legal practitioners</w:t>
      </w:r>
    </w:p>
    <w:p w14:paraId="71068901" w14:textId="34FE1DFF" w:rsidR="009713CE" w:rsidRPr="00385D3B" w:rsidRDefault="009713CE" w:rsidP="00C62245">
      <w:pPr>
        <w:spacing w:line="480" w:lineRule="auto"/>
        <w:jc w:val="both"/>
        <w:rPr>
          <w:lang w:val="en-ZW"/>
        </w:rPr>
      </w:pPr>
      <w:proofErr w:type="spellStart"/>
      <w:r w:rsidRPr="00385D3B">
        <w:rPr>
          <w:i/>
          <w:lang w:val="en-ZW"/>
        </w:rPr>
        <w:t>Chatsanga</w:t>
      </w:r>
      <w:proofErr w:type="spellEnd"/>
      <w:r w:rsidRPr="00385D3B">
        <w:rPr>
          <w:i/>
          <w:lang w:val="en-ZW"/>
        </w:rPr>
        <w:t xml:space="preserve"> &amp; Partners</w:t>
      </w:r>
      <w:r w:rsidRPr="00385D3B">
        <w:rPr>
          <w:lang w:val="en-ZW"/>
        </w:rPr>
        <w:t>, 1</w:t>
      </w:r>
      <w:r w:rsidRPr="00385D3B">
        <w:rPr>
          <w:vertAlign w:val="superscript"/>
          <w:lang w:val="en-ZW"/>
        </w:rPr>
        <w:t>st</w:t>
      </w:r>
      <w:r w:rsidRPr="00385D3B">
        <w:rPr>
          <w:lang w:val="en-ZW"/>
        </w:rPr>
        <w:t xml:space="preserve"> - 5</w:t>
      </w:r>
      <w:r w:rsidRPr="00385D3B">
        <w:rPr>
          <w:vertAlign w:val="superscript"/>
          <w:lang w:val="en-ZW"/>
        </w:rPr>
        <w:t>th</w:t>
      </w:r>
      <w:r w:rsidRPr="00385D3B">
        <w:rPr>
          <w:lang w:val="en-ZW"/>
        </w:rPr>
        <w:t xml:space="preserve"> respondents’ legal practitioners</w:t>
      </w:r>
    </w:p>
    <w:p w14:paraId="35A67C65" w14:textId="743879B0" w:rsidR="009713CE" w:rsidRPr="00385D3B" w:rsidRDefault="009713CE" w:rsidP="00C62245">
      <w:pPr>
        <w:spacing w:line="480" w:lineRule="auto"/>
        <w:jc w:val="both"/>
        <w:rPr>
          <w:lang w:val="en-ZW"/>
        </w:rPr>
      </w:pPr>
      <w:proofErr w:type="spellStart"/>
      <w:r w:rsidRPr="00385D3B">
        <w:rPr>
          <w:i/>
          <w:lang w:val="en-ZW"/>
        </w:rPr>
        <w:t>Lovemore</w:t>
      </w:r>
      <w:proofErr w:type="spellEnd"/>
      <w:r w:rsidRPr="00385D3B">
        <w:rPr>
          <w:i/>
          <w:lang w:val="en-ZW"/>
        </w:rPr>
        <w:t xml:space="preserve"> </w:t>
      </w:r>
      <w:proofErr w:type="spellStart"/>
      <w:r w:rsidRPr="00385D3B">
        <w:rPr>
          <w:i/>
          <w:lang w:val="en-ZW"/>
        </w:rPr>
        <w:t>Madhuku</w:t>
      </w:r>
      <w:proofErr w:type="spellEnd"/>
      <w:r w:rsidRPr="00385D3B">
        <w:rPr>
          <w:i/>
          <w:lang w:val="en-ZW"/>
        </w:rPr>
        <w:t xml:space="preserve"> Lawyers</w:t>
      </w:r>
      <w:r w:rsidRPr="00385D3B">
        <w:rPr>
          <w:lang w:val="en-ZW"/>
        </w:rPr>
        <w:t>, 6</w:t>
      </w:r>
      <w:r w:rsidRPr="00385D3B">
        <w:rPr>
          <w:vertAlign w:val="superscript"/>
          <w:lang w:val="en-ZW"/>
        </w:rPr>
        <w:t>th</w:t>
      </w:r>
      <w:r w:rsidRPr="00385D3B">
        <w:rPr>
          <w:lang w:val="en-ZW"/>
        </w:rPr>
        <w:t xml:space="preserve"> respondent’s legal practitioners</w:t>
      </w:r>
    </w:p>
    <w:p w14:paraId="254C1E70" w14:textId="0B05A3B0" w:rsidR="009713CE" w:rsidRPr="00385D3B" w:rsidRDefault="009713CE" w:rsidP="00C62245">
      <w:pPr>
        <w:spacing w:line="480" w:lineRule="auto"/>
        <w:jc w:val="both"/>
        <w:rPr>
          <w:lang w:val="en-ZW"/>
        </w:rPr>
      </w:pPr>
      <w:r w:rsidRPr="00385D3B">
        <w:rPr>
          <w:i/>
          <w:lang w:val="en-ZW"/>
        </w:rPr>
        <w:t>Civil Division of the Attorney General’s Office</w:t>
      </w:r>
      <w:r w:rsidRPr="00385D3B">
        <w:rPr>
          <w:lang w:val="en-ZW"/>
        </w:rPr>
        <w:t>, 2</w:t>
      </w:r>
      <w:r w:rsidRPr="00385D3B">
        <w:rPr>
          <w:vertAlign w:val="superscript"/>
          <w:lang w:val="en-ZW"/>
        </w:rPr>
        <w:t>nd</w:t>
      </w:r>
      <w:r w:rsidRPr="00385D3B">
        <w:rPr>
          <w:lang w:val="en-ZW"/>
        </w:rPr>
        <w:t xml:space="preserve"> – 3</w:t>
      </w:r>
      <w:r w:rsidRPr="00385D3B">
        <w:rPr>
          <w:vertAlign w:val="superscript"/>
          <w:lang w:val="en-ZW"/>
        </w:rPr>
        <w:t>rd</w:t>
      </w:r>
      <w:r w:rsidRPr="00385D3B">
        <w:rPr>
          <w:lang w:val="en-ZW"/>
        </w:rPr>
        <w:t xml:space="preserve"> and 7</w:t>
      </w:r>
      <w:r w:rsidRPr="00385D3B">
        <w:rPr>
          <w:vertAlign w:val="superscript"/>
          <w:lang w:val="en-ZW"/>
        </w:rPr>
        <w:t>th</w:t>
      </w:r>
      <w:r w:rsidRPr="00385D3B">
        <w:rPr>
          <w:lang w:val="en-ZW"/>
        </w:rPr>
        <w:t xml:space="preserve"> - 9</w:t>
      </w:r>
      <w:r w:rsidRPr="00385D3B">
        <w:rPr>
          <w:vertAlign w:val="superscript"/>
          <w:lang w:val="en-ZW"/>
        </w:rPr>
        <w:t>th</w:t>
      </w:r>
      <w:r w:rsidRPr="00385D3B">
        <w:rPr>
          <w:lang w:val="en-ZW"/>
        </w:rPr>
        <w:t xml:space="preserve"> respondents’ legal practitioners</w:t>
      </w:r>
    </w:p>
    <w:p w14:paraId="2CAD68AC" w14:textId="77777777" w:rsidR="00FF03A1" w:rsidRPr="00385D3B" w:rsidRDefault="00FF03A1" w:rsidP="00361E36">
      <w:pPr>
        <w:ind w:left="360"/>
        <w:jc w:val="both"/>
        <w:rPr>
          <w:lang w:val="en-ZW"/>
        </w:rPr>
      </w:pPr>
    </w:p>
    <w:p w14:paraId="12046D4E" w14:textId="77777777" w:rsidR="0066481E" w:rsidRPr="00385D3B" w:rsidRDefault="0066481E" w:rsidP="00042C5D">
      <w:pPr>
        <w:spacing w:line="360" w:lineRule="auto"/>
        <w:jc w:val="both"/>
        <w:rPr>
          <w:lang w:val="en-ZW"/>
        </w:rPr>
      </w:pPr>
    </w:p>
    <w:sectPr w:rsidR="0066481E" w:rsidRPr="00385D3B">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3EDD9" w14:textId="77777777" w:rsidR="00EB6FAA" w:rsidRDefault="00EB6FAA" w:rsidP="00307418">
      <w:r>
        <w:separator/>
      </w:r>
    </w:p>
  </w:endnote>
  <w:endnote w:type="continuationSeparator" w:id="0">
    <w:p w14:paraId="733B03C8" w14:textId="77777777" w:rsidR="00EB6FAA" w:rsidRDefault="00EB6FAA" w:rsidP="0030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B1CF2" w14:textId="77777777" w:rsidR="00EB6FAA" w:rsidRDefault="00EB6FAA" w:rsidP="00307418">
      <w:r>
        <w:separator/>
      </w:r>
    </w:p>
  </w:footnote>
  <w:footnote w:type="continuationSeparator" w:id="0">
    <w:p w14:paraId="7865C439" w14:textId="77777777" w:rsidR="00EB6FAA" w:rsidRDefault="00EB6FAA" w:rsidP="0030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22EA7" w14:textId="6712DA7E" w:rsidR="00AA75A7" w:rsidRDefault="00AA75A7" w:rsidP="00AA75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49B4E" w14:textId="77777777" w:rsidR="00AA75A7" w:rsidRDefault="00AA75A7" w:rsidP="00AA75A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52BF3" w14:textId="5955055D" w:rsidR="00AA75A7" w:rsidRPr="00272765" w:rsidRDefault="00AA75A7" w:rsidP="00AA75A7">
    <w:pPr>
      <w:pStyle w:val="Header"/>
      <w:jc w:val="right"/>
      <w:rPr>
        <w:rFonts w:ascii="Book Antiqua" w:hAnsi="Book Antiqua"/>
      </w:rPr>
    </w:pPr>
    <w:r>
      <w:rPr>
        <w:noProof/>
        <w:lang w:val="en-ZW" w:eastAsia="en-ZW"/>
      </w:rPr>
      <mc:AlternateContent>
        <mc:Choice Requires="wps">
          <w:drawing>
            <wp:anchor distT="0" distB="0" distL="114300" distR="114300" simplePos="0" relativeHeight="251660288" behindDoc="0" locked="0" layoutInCell="0" allowOverlap="1" wp14:anchorId="61CF8C55" wp14:editId="724771F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8953A" w14:textId="27DA4E46" w:rsidR="00AA75A7" w:rsidRPr="00967061" w:rsidRDefault="00AA75A7">
                          <w:pPr>
                            <w:jc w:val="right"/>
                            <w:rPr>
                              <w:noProof/>
                              <w:lang w:val="en-ZW"/>
                            </w:rPr>
                          </w:pPr>
                          <w:r w:rsidRPr="00967061">
                            <w:rPr>
                              <w:noProof/>
                              <w:lang w:val="en-ZW"/>
                            </w:rPr>
                            <w:t xml:space="preserve">Judgment No. SC </w:t>
                          </w:r>
                          <w:r w:rsidR="00040D02">
                            <w:rPr>
                              <w:noProof/>
                              <w:lang w:val="en-ZW"/>
                            </w:rPr>
                            <w:t>116</w:t>
                          </w:r>
                          <w:r w:rsidR="00C826C6" w:rsidRPr="00967061">
                            <w:rPr>
                              <w:noProof/>
                              <w:lang w:val="en-ZW"/>
                            </w:rPr>
                            <w:t>/</w:t>
                          </w:r>
                          <w:r w:rsidRPr="00967061">
                            <w:rPr>
                              <w:noProof/>
                              <w:lang w:val="en-ZW"/>
                            </w:rPr>
                            <w:t>22</w:t>
                          </w:r>
                        </w:p>
                        <w:p w14:paraId="7ED1AC5B" w14:textId="0BBFF9CF" w:rsidR="00AA75A7" w:rsidRPr="00967061" w:rsidRDefault="00AA75A7">
                          <w:pPr>
                            <w:jc w:val="right"/>
                            <w:rPr>
                              <w:noProof/>
                              <w:lang w:val="en-ZW"/>
                            </w:rPr>
                          </w:pPr>
                          <w:r w:rsidRPr="00967061">
                            <w:rPr>
                              <w:noProof/>
                              <w:lang w:val="en-ZW"/>
                            </w:rPr>
                            <w:t xml:space="preserve">Civil Appeal No. SC </w:t>
                          </w:r>
                          <w:r w:rsidR="00F54BF2" w:rsidRPr="00967061">
                            <w:rPr>
                              <w:noProof/>
                              <w:lang w:val="en-ZW"/>
                            </w:rPr>
                            <w:t>279/20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C88953A" w14:textId="27DA4E46" w:rsidR="00AA75A7" w:rsidRPr="00967061" w:rsidRDefault="00AA75A7">
                    <w:pPr>
                      <w:jc w:val="right"/>
                      <w:rPr>
                        <w:noProof/>
                        <w:lang w:val="en-ZW"/>
                      </w:rPr>
                    </w:pPr>
                    <w:r w:rsidRPr="00967061">
                      <w:rPr>
                        <w:noProof/>
                        <w:lang w:val="en-ZW"/>
                      </w:rPr>
                      <w:t xml:space="preserve">Judgment No. SC </w:t>
                    </w:r>
                    <w:r w:rsidR="00040D02">
                      <w:rPr>
                        <w:noProof/>
                        <w:lang w:val="en-ZW"/>
                      </w:rPr>
                      <w:t>116</w:t>
                    </w:r>
                    <w:r w:rsidR="00C826C6" w:rsidRPr="00967061">
                      <w:rPr>
                        <w:noProof/>
                        <w:lang w:val="en-ZW"/>
                      </w:rPr>
                      <w:t>/</w:t>
                    </w:r>
                    <w:r w:rsidRPr="00967061">
                      <w:rPr>
                        <w:noProof/>
                        <w:lang w:val="en-ZW"/>
                      </w:rPr>
                      <w:t>22</w:t>
                    </w:r>
                  </w:p>
                  <w:p w14:paraId="7ED1AC5B" w14:textId="0BBFF9CF" w:rsidR="00AA75A7" w:rsidRPr="00967061" w:rsidRDefault="00AA75A7">
                    <w:pPr>
                      <w:jc w:val="right"/>
                      <w:rPr>
                        <w:noProof/>
                        <w:lang w:val="en-ZW"/>
                      </w:rPr>
                    </w:pPr>
                    <w:r w:rsidRPr="00967061">
                      <w:rPr>
                        <w:noProof/>
                        <w:lang w:val="en-ZW"/>
                      </w:rPr>
                      <w:t xml:space="preserve">Civil Appeal No. SC </w:t>
                    </w:r>
                    <w:r w:rsidR="00F54BF2" w:rsidRPr="00967061">
                      <w:rPr>
                        <w:noProof/>
                        <w:lang w:val="en-ZW"/>
                      </w:rPr>
                      <w:t>279/20</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9EC0FCF" wp14:editId="3027547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7117322" w14:textId="77777777" w:rsidR="00AA75A7" w:rsidRDefault="00AA75A7">
                          <w:pPr>
                            <w:rPr>
                              <w:color w:val="FFFFFF" w:themeColor="background1"/>
                            </w:rPr>
                          </w:pPr>
                          <w:r>
                            <w:fldChar w:fldCharType="begin"/>
                          </w:r>
                          <w:r>
                            <w:instrText xml:space="preserve"> PAGE   \* MERGEFORMAT </w:instrText>
                          </w:r>
                          <w:r>
                            <w:fldChar w:fldCharType="separate"/>
                          </w:r>
                          <w:r w:rsidR="00450A22" w:rsidRPr="00450A2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7117322" w14:textId="77777777" w:rsidR="00AA75A7" w:rsidRDefault="00AA75A7">
                    <w:pPr>
                      <w:rPr>
                        <w:color w:val="FFFFFF" w:themeColor="background1"/>
                      </w:rPr>
                    </w:pPr>
                    <w:r>
                      <w:fldChar w:fldCharType="begin"/>
                    </w:r>
                    <w:r>
                      <w:instrText xml:space="preserve"> PAGE   \* MERGEFORMAT </w:instrText>
                    </w:r>
                    <w:r>
                      <w:fldChar w:fldCharType="separate"/>
                    </w:r>
                    <w:r w:rsidR="00450A22" w:rsidRPr="00450A2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221"/>
    <w:multiLevelType w:val="hybridMultilevel"/>
    <w:tmpl w:val="90E2B544"/>
    <w:lvl w:ilvl="0" w:tplc="90C8CF4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CA78E2"/>
    <w:multiLevelType w:val="hybridMultilevel"/>
    <w:tmpl w:val="24C291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B3C2FCF"/>
    <w:multiLevelType w:val="hybridMultilevel"/>
    <w:tmpl w:val="61625930"/>
    <w:lvl w:ilvl="0" w:tplc="65BEB87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0B64224"/>
    <w:multiLevelType w:val="hybridMultilevel"/>
    <w:tmpl w:val="8B0A98CC"/>
    <w:lvl w:ilvl="0" w:tplc="5AF4CA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B34B8"/>
    <w:multiLevelType w:val="hybridMultilevel"/>
    <w:tmpl w:val="032E4B7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1AA2584"/>
    <w:multiLevelType w:val="hybridMultilevel"/>
    <w:tmpl w:val="C09248B4"/>
    <w:lvl w:ilvl="0" w:tplc="64FED06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53A67E0"/>
    <w:multiLevelType w:val="hybridMultilevel"/>
    <w:tmpl w:val="751C37B0"/>
    <w:lvl w:ilvl="0" w:tplc="602ABB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9183E58"/>
    <w:multiLevelType w:val="hybridMultilevel"/>
    <w:tmpl w:val="09C88936"/>
    <w:lvl w:ilvl="0" w:tplc="1FCEA33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9B53D81"/>
    <w:multiLevelType w:val="hybridMultilevel"/>
    <w:tmpl w:val="266A0042"/>
    <w:lvl w:ilvl="0" w:tplc="CE2A98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01563"/>
    <w:multiLevelType w:val="hybridMultilevel"/>
    <w:tmpl w:val="1D6063B6"/>
    <w:lvl w:ilvl="0" w:tplc="E940E176">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F2A23CC"/>
    <w:multiLevelType w:val="hybridMultilevel"/>
    <w:tmpl w:val="9A541F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35CB7763"/>
    <w:multiLevelType w:val="hybridMultilevel"/>
    <w:tmpl w:val="BE566A7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A9F1697"/>
    <w:multiLevelType w:val="hybridMultilevel"/>
    <w:tmpl w:val="1E74C6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43B835A1"/>
    <w:multiLevelType w:val="hybridMultilevel"/>
    <w:tmpl w:val="F2F89F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475F560B"/>
    <w:multiLevelType w:val="hybridMultilevel"/>
    <w:tmpl w:val="9D787916"/>
    <w:lvl w:ilvl="0" w:tplc="4A40C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EB655A"/>
    <w:multiLevelType w:val="hybridMultilevel"/>
    <w:tmpl w:val="C6647482"/>
    <w:lvl w:ilvl="0" w:tplc="46941CDE">
      <w:start w:val="1"/>
      <w:numFmt w:val="lowerRoman"/>
      <w:lvlText w:val="(%1)"/>
      <w:lvlJc w:val="left"/>
      <w:pPr>
        <w:ind w:left="1440" w:hanging="720"/>
      </w:pPr>
      <w:rPr>
        <w:rFonts w:eastAsia="Times New Roman"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52A2560F"/>
    <w:multiLevelType w:val="hybridMultilevel"/>
    <w:tmpl w:val="69925E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4F21B09"/>
    <w:multiLevelType w:val="hybridMultilevel"/>
    <w:tmpl w:val="4B8CC916"/>
    <w:lvl w:ilvl="0" w:tplc="F26221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9C826C5"/>
    <w:multiLevelType w:val="hybridMultilevel"/>
    <w:tmpl w:val="F7FAE920"/>
    <w:lvl w:ilvl="0" w:tplc="0AA81182">
      <w:start w:val="2"/>
      <w:numFmt w:val="decimal"/>
      <w:lvlText w:val="%1."/>
      <w:lvlJc w:val="left"/>
      <w:pPr>
        <w:ind w:left="1506" w:hanging="360"/>
      </w:pPr>
      <w:rPr>
        <w:rFonts w:hint="default"/>
      </w:rPr>
    </w:lvl>
    <w:lvl w:ilvl="1" w:tplc="30090019" w:tentative="1">
      <w:start w:val="1"/>
      <w:numFmt w:val="lowerLetter"/>
      <w:lvlText w:val="%2."/>
      <w:lvlJc w:val="left"/>
      <w:pPr>
        <w:ind w:left="2226" w:hanging="360"/>
      </w:pPr>
    </w:lvl>
    <w:lvl w:ilvl="2" w:tplc="3009001B" w:tentative="1">
      <w:start w:val="1"/>
      <w:numFmt w:val="lowerRoman"/>
      <w:lvlText w:val="%3."/>
      <w:lvlJc w:val="right"/>
      <w:pPr>
        <w:ind w:left="2946" w:hanging="180"/>
      </w:pPr>
    </w:lvl>
    <w:lvl w:ilvl="3" w:tplc="3009000F" w:tentative="1">
      <w:start w:val="1"/>
      <w:numFmt w:val="decimal"/>
      <w:lvlText w:val="%4."/>
      <w:lvlJc w:val="left"/>
      <w:pPr>
        <w:ind w:left="3666" w:hanging="360"/>
      </w:pPr>
    </w:lvl>
    <w:lvl w:ilvl="4" w:tplc="30090019" w:tentative="1">
      <w:start w:val="1"/>
      <w:numFmt w:val="lowerLetter"/>
      <w:lvlText w:val="%5."/>
      <w:lvlJc w:val="left"/>
      <w:pPr>
        <w:ind w:left="4386" w:hanging="360"/>
      </w:pPr>
    </w:lvl>
    <w:lvl w:ilvl="5" w:tplc="3009001B" w:tentative="1">
      <w:start w:val="1"/>
      <w:numFmt w:val="lowerRoman"/>
      <w:lvlText w:val="%6."/>
      <w:lvlJc w:val="right"/>
      <w:pPr>
        <w:ind w:left="5106" w:hanging="180"/>
      </w:pPr>
    </w:lvl>
    <w:lvl w:ilvl="6" w:tplc="3009000F" w:tentative="1">
      <w:start w:val="1"/>
      <w:numFmt w:val="decimal"/>
      <w:lvlText w:val="%7."/>
      <w:lvlJc w:val="left"/>
      <w:pPr>
        <w:ind w:left="5826" w:hanging="360"/>
      </w:pPr>
    </w:lvl>
    <w:lvl w:ilvl="7" w:tplc="30090019" w:tentative="1">
      <w:start w:val="1"/>
      <w:numFmt w:val="lowerLetter"/>
      <w:lvlText w:val="%8."/>
      <w:lvlJc w:val="left"/>
      <w:pPr>
        <w:ind w:left="6546" w:hanging="360"/>
      </w:pPr>
    </w:lvl>
    <w:lvl w:ilvl="8" w:tplc="3009001B" w:tentative="1">
      <w:start w:val="1"/>
      <w:numFmt w:val="lowerRoman"/>
      <w:lvlText w:val="%9."/>
      <w:lvlJc w:val="right"/>
      <w:pPr>
        <w:ind w:left="7266" w:hanging="180"/>
      </w:pPr>
    </w:lvl>
  </w:abstractNum>
  <w:abstractNum w:abstractNumId="19">
    <w:nsid w:val="5BBB5FF5"/>
    <w:multiLevelType w:val="hybridMultilevel"/>
    <w:tmpl w:val="FB86E178"/>
    <w:lvl w:ilvl="0" w:tplc="C79E846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61705541"/>
    <w:multiLevelType w:val="hybridMultilevel"/>
    <w:tmpl w:val="D4AC87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695C4F0B"/>
    <w:multiLevelType w:val="hybridMultilevel"/>
    <w:tmpl w:val="5C28C010"/>
    <w:lvl w:ilvl="0" w:tplc="60E6AD1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nsid w:val="69967511"/>
    <w:multiLevelType w:val="hybridMultilevel"/>
    <w:tmpl w:val="76BC86C2"/>
    <w:lvl w:ilvl="0" w:tplc="3009000F">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nsid w:val="6D7336A5"/>
    <w:multiLevelType w:val="hybridMultilevel"/>
    <w:tmpl w:val="4B1A9590"/>
    <w:lvl w:ilvl="0" w:tplc="30090001">
      <w:start w:val="1"/>
      <w:numFmt w:val="bullet"/>
      <w:lvlText w:val=""/>
      <w:lvlJc w:val="left"/>
      <w:pPr>
        <w:ind w:left="1144" w:hanging="360"/>
      </w:pPr>
      <w:rPr>
        <w:rFonts w:ascii="Symbol" w:hAnsi="Symbol" w:hint="default"/>
      </w:rPr>
    </w:lvl>
    <w:lvl w:ilvl="1" w:tplc="30090003" w:tentative="1">
      <w:start w:val="1"/>
      <w:numFmt w:val="bullet"/>
      <w:lvlText w:val="o"/>
      <w:lvlJc w:val="left"/>
      <w:pPr>
        <w:ind w:left="1864" w:hanging="360"/>
      </w:pPr>
      <w:rPr>
        <w:rFonts w:ascii="Courier New" w:hAnsi="Courier New" w:cs="Courier New" w:hint="default"/>
      </w:rPr>
    </w:lvl>
    <w:lvl w:ilvl="2" w:tplc="30090005" w:tentative="1">
      <w:start w:val="1"/>
      <w:numFmt w:val="bullet"/>
      <w:lvlText w:val=""/>
      <w:lvlJc w:val="left"/>
      <w:pPr>
        <w:ind w:left="2584" w:hanging="360"/>
      </w:pPr>
      <w:rPr>
        <w:rFonts w:ascii="Wingdings" w:hAnsi="Wingdings" w:hint="default"/>
      </w:rPr>
    </w:lvl>
    <w:lvl w:ilvl="3" w:tplc="30090001" w:tentative="1">
      <w:start w:val="1"/>
      <w:numFmt w:val="bullet"/>
      <w:lvlText w:val=""/>
      <w:lvlJc w:val="left"/>
      <w:pPr>
        <w:ind w:left="3304" w:hanging="360"/>
      </w:pPr>
      <w:rPr>
        <w:rFonts w:ascii="Symbol" w:hAnsi="Symbol" w:hint="default"/>
      </w:rPr>
    </w:lvl>
    <w:lvl w:ilvl="4" w:tplc="30090003" w:tentative="1">
      <w:start w:val="1"/>
      <w:numFmt w:val="bullet"/>
      <w:lvlText w:val="o"/>
      <w:lvlJc w:val="left"/>
      <w:pPr>
        <w:ind w:left="4024" w:hanging="360"/>
      </w:pPr>
      <w:rPr>
        <w:rFonts w:ascii="Courier New" w:hAnsi="Courier New" w:cs="Courier New" w:hint="default"/>
      </w:rPr>
    </w:lvl>
    <w:lvl w:ilvl="5" w:tplc="30090005" w:tentative="1">
      <w:start w:val="1"/>
      <w:numFmt w:val="bullet"/>
      <w:lvlText w:val=""/>
      <w:lvlJc w:val="left"/>
      <w:pPr>
        <w:ind w:left="4744" w:hanging="360"/>
      </w:pPr>
      <w:rPr>
        <w:rFonts w:ascii="Wingdings" w:hAnsi="Wingdings" w:hint="default"/>
      </w:rPr>
    </w:lvl>
    <w:lvl w:ilvl="6" w:tplc="30090001" w:tentative="1">
      <w:start w:val="1"/>
      <w:numFmt w:val="bullet"/>
      <w:lvlText w:val=""/>
      <w:lvlJc w:val="left"/>
      <w:pPr>
        <w:ind w:left="5464" w:hanging="360"/>
      </w:pPr>
      <w:rPr>
        <w:rFonts w:ascii="Symbol" w:hAnsi="Symbol" w:hint="default"/>
      </w:rPr>
    </w:lvl>
    <w:lvl w:ilvl="7" w:tplc="30090003" w:tentative="1">
      <w:start w:val="1"/>
      <w:numFmt w:val="bullet"/>
      <w:lvlText w:val="o"/>
      <w:lvlJc w:val="left"/>
      <w:pPr>
        <w:ind w:left="6184" w:hanging="360"/>
      </w:pPr>
      <w:rPr>
        <w:rFonts w:ascii="Courier New" w:hAnsi="Courier New" w:cs="Courier New" w:hint="default"/>
      </w:rPr>
    </w:lvl>
    <w:lvl w:ilvl="8" w:tplc="30090005" w:tentative="1">
      <w:start w:val="1"/>
      <w:numFmt w:val="bullet"/>
      <w:lvlText w:val=""/>
      <w:lvlJc w:val="left"/>
      <w:pPr>
        <w:ind w:left="6904" w:hanging="360"/>
      </w:pPr>
      <w:rPr>
        <w:rFonts w:ascii="Wingdings" w:hAnsi="Wingdings" w:hint="default"/>
      </w:rPr>
    </w:lvl>
  </w:abstractNum>
  <w:abstractNum w:abstractNumId="24">
    <w:nsid w:val="79AB72AB"/>
    <w:multiLevelType w:val="hybridMultilevel"/>
    <w:tmpl w:val="3D16E6AC"/>
    <w:lvl w:ilvl="0" w:tplc="30090001">
      <w:start w:val="3"/>
      <w:numFmt w:val="bullet"/>
      <w:lvlText w:val=""/>
      <w:lvlJc w:val="left"/>
      <w:pPr>
        <w:ind w:left="720" w:hanging="360"/>
      </w:pPr>
      <w:rPr>
        <w:rFonts w:ascii="Symbol" w:eastAsia="Times New Roman"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nsid w:val="7E34655A"/>
    <w:multiLevelType w:val="hybridMultilevel"/>
    <w:tmpl w:val="2C727864"/>
    <w:lvl w:ilvl="0" w:tplc="03D20824">
      <w:start w:val="1"/>
      <w:numFmt w:val="lowerLetter"/>
      <w:lvlText w:val="(%1)"/>
      <w:lvlJc w:val="left"/>
      <w:pPr>
        <w:ind w:left="2940" w:hanging="78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21"/>
  </w:num>
  <w:num w:numId="3">
    <w:abstractNumId w:val="23"/>
  </w:num>
  <w:num w:numId="4">
    <w:abstractNumId w:val="7"/>
  </w:num>
  <w:num w:numId="5">
    <w:abstractNumId w:val="13"/>
  </w:num>
  <w:num w:numId="6">
    <w:abstractNumId w:val="1"/>
  </w:num>
  <w:num w:numId="7">
    <w:abstractNumId w:val="16"/>
  </w:num>
  <w:num w:numId="8">
    <w:abstractNumId w:val="12"/>
  </w:num>
  <w:num w:numId="9">
    <w:abstractNumId w:val="11"/>
  </w:num>
  <w:num w:numId="10">
    <w:abstractNumId w:val="22"/>
  </w:num>
  <w:num w:numId="11">
    <w:abstractNumId w:val="9"/>
  </w:num>
  <w:num w:numId="12">
    <w:abstractNumId w:val="6"/>
  </w:num>
  <w:num w:numId="13">
    <w:abstractNumId w:val="15"/>
  </w:num>
  <w:num w:numId="14">
    <w:abstractNumId w:val="24"/>
  </w:num>
  <w:num w:numId="15">
    <w:abstractNumId w:val="3"/>
  </w:num>
  <w:num w:numId="16">
    <w:abstractNumId w:val="8"/>
  </w:num>
  <w:num w:numId="17">
    <w:abstractNumId w:val="14"/>
  </w:num>
  <w:num w:numId="18">
    <w:abstractNumId w:val="17"/>
  </w:num>
  <w:num w:numId="19">
    <w:abstractNumId w:val="25"/>
  </w:num>
  <w:num w:numId="20">
    <w:abstractNumId w:val="0"/>
  </w:num>
  <w:num w:numId="21">
    <w:abstractNumId w:val="5"/>
  </w:num>
  <w:num w:numId="22">
    <w:abstractNumId w:val="2"/>
  </w:num>
  <w:num w:numId="23">
    <w:abstractNumId w:val="20"/>
  </w:num>
  <w:num w:numId="24">
    <w:abstractNumId w:val="10"/>
  </w:num>
  <w:num w:numId="25">
    <w:abstractNumId w:val="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18"/>
    <w:rsid w:val="00000A6D"/>
    <w:rsid w:val="00004988"/>
    <w:rsid w:val="0000529A"/>
    <w:rsid w:val="00014314"/>
    <w:rsid w:val="0001706C"/>
    <w:rsid w:val="0002373C"/>
    <w:rsid w:val="00031359"/>
    <w:rsid w:val="0003379F"/>
    <w:rsid w:val="00040D02"/>
    <w:rsid w:val="00042C5D"/>
    <w:rsid w:val="00045EA2"/>
    <w:rsid w:val="00050667"/>
    <w:rsid w:val="00054FC6"/>
    <w:rsid w:val="0006087E"/>
    <w:rsid w:val="00067E4F"/>
    <w:rsid w:val="00082CC3"/>
    <w:rsid w:val="00091263"/>
    <w:rsid w:val="00096F3B"/>
    <w:rsid w:val="00097CE9"/>
    <w:rsid w:val="000A31CC"/>
    <w:rsid w:val="000A3838"/>
    <w:rsid w:val="000B09C3"/>
    <w:rsid w:val="000B1AA6"/>
    <w:rsid w:val="000B3991"/>
    <w:rsid w:val="000B786F"/>
    <w:rsid w:val="000D0D6A"/>
    <w:rsid w:val="000D13A1"/>
    <w:rsid w:val="000D5E19"/>
    <w:rsid w:val="000E4DF1"/>
    <w:rsid w:val="000F0D02"/>
    <w:rsid w:val="000F3C98"/>
    <w:rsid w:val="000F3FF6"/>
    <w:rsid w:val="000F7D06"/>
    <w:rsid w:val="00101CC8"/>
    <w:rsid w:val="00103DBE"/>
    <w:rsid w:val="00105941"/>
    <w:rsid w:val="00107745"/>
    <w:rsid w:val="001113DF"/>
    <w:rsid w:val="00111ACE"/>
    <w:rsid w:val="00116E47"/>
    <w:rsid w:val="00123F57"/>
    <w:rsid w:val="00124E61"/>
    <w:rsid w:val="0012700F"/>
    <w:rsid w:val="00133B41"/>
    <w:rsid w:val="00136AC8"/>
    <w:rsid w:val="00141A10"/>
    <w:rsid w:val="001454DC"/>
    <w:rsid w:val="0014768A"/>
    <w:rsid w:val="0015261C"/>
    <w:rsid w:val="0015412A"/>
    <w:rsid w:val="001620A9"/>
    <w:rsid w:val="00170719"/>
    <w:rsid w:val="00176E36"/>
    <w:rsid w:val="0018601D"/>
    <w:rsid w:val="00193058"/>
    <w:rsid w:val="001947B6"/>
    <w:rsid w:val="001A61BA"/>
    <w:rsid w:val="001A6AA2"/>
    <w:rsid w:val="001A739D"/>
    <w:rsid w:val="001B4500"/>
    <w:rsid w:val="001C6C25"/>
    <w:rsid w:val="001C7240"/>
    <w:rsid w:val="001D2C86"/>
    <w:rsid w:val="001D3E2F"/>
    <w:rsid w:val="001D5799"/>
    <w:rsid w:val="001D7776"/>
    <w:rsid w:val="001E2998"/>
    <w:rsid w:val="001E3B2C"/>
    <w:rsid w:val="001F25EE"/>
    <w:rsid w:val="001F681D"/>
    <w:rsid w:val="00210CC2"/>
    <w:rsid w:val="00213CA7"/>
    <w:rsid w:val="00217E2E"/>
    <w:rsid w:val="00220D7D"/>
    <w:rsid w:val="0022448C"/>
    <w:rsid w:val="00227773"/>
    <w:rsid w:val="00233856"/>
    <w:rsid w:val="00235A2C"/>
    <w:rsid w:val="002449DB"/>
    <w:rsid w:val="00244AA2"/>
    <w:rsid w:val="00245725"/>
    <w:rsid w:val="00250795"/>
    <w:rsid w:val="002509B6"/>
    <w:rsid w:val="00255149"/>
    <w:rsid w:val="00256C70"/>
    <w:rsid w:val="00282491"/>
    <w:rsid w:val="00282693"/>
    <w:rsid w:val="00285682"/>
    <w:rsid w:val="002A2599"/>
    <w:rsid w:val="002A2ADA"/>
    <w:rsid w:val="002B1CA4"/>
    <w:rsid w:val="002B50C9"/>
    <w:rsid w:val="002B6F38"/>
    <w:rsid w:val="002C1915"/>
    <w:rsid w:val="002C6AA4"/>
    <w:rsid w:val="002D182D"/>
    <w:rsid w:val="002D188B"/>
    <w:rsid w:val="002D3E05"/>
    <w:rsid w:val="002D7013"/>
    <w:rsid w:val="002E0615"/>
    <w:rsid w:val="002E0B2D"/>
    <w:rsid w:val="002E1689"/>
    <w:rsid w:val="002F336C"/>
    <w:rsid w:val="002F5C79"/>
    <w:rsid w:val="0030134D"/>
    <w:rsid w:val="003048C2"/>
    <w:rsid w:val="00305272"/>
    <w:rsid w:val="00306C86"/>
    <w:rsid w:val="00307418"/>
    <w:rsid w:val="003101AA"/>
    <w:rsid w:val="003152BC"/>
    <w:rsid w:val="00320901"/>
    <w:rsid w:val="00325935"/>
    <w:rsid w:val="00327FE7"/>
    <w:rsid w:val="00335C1A"/>
    <w:rsid w:val="00345497"/>
    <w:rsid w:val="00361E36"/>
    <w:rsid w:val="00364172"/>
    <w:rsid w:val="00364E2C"/>
    <w:rsid w:val="003749DB"/>
    <w:rsid w:val="003830BC"/>
    <w:rsid w:val="00385A51"/>
    <w:rsid w:val="00385D3B"/>
    <w:rsid w:val="003944A9"/>
    <w:rsid w:val="00394A37"/>
    <w:rsid w:val="003A5C3D"/>
    <w:rsid w:val="003B15F6"/>
    <w:rsid w:val="003B3C69"/>
    <w:rsid w:val="003C242D"/>
    <w:rsid w:val="003D3149"/>
    <w:rsid w:val="003D4B71"/>
    <w:rsid w:val="003F1100"/>
    <w:rsid w:val="003F4FD5"/>
    <w:rsid w:val="003F5B12"/>
    <w:rsid w:val="004011FD"/>
    <w:rsid w:val="00406B1B"/>
    <w:rsid w:val="004117C0"/>
    <w:rsid w:val="00413BAC"/>
    <w:rsid w:val="004249AC"/>
    <w:rsid w:val="00425451"/>
    <w:rsid w:val="004306BD"/>
    <w:rsid w:val="004312FC"/>
    <w:rsid w:val="004355E7"/>
    <w:rsid w:val="00442701"/>
    <w:rsid w:val="004427AE"/>
    <w:rsid w:val="0044647C"/>
    <w:rsid w:val="0044649A"/>
    <w:rsid w:val="00450A22"/>
    <w:rsid w:val="004519A1"/>
    <w:rsid w:val="00452F81"/>
    <w:rsid w:val="004560D9"/>
    <w:rsid w:val="004631B6"/>
    <w:rsid w:val="00465489"/>
    <w:rsid w:val="004761C9"/>
    <w:rsid w:val="0047798E"/>
    <w:rsid w:val="004802A3"/>
    <w:rsid w:val="00496441"/>
    <w:rsid w:val="00496855"/>
    <w:rsid w:val="004B2B6B"/>
    <w:rsid w:val="004B49B4"/>
    <w:rsid w:val="004B61F3"/>
    <w:rsid w:val="004B79BD"/>
    <w:rsid w:val="004C0151"/>
    <w:rsid w:val="004C478B"/>
    <w:rsid w:val="004C4DFA"/>
    <w:rsid w:val="004C764A"/>
    <w:rsid w:val="004E205D"/>
    <w:rsid w:val="004E3BFE"/>
    <w:rsid w:val="004E3CB2"/>
    <w:rsid w:val="004E59E0"/>
    <w:rsid w:val="004F2FD2"/>
    <w:rsid w:val="004F3C56"/>
    <w:rsid w:val="004F480D"/>
    <w:rsid w:val="004F4B51"/>
    <w:rsid w:val="004F6DDD"/>
    <w:rsid w:val="004F7120"/>
    <w:rsid w:val="0050181B"/>
    <w:rsid w:val="0050679C"/>
    <w:rsid w:val="00510952"/>
    <w:rsid w:val="005128C7"/>
    <w:rsid w:val="00513E2D"/>
    <w:rsid w:val="00524345"/>
    <w:rsid w:val="00525204"/>
    <w:rsid w:val="00527C5B"/>
    <w:rsid w:val="005345FF"/>
    <w:rsid w:val="005376D7"/>
    <w:rsid w:val="00541BEE"/>
    <w:rsid w:val="00542FB4"/>
    <w:rsid w:val="005512D4"/>
    <w:rsid w:val="00551F3F"/>
    <w:rsid w:val="005526A6"/>
    <w:rsid w:val="005574C1"/>
    <w:rsid w:val="005601A1"/>
    <w:rsid w:val="00561D97"/>
    <w:rsid w:val="00564110"/>
    <w:rsid w:val="00571373"/>
    <w:rsid w:val="00573670"/>
    <w:rsid w:val="005826F4"/>
    <w:rsid w:val="00582A3E"/>
    <w:rsid w:val="00593757"/>
    <w:rsid w:val="0059627C"/>
    <w:rsid w:val="0059651A"/>
    <w:rsid w:val="005A58FC"/>
    <w:rsid w:val="005A718D"/>
    <w:rsid w:val="005A7F46"/>
    <w:rsid w:val="005B3B18"/>
    <w:rsid w:val="005B4BF1"/>
    <w:rsid w:val="005B61CB"/>
    <w:rsid w:val="005B634B"/>
    <w:rsid w:val="005B6363"/>
    <w:rsid w:val="005C38CB"/>
    <w:rsid w:val="005C7296"/>
    <w:rsid w:val="005D6DA1"/>
    <w:rsid w:val="005E4AD0"/>
    <w:rsid w:val="005E700F"/>
    <w:rsid w:val="005F5C42"/>
    <w:rsid w:val="005F6BC8"/>
    <w:rsid w:val="00605D1E"/>
    <w:rsid w:val="006109E7"/>
    <w:rsid w:val="006125DF"/>
    <w:rsid w:val="00613A5C"/>
    <w:rsid w:val="006176C3"/>
    <w:rsid w:val="006258E4"/>
    <w:rsid w:val="00631D69"/>
    <w:rsid w:val="006327B2"/>
    <w:rsid w:val="006501E3"/>
    <w:rsid w:val="006624B7"/>
    <w:rsid w:val="0066440F"/>
    <w:rsid w:val="0066481E"/>
    <w:rsid w:val="006720EA"/>
    <w:rsid w:val="006767B9"/>
    <w:rsid w:val="0068528E"/>
    <w:rsid w:val="006858EE"/>
    <w:rsid w:val="00691344"/>
    <w:rsid w:val="006964C2"/>
    <w:rsid w:val="0069663F"/>
    <w:rsid w:val="006B30ED"/>
    <w:rsid w:val="006C4DDE"/>
    <w:rsid w:val="006D2821"/>
    <w:rsid w:val="006D30C5"/>
    <w:rsid w:val="006E1993"/>
    <w:rsid w:val="006E4152"/>
    <w:rsid w:val="006F1DCF"/>
    <w:rsid w:val="00700E5F"/>
    <w:rsid w:val="00701D08"/>
    <w:rsid w:val="00704095"/>
    <w:rsid w:val="0072218E"/>
    <w:rsid w:val="00725516"/>
    <w:rsid w:val="0072619A"/>
    <w:rsid w:val="00726D20"/>
    <w:rsid w:val="00737F31"/>
    <w:rsid w:val="00741EB3"/>
    <w:rsid w:val="007451A8"/>
    <w:rsid w:val="0074545F"/>
    <w:rsid w:val="00755167"/>
    <w:rsid w:val="00760CB1"/>
    <w:rsid w:val="007647BC"/>
    <w:rsid w:val="0076614C"/>
    <w:rsid w:val="00766A0F"/>
    <w:rsid w:val="00770B0F"/>
    <w:rsid w:val="0077133B"/>
    <w:rsid w:val="007718CF"/>
    <w:rsid w:val="007803A2"/>
    <w:rsid w:val="007825BD"/>
    <w:rsid w:val="007A6180"/>
    <w:rsid w:val="007B2535"/>
    <w:rsid w:val="007C2094"/>
    <w:rsid w:val="007D0797"/>
    <w:rsid w:val="007D4D21"/>
    <w:rsid w:val="007E7F5A"/>
    <w:rsid w:val="007F2F8A"/>
    <w:rsid w:val="007F591B"/>
    <w:rsid w:val="007F7336"/>
    <w:rsid w:val="00802DBA"/>
    <w:rsid w:val="00804C58"/>
    <w:rsid w:val="00805132"/>
    <w:rsid w:val="00805EE2"/>
    <w:rsid w:val="00812CEA"/>
    <w:rsid w:val="00815586"/>
    <w:rsid w:val="008215C1"/>
    <w:rsid w:val="00824A17"/>
    <w:rsid w:val="0083191F"/>
    <w:rsid w:val="008444B3"/>
    <w:rsid w:val="00856BA1"/>
    <w:rsid w:val="00862B45"/>
    <w:rsid w:val="00865340"/>
    <w:rsid w:val="008669B8"/>
    <w:rsid w:val="008678EB"/>
    <w:rsid w:val="00873721"/>
    <w:rsid w:val="00876466"/>
    <w:rsid w:val="00880816"/>
    <w:rsid w:val="00885200"/>
    <w:rsid w:val="0089506C"/>
    <w:rsid w:val="008A1C47"/>
    <w:rsid w:val="008A60A2"/>
    <w:rsid w:val="008B1761"/>
    <w:rsid w:val="008B23BE"/>
    <w:rsid w:val="008B6C9E"/>
    <w:rsid w:val="008C24D3"/>
    <w:rsid w:val="008C41E5"/>
    <w:rsid w:val="008D47D7"/>
    <w:rsid w:val="008D6154"/>
    <w:rsid w:val="008D65BE"/>
    <w:rsid w:val="008D7883"/>
    <w:rsid w:val="008E79C4"/>
    <w:rsid w:val="008F64AB"/>
    <w:rsid w:val="00907993"/>
    <w:rsid w:val="00922EC7"/>
    <w:rsid w:val="00932582"/>
    <w:rsid w:val="00956DD5"/>
    <w:rsid w:val="00957137"/>
    <w:rsid w:val="00963D98"/>
    <w:rsid w:val="00967061"/>
    <w:rsid w:val="00967CD2"/>
    <w:rsid w:val="009713CE"/>
    <w:rsid w:val="00983FB0"/>
    <w:rsid w:val="00994653"/>
    <w:rsid w:val="009959DC"/>
    <w:rsid w:val="009A2637"/>
    <w:rsid w:val="009A354C"/>
    <w:rsid w:val="009A3C41"/>
    <w:rsid w:val="009B07F1"/>
    <w:rsid w:val="009B25D9"/>
    <w:rsid w:val="009B343D"/>
    <w:rsid w:val="009B45C7"/>
    <w:rsid w:val="009B6AB5"/>
    <w:rsid w:val="009D34C6"/>
    <w:rsid w:val="009D41A0"/>
    <w:rsid w:val="009E0644"/>
    <w:rsid w:val="009F6F7B"/>
    <w:rsid w:val="00A021D9"/>
    <w:rsid w:val="00A07F90"/>
    <w:rsid w:val="00A17B29"/>
    <w:rsid w:val="00A20220"/>
    <w:rsid w:val="00A232D4"/>
    <w:rsid w:val="00A2635E"/>
    <w:rsid w:val="00A37093"/>
    <w:rsid w:val="00A40D27"/>
    <w:rsid w:val="00A41103"/>
    <w:rsid w:val="00A43FD1"/>
    <w:rsid w:val="00A50C1D"/>
    <w:rsid w:val="00A51B62"/>
    <w:rsid w:val="00A548F1"/>
    <w:rsid w:val="00A657BF"/>
    <w:rsid w:val="00A67FDD"/>
    <w:rsid w:val="00A70C9E"/>
    <w:rsid w:val="00A70DC7"/>
    <w:rsid w:val="00A80851"/>
    <w:rsid w:val="00A80B24"/>
    <w:rsid w:val="00A81A25"/>
    <w:rsid w:val="00A84C34"/>
    <w:rsid w:val="00A94F73"/>
    <w:rsid w:val="00AA0F73"/>
    <w:rsid w:val="00AA3146"/>
    <w:rsid w:val="00AA4330"/>
    <w:rsid w:val="00AA75A7"/>
    <w:rsid w:val="00AB1045"/>
    <w:rsid w:val="00AB5F62"/>
    <w:rsid w:val="00AB707D"/>
    <w:rsid w:val="00AC2E32"/>
    <w:rsid w:val="00AC406B"/>
    <w:rsid w:val="00AC4C7D"/>
    <w:rsid w:val="00AC5EC2"/>
    <w:rsid w:val="00AC7372"/>
    <w:rsid w:val="00AD449F"/>
    <w:rsid w:val="00AE4012"/>
    <w:rsid w:val="00AE5544"/>
    <w:rsid w:val="00AE560E"/>
    <w:rsid w:val="00AE5EDA"/>
    <w:rsid w:val="00AF06C3"/>
    <w:rsid w:val="00AF0CEE"/>
    <w:rsid w:val="00AF1843"/>
    <w:rsid w:val="00AF2D72"/>
    <w:rsid w:val="00AF3766"/>
    <w:rsid w:val="00AF4111"/>
    <w:rsid w:val="00AF5073"/>
    <w:rsid w:val="00B01EFA"/>
    <w:rsid w:val="00B02508"/>
    <w:rsid w:val="00B03AA0"/>
    <w:rsid w:val="00B054DC"/>
    <w:rsid w:val="00B23FF4"/>
    <w:rsid w:val="00B251A4"/>
    <w:rsid w:val="00B257C1"/>
    <w:rsid w:val="00B27CE6"/>
    <w:rsid w:val="00B3128A"/>
    <w:rsid w:val="00B31F11"/>
    <w:rsid w:val="00B33F40"/>
    <w:rsid w:val="00B37AB3"/>
    <w:rsid w:val="00B502CE"/>
    <w:rsid w:val="00B51E25"/>
    <w:rsid w:val="00B556B3"/>
    <w:rsid w:val="00B67003"/>
    <w:rsid w:val="00B677FE"/>
    <w:rsid w:val="00B67F4C"/>
    <w:rsid w:val="00B80558"/>
    <w:rsid w:val="00B8171A"/>
    <w:rsid w:val="00B8404D"/>
    <w:rsid w:val="00B930FF"/>
    <w:rsid w:val="00B938DD"/>
    <w:rsid w:val="00B956FD"/>
    <w:rsid w:val="00B96773"/>
    <w:rsid w:val="00B97073"/>
    <w:rsid w:val="00BA1A66"/>
    <w:rsid w:val="00BA4FAD"/>
    <w:rsid w:val="00BA63D6"/>
    <w:rsid w:val="00BA7FC5"/>
    <w:rsid w:val="00BB042C"/>
    <w:rsid w:val="00BB28F4"/>
    <w:rsid w:val="00BB3624"/>
    <w:rsid w:val="00BB592C"/>
    <w:rsid w:val="00BC3612"/>
    <w:rsid w:val="00BC4251"/>
    <w:rsid w:val="00BD4D71"/>
    <w:rsid w:val="00BE1029"/>
    <w:rsid w:val="00BE2D7E"/>
    <w:rsid w:val="00BE7266"/>
    <w:rsid w:val="00C027A8"/>
    <w:rsid w:val="00C039E2"/>
    <w:rsid w:val="00C06C75"/>
    <w:rsid w:val="00C235BA"/>
    <w:rsid w:val="00C23D4E"/>
    <w:rsid w:val="00C31F24"/>
    <w:rsid w:val="00C41DE5"/>
    <w:rsid w:val="00C42FA8"/>
    <w:rsid w:val="00C44082"/>
    <w:rsid w:val="00C45F6F"/>
    <w:rsid w:val="00C52F64"/>
    <w:rsid w:val="00C557D8"/>
    <w:rsid w:val="00C56D17"/>
    <w:rsid w:val="00C62245"/>
    <w:rsid w:val="00C63E9E"/>
    <w:rsid w:val="00C64214"/>
    <w:rsid w:val="00C66740"/>
    <w:rsid w:val="00C7687D"/>
    <w:rsid w:val="00C76991"/>
    <w:rsid w:val="00C772C4"/>
    <w:rsid w:val="00C80A16"/>
    <w:rsid w:val="00C826C6"/>
    <w:rsid w:val="00C82983"/>
    <w:rsid w:val="00C87ABE"/>
    <w:rsid w:val="00C950A0"/>
    <w:rsid w:val="00C95D5C"/>
    <w:rsid w:val="00C966F3"/>
    <w:rsid w:val="00CA131A"/>
    <w:rsid w:val="00CA49AC"/>
    <w:rsid w:val="00CA4D62"/>
    <w:rsid w:val="00CA7A90"/>
    <w:rsid w:val="00CB05C7"/>
    <w:rsid w:val="00CB39FD"/>
    <w:rsid w:val="00CB3D7E"/>
    <w:rsid w:val="00CB4660"/>
    <w:rsid w:val="00CB597F"/>
    <w:rsid w:val="00CB5F15"/>
    <w:rsid w:val="00CB6613"/>
    <w:rsid w:val="00CC40CB"/>
    <w:rsid w:val="00CC5076"/>
    <w:rsid w:val="00CC5137"/>
    <w:rsid w:val="00CC7AE8"/>
    <w:rsid w:val="00CD0450"/>
    <w:rsid w:val="00CD1B9C"/>
    <w:rsid w:val="00CE020D"/>
    <w:rsid w:val="00CE4E12"/>
    <w:rsid w:val="00CF2B5A"/>
    <w:rsid w:val="00CF2CDC"/>
    <w:rsid w:val="00CF7C01"/>
    <w:rsid w:val="00D0384A"/>
    <w:rsid w:val="00D13AFD"/>
    <w:rsid w:val="00D15D70"/>
    <w:rsid w:val="00D25C02"/>
    <w:rsid w:val="00D26042"/>
    <w:rsid w:val="00D3051A"/>
    <w:rsid w:val="00D3683A"/>
    <w:rsid w:val="00D43EC0"/>
    <w:rsid w:val="00D527AD"/>
    <w:rsid w:val="00D52C0D"/>
    <w:rsid w:val="00D5326D"/>
    <w:rsid w:val="00D631BC"/>
    <w:rsid w:val="00D71E74"/>
    <w:rsid w:val="00D73165"/>
    <w:rsid w:val="00D7324E"/>
    <w:rsid w:val="00D73B4D"/>
    <w:rsid w:val="00D74EE4"/>
    <w:rsid w:val="00D80D94"/>
    <w:rsid w:val="00D97A96"/>
    <w:rsid w:val="00DA1BDE"/>
    <w:rsid w:val="00DA4957"/>
    <w:rsid w:val="00DA5741"/>
    <w:rsid w:val="00DB2647"/>
    <w:rsid w:val="00DB657F"/>
    <w:rsid w:val="00DB6A10"/>
    <w:rsid w:val="00DB762C"/>
    <w:rsid w:val="00DC29BC"/>
    <w:rsid w:val="00DC50F2"/>
    <w:rsid w:val="00DE24DB"/>
    <w:rsid w:val="00DE6597"/>
    <w:rsid w:val="00DE784B"/>
    <w:rsid w:val="00DF4C3B"/>
    <w:rsid w:val="00DF79DA"/>
    <w:rsid w:val="00E23A54"/>
    <w:rsid w:val="00E23F9A"/>
    <w:rsid w:val="00E377F7"/>
    <w:rsid w:val="00E400D5"/>
    <w:rsid w:val="00E55E3A"/>
    <w:rsid w:val="00E56C2D"/>
    <w:rsid w:val="00E60F20"/>
    <w:rsid w:val="00E61A36"/>
    <w:rsid w:val="00E67237"/>
    <w:rsid w:val="00E71B51"/>
    <w:rsid w:val="00E72FD7"/>
    <w:rsid w:val="00E73604"/>
    <w:rsid w:val="00E73717"/>
    <w:rsid w:val="00E7765F"/>
    <w:rsid w:val="00E81CAE"/>
    <w:rsid w:val="00E84D34"/>
    <w:rsid w:val="00E94BB4"/>
    <w:rsid w:val="00EA78F0"/>
    <w:rsid w:val="00EB6FAA"/>
    <w:rsid w:val="00EB72C5"/>
    <w:rsid w:val="00EC2E02"/>
    <w:rsid w:val="00EC723A"/>
    <w:rsid w:val="00ED2545"/>
    <w:rsid w:val="00ED3F10"/>
    <w:rsid w:val="00EE0293"/>
    <w:rsid w:val="00EE2F40"/>
    <w:rsid w:val="00EE4AA4"/>
    <w:rsid w:val="00EE5F0B"/>
    <w:rsid w:val="00EE685A"/>
    <w:rsid w:val="00EF7D31"/>
    <w:rsid w:val="00EF7DFC"/>
    <w:rsid w:val="00F01AE3"/>
    <w:rsid w:val="00F119D5"/>
    <w:rsid w:val="00F12CE8"/>
    <w:rsid w:val="00F2736B"/>
    <w:rsid w:val="00F400B8"/>
    <w:rsid w:val="00F44FC3"/>
    <w:rsid w:val="00F47BAB"/>
    <w:rsid w:val="00F52AFC"/>
    <w:rsid w:val="00F54BF2"/>
    <w:rsid w:val="00F55A3E"/>
    <w:rsid w:val="00F6262C"/>
    <w:rsid w:val="00F66525"/>
    <w:rsid w:val="00F70D80"/>
    <w:rsid w:val="00F753FF"/>
    <w:rsid w:val="00F8289B"/>
    <w:rsid w:val="00F93DFF"/>
    <w:rsid w:val="00F94801"/>
    <w:rsid w:val="00F97C2B"/>
    <w:rsid w:val="00FA06C7"/>
    <w:rsid w:val="00FA0D54"/>
    <w:rsid w:val="00FA54F1"/>
    <w:rsid w:val="00FB08E0"/>
    <w:rsid w:val="00FB3853"/>
    <w:rsid w:val="00FC6575"/>
    <w:rsid w:val="00FD448E"/>
    <w:rsid w:val="00FD4EC6"/>
    <w:rsid w:val="00FD67A5"/>
    <w:rsid w:val="00FE6860"/>
    <w:rsid w:val="00FF03A1"/>
    <w:rsid w:val="00FF348D"/>
    <w:rsid w:val="00FF51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25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2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7418"/>
    <w:pPr>
      <w:tabs>
        <w:tab w:val="center" w:pos="4320"/>
        <w:tab w:val="right" w:pos="8640"/>
      </w:tabs>
    </w:pPr>
  </w:style>
  <w:style w:type="character" w:customStyle="1" w:styleId="HeaderChar">
    <w:name w:val="Header Char"/>
    <w:basedOn w:val="DefaultParagraphFont"/>
    <w:link w:val="Header"/>
    <w:uiPriority w:val="99"/>
    <w:rsid w:val="00307418"/>
    <w:rPr>
      <w:rFonts w:ascii="Times New Roman" w:eastAsia="Times New Roman" w:hAnsi="Times New Roman" w:cs="Times New Roman"/>
      <w:sz w:val="24"/>
      <w:szCs w:val="24"/>
      <w:lang w:val="en-GB"/>
    </w:rPr>
  </w:style>
  <w:style w:type="character" w:styleId="PageNumber">
    <w:name w:val="page number"/>
    <w:basedOn w:val="DefaultParagraphFont"/>
    <w:rsid w:val="00307418"/>
  </w:style>
  <w:style w:type="paragraph" w:styleId="ListParagraph">
    <w:name w:val="List Paragraph"/>
    <w:basedOn w:val="Normal"/>
    <w:uiPriority w:val="34"/>
    <w:qFormat/>
    <w:rsid w:val="00307418"/>
    <w:pPr>
      <w:ind w:left="720"/>
      <w:contextualSpacing/>
    </w:pPr>
  </w:style>
  <w:style w:type="paragraph" w:customStyle="1" w:styleId="Default">
    <w:name w:val="Default"/>
    <w:rsid w:val="00307418"/>
    <w:pPr>
      <w:autoSpaceDE w:val="0"/>
      <w:autoSpaceDN w:val="0"/>
      <w:adjustRightInd w:val="0"/>
      <w:spacing w:after="0" w:line="240" w:lineRule="auto"/>
    </w:pPr>
    <w:rPr>
      <w:rFonts w:ascii="Times New Roman" w:eastAsia="Times New Roman" w:hAnsi="Times New Roman" w:cs="Times New Roman"/>
      <w:color w:val="000000"/>
      <w:sz w:val="24"/>
      <w:szCs w:val="24"/>
      <w:lang w:eastAsia="en-ZW"/>
    </w:rPr>
  </w:style>
  <w:style w:type="paragraph" w:styleId="Footer">
    <w:name w:val="footer"/>
    <w:basedOn w:val="Normal"/>
    <w:link w:val="FooterChar"/>
    <w:uiPriority w:val="99"/>
    <w:unhideWhenUsed/>
    <w:rsid w:val="00307418"/>
    <w:pPr>
      <w:tabs>
        <w:tab w:val="center" w:pos="4513"/>
        <w:tab w:val="right" w:pos="9026"/>
      </w:tabs>
    </w:pPr>
  </w:style>
  <w:style w:type="character" w:customStyle="1" w:styleId="FooterChar">
    <w:name w:val="Footer Char"/>
    <w:basedOn w:val="DefaultParagraphFont"/>
    <w:link w:val="Footer"/>
    <w:uiPriority w:val="99"/>
    <w:rsid w:val="00307418"/>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856BA1"/>
    <w:rPr>
      <w:rFonts w:asciiTheme="minorHAnsi" w:eastAsiaTheme="minorHAnsi" w:hAnsiTheme="minorHAnsi" w:cstheme="minorBidi"/>
      <w:sz w:val="20"/>
      <w:szCs w:val="20"/>
      <w:lang w:val="en-ZW"/>
    </w:rPr>
  </w:style>
  <w:style w:type="character" w:customStyle="1" w:styleId="FootnoteTextChar">
    <w:name w:val="Footnote Text Char"/>
    <w:basedOn w:val="DefaultParagraphFont"/>
    <w:link w:val="FootnoteText"/>
    <w:uiPriority w:val="99"/>
    <w:rsid w:val="00856BA1"/>
    <w:rPr>
      <w:sz w:val="20"/>
      <w:szCs w:val="20"/>
    </w:rPr>
  </w:style>
  <w:style w:type="character" w:styleId="FootnoteReference">
    <w:name w:val="footnote reference"/>
    <w:basedOn w:val="DefaultParagraphFont"/>
    <w:uiPriority w:val="99"/>
    <w:semiHidden/>
    <w:unhideWhenUsed/>
    <w:rsid w:val="00856BA1"/>
    <w:rPr>
      <w:vertAlign w:val="superscript"/>
    </w:rPr>
  </w:style>
  <w:style w:type="paragraph" w:styleId="BalloonText">
    <w:name w:val="Balloon Text"/>
    <w:basedOn w:val="Normal"/>
    <w:link w:val="BalloonTextChar"/>
    <w:uiPriority w:val="99"/>
    <w:semiHidden/>
    <w:unhideWhenUsed/>
    <w:rsid w:val="001A739D"/>
    <w:rPr>
      <w:rFonts w:ascii="Tahoma" w:hAnsi="Tahoma" w:cs="Tahoma"/>
      <w:sz w:val="16"/>
      <w:szCs w:val="16"/>
    </w:rPr>
  </w:style>
  <w:style w:type="character" w:customStyle="1" w:styleId="BalloonTextChar">
    <w:name w:val="Balloon Text Char"/>
    <w:basedOn w:val="DefaultParagraphFont"/>
    <w:link w:val="BalloonText"/>
    <w:uiPriority w:val="99"/>
    <w:semiHidden/>
    <w:rsid w:val="001A739D"/>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2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7418"/>
    <w:pPr>
      <w:tabs>
        <w:tab w:val="center" w:pos="4320"/>
        <w:tab w:val="right" w:pos="8640"/>
      </w:tabs>
    </w:pPr>
  </w:style>
  <w:style w:type="character" w:customStyle="1" w:styleId="HeaderChar">
    <w:name w:val="Header Char"/>
    <w:basedOn w:val="DefaultParagraphFont"/>
    <w:link w:val="Header"/>
    <w:uiPriority w:val="99"/>
    <w:rsid w:val="00307418"/>
    <w:rPr>
      <w:rFonts w:ascii="Times New Roman" w:eastAsia="Times New Roman" w:hAnsi="Times New Roman" w:cs="Times New Roman"/>
      <w:sz w:val="24"/>
      <w:szCs w:val="24"/>
      <w:lang w:val="en-GB"/>
    </w:rPr>
  </w:style>
  <w:style w:type="character" w:styleId="PageNumber">
    <w:name w:val="page number"/>
    <w:basedOn w:val="DefaultParagraphFont"/>
    <w:rsid w:val="00307418"/>
  </w:style>
  <w:style w:type="paragraph" w:styleId="ListParagraph">
    <w:name w:val="List Paragraph"/>
    <w:basedOn w:val="Normal"/>
    <w:uiPriority w:val="34"/>
    <w:qFormat/>
    <w:rsid w:val="00307418"/>
    <w:pPr>
      <w:ind w:left="720"/>
      <w:contextualSpacing/>
    </w:pPr>
  </w:style>
  <w:style w:type="paragraph" w:customStyle="1" w:styleId="Default">
    <w:name w:val="Default"/>
    <w:rsid w:val="00307418"/>
    <w:pPr>
      <w:autoSpaceDE w:val="0"/>
      <w:autoSpaceDN w:val="0"/>
      <w:adjustRightInd w:val="0"/>
      <w:spacing w:after="0" w:line="240" w:lineRule="auto"/>
    </w:pPr>
    <w:rPr>
      <w:rFonts w:ascii="Times New Roman" w:eastAsia="Times New Roman" w:hAnsi="Times New Roman" w:cs="Times New Roman"/>
      <w:color w:val="000000"/>
      <w:sz w:val="24"/>
      <w:szCs w:val="24"/>
      <w:lang w:eastAsia="en-ZW"/>
    </w:rPr>
  </w:style>
  <w:style w:type="paragraph" w:styleId="Footer">
    <w:name w:val="footer"/>
    <w:basedOn w:val="Normal"/>
    <w:link w:val="FooterChar"/>
    <w:uiPriority w:val="99"/>
    <w:unhideWhenUsed/>
    <w:rsid w:val="00307418"/>
    <w:pPr>
      <w:tabs>
        <w:tab w:val="center" w:pos="4513"/>
        <w:tab w:val="right" w:pos="9026"/>
      </w:tabs>
    </w:pPr>
  </w:style>
  <w:style w:type="character" w:customStyle="1" w:styleId="FooterChar">
    <w:name w:val="Footer Char"/>
    <w:basedOn w:val="DefaultParagraphFont"/>
    <w:link w:val="Footer"/>
    <w:uiPriority w:val="99"/>
    <w:rsid w:val="00307418"/>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856BA1"/>
    <w:rPr>
      <w:rFonts w:asciiTheme="minorHAnsi" w:eastAsiaTheme="minorHAnsi" w:hAnsiTheme="minorHAnsi" w:cstheme="minorBidi"/>
      <w:sz w:val="20"/>
      <w:szCs w:val="20"/>
      <w:lang w:val="en-ZW"/>
    </w:rPr>
  </w:style>
  <w:style w:type="character" w:customStyle="1" w:styleId="FootnoteTextChar">
    <w:name w:val="Footnote Text Char"/>
    <w:basedOn w:val="DefaultParagraphFont"/>
    <w:link w:val="FootnoteText"/>
    <w:uiPriority w:val="99"/>
    <w:rsid w:val="00856BA1"/>
    <w:rPr>
      <w:sz w:val="20"/>
      <w:szCs w:val="20"/>
    </w:rPr>
  </w:style>
  <w:style w:type="character" w:styleId="FootnoteReference">
    <w:name w:val="footnote reference"/>
    <w:basedOn w:val="DefaultParagraphFont"/>
    <w:uiPriority w:val="99"/>
    <w:semiHidden/>
    <w:unhideWhenUsed/>
    <w:rsid w:val="00856BA1"/>
    <w:rPr>
      <w:vertAlign w:val="superscript"/>
    </w:rPr>
  </w:style>
  <w:style w:type="paragraph" w:styleId="BalloonText">
    <w:name w:val="Balloon Text"/>
    <w:basedOn w:val="Normal"/>
    <w:link w:val="BalloonTextChar"/>
    <w:uiPriority w:val="99"/>
    <w:semiHidden/>
    <w:unhideWhenUsed/>
    <w:rsid w:val="001A739D"/>
    <w:rPr>
      <w:rFonts w:ascii="Tahoma" w:hAnsi="Tahoma" w:cs="Tahoma"/>
      <w:sz w:val="16"/>
      <w:szCs w:val="16"/>
    </w:rPr>
  </w:style>
  <w:style w:type="character" w:customStyle="1" w:styleId="BalloonTextChar">
    <w:name w:val="Balloon Text Char"/>
    <w:basedOn w:val="DefaultParagraphFont"/>
    <w:link w:val="BalloonText"/>
    <w:uiPriority w:val="99"/>
    <w:semiHidden/>
    <w:rsid w:val="001A739D"/>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C988-A644-459F-8244-D9AF27A6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2022-10-31T06:26:00Z</cp:lastPrinted>
  <dcterms:created xsi:type="dcterms:W3CDTF">2022-10-31T13:17:00Z</dcterms:created>
  <dcterms:modified xsi:type="dcterms:W3CDTF">2022-10-31T13:17:00Z</dcterms:modified>
</cp:coreProperties>
</file>