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D7C" w:rsidRDefault="00847D7C" w:rsidP="00847D7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847D7C" w:rsidRDefault="00847D7C" w:rsidP="00847D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MOUNT </w:t>
      </w:r>
      <w:r w:rsidR="0088392A">
        <w:rPr>
          <w:rFonts w:ascii="Times New Roman" w:hAnsi="Times New Roman" w:cs="Times New Roman"/>
          <w:sz w:val="24"/>
          <w:szCs w:val="24"/>
        </w:rPr>
        <w:t xml:space="preserve">MERU </w:t>
      </w:r>
      <w:r>
        <w:rPr>
          <w:rFonts w:ascii="Times New Roman" w:hAnsi="Times New Roman" w:cs="Times New Roman"/>
          <w:sz w:val="24"/>
          <w:szCs w:val="24"/>
        </w:rPr>
        <w:t>PETROLEUM ZIMBABWE (PRIVATE) LIMITED</w:t>
      </w:r>
    </w:p>
    <w:p w:rsidR="00847D7C" w:rsidRDefault="00847D7C" w:rsidP="00847D7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47D7C" w:rsidRDefault="00847D7C" w:rsidP="00847D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MUDHAWIN ENTERPRISES (PRIVATE) LIMITED </w:t>
      </w:r>
    </w:p>
    <w:p w:rsidR="00847D7C" w:rsidRDefault="00847D7C" w:rsidP="00847D7C">
      <w:pPr>
        <w:spacing w:after="0" w:line="240" w:lineRule="auto"/>
        <w:rPr>
          <w:rFonts w:ascii="Times New Roman" w:hAnsi="Times New Roman" w:cs="Times New Roman"/>
          <w:sz w:val="24"/>
          <w:szCs w:val="24"/>
        </w:rPr>
      </w:pPr>
    </w:p>
    <w:p w:rsidR="00F05898" w:rsidRDefault="00F05898" w:rsidP="00847D7C">
      <w:pPr>
        <w:spacing w:after="0" w:line="240" w:lineRule="auto"/>
        <w:rPr>
          <w:rFonts w:ascii="Times New Roman" w:hAnsi="Times New Roman" w:cs="Times New Roman"/>
          <w:sz w:val="24"/>
          <w:szCs w:val="24"/>
        </w:rPr>
      </w:pPr>
    </w:p>
    <w:p w:rsidR="00A63426" w:rsidRDefault="00A63426" w:rsidP="00847D7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847D7C" w:rsidRDefault="00847D7C" w:rsidP="00847D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847D7C" w:rsidRDefault="00847D7C" w:rsidP="00847D7C">
      <w:pPr>
        <w:spacing w:after="0" w:line="240" w:lineRule="auto"/>
        <w:rPr>
          <w:rFonts w:ascii="Times New Roman" w:hAnsi="Times New Roman" w:cs="Times New Roman"/>
          <w:sz w:val="24"/>
          <w:szCs w:val="24"/>
        </w:rPr>
      </w:pPr>
      <w:r>
        <w:rPr>
          <w:rFonts w:ascii="Times New Roman" w:hAnsi="Times New Roman" w:cs="Times New Roman"/>
          <w:sz w:val="24"/>
          <w:szCs w:val="24"/>
        </w:rPr>
        <w:t>HARARE, 16 &amp; 23 June 2021</w:t>
      </w:r>
    </w:p>
    <w:p w:rsidR="00847D7C" w:rsidRDefault="00847D7C" w:rsidP="00847D7C">
      <w:pPr>
        <w:spacing w:after="0" w:line="240" w:lineRule="auto"/>
        <w:rPr>
          <w:rFonts w:ascii="Times New Roman" w:hAnsi="Times New Roman" w:cs="Times New Roman"/>
          <w:b/>
          <w:sz w:val="24"/>
          <w:szCs w:val="24"/>
        </w:rPr>
      </w:pPr>
    </w:p>
    <w:p w:rsidR="00236ACF" w:rsidRDefault="00236ACF" w:rsidP="00847D7C">
      <w:pPr>
        <w:spacing w:after="0" w:line="240" w:lineRule="auto"/>
        <w:rPr>
          <w:rFonts w:ascii="Times New Roman" w:hAnsi="Times New Roman" w:cs="Times New Roman"/>
          <w:b/>
          <w:sz w:val="24"/>
          <w:szCs w:val="24"/>
        </w:rPr>
      </w:pPr>
    </w:p>
    <w:p w:rsidR="00847D7C" w:rsidRDefault="00236ACF" w:rsidP="00847D7C">
      <w:pPr>
        <w:spacing w:after="0" w:line="240" w:lineRule="auto"/>
        <w:rPr>
          <w:rFonts w:ascii="Times New Roman" w:hAnsi="Times New Roman" w:cs="Times New Roman"/>
          <w:b/>
          <w:sz w:val="24"/>
          <w:szCs w:val="24"/>
        </w:rPr>
      </w:pPr>
      <w:r>
        <w:rPr>
          <w:rFonts w:ascii="Times New Roman" w:hAnsi="Times New Roman" w:cs="Times New Roman"/>
          <w:b/>
          <w:sz w:val="24"/>
          <w:szCs w:val="24"/>
        </w:rPr>
        <w:t>Exception to the summons</w:t>
      </w:r>
    </w:p>
    <w:p w:rsidR="00847D7C" w:rsidRDefault="00847D7C" w:rsidP="00847D7C">
      <w:pPr>
        <w:spacing w:after="0" w:line="240" w:lineRule="auto"/>
        <w:jc w:val="both"/>
        <w:rPr>
          <w:rFonts w:ascii="Times New Roman" w:hAnsi="Times New Roman" w:cs="Times New Roman"/>
          <w:sz w:val="24"/>
          <w:szCs w:val="24"/>
        </w:rPr>
      </w:pPr>
    </w:p>
    <w:p w:rsidR="00236ACF" w:rsidRDefault="00236ACF" w:rsidP="00847D7C">
      <w:pPr>
        <w:spacing w:after="0" w:line="240" w:lineRule="auto"/>
        <w:jc w:val="both"/>
        <w:rPr>
          <w:rFonts w:ascii="Times New Roman" w:hAnsi="Times New Roman" w:cs="Times New Roman"/>
          <w:sz w:val="24"/>
          <w:szCs w:val="24"/>
        </w:rPr>
      </w:pPr>
    </w:p>
    <w:p w:rsidR="00847D7C" w:rsidRDefault="00847D7C" w:rsidP="00847D7C">
      <w:pPr>
        <w:spacing w:after="0" w:line="240" w:lineRule="auto"/>
        <w:jc w:val="both"/>
        <w:rPr>
          <w:rFonts w:ascii="Times New Roman" w:hAnsi="Times New Roman" w:cs="Times New Roman"/>
          <w:sz w:val="24"/>
          <w:szCs w:val="24"/>
        </w:rPr>
      </w:pPr>
      <w:r w:rsidRPr="00236ACF">
        <w:rPr>
          <w:rFonts w:ascii="Times New Roman" w:hAnsi="Times New Roman" w:cs="Times New Roman"/>
          <w:i/>
          <w:sz w:val="24"/>
          <w:szCs w:val="24"/>
        </w:rPr>
        <w:t>F Chinwawadzimba</w:t>
      </w:r>
      <w:r>
        <w:rPr>
          <w:rFonts w:ascii="Times New Roman" w:hAnsi="Times New Roman" w:cs="Times New Roman"/>
          <w:sz w:val="24"/>
          <w:szCs w:val="24"/>
        </w:rPr>
        <w:t>, for the applicant</w:t>
      </w:r>
    </w:p>
    <w:p w:rsidR="00847D7C" w:rsidRDefault="00847D7C" w:rsidP="00847D7C">
      <w:pPr>
        <w:spacing w:after="0" w:line="240" w:lineRule="auto"/>
        <w:jc w:val="both"/>
        <w:rPr>
          <w:rFonts w:ascii="Times New Roman" w:hAnsi="Times New Roman" w:cs="Times New Roman"/>
          <w:sz w:val="24"/>
          <w:szCs w:val="24"/>
        </w:rPr>
      </w:pPr>
      <w:r w:rsidRPr="00236ACF">
        <w:rPr>
          <w:rFonts w:ascii="Times New Roman" w:hAnsi="Times New Roman" w:cs="Times New Roman"/>
          <w:i/>
          <w:sz w:val="24"/>
          <w:szCs w:val="24"/>
        </w:rPr>
        <w:t>R Mabwe</w:t>
      </w:r>
      <w:r>
        <w:rPr>
          <w:rFonts w:ascii="Times New Roman" w:hAnsi="Times New Roman" w:cs="Times New Roman"/>
          <w:sz w:val="24"/>
          <w:szCs w:val="24"/>
        </w:rPr>
        <w:t xml:space="preserve">, for </w:t>
      </w:r>
      <w:r w:rsidR="00236ACF">
        <w:rPr>
          <w:rFonts w:ascii="Times New Roman" w:hAnsi="Times New Roman" w:cs="Times New Roman"/>
          <w:sz w:val="24"/>
          <w:szCs w:val="24"/>
        </w:rPr>
        <w:t>the respondent</w:t>
      </w:r>
    </w:p>
    <w:p w:rsidR="00847D7C" w:rsidRDefault="00847D7C" w:rsidP="00847D7C">
      <w:pPr>
        <w:jc w:val="both"/>
        <w:rPr>
          <w:rFonts w:ascii="Times New Roman" w:hAnsi="Times New Roman" w:cs="Times New Roman"/>
          <w:sz w:val="24"/>
          <w:szCs w:val="24"/>
        </w:rPr>
      </w:pPr>
    </w:p>
    <w:p w:rsidR="00F05898" w:rsidRDefault="00F05898" w:rsidP="00A63426">
      <w:pPr>
        <w:spacing w:after="0" w:line="360" w:lineRule="auto"/>
        <w:ind w:firstLine="720"/>
        <w:jc w:val="both"/>
        <w:rPr>
          <w:rFonts w:ascii="Times New Roman" w:hAnsi="Times New Roman" w:cs="Times New Roman"/>
          <w:sz w:val="24"/>
          <w:szCs w:val="24"/>
        </w:rPr>
      </w:pPr>
    </w:p>
    <w:p w:rsidR="00513172" w:rsidRDefault="0088392A" w:rsidP="00A634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MANZUNZU J</w:t>
      </w:r>
      <w:r w:rsidR="00236ACF">
        <w:rPr>
          <w:rFonts w:ascii="Times New Roman" w:hAnsi="Times New Roman" w:cs="Times New Roman"/>
          <w:sz w:val="24"/>
          <w:szCs w:val="24"/>
        </w:rPr>
        <w:t>:</w:t>
      </w:r>
      <w:r>
        <w:rPr>
          <w:rFonts w:ascii="Times New Roman" w:hAnsi="Times New Roman" w:cs="Times New Roman"/>
          <w:sz w:val="24"/>
          <w:szCs w:val="24"/>
        </w:rPr>
        <w:t xml:space="preserve"> T</w:t>
      </w:r>
      <w:r w:rsidR="00847D7C">
        <w:rPr>
          <w:rFonts w:ascii="Times New Roman" w:hAnsi="Times New Roman" w:cs="Times New Roman"/>
          <w:sz w:val="24"/>
          <w:szCs w:val="24"/>
        </w:rPr>
        <w:t xml:space="preserve">his judgment deals with a preliminary point on whether or not an exception </w:t>
      </w:r>
      <w:r w:rsidR="00A413E8">
        <w:rPr>
          <w:rFonts w:ascii="Times New Roman" w:hAnsi="Times New Roman" w:cs="Times New Roman"/>
          <w:sz w:val="24"/>
          <w:szCs w:val="24"/>
        </w:rPr>
        <w:t xml:space="preserve">and special plea </w:t>
      </w:r>
      <w:r w:rsidR="00847D7C">
        <w:rPr>
          <w:rFonts w:ascii="Times New Roman" w:hAnsi="Times New Roman" w:cs="Times New Roman"/>
          <w:sz w:val="24"/>
          <w:szCs w:val="24"/>
        </w:rPr>
        <w:t xml:space="preserve">to the summons </w:t>
      </w:r>
      <w:r w:rsidR="00A413E8">
        <w:rPr>
          <w:rFonts w:ascii="Times New Roman" w:hAnsi="Times New Roman" w:cs="Times New Roman"/>
          <w:sz w:val="24"/>
          <w:szCs w:val="24"/>
        </w:rPr>
        <w:t>were</w:t>
      </w:r>
      <w:r>
        <w:rPr>
          <w:rFonts w:ascii="Times New Roman" w:hAnsi="Times New Roman" w:cs="Times New Roman"/>
          <w:sz w:val="24"/>
          <w:szCs w:val="24"/>
        </w:rPr>
        <w:t xml:space="preserve"> filed within the</w:t>
      </w:r>
      <w:r w:rsidR="00847D7C">
        <w:rPr>
          <w:rFonts w:ascii="Times New Roman" w:hAnsi="Times New Roman" w:cs="Times New Roman"/>
          <w:sz w:val="24"/>
          <w:szCs w:val="24"/>
        </w:rPr>
        <w:t xml:space="preserve"> time</w:t>
      </w:r>
      <w:r w:rsidR="00A413E8">
        <w:rPr>
          <w:rFonts w:ascii="Times New Roman" w:hAnsi="Times New Roman" w:cs="Times New Roman"/>
          <w:sz w:val="24"/>
          <w:szCs w:val="24"/>
        </w:rPr>
        <w:t xml:space="preserve"> limits prescribed by the </w:t>
      </w:r>
      <w:r w:rsidR="00847D7C">
        <w:rPr>
          <w:rFonts w:ascii="Times New Roman" w:hAnsi="Times New Roman" w:cs="Times New Roman"/>
          <w:sz w:val="24"/>
          <w:szCs w:val="24"/>
        </w:rPr>
        <w:t>rules.</w:t>
      </w:r>
      <w:r w:rsidR="00513172">
        <w:rPr>
          <w:rFonts w:ascii="Times New Roman" w:hAnsi="Times New Roman" w:cs="Times New Roman"/>
          <w:sz w:val="24"/>
          <w:szCs w:val="24"/>
        </w:rPr>
        <w:t xml:space="preserve"> </w:t>
      </w:r>
    </w:p>
    <w:p w:rsidR="00847D7C" w:rsidRDefault="00513172" w:rsidP="00A634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chronology of events leading to the filing of an exception is as follows;</w:t>
      </w:r>
    </w:p>
    <w:p w:rsidR="00BB27FE" w:rsidRPr="00A63426" w:rsidRDefault="00513172" w:rsidP="00A63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issued summons against the defendant on 29 December 2020. The summons and declaration were served on the defendant on 3 March 2021. The defendant entered an appear</w:t>
      </w:r>
      <w:r w:rsidR="00D54B9E">
        <w:rPr>
          <w:rFonts w:ascii="Times New Roman" w:hAnsi="Times New Roman" w:cs="Times New Roman"/>
          <w:sz w:val="24"/>
          <w:szCs w:val="24"/>
        </w:rPr>
        <w:t>ance to defend on 12 March 2021. On 29 March 2021 the defendant f</w:t>
      </w:r>
      <w:r w:rsidR="0088392A">
        <w:rPr>
          <w:rFonts w:ascii="Times New Roman" w:hAnsi="Times New Roman" w:cs="Times New Roman"/>
          <w:sz w:val="24"/>
          <w:szCs w:val="24"/>
        </w:rPr>
        <w:t>iled and served on the plaintiff</w:t>
      </w:r>
      <w:r w:rsidR="00D54B9E">
        <w:rPr>
          <w:rFonts w:ascii="Times New Roman" w:hAnsi="Times New Roman" w:cs="Times New Roman"/>
          <w:sz w:val="24"/>
          <w:szCs w:val="24"/>
        </w:rPr>
        <w:t xml:space="preserve"> a request for further particulars. Plaintiff’s further particulars were supplied on 30 March 2021. Thereafter the parties started to exchange </w:t>
      </w:r>
      <w:r w:rsidR="00236ACF">
        <w:rPr>
          <w:rFonts w:ascii="Times New Roman" w:hAnsi="Times New Roman" w:cs="Times New Roman"/>
          <w:sz w:val="24"/>
          <w:szCs w:val="24"/>
        </w:rPr>
        <w:t>correspondence with</w:t>
      </w:r>
      <w:r w:rsidR="00505DE7">
        <w:rPr>
          <w:rFonts w:ascii="Times New Roman" w:hAnsi="Times New Roman" w:cs="Times New Roman"/>
          <w:sz w:val="24"/>
          <w:szCs w:val="24"/>
        </w:rPr>
        <w:t xml:space="preserve"> the defendant expressing the inadequacy of the </w:t>
      </w:r>
      <w:r w:rsidR="0088392A">
        <w:rPr>
          <w:rFonts w:ascii="Times New Roman" w:hAnsi="Times New Roman" w:cs="Times New Roman"/>
          <w:sz w:val="24"/>
          <w:szCs w:val="24"/>
        </w:rPr>
        <w:t xml:space="preserve">supplied </w:t>
      </w:r>
      <w:r w:rsidR="00505DE7">
        <w:rPr>
          <w:rFonts w:ascii="Times New Roman" w:hAnsi="Times New Roman" w:cs="Times New Roman"/>
          <w:sz w:val="24"/>
          <w:szCs w:val="24"/>
        </w:rPr>
        <w:t xml:space="preserve">further particulars and the plaintiff taking a different view. There was also a threat to file an application to compel further particulars </w:t>
      </w:r>
      <w:r w:rsidR="00236ACF">
        <w:rPr>
          <w:rFonts w:ascii="Times New Roman" w:hAnsi="Times New Roman" w:cs="Times New Roman"/>
          <w:sz w:val="24"/>
          <w:szCs w:val="24"/>
        </w:rPr>
        <w:t>which never</w:t>
      </w:r>
      <w:r w:rsidR="00505DE7">
        <w:rPr>
          <w:rFonts w:ascii="Times New Roman" w:hAnsi="Times New Roman" w:cs="Times New Roman"/>
          <w:sz w:val="24"/>
          <w:szCs w:val="24"/>
        </w:rPr>
        <w:t xml:space="preserve"> came to fruition. </w:t>
      </w:r>
      <w:r w:rsidR="00D54B9E">
        <w:rPr>
          <w:rFonts w:ascii="Times New Roman" w:hAnsi="Times New Roman" w:cs="Times New Roman"/>
          <w:sz w:val="24"/>
          <w:szCs w:val="24"/>
        </w:rPr>
        <w:t xml:space="preserve"> </w:t>
      </w:r>
      <w:r w:rsidR="00505DE7">
        <w:rPr>
          <w:rFonts w:ascii="Times New Roman" w:hAnsi="Times New Roman" w:cs="Times New Roman"/>
          <w:sz w:val="24"/>
          <w:szCs w:val="24"/>
        </w:rPr>
        <w:t xml:space="preserve">However, </w:t>
      </w:r>
      <w:r w:rsidR="00236ACF">
        <w:rPr>
          <w:rFonts w:ascii="Times New Roman" w:hAnsi="Times New Roman" w:cs="Times New Roman"/>
          <w:sz w:val="24"/>
          <w:szCs w:val="24"/>
        </w:rPr>
        <w:t>an exception</w:t>
      </w:r>
      <w:r>
        <w:rPr>
          <w:rFonts w:ascii="Times New Roman" w:hAnsi="Times New Roman" w:cs="Times New Roman"/>
          <w:sz w:val="24"/>
          <w:szCs w:val="24"/>
        </w:rPr>
        <w:t xml:space="preserve"> </w:t>
      </w:r>
      <w:r w:rsidR="00505DE7">
        <w:rPr>
          <w:rFonts w:ascii="Times New Roman" w:hAnsi="Times New Roman" w:cs="Times New Roman"/>
          <w:sz w:val="24"/>
          <w:szCs w:val="24"/>
        </w:rPr>
        <w:t>and a special plea were</w:t>
      </w:r>
      <w:r>
        <w:rPr>
          <w:rFonts w:ascii="Times New Roman" w:hAnsi="Times New Roman" w:cs="Times New Roman"/>
          <w:sz w:val="24"/>
          <w:szCs w:val="24"/>
        </w:rPr>
        <w:t xml:space="preserve"> </w:t>
      </w:r>
      <w:r w:rsidR="00505DE7">
        <w:rPr>
          <w:rFonts w:ascii="Times New Roman" w:hAnsi="Times New Roman" w:cs="Times New Roman"/>
          <w:sz w:val="24"/>
          <w:szCs w:val="24"/>
        </w:rPr>
        <w:t xml:space="preserve">then </w:t>
      </w:r>
      <w:r>
        <w:rPr>
          <w:rFonts w:ascii="Times New Roman" w:hAnsi="Times New Roman" w:cs="Times New Roman"/>
          <w:sz w:val="24"/>
          <w:szCs w:val="24"/>
        </w:rPr>
        <w:t xml:space="preserve">raised on 16 April 2021. </w:t>
      </w:r>
    </w:p>
    <w:p w:rsidR="00BB27FE" w:rsidRDefault="00BB27FE" w:rsidP="00A63426">
      <w:pPr>
        <w:autoSpaceDE w:val="0"/>
        <w:autoSpaceDN w:val="0"/>
        <w:adjustRightInd w:val="0"/>
        <w:spacing w:after="0" w:line="360" w:lineRule="auto"/>
        <w:ind w:firstLine="720"/>
        <w:jc w:val="both"/>
        <w:rPr>
          <w:rFonts w:ascii="Times New Roman" w:hAnsi="Times New Roman" w:cs="Times New Roman"/>
          <w:sz w:val="24"/>
          <w:szCs w:val="24"/>
        </w:rPr>
      </w:pPr>
      <w:r w:rsidRPr="00BB27FE">
        <w:rPr>
          <w:rFonts w:ascii="Times New Roman" w:hAnsi="Times New Roman" w:cs="Times New Roman"/>
          <w:sz w:val="24"/>
          <w:szCs w:val="24"/>
        </w:rPr>
        <w:t>Rule 119 of the High Court Rules provides that;</w:t>
      </w:r>
    </w:p>
    <w:p w:rsidR="00BB27FE" w:rsidRPr="00A63426" w:rsidRDefault="00BB27FE" w:rsidP="00A63426">
      <w:pPr>
        <w:autoSpaceDE w:val="0"/>
        <w:autoSpaceDN w:val="0"/>
        <w:adjustRightInd w:val="0"/>
        <w:spacing w:after="0" w:line="240" w:lineRule="auto"/>
        <w:ind w:left="720"/>
        <w:jc w:val="both"/>
        <w:rPr>
          <w:rFonts w:ascii="Times New Roman" w:hAnsi="Times New Roman" w:cs="Times New Roman"/>
        </w:rPr>
      </w:pPr>
      <w:r w:rsidRPr="00A63426">
        <w:rPr>
          <w:rFonts w:ascii="Times New Roman" w:hAnsi="Times New Roman" w:cs="Times New Roman"/>
        </w:rPr>
        <w:t xml:space="preserve">“The defendant </w:t>
      </w:r>
      <w:r w:rsidRPr="00A63426">
        <w:rPr>
          <w:rFonts w:ascii="Times New Roman" w:hAnsi="Times New Roman" w:cs="Times New Roman"/>
          <w:u w:val="single"/>
        </w:rPr>
        <w:t xml:space="preserve">shall </w:t>
      </w:r>
      <w:r w:rsidRPr="00A63426">
        <w:rPr>
          <w:rFonts w:ascii="Times New Roman" w:hAnsi="Times New Roman" w:cs="Times New Roman"/>
        </w:rPr>
        <w:t>file his plea, exception or special plea within ten days of the service of the plaintiff’s</w:t>
      </w:r>
      <w:r w:rsidR="00A63426">
        <w:rPr>
          <w:rFonts w:ascii="Times New Roman" w:hAnsi="Times New Roman" w:cs="Times New Roman"/>
        </w:rPr>
        <w:t xml:space="preserve"> </w:t>
      </w:r>
      <w:r w:rsidRPr="00A63426">
        <w:rPr>
          <w:rFonts w:ascii="Times New Roman" w:hAnsi="Times New Roman" w:cs="Times New Roman"/>
        </w:rPr>
        <w:t>declaration:</w:t>
      </w:r>
    </w:p>
    <w:p w:rsidR="0081194F" w:rsidRPr="00A63426" w:rsidRDefault="00BB27FE" w:rsidP="00A63426">
      <w:pPr>
        <w:autoSpaceDE w:val="0"/>
        <w:autoSpaceDN w:val="0"/>
        <w:adjustRightInd w:val="0"/>
        <w:spacing w:after="0" w:line="240" w:lineRule="auto"/>
        <w:ind w:left="720"/>
        <w:jc w:val="both"/>
        <w:rPr>
          <w:rFonts w:ascii="Times New Roman" w:hAnsi="Times New Roman" w:cs="Times New Roman"/>
        </w:rPr>
      </w:pPr>
      <w:r w:rsidRPr="00A63426">
        <w:rPr>
          <w:rFonts w:ascii="Times New Roman" w:hAnsi="Times New Roman" w:cs="Times New Roman"/>
        </w:rPr>
        <w:t xml:space="preserve">Provided that where the plaintiff has served his declaration with the summons as provided for </w:t>
      </w:r>
      <w:r w:rsidR="00F05898">
        <w:rPr>
          <w:rFonts w:ascii="Times New Roman" w:hAnsi="Times New Roman" w:cs="Times New Roman"/>
        </w:rPr>
        <w:t>in r</w:t>
      </w:r>
      <w:r w:rsidRPr="00A63426">
        <w:rPr>
          <w:rFonts w:ascii="Times New Roman" w:hAnsi="Times New Roman" w:cs="Times New Roman"/>
        </w:rPr>
        <w:t xml:space="preserve"> 113</w:t>
      </w:r>
      <w:r w:rsidR="00A63426">
        <w:rPr>
          <w:rFonts w:ascii="Times New Roman" w:hAnsi="Times New Roman" w:cs="Times New Roman"/>
        </w:rPr>
        <w:t xml:space="preserve"> </w:t>
      </w:r>
      <w:r w:rsidRPr="00A63426">
        <w:rPr>
          <w:rFonts w:ascii="Times New Roman" w:hAnsi="Times New Roman" w:cs="Times New Roman"/>
        </w:rPr>
        <w:t>there shall be added to the period of ten days above referred to the time allowed a defendant to enter appearanc</w:t>
      </w:r>
      <w:r w:rsidR="00F05898">
        <w:rPr>
          <w:rFonts w:ascii="Times New Roman" w:hAnsi="Times New Roman" w:cs="Times New Roman"/>
        </w:rPr>
        <w:t>e as calculated in terms of r</w:t>
      </w:r>
      <w:r w:rsidRPr="00A63426">
        <w:rPr>
          <w:rFonts w:ascii="Times New Roman" w:hAnsi="Times New Roman" w:cs="Times New Roman"/>
        </w:rPr>
        <w:t xml:space="preserve"> 17.”</w:t>
      </w:r>
    </w:p>
    <w:p w:rsidR="00120EFD" w:rsidRPr="00A63426" w:rsidRDefault="00120EFD" w:rsidP="00A63426">
      <w:pPr>
        <w:autoSpaceDE w:val="0"/>
        <w:autoSpaceDN w:val="0"/>
        <w:adjustRightInd w:val="0"/>
        <w:spacing w:after="0" w:line="240" w:lineRule="auto"/>
        <w:jc w:val="both"/>
        <w:rPr>
          <w:rFonts w:ascii="Times New Roman" w:hAnsi="Times New Roman" w:cs="Times New Roman"/>
        </w:rPr>
      </w:pPr>
    </w:p>
    <w:p w:rsidR="00E1290F" w:rsidRDefault="00120EFD" w:rsidP="00A63426">
      <w:pPr>
        <w:autoSpaceDE w:val="0"/>
        <w:autoSpaceDN w:val="0"/>
        <w:adjustRightInd w:val="0"/>
        <w:spacing w:after="0" w:line="360" w:lineRule="auto"/>
        <w:ind w:firstLine="720"/>
        <w:jc w:val="both"/>
        <w:rPr>
          <w:rFonts w:ascii="Times New Roman" w:hAnsi="Times New Roman" w:cs="Times New Roman"/>
          <w:sz w:val="24"/>
          <w:szCs w:val="24"/>
        </w:rPr>
      </w:pPr>
      <w:r w:rsidRPr="00120EFD">
        <w:rPr>
          <w:rFonts w:ascii="Times New Roman" w:hAnsi="Times New Roman" w:cs="Times New Roman"/>
          <w:sz w:val="24"/>
          <w:szCs w:val="24"/>
        </w:rPr>
        <w:t xml:space="preserve">This rule therefore provides that an exception </w:t>
      </w:r>
      <w:r w:rsidR="0088392A">
        <w:rPr>
          <w:rFonts w:ascii="Times New Roman" w:hAnsi="Times New Roman" w:cs="Times New Roman"/>
          <w:sz w:val="24"/>
          <w:szCs w:val="24"/>
        </w:rPr>
        <w:t xml:space="preserve">or special plea </w:t>
      </w:r>
      <w:r w:rsidRPr="00120EFD">
        <w:rPr>
          <w:rFonts w:ascii="Times New Roman" w:hAnsi="Times New Roman" w:cs="Times New Roman"/>
          <w:sz w:val="24"/>
          <w:szCs w:val="24"/>
        </w:rPr>
        <w:t>shall b</w:t>
      </w:r>
      <w:r w:rsidR="00AE7E9D">
        <w:rPr>
          <w:rFonts w:ascii="Times New Roman" w:hAnsi="Times New Roman" w:cs="Times New Roman"/>
          <w:sz w:val="24"/>
          <w:szCs w:val="24"/>
        </w:rPr>
        <w:t>e filed within 20 days</w:t>
      </w:r>
      <w:r w:rsidR="00A63426">
        <w:rPr>
          <w:rFonts w:ascii="Times New Roman" w:hAnsi="Times New Roman" w:cs="Times New Roman"/>
          <w:sz w:val="24"/>
          <w:szCs w:val="24"/>
        </w:rPr>
        <w:t xml:space="preserve">, </w:t>
      </w:r>
      <w:r w:rsidR="00A63426" w:rsidRPr="00120EFD">
        <w:rPr>
          <w:rFonts w:ascii="Times New Roman" w:hAnsi="Times New Roman" w:cs="Times New Roman"/>
          <w:sz w:val="24"/>
          <w:szCs w:val="24"/>
        </w:rPr>
        <w:t>from</w:t>
      </w:r>
      <w:r w:rsidRPr="00120EFD">
        <w:rPr>
          <w:rFonts w:ascii="Times New Roman" w:hAnsi="Times New Roman" w:cs="Times New Roman"/>
          <w:sz w:val="24"/>
          <w:szCs w:val="24"/>
        </w:rPr>
        <w:t xml:space="preserve"> the date of service of the summons and declaration. </w:t>
      </w:r>
      <w:r w:rsidR="00AE7E9D" w:rsidRPr="00236ACF">
        <w:rPr>
          <w:rFonts w:ascii="Times New Roman" w:hAnsi="Times New Roman" w:cs="Times New Roman"/>
          <w:i/>
          <w:sz w:val="24"/>
          <w:szCs w:val="24"/>
        </w:rPr>
        <w:t>In casu,</w:t>
      </w:r>
      <w:r w:rsidR="00AE7E9D">
        <w:rPr>
          <w:rFonts w:ascii="Times New Roman" w:hAnsi="Times New Roman" w:cs="Times New Roman"/>
          <w:sz w:val="24"/>
          <w:szCs w:val="24"/>
        </w:rPr>
        <w:t xml:space="preserve"> s</w:t>
      </w:r>
      <w:r>
        <w:rPr>
          <w:rFonts w:ascii="Times New Roman" w:hAnsi="Times New Roman" w:cs="Times New Roman"/>
          <w:sz w:val="24"/>
          <w:szCs w:val="24"/>
        </w:rPr>
        <w:t xml:space="preserve">ummons and declaration were served on 3 March 2021. </w:t>
      </w:r>
      <w:r w:rsidR="00B54613">
        <w:rPr>
          <w:rFonts w:ascii="Times New Roman" w:hAnsi="Times New Roman" w:cs="Times New Roman"/>
          <w:sz w:val="24"/>
          <w:szCs w:val="24"/>
        </w:rPr>
        <w:t xml:space="preserve">The 20 day grace period expires on 31 March 2021. </w:t>
      </w:r>
    </w:p>
    <w:p w:rsidR="00A63426" w:rsidRDefault="00E1290F" w:rsidP="00A634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Ms </w:t>
      </w:r>
      <w:r w:rsidRPr="00A63426">
        <w:rPr>
          <w:rFonts w:ascii="Times New Roman" w:hAnsi="Times New Roman" w:cs="Times New Roman"/>
          <w:i/>
          <w:sz w:val="24"/>
          <w:szCs w:val="24"/>
        </w:rPr>
        <w:t>Chinwawadzimba</w:t>
      </w:r>
      <w:r>
        <w:rPr>
          <w:rFonts w:ascii="Times New Roman" w:hAnsi="Times New Roman" w:cs="Times New Roman"/>
          <w:sz w:val="24"/>
          <w:szCs w:val="24"/>
        </w:rPr>
        <w:t xml:space="preserve"> for the plaintiff, on the basis of these facts, urged the court</w:t>
      </w:r>
      <w:r w:rsidR="00D077B6">
        <w:rPr>
          <w:rFonts w:ascii="Times New Roman" w:hAnsi="Times New Roman" w:cs="Times New Roman"/>
          <w:sz w:val="24"/>
          <w:szCs w:val="24"/>
        </w:rPr>
        <w:t>,</w:t>
      </w:r>
      <w:r>
        <w:rPr>
          <w:rFonts w:ascii="Times New Roman" w:hAnsi="Times New Roman" w:cs="Times New Roman"/>
          <w:sz w:val="24"/>
          <w:szCs w:val="24"/>
        </w:rPr>
        <w:t xml:space="preserve"> with </w:t>
      </w:r>
      <w:r w:rsidR="00A63426">
        <w:rPr>
          <w:rFonts w:ascii="Times New Roman" w:hAnsi="Times New Roman" w:cs="Times New Roman"/>
          <w:sz w:val="24"/>
          <w:szCs w:val="24"/>
        </w:rPr>
        <w:t>confidence that</w:t>
      </w:r>
      <w:r>
        <w:rPr>
          <w:rFonts w:ascii="Times New Roman" w:hAnsi="Times New Roman" w:cs="Times New Roman"/>
          <w:sz w:val="24"/>
          <w:szCs w:val="24"/>
        </w:rPr>
        <w:t xml:space="preserve"> the exception and special plea must be struck off with costs at a higher scale. She relied on </w:t>
      </w:r>
      <w:r w:rsidRPr="00236ACF">
        <w:rPr>
          <w:rFonts w:ascii="Times New Roman" w:hAnsi="Times New Roman" w:cs="Times New Roman"/>
          <w:i/>
          <w:sz w:val="24"/>
          <w:szCs w:val="24"/>
        </w:rPr>
        <w:t xml:space="preserve">Ecobank Zimbabwe Ltd </w:t>
      </w:r>
      <w:r w:rsidRPr="00236ACF">
        <w:rPr>
          <w:rFonts w:ascii="Times New Roman" w:hAnsi="Times New Roman" w:cs="Times New Roman"/>
          <w:sz w:val="24"/>
          <w:szCs w:val="24"/>
        </w:rPr>
        <w:t>v</w:t>
      </w:r>
      <w:r w:rsidRPr="00236ACF">
        <w:rPr>
          <w:rFonts w:ascii="Times New Roman" w:hAnsi="Times New Roman" w:cs="Times New Roman"/>
          <w:i/>
          <w:sz w:val="24"/>
          <w:szCs w:val="24"/>
        </w:rPr>
        <w:t xml:space="preserve"> Chitando</w:t>
      </w:r>
      <w:r w:rsidR="00236ACF">
        <w:rPr>
          <w:rFonts w:ascii="Times New Roman" w:hAnsi="Times New Roman" w:cs="Times New Roman"/>
          <w:i/>
          <w:sz w:val="24"/>
          <w:szCs w:val="24"/>
        </w:rPr>
        <w:t xml:space="preserve"> and Ano</w:t>
      </w:r>
      <w:r w:rsidRPr="00236ACF">
        <w:rPr>
          <w:rFonts w:ascii="Times New Roman" w:hAnsi="Times New Roman" w:cs="Times New Roman"/>
          <w:i/>
          <w:sz w:val="24"/>
          <w:szCs w:val="24"/>
        </w:rPr>
        <w:t>r</w:t>
      </w:r>
      <w:r>
        <w:rPr>
          <w:rFonts w:ascii="Times New Roman" w:hAnsi="Times New Roman" w:cs="Times New Roman"/>
          <w:sz w:val="24"/>
          <w:szCs w:val="24"/>
        </w:rPr>
        <w:t xml:space="preserve"> HH 787/16 where the court cited with approval the decision in </w:t>
      </w:r>
      <w:r w:rsidRPr="00236ACF">
        <w:rPr>
          <w:rFonts w:ascii="Times New Roman" w:hAnsi="Times New Roman" w:cs="Times New Roman"/>
          <w:i/>
          <w:sz w:val="24"/>
          <w:szCs w:val="24"/>
        </w:rPr>
        <w:t xml:space="preserve">Sammy’s Group (Pvt) Ltd </w:t>
      </w:r>
      <w:r w:rsidRPr="00236ACF">
        <w:rPr>
          <w:rFonts w:ascii="Times New Roman" w:hAnsi="Times New Roman" w:cs="Times New Roman"/>
          <w:sz w:val="24"/>
          <w:szCs w:val="24"/>
        </w:rPr>
        <w:t>v</w:t>
      </w:r>
      <w:r w:rsidRPr="00236ACF">
        <w:rPr>
          <w:rFonts w:ascii="Times New Roman" w:hAnsi="Times New Roman" w:cs="Times New Roman"/>
          <w:i/>
          <w:sz w:val="24"/>
          <w:szCs w:val="24"/>
        </w:rPr>
        <w:t xml:space="preserve"> Meybu</w:t>
      </w:r>
      <w:r w:rsidR="00D077B6" w:rsidRPr="00236ACF">
        <w:rPr>
          <w:rFonts w:ascii="Times New Roman" w:hAnsi="Times New Roman" w:cs="Times New Roman"/>
          <w:i/>
          <w:sz w:val="24"/>
          <w:szCs w:val="24"/>
        </w:rPr>
        <w:t>rgh N</w:t>
      </w:r>
      <w:r w:rsidR="00F05898">
        <w:rPr>
          <w:rFonts w:ascii="Times New Roman" w:hAnsi="Times New Roman" w:cs="Times New Roman"/>
          <w:i/>
          <w:sz w:val="24"/>
          <w:szCs w:val="24"/>
        </w:rPr>
        <w:t>.</w:t>
      </w:r>
      <w:r w:rsidR="00D077B6" w:rsidRPr="00236ACF">
        <w:rPr>
          <w:rFonts w:ascii="Times New Roman" w:hAnsi="Times New Roman" w:cs="Times New Roman"/>
          <w:i/>
          <w:sz w:val="24"/>
          <w:szCs w:val="24"/>
        </w:rPr>
        <w:t>O</w:t>
      </w:r>
      <w:r w:rsidR="00D077B6">
        <w:rPr>
          <w:rFonts w:ascii="Times New Roman" w:hAnsi="Times New Roman" w:cs="Times New Roman"/>
          <w:sz w:val="24"/>
          <w:szCs w:val="24"/>
        </w:rPr>
        <w:t xml:space="preserve"> </w:t>
      </w:r>
      <w:r w:rsidR="00D077B6" w:rsidRPr="00236ACF">
        <w:rPr>
          <w:rFonts w:ascii="Times New Roman" w:hAnsi="Times New Roman" w:cs="Times New Roman"/>
          <w:i/>
          <w:sz w:val="24"/>
          <w:szCs w:val="24"/>
        </w:rPr>
        <w:t>&amp; Ors</w:t>
      </w:r>
      <w:r w:rsidR="00D077B6">
        <w:rPr>
          <w:rFonts w:ascii="Times New Roman" w:hAnsi="Times New Roman" w:cs="Times New Roman"/>
          <w:sz w:val="24"/>
          <w:szCs w:val="24"/>
        </w:rPr>
        <w:t xml:space="preserve"> SC 45-15 where it was held;</w:t>
      </w:r>
      <w:r w:rsidR="00684EB4" w:rsidRPr="00684EB4">
        <w:rPr>
          <w:rFonts w:ascii="Times New Roman" w:hAnsi="Times New Roman" w:cs="Times New Roman"/>
          <w:sz w:val="24"/>
          <w:szCs w:val="24"/>
        </w:rPr>
        <w:t xml:space="preserve"> </w:t>
      </w:r>
      <w:r w:rsidR="00684EB4">
        <w:rPr>
          <w:rFonts w:ascii="Times New Roman" w:hAnsi="Times New Roman" w:cs="Times New Roman"/>
          <w:sz w:val="24"/>
          <w:szCs w:val="24"/>
        </w:rPr>
        <w:t>“</w:t>
      </w:r>
      <w:r w:rsidR="00684EB4" w:rsidRPr="00FE3EA6">
        <w:rPr>
          <w:rFonts w:ascii="Times New Roman" w:hAnsi="Times New Roman" w:cs="Times New Roman"/>
          <w:sz w:val="24"/>
          <w:szCs w:val="24"/>
        </w:rPr>
        <w:t xml:space="preserve">It is true, as the learned Judge remarked, that there is no sanction for the late filing of an exception or special plea. </w:t>
      </w:r>
      <w:r w:rsidR="00A63426">
        <w:rPr>
          <w:rFonts w:ascii="Times New Roman" w:hAnsi="Times New Roman" w:cs="Times New Roman"/>
          <w:sz w:val="24"/>
          <w:szCs w:val="24"/>
        </w:rPr>
        <w:t xml:space="preserve"> However, the provision in the r</w:t>
      </w:r>
      <w:r w:rsidR="00684EB4" w:rsidRPr="00FE3EA6">
        <w:rPr>
          <w:rFonts w:ascii="Times New Roman" w:hAnsi="Times New Roman" w:cs="Times New Roman"/>
          <w:sz w:val="24"/>
          <w:szCs w:val="24"/>
        </w:rPr>
        <w:t xml:space="preserve">ules is mandatory and the documents filed in contravention thereof cannot, in the absence of condonation of the non-compliance with the Rules, have any legal validity. The sanction must, in my view be, that the pleading is invalid by virtue of its non-compliance with the Rules. First respondent’s exception was filed 15 days out of time.  Second respondent’s special plea and exception were filed 6 and a half months out of time.  Both applications were in violation of the Rules without explanation, without condonation, sought or granted.   There was, therefore, no legal basis on which they were entertained by the court </w:t>
      </w:r>
      <w:r w:rsidR="00684EB4" w:rsidRPr="00FE3EA6">
        <w:rPr>
          <w:rFonts w:ascii="Times New Roman" w:hAnsi="Times New Roman" w:cs="Times New Roman"/>
          <w:i/>
          <w:sz w:val="24"/>
          <w:szCs w:val="24"/>
        </w:rPr>
        <w:t>a quo</w:t>
      </w:r>
      <w:r w:rsidR="00684EB4" w:rsidRPr="00FE3EA6">
        <w:rPr>
          <w:rFonts w:ascii="Times New Roman" w:hAnsi="Times New Roman" w:cs="Times New Roman"/>
          <w:sz w:val="24"/>
          <w:szCs w:val="24"/>
        </w:rPr>
        <w:t>.</w:t>
      </w:r>
      <w:r w:rsidR="00684EB4">
        <w:rPr>
          <w:rFonts w:ascii="Times New Roman" w:hAnsi="Times New Roman" w:cs="Times New Roman"/>
          <w:sz w:val="24"/>
          <w:szCs w:val="24"/>
        </w:rPr>
        <w:t>”</w:t>
      </w:r>
    </w:p>
    <w:p w:rsidR="00684EB4" w:rsidRDefault="0088392A" w:rsidP="00A634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w:t>
      </w:r>
      <w:r w:rsidR="00684EB4">
        <w:rPr>
          <w:rFonts w:ascii="Times New Roman" w:hAnsi="Times New Roman" w:cs="Times New Roman"/>
          <w:sz w:val="24"/>
          <w:szCs w:val="24"/>
        </w:rPr>
        <w:t>s</w:t>
      </w:r>
      <w:r>
        <w:rPr>
          <w:rFonts w:ascii="Times New Roman" w:hAnsi="Times New Roman" w:cs="Times New Roman"/>
          <w:sz w:val="24"/>
          <w:szCs w:val="24"/>
        </w:rPr>
        <w:t>e</w:t>
      </w:r>
      <w:r w:rsidR="00684EB4">
        <w:rPr>
          <w:rFonts w:ascii="Times New Roman" w:hAnsi="Times New Roman" w:cs="Times New Roman"/>
          <w:sz w:val="24"/>
          <w:szCs w:val="24"/>
        </w:rPr>
        <w:t xml:space="preserve"> to this position Ms </w:t>
      </w:r>
      <w:r w:rsidR="00684EB4" w:rsidRPr="00236ACF">
        <w:rPr>
          <w:rFonts w:ascii="Times New Roman" w:hAnsi="Times New Roman" w:cs="Times New Roman"/>
          <w:i/>
          <w:sz w:val="24"/>
          <w:szCs w:val="24"/>
        </w:rPr>
        <w:t xml:space="preserve">Mabwe </w:t>
      </w:r>
      <w:r w:rsidR="00684EB4">
        <w:rPr>
          <w:rFonts w:ascii="Times New Roman" w:hAnsi="Times New Roman" w:cs="Times New Roman"/>
          <w:sz w:val="24"/>
          <w:szCs w:val="24"/>
        </w:rPr>
        <w:t xml:space="preserve">for the defendant </w:t>
      </w:r>
      <w:r w:rsidR="00F05898">
        <w:rPr>
          <w:rFonts w:ascii="Times New Roman" w:hAnsi="Times New Roman" w:cs="Times New Roman"/>
          <w:sz w:val="24"/>
          <w:szCs w:val="24"/>
        </w:rPr>
        <w:t>relied on r</w:t>
      </w:r>
      <w:r w:rsidR="00EE2B7F">
        <w:rPr>
          <w:rFonts w:ascii="Times New Roman" w:hAnsi="Times New Roman" w:cs="Times New Roman"/>
          <w:sz w:val="24"/>
          <w:szCs w:val="24"/>
        </w:rPr>
        <w:t xml:space="preserve"> 142 which says;</w:t>
      </w:r>
    </w:p>
    <w:p w:rsidR="00EE2B7F" w:rsidRDefault="00EE2B7F" w:rsidP="00A63426">
      <w:pPr>
        <w:autoSpaceDE w:val="0"/>
        <w:autoSpaceDN w:val="0"/>
        <w:adjustRightInd w:val="0"/>
        <w:spacing w:after="0" w:line="360" w:lineRule="auto"/>
        <w:ind w:firstLine="720"/>
        <w:jc w:val="both"/>
        <w:rPr>
          <w:rFonts w:ascii="Times New Roman" w:hAnsi="Times New Roman" w:cs="Times New Roman"/>
          <w:b/>
          <w:bCs/>
          <w:i/>
          <w:iCs/>
          <w:sz w:val="21"/>
          <w:szCs w:val="21"/>
        </w:rPr>
      </w:pPr>
      <w:r>
        <w:rPr>
          <w:rFonts w:ascii="Times New Roman" w:hAnsi="Times New Roman" w:cs="Times New Roman"/>
          <w:b/>
          <w:bCs/>
          <w:i/>
          <w:iCs/>
          <w:sz w:val="21"/>
          <w:szCs w:val="21"/>
        </w:rPr>
        <w:t>“142. Time for replying to pleading where application for particulars made</w:t>
      </w:r>
    </w:p>
    <w:p w:rsidR="00EE2B7F" w:rsidRDefault="00EE2B7F" w:rsidP="00F05898">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If a party applies for particulars, the time for replying to the pleading of which particulars are sought shall be calculated—</w:t>
      </w:r>
    </w:p>
    <w:p w:rsidR="00EE2B7F" w:rsidRDefault="00EE2B7F" w:rsidP="00F05898">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where the particulars are supplied voluntarily or pursuant to an order of court, from the date on which</w:t>
      </w:r>
      <w:r w:rsidR="00A63426">
        <w:rPr>
          <w:rFonts w:ascii="Times New Roman" w:hAnsi="Times New Roman" w:cs="Times New Roman"/>
          <w:sz w:val="21"/>
          <w:szCs w:val="21"/>
        </w:rPr>
        <w:t xml:space="preserve"> </w:t>
      </w:r>
      <w:r>
        <w:rPr>
          <w:rFonts w:ascii="Times New Roman" w:hAnsi="Times New Roman" w:cs="Times New Roman"/>
          <w:sz w:val="21"/>
          <w:szCs w:val="21"/>
        </w:rPr>
        <w:t>the particulars are supplied;</w:t>
      </w:r>
    </w:p>
    <w:p w:rsidR="00EE2B7F" w:rsidRDefault="00EE2B7F" w:rsidP="00F05898">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where the particulars are refused and the applicant fails to make a court application for an order within</w:t>
      </w:r>
      <w:r w:rsidR="00A63426">
        <w:rPr>
          <w:rFonts w:ascii="Times New Roman" w:hAnsi="Times New Roman" w:cs="Times New Roman"/>
          <w:sz w:val="21"/>
          <w:szCs w:val="21"/>
        </w:rPr>
        <w:t xml:space="preserve"> t</w:t>
      </w:r>
      <w:r>
        <w:rPr>
          <w:rFonts w:ascii="Times New Roman" w:hAnsi="Times New Roman" w:cs="Times New Roman"/>
          <w:sz w:val="21"/>
          <w:szCs w:val="21"/>
        </w:rPr>
        <w:t>welve days of the refusal, from the date of expiry of such period of twelve days;</w:t>
      </w:r>
    </w:p>
    <w:p w:rsidR="00FB048A" w:rsidRDefault="00EE2B7F" w:rsidP="00F05898">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c</w:t>
      </w:r>
      <w:r>
        <w:rPr>
          <w:rFonts w:ascii="Times New Roman" w:hAnsi="Times New Roman" w:cs="Times New Roman"/>
          <w:sz w:val="21"/>
          <w:szCs w:val="21"/>
        </w:rPr>
        <w:t>) where the particulars are refused and the court refuses to order the particulars to be supplied, from the</w:t>
      </w:r>
      <w:r w:rsidR="00A63426">
        <w:rPr>
          <w:rFonts w:ascii="Times New Roman" w:hAnsi="Times New Roman" w:cs="Times New Roman"/>
          <w:sz w:val="21"/>
          <w:szCs w:val="21"/>
        </w:rPr>
        <w:t xml:space="preserve"> </w:t>
      </w:r>
      <w:r>
        <w:rPr>
          <w:rFonts w:ascii="Times New Roman" w:hAnsi="Times New Roman" w:cs="Times New Roman"/>
          <w:sz w:val="21"/>
          <w:szCs w:val="21"/>
        </w:rPr>
        <w:t>date of the court’s refusal.”</w:t>
      </w:r>
    </w:p>
    <w:p w:rsidR="00F05898" w:rsidRDefault="00F05898" w:rsidP="00F05898">
      <w:pPr>
        <w:autoSpaceDE w:val="0"/>
        <w:autoSpaceDN w:val="0"/>
        <w:adjustRightInd w:val="0"/>
        <w:spacing w:after="0" w:line="240" w:lineRule="auto"/>
        <w:ind w:left="720"/>
        <w:jc w:val="both"/>
        <w:rPr>
          <w:rFonts w:ascii="Times New Roman" w:hAnsi="Times New Roman" w:cs="Times New Roman"/>
          <w:sz w:val="21"/>
          <w:szCs w:val="21"/>
        </w:rPr>
      </w:pPr>
    </w:p>
    <w:p w:rsidR="001020E7" w:rsidRDefault="00FB048A" w:rsidP="00A63426">
      <w:pPr>
        <w:autoSpaceDE w:val="0"/>
        <w:autoSpaceDN w:val="0"/>
        <w:adjustRightInd w:val="0"/>
        <w:spacing w:after="0" w:line="360" w:lineRule="auto"/>
        <w:ind w:firstLine="720"/>
        <w:jc w:val="both"/>
        <w:rPr>
          <w:rFonts w:ascii="Times New Roman" w:hAnsi="Times New Roman" w:cs="Times New Roman"/>
          <w:sz w:val="24"/>
          <w:szCs w:val="24"/>
        </w:rPr>
      </w:pPr>
      <w:r w:rsidRPr="00FB048A">
        <w:rPr>
          <w:rFonts w:ascii="Times New Roman" w:hAnsi="Times New Roman" w:cs="Times New Roman"/>
          <w:sz w:val="24"/>
          <w:szCs w:val="24"/>
        </w:rPr>
        <w:t>She</w:t>
      </w:r>
      <w:r>
        <w:rPr>
          <w:rFonts w:ascii="Times New Roman" w:hAnsi="Times New Roman" w:cs="Times New Roman"/>
          <w:sz w:val="24"/>
          <w:szCs w:val="24"/>
        </w:rPr>
        <w:t xml:space="preserve"> argued that the request for </w:t>
      </w:r>
      <w:r w:rsidRPr="00FB048A">
        <w:rPr>
          <w:rFonts w:ascii="Times New Roman" w:hAnsi="Times New Roman" w:cs="Times New Roman"/>
          <w:sz w:val="24"/>
          <w:szCs w:val="24"/>
        </w:rPr>
        <w:t xml:space="preserve">further </w:t>
      </w:r>
      <w:r>
        <w:rPr>
          <w:rFonts w:ascii="Times New Roman" w:hAnsi="Times New Roman" w:cs="Times New Roman"/>
          <w:sz w:val="24"/>
          <w:szCs w:val="24"/>
        </w:rPr>
        <w:t xml:space="preserve">particulars interrupted the </w:t>
      </w:r>
      <w:r w:rsidRPr="00236ACF">
        <w:rPr>
          <w:rFonts w:ascii="Times New Roman" w:hAnsi="Times New Roman" w:cs="Times New Roman"/>
          <w:i/>
          <w:sz w:val="24"/>
          <w:szCs w:val="24"/>
        </w:rPr>
        <w:t>dies induciae</w:t>
      </w:r>
      <w:r w:rsidR="00F05898">
        <w:rPr>
          <w:rFonts w:ascii="Times New Roman" w:hAnsi="Times New Roman" w:cs="Times New Roman"/>
          <w:sz w:val="24"/>
          <w:szCs w:val="24"/>
        </w:rPr>
        <w:t xml:space="preserve"> and the 20 </w:t>
      </w:r>
      <w:r>
        <w:rPr>
          <w:rFonts w:ascii="Times New Roman" w:hAnsi="Times New Roman" w:cs="Times New Roman"/>
          <w:sz w:val="24"/>
          <w:szCs w:val="24"/>
        </w:rPr>
        <w:t>day period should be calculated from 31 March 2021 the date when defendant was served with the further pa</w:t>
      </w:r>
      <w:r w:rsidR="0088392A">
        <w:rPr>
          <w:rFonts w:ascii="Times New Roman" w:hAnsi="Times New Roman" w:cs="Times New Roman"/>
          <w:sz w:val="24"/>
          <w:szCs w:val="24"/>
        </w:rPr>
        <w:t>rticulars. I disagree with the</w:t>
      </w:r>
      <w:r>
        <w:rPr>
          <w:rFonts w:ascii="Times New Roman" w:hAnsi="Times New Roman" w:cs="Times New Roman"/>
          <w:sz w:val="24"/>
          <w:szCs w:val="24"/>
        </w:rPr>
        <w:t xml:space="preserve"> interpretation </w:t>
      </w:r>
      <w:r w:rsidR="0088392A">
        <w:rPr>
          <w:rFonts w:ascii="Times New Roman" w:hAnsi="Times New Roman" w:cs="Times New Roman"/>
          <w:sz w:val="24"/>
          <w:szCs w:val="24"/>
        </w:rPr>
        <w:t>afforded to</w:t>
      </w:r>
      <w:r w:rsidR="008571D9">
        <w:rPr>
          <w:rFonts w:ascii="Times New Roman" w:hAnsi="Times New Roman" w:cs="Times New Roman"/>
          <w:sz w:val="24"/>
          <w:szCs w:val="24"/>
        </w:rPr>
        <w:t xml:space="preserve"> rule 142</w:t>
      </w:r>
      <w:r w:rsidR="0088392A">
        <w:rPr>
          <w:rFonts w:ascii="Times New Roman" w:hAnsi="Times New Roman" w:cs="Times New Roman"/>
          <w:sz w:val="24"/>
          <w:szCs w:val="24"/>
        </w:rPr>
        <w:t>.</w:t>
      </w:r>
      <w:r w:rsidR="00F05898">
        <w:rPr>
          <w:rFonts w:ascii="Times New Roman" w:hAnsi="Times New Roman" w:cs="Times New Roman"/>
          <w:sz w:val="24"/>
          <w:szCs w:val="24"/>
        </w:rPr>
        <w:t xml:space="preserve"> A reading of r</w:t>
      </w:r>
      <w:r>
        <w:rPr>
          <w:rFonts w:ascii="Times New Roman" w:hAnsi="Times New Roman" w:cs="Times New Roman"/>
          <w:sz w:val="24"/>
          <w:szCs w:val="24"/>
        </w:rPr>
        <w:t xml:space="preserve"> 142 shows tha</w:t>
      </w:r>
      <w:r w:rsidR="00123AB9">
        <w:rPr>
          <w:rFonts w:ascii="Times New Roman" w:hAnsi="Times New Roman" w:cs="Times New Roman"/>
          <w:sz w:val="24"/>
          <w:szCs w:val="24"/>
        </w:rPr>
        <w:t>t</w:t>
      </w:r>
      <w:r>
        <w:rPr>
          <w:rFonts w:ascii="Times New Roman" w:hAnsi="Times New Roman" w:cs="Times New Roman"/>
          <w:sz w:val="24"/>
          <w:szCs w:val="24"/>
        </w:rPr>
        <w:t xml:space="preserve"> the pleading whose </w:t>
      </w:r>
      <w:r w:rsidRPr="00236ACF">
        <w:rPr>
          <w:rFonts w:ascii="Times New Roman" w:hAnsi="Times New Roman" w:cs="Times New Roman"/>
          <w:i/>
          <w:sz w:val="24"/>
          <w:szCs w:val="24"/>
        </w:rPr>
        <w:t>die</w:t>
      </w:r>
      <w:r w:rsidR="00C05907" w:rsidRPr="00236ACF">
        <w:rPr>
          <w:rFonts w:ascii="Times New Roman" w:hAnsi="Times New Roman" w:cs="Times New Roman"/>
          <w:i/>
          <w:sz w:val="24"/>
          <w:szCs w:val="24"/>
        </w:rPr>
        <w:t>s ind</w:t>
      </w:r>
      <w:r w:rsidR="00123AB9" w:rsidRPr="00236ACF">
        <w:rPr>
          <w:rFonts w:ascii="Times New Roman" w:hAnsi="Times New Roman" w:cs="Times New Roman"/>
          <w:i/>
          <w:sz w:val="24"/>
          <w:szCs w:val="24"/>
        </w:rPr>
        <w:t>u</w:t>
      </w:r>
      <w:r w:rsidR="00C05907" w:rsidRPr="00236ACF">
        <w:rPr>
          <w:rFonts w:ascii="Times New Roman" w:hAnsi="Times New Roman" w:cs="Times New Roman"/>
          <w:i/>
          <w:sz w:val="24"/>
          <w:szCs w:val="24"/>
        </w:rPr>
        <w:t>ciae</w:t>
      </w:r>
      <w:r w:rsidR="00C05907">
        <w:rPr>
          <w:rFonts w:ascii="Times New Roman" w:hAnsi="Times New Roman" w:cs="Times New Roman"/>
          <w:sz w:val="24"/>
          <w:szCs w:val="24"/>
        </w:rPr>
        <w:t xml:space="preserve"> is affect</w:t>
      </w:r>
      <w:r w:rsidR="00F05898">
        <w:rPr>
          <w:rFonts w:ascii="Times New Roman" w:hAnsi="Times New Roman" w:cs="Times New Roman"/>
          <w:sz w:val="24"/>
          <w:szCs w:val="24"/>
        </w:rPr>
        <w:t>ed</w:t>
      </w:r>
      <w:r w:rsidR="00C05907">
        <w:rPr>
          <w:rFonts w:ascii="Times New Roman" w:hAnsi="Times New Roman" w:cs="Times New Roman"/>
          <w:sz w:val="24"/>
          <w:szCs w:val="24"/>
        </w:rPr>
        <w:t xml:space="preserve"> is one for w</w:t>
      </w:r>
      <w:r>
        <w:rPr>
          <w:rFonts w:ascii="Times New Roman" w:hAnsi="Times New Roman" w:cs="Times New Roman"/>
          <w:sz w:val="24"/>
          <w:szCs w:val="24"/>
        </w:rPr>
        <w:t xml:space="preserve">hich the particulars are sought. The request for further particulars introduces itself in this form: “to enable the defendant </w:t>
      </w:r>
      <w:r w:rsidRPr="00C05907">
        <w:rPr>
          <w:rFonts w:ascii="Times New Roman" w:hAnsi="Times New Roman" w:cs="Times New Roman"/>
          <w:sz w:val="24"/>
          <w:szCs w:val="24"/>
          <w:u w:val="single"/>
        </w:rPr>
        <w:t>to plead</w:t>
      </w:r>
      <w:r>
        <w:rPr>
          <w:rFonts w:ascii="Times New Roman" w:hAnsi="Times New Roman" w:cs="Times New Roman"/>
          <w:sz w:val="24"/>
          <w:szCs w:val="24"/>
        </w:rPr>
        <w:t xml:space="preserve"> to the plaintiff’s claim the following further particulars are requested.”</w:t>
      </w:r>
      <w:r w:rsidR="00C05907">
        <w:rPr>
          <w:rFonts w:ascii="Times New Roman" w:hAnsi="Times New Roman" w:cs="Times New Roman"/>
          <w:sz w:val="24"/>
          <w:szCs w:val="24"/>
        </w:rPr>
        <w:t xml:space="preserve"> The further particulars were therefore requested to enable the defendant to file a plea. Rule 142 therefore tilts in favour of the defendant the period within which to file a plea. The further particulars were not asked for the purpose of filing an exception or special plea. </w:t>
      </w:r>
    </w:p>
    <w:p w:rsidR="00257B19" w:rsidRDefault="001020E7" w:rsidP="00F058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there is no automatic bar in one’s failure to file an exception or special plea within the prescribed time limits, one cannot proceed without condonation see </w:t>
      </w:r>
      <w:r w:rsidRPr="00F05898">
        <w:rPr>
          <w:rFonts w:ascii="Times New Roman" w:hAnsi="Times New Roman" w:cs="Times New Roman"/>
          <w:i/>
          <w:sz w:val="24"/>
          <w:szCs w:val="24"/>
        </w:rPr>
        <w:t>Sammy’s Group</w:t>
      </w:r>
      <w:r>
        <w:rPr>
          <w:rFonts w:ascii="Times New Roman" w:hAnsi="Times New Roman" w:cs="Times New Roman"/>
          <w:sz w:val="24"/>
          <w:szCs w:val="24"/>
        </w:rPr>
        <w:t xml:space="preserve"> case (</w:t>
      </w:r>
      <w:r w:rsidRPr="00F05898">
        <w:rPr>
          <w:rFonts w:ascii="Times New Roman" w:hAnsi="Times New Roman" w:cs="Times New Roman"/>
          <w:i/>
          <w:sz w:val="24"/>
          <w:szCs w:val="24"/>
        </w:rPr>
        <w:t>supra</w:t>
      </w:r>
      <w:r>
        <w:rPr>
          <w:rFonts w:ascii="Times New Roman" w:hAnsi="Times New Roman" w:cs="Times New Roman"/>
          <w:sz w:val="24"/>
          <w:szCs w:val="24"/>
        </w:rPr>
        <w:t>).</w:t>
      </w:r>
      <w:r w:rsidR="0049187A">
        <w:rPr>
          <w:rFonts w:ascii="Times New Roman" w:hAnsi="Times New Roman" w:cs="Times New Roman"/>
          <w:sz w:val="24"/>
          <w:szCs w:val="24"/>
        </w:rPr>
        <w:t xml:space="preserve"> </w:t>
      </w:r>
      <w:r w:rsidR="0049187A" w:rsidRPr="00236ACF">
        <w:rPr>
          <w:rFonts w:ascii="Times New Roman" w:hAnsi="Times New Roman" w:cs="Times New Roman"/>
          <w:i/>
          <w:sz w:val="24"/>
          <w:szCs w:val="24"/>
        </w:rPr>
        <w:t>In casu</w:t>
      </w:r>
      <w:r w:rsidR="0049187A">
        <w:rPr>
          <w:rFonts w:ascii="Times New Roman" w:hAnsi="Times New Roman" w:cs="Times New Roman"/>
          <w:sz w:val="24"/>
          <w:szCs w:val="24"/>
        </w:rPr>
        <w:t xml:space="preserve"> the exception and special plea were filed out of time and the defendant has not been condoned, in fact no such application was made. The plaintiff has asked for costs </w:t>
      </w:r>
      <w:r w:rsidR="0049187A">
        <w:rPr>
          <w:rFonts w:ascii="Times New Roman" w:hAnsi="Times New Roman" w:cs="Times New Roman"/>
          <w:sz w:val="24"/>
          <w:szCs w:val="24"/>
        </w:rPr>
        <w:lastRenderedPageBreak/>
        <w:t xml:space="preserve">on a higher scale </w:t>
      </w:r>
      <w:r w:rsidR="00257B19">
        <w:rPr>
          <w:rFonts w:ascii="Times New Roman" w:hAnsi="Times New Roman" w:cs="Times New Roman"/>
          <w:sz w:val="24"/>
          <w:szCs w:val="24"/>
        </w:rPr>
        <w:t xml:space="preserve">which in my view is not justified. There is nothing untoward </w:t>
      </w:r>
      <w:r w:rsidR="0088392A">
        <w:rPr>
          <w:rFonts w:ascii="Times New Roman" w:hAnsi="Times New Roman" w:cs="Times New Roman"/>
          <w:sz w:val="24"/>
          <w:szCs w:val="24"/>
        </w:rPr>
        <w:t xml:space="preserve">by the defendant </w:t>
      </w:r>
      <w:r w:rsidR="00257B19">
        <w:rPr>
          <w:rFonts w:ascii="Times New Roman" w:hAnsi="Times New Roman" w:cs="Times New Roman"/>
          <w:sz w:val="24"/>
          <w:szCs w:val="24"/>
        </w:rPr>
        <w:t>to warrant punitive costs.</w:t>
      </w:r>
    </w:p>
    <w:p w:rsidR="00257B19" w:rsidRDefault="00257B19" w:rsidP="00A634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257B19" w:rsidRDefault="00257B19" w:rsidP="00A63426">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preliminary point succeeds.</w:t>
      </w:r>
    </w:p>
    <w:p w:rsidR="00257B19" w:rsidRDefault="00257B19" w:rsidP="00A63426">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exception and special plea be and are hereby struck off with costs.</w:t>
      </w:r>
    </w:p>
    <w:p w:rsidR="00257B19" w:rsidRDefault="00257B19" w:rsidP="00A63426">
      <w:pPr>
        <w:autoSpaceDE w:val="0"/>
        <w:autoSpaceDN w:val="0"/>
        <w:adjustRightInd w:val="0"/>
        <w:spacing w:after="0" w:line="360" w:lineRule="auto"/>
        <w:jc w:val="both"/>
        <w:rPr>
          <w:rFonts w:ascii="Times New Roman" w:hAnsi="Times New Roman" w:cs="Times New Roman"/>
          <w:sz w:val="24"/>
          <w:szCs w:val="24"/>
        </w:rPr>
      </w:pPr>
    </w:p>
    <w:p w:rsidR="00257B19" w:rsidRDefault="00257B19" w:rsidP="00A63426">
      <w:pPr>
        <w:autoSpaceDE w:val="0"/>
        <w:autoSpaceDN w:val="0"/>
        <w:adjustRightInd w:val="0"/>
        <w:spacing w:after="0" w:line="360" w:lineRule="auto"/>
        <w:jc w:val="both"/>
        <w:rPr>
          <w:rFonts w:ascii="Times New Roman" w:hAnsi="Times New Roman" w:cs="Times New Roman"/>
          <w:sz w:val="24"/>
          <w:szCs w:val="24"/>
        </w:rPr>
      </w:pPr>
    </w:p>
    <w:p w:rsidR="00257B19" w:rsidRDefault="00257B19" w:rsidP="00A63426">
      <w:pPr>
        <w:autoSpaceDE w:val="0"/>
        <w:autoSpaceDN w:val="0"/>
        <w:adjustRightInd w:val="0"/>
        <w:spacing w:after="0" w:line="360" w:lineRule="auto"/>
        <w:jc w:val="both"/>
        <w:rPr>
          <w:rFonts w:ascii="Times New Roman" w:hAnsi="Times New Roman" w:cs="Times New Roman"/>
          <w:sz w:val="24"/>
          <w:szCs w:val="24"/>
        </w:rPr>
      </w:pPr>
    </w:p>
    <w:p w:rsidR="00257B19" w:rsidRPr="00257B19" w:rsidRDefault="00257B19" w:rsidP="00A63426">
      <w:pPr>
        <w:autoSpaceDE w:val="0"/>
        <w:autoSpaceDN w:val="0"/>
        <w:adjustRightInd w:val="0"/>
        <w:spacing w:after="0" w:line="360" w:lineRule="auto"/>
        <w:jc w:val="both"/>
        <w:rPr>
          <w:rFonts w:ascii="Times New Roman" w:hAnsi="Times New Roman" w:cs="Times New Roman"/>
          <w:sz w:val="24"/>
          <w:szCs w:val="24"/>
        </w:rPr>
      </w:pPr>
    </w:p>
    <w:p w:rsidR="00684EB4" w:rsidRPr="00FE3EA6" w:rsidRDefault="00684EB4" w:rsidP="00A63426">
      <w:pPr>
        <w:spacing w:after="0" w:line="360" w:lineRule="auto"/>
        <w:jc w:val="both"/>
        <w:rPr>
          <w:rFonts w:ascii="Times New Roman" w:hAnsi="Times New Roman" w:cs="Times New Roman"/>
          <w:sz w:val="24"/>
          <w:szCs w:val="24"/>
        </w:rPr>
      </w:pPr>
    </w:p>
    <w:p w:rsidR="00247A6C" w:rsidRDefault="00247A6C" w:rsidP="00F05898">
      <w:pPr>
        <w:spacing w:after="0" w:line="240" w:lineRule="auto"/>
        <w:jc w:val="both"/>
        <w:rPr>
          <w:rFonts w:ascii="Times New Roman" w:hAnsi="Times New Roman" w:cs="Times New Roman"/>
          <w:sz w:val="24"/>
          <w:szCs w:val="24"/>
        </w:rPr>
      </w:pPr>
      <w:r w:rsidRPr="00236ACF">
        <w:rPr>
          <w:rFonts w:ascii="Times New Roman" w:hAnsi="Times New Roman" w:cs="Times New Roman"/>
          <w:i/>
          <w:sz w:val="24"/>
          <w:szCs w:val="24"/>
        </w:rPr>
        <w:t>N B Narotam &amp; Associates</w:t>
      </w:r>
      <w:r>
        <w:rPr>
          <w:rFonts w:ascii="Times New Roman" w:hAnsi="Times New Roman" w:cs="Times New Roman"/>
          <w:sz w:val="24"/>
          <w:szCs w:val="24"/>
        </w:rPr>
        <w:t>, plaintiff’s</w:t>
      </w:r>
      <w:r w:rsidRPr="00247A6C">
        <w:rPr>
          <w:rFonts w:ascii="Times New Roman" w:hAnsi="Times New Roman" w:cs="Times New Roman"/>
          <w:sz w:val="24"/>
          <w:szCs w:val="24"/>
        </w:rPr>
        <w:t xml:space="preserve"> legal practitioners</w:t>
      </w:r>
    </w:p>
    <w:p w:rsidR="00247A6C" w:rsidRPr="00247A6C" w:rsidRDefault="00247A6C" w:rsidP="00F05898">
      <w:pPr>
        <w:spacing w:after="0" w:line="240" w:lineRule="auto"/>
        <w:jc w:val="both"/>
        <w:rPr>
          <w:rFonts w:ascii="Times New Roman" w:hAnsi="Times New Roman" w:cs="Times New Roman"/>
          <w:sz w:val="24"/>
          <w:szCs w:val="24"/>
        </w:rPr>
      </w:pPr>
      <w:r w:rsidRPr="00236ACF">
        <w:rPr>
          <w:rFonts w:ascii="Times New Roman" w:hAnsi="Times New Roman" w:cs="Times New Roman"/>
          <w:i/>
          <w:sz w:val="24"/>
          <w:szCs w:val="24"/>
        </w:rPr>
        <w:t>Farai &amp; Associates</w:t>
      </w:r>
      <w:r>
        <w:rPr>
          <w:rFonts w:ascii="Times New Roman" w:hAnsi="Times New Roman" w:cs="Times New Roman"/>
          <w:sz w:val="24"/>
          <w:szCs w:val="24"/>
        </w:rPr>
        <w:t>, defenda</w:t>
      </w:r>
      <w:r w:rsidRPr="00247A6C">
        <w:rPr>
          <w:rFonts w:ascii="Times New Roman" w:hAnsi="Times New Roman" w:cs="Times New Roman"/>
          <w:sz w:val="24"/>
          <w:szCs w:val="24"/>
        </w:rPr>
        <w:t>nt’s legal practitioners</w:t>
      </w:r>
    </w:p>
    <w:p w:rsidR="00E1290F" w:rsidRPr="00120EFD" w:rsidRDefault="00E1290F" w:rsidP="00A63426">
      <w:pPr>
        <w:autoSpaceDE w:val="0"/>
        <w:autoSpaceDN w:val="0"/>
        <w:adjustRightInd w:val="0"/>
        <w:spacing w:after="0" w:line="360" w:lineRule="auto"/>
        <w:jc w:val="both"/>
        <w:rPr>
          <w:rFonts w:ascii="Times New Roman" w:hAnsi="Times New Roman" w:cs="Times New Roman"/>
          <w:sz w:val="24"/>
          <w:szCs w:val="24"/>
        </w:rPr>
      </w:pPr>
    </w:p>
    <w:sectPr w:rsidR="00E1290F" w:rsidRPr="00120EF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0EB" w:rsidRDefault="009F70EB" w:rsidP="00924398">
      <w:pPr>
        <w:spacing w:after="0" w:line="240" w:lineRule="auto"/>
      </w:pPr>
      <w:r>
        <w:separator/>
      </w:r>
    </w:p>
  </w:endnote>
  <w:endnote w:type="continuationSeparator" w:id="0">
    <w:p w:rsidR="009F70EB" w:rsidRDefault="009F70EB" w:rsidP="0092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0EB" w:rsidRDefault="009F70EB" w:rsidP="00924398">
      <w:pPr>
        <w:spacing w:after="0" w:line="240" w:lineRule="auto"/>
      </w:pPr>
      <w:r>
        <w:separator/>
      </w:r>
    </w:p>
  </w:footnote>
  <w:footnote w:type="continuationSeparator" w:id="0">
    <w:p w:rsidR="009F70EB" w:rsidRDefault="009F70EB" w:rsidP="00924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678347"/>
      <w:docPartObj>
        <w:docPartGallery w:val="Page Numbers (Top of Page)"/>
        <w:docPartUnique/>
      </w:docPartObj>
    </w:sdtPr>
    <w:sdtEndPr>
      <w:rPr>
        <w:noProof/>
      </w:rPr>
    </w:sdtEndPr>
    <w:sdtContent>
      <w:p w:rsidR="00924398" w:rsidRDefault="00924398" w:rsidP="00236ACF">
        <w:pPr>
          <w:pStyle w:val="Header"/>
          <w:jc w:val="right"/>
        </w:pPr>
        <w:r>
          <w:fldChar w:fldCharType="begin"/>
        </w:r>
        <w:r>
          <w:instrText xml:space="preserve"> PAGE   \* MERGEFORMAT </w:instrText>
        </w:r>
        <w:r>
          <w:fldChar w:fldCharType="separate"/>
        </w:r>
        <w:r w:rsidR="006F3855">
          <w:rPr>
            <w:noProof/>
          </w:rPr>
          <w:t>1</w:t>
        </w:r>
        <w:r>
          <w:rPr>
            <w:noProof/>
          </w:rPr>
          <w:fldChar w:fldCharType="end"/>
        </w:r>
      </w:p>
    </w:sdtContent>
  </w:sdt>
  <w:p w:rsidR="00236ACF" w:rsidRDefault="00236ACF" w:rsidP="00236ACF">
    <w:pPr>
      <w:spacing w:after="0" w:line="240" w:lineRule="auto"/>
      <w:jc w:val="right"/>
      <w:rPr>
        <w:rFonts w:ascii="Times New Roman" w:hAnsi="Times New Roman" w:cs="Times New Roman"/>
        <w:sz w:val="24"/>
        <w:szCs w:val="24"/>
      </w:rPr>
    </w:pPr>
    <w:r>
      <w:rPr>
        <w:rFonts w:ascii="Maiandra GD" w:hAnsi="Maiandra GD"/>
        <w:sz w:val="24"/>
        <w:szCs w:val="24"/>
      </w:rPr>
      <w:t xml:space="preserve">                                                                                    </w:t>
    </w:r>
    <w:r>
      <w:rPr>
        <w:rFonts w:ascii="Times New Roman" w:hAnsi="Times New Roman" w:cs="Times New Roman"/>
        <w:sz w:val="24"/>
        <w:szCs w:val="24"/>
      </w:rPr>
      <w:t>HH</w:t>
    </w:r>
    <w:r w:rsidR="006D4FE5">
      <w:rPr>
        <w:rFonts w:ascii="Times New Roman" w:hAnsi="Times New Roman" w:cs="Times New Roman"/>
        <w:sz w:val="24"/>
        <w:szCs w:val="24"/>
      </w:rPr>
      <w:t xml:space="preserve"> 306-21</w:t>
    </w:r>
  </w:p>
  <w:p w:rsidR="00236ACF" w:rsidRDefault="00236ACF" w:rsidP="00236AC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HC 7701/20</w:t>
    </w:r>
  </w:p>
  <w:p w:rsidR="00236ACF" w:rsidRPr="00236ACF" w:rsidRDefault="00236ACF" w:rsidP="00236ACF">
    <w:pPr>
      <w:spacing w:after="0" w:line="240" w:lineRule="auto"/>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43653"/>
    <w:multiLevelType w:val="hybridMultilevel"/>
    <w:tmpl w:val="DDC45052"/>
    <w:lvl w:ilvl="0" w:tplc="06041390">
      <w:start w:val="1"/>
      <w:numFmt w:val="lowerLetter"/>
      <w:lvlText w:val="%1."/>
      <w:lvlJc w:val="left"/>
      <w:pPr>
        <w:ind w:left="720" w:hanging="360"/>
      </w:pPr>
      <w:rPr>
        <w:rFonts w:ascii="Times New Roman" w:hAnsi="Times New Roman" w:cs="Times New Roman" w:hint="default"/>
        <w:sz w:val="24"/>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4CAC1884"/>
    <w:multiLevelType w:val="hybridMultilevel"/>
    <w:tmpl w:val="47D40C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7C"/>
    <w:rsid w:val="00045CDF"/>
    <w:rsid w:val="001020E7"/>
    <w:rsid w:val="00120EFD"/>
    <w:rsid w:val="00123AB9"/>
    <w:rsid w:val="001D6A8D"/>
    <w:rsid w:val="00236ACF"/>
    <w:rsid w:val="00247A6C"/>
    <w:rsid w:val="00257B19"/>
    <w:rsid w:val="0036770D"/>
    <w:rsid w:val="003B0B8D"/>
    <w:rsid w:val="0049187A"/>
    <w:rsid w:val="00505DE7"/>
    <w:rsid w:val="00513172"/>
    <w:rsid w:val="00684EB4"/>
    <w:rsid w:val="006D4FE5"/>
    <w:rsid w:val="006F3855"/>
    <w:rsid w:val="007F1E08"/>
    <w:rsid w:val="0081194F"/>
    <w:rsid w:val="00847D7C"/>
    <w:rsid w:val="008571D9"/>
    <w:rsid w:val="0088392A"/>
    <w:rsid w:val="00924398"/>
    <w:rsid w:val="009F70EB"/>
    <w:rsid w:val="00A413E8"/>
    <w:rsid w:val="00A63426"/>
    <w:rsid w:val="00AE7E9D"/>
    <w:rsid w:val="00B44F2C"/>
    <w:rsid w:val="00B54613"/>
    <w:rsid w:val="00BB27FE"/>
    <w:rsid w:val="00C05907"/>
    <w:rsid w:val="00D077B6"/>
    <w:rsid w:val="00D47B52"/>
    <w:rsid w:val="00D54B9E"/>
    <w:rsid w:val="00E1290F"/>
    <w:rsid w:val="00E92B4D"/>
    <w:rsid w:val="00EE2B7F"/>
    <w:rsid w:val="00F05898"/>
    <w:rsid w:val="00F4145E"/>
    <w:rsid w:val="00FB048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870A1-5379-4248-A6C9-7D83F3BC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D7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D7C"/>
    <w:pPr>
      <w:ind w:left="720"/>
      <w:contextualSpacing/>
    </w:pPr>
  </w:style>
  <w:style w:type="paragraph" w:styleId="Header">
    <w:name w:val="header"/>
    <w:basedOn w:val="Normal"/>
    <w:link w:val="HeaderChar"/>
    <w:uiPriority w:val="99"/>
    <w:unhideWhenUsed/>
    <w:rsid w:val="00924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398"/>
  </w:style>
  <w:style w:type="paragraph" w:styleId="Footer">
    <w:name w:val="footer"/>
    <w:basedOn w:val="Normal"/>
    <w:link w:val="FooterChar"/>
    <w:uiPriority w:val="99"/>
    <w:unhideWhenUsed/>
    <w:rsid w:val="00924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2021-06-25T07:56:00Z</dcterms:created>
  <dcterms:modified xsi:type="dcterms:W3CDTF">2021-06-25T07:56:00Z</dcterms:modified>
</cp:coreProperties>
</file>