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3752DA">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6934AB">
        <w:rPr>
          <w:rFonts w:ascii="Tahoma" w:hAnsi="Tahoma" w:cs="Tahoma"/>
          <w:b/>
          <w:sz w:val="24"/>
          <w:szCs w:val="24"/>
        </w:rPr>
        <w:t>NO.</w:t>
      </w:r>
      <w:proofErr w:type="gramEnd"/>
      <w:r w:rsidR="006934AB">
        <w:rPr>
          <w:rFonts w:ascii="Tahoma" w:hAnsi="Tahoma" w:cs="Tahoma"/>
          <w:b/>
          <w:sz w:val="24"/>
          <w:szCs w:val="24"/>
        </w:rPr>
        <w:t xml:space="preserve"> LC/H/</w:t>
      </w:r>
      <w:r w:rsidR="00C6536D">
        <w:rPr>
          <w:rFonts w:ascii="Tahoma" w:hAnsi="Tahoma" w:cs="Tahoma"/>
          <w:b/>
          <w:sz w:val="24"/>
          <w:szCs w:val="24"/>
        </w:rPr>
        <w:t>62</w:t>
      </w:r>
      <w:r w:rsidR="006934AB">
        <w:rPr>
          <w:rFonts w:ascii="Tahoma" w:hAnsi="Tahoma" w:cs="Tahoma"/>
          <w:b/>
          <w:sz w:val="24"/>
          <w:szCs w:val="24"/>
        </w:rPr>
        <w:t>/2020</w:t>
      </w:r>
    </w:p>
    <w:p w:rsidR="00AA4716" w:rsidRPr="00DF3B3D" w:rsidRDefault="00B85300" w:rsidP="003752DA">
      <w:pPr>
        <w:spacing w:after="0" w:line="360" w:lineRule="auto"/>
        <w:jc w:val="both"/>
        <w:rPr>
          <w:rFonts w:ascii="Tahoma" w:hAnsi="Tahoma" w:cs="Tahoma"/>
          <w:b/>
          <w:sz w:val="24"/>
          <w:szCs w:val="24"/>
        </w:rPr>
      </w:pPr>
      <w:r>
        <w:rPr>
          <w:rFonts w:ascii="Tahoma" w:hAnsi="Tahoma" w:cs="Tahoma"/>
          <w:b/>
          <w:sz w:val="24"/>
          <w:szCs w:val="24"/>
        </w:rPr>
        <w:t>HARARE, 13 FEBRUARY,</w:t>
      </w:r>
      <w:r w:rsidR="00C6536D">
        <w:rPr>
          <w:rFonts w:ascii="Tahoma" w:hAnsi="Tahoma" w:cs="Tahoma"/>
          <w:b/>
          <w:sz w:val="24"/>
          <w:szCs w:val="24"/>
        </w:rPr>
        <w:t xml:space="preserve"> </w:t>
      </w:r>
      <w:r>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LC/H/APP/420/18</w:t>
      </w:r>
    </w:p>
    <w:p w:rsidR="00AA4716" w:rsidRDefault="00C6536D" w:rsidP="003752DA">
      <w:pPr>
        <w:spacing w:after="0" w:line="360" w:lineRule="auto"/>
        <w:jc w:val="both"/>
        <w:rPr>
          <w:rFonts w:ascii="Tahoma" w:hAnsi="Tahoma" w:cs="Tahoma"/>
          <w:b/>
          <w:sz w:val="24"/>
          <w:szCs w:val="24"/>
        </w:rPr>
      </w:pPr>
      <w:r>
        <w:rPr>
          <w:rFonts w:ascii="Tahoma" w:hAnsi="Tahoma" w:cs="Tahoma"/>
          <w:b/>
          <w:sz w:val="24"/>
          <w:szCs w:val="24"/>
        </w:rPr>
        <w:t>AND 28 FEBRUARY</w:t>
      </w:r>
      <w:r w:rsidR="003D00D4">
        <w:rPr>
          <w:rFonts w:ascii="Tahoma" w:hAnsi="Tahoma" w:cs="Tahoma"/>
          <w:b/>
          <w:sz w:val="24"/>
          <w:szCs w:val="24"/>
        </w:rPr>
        <w:t xml:space="preserve">, </w:t>
      </w:r>
      <w:r w:rsidR="006934AB">
        <w:rPr>
          <w:rFonts w:ascii="Tahoma" w:hAnsi="Tahoma" w:cs="Tahoma"/>
          <w:b/>
          <w:sz w:val="24"/>
          <w:szCs w:val="24"/>
        </w:rPr>
        <w:t>2020</w:t>
      </w:r>
    </w:p>
    <w:p w:rsidR="00011826" w:rsidRDefault="00011826" w:rsidP="003752DA">
      <w:pPr>
        <w:spacing w:after="0" w:line="360" w:lineRule="auto"/>
        <w:jc w:val="both"/>
        <w:rPr>
          <w:rFonts w:ascii="Tahoma" w:hAnsi="Tahoma" w:cs="Tahoma"/>
          <w:b/>
          <w:sz w:val="24"/>
          <w:szCs w:val="24"/>
        </w:rPr>
      </w:pPr>
    </w:p>
    <w:p w:rsidR="00011826" w:rsidRPr="00011826" w:rsidRDefault="00011826" w:rsidP="003752DA">
      <w:pPr>
        <w:spacing w:after="0" w:line="360" w:lineRule="auto"/>
        <w:jc w:val="both"/>
        <w:rPr>
          <w:rFonts w:ascii="Tahoma" w:hAnsi="Tahoma" w:cs="Tahoma"/>
          <w:sz w:val="24"/>
          <w:szCs w:val="24"/>
        </w:rPr>
      </w:pPr>
      <w:r w:rsidRPr="00011826">
        <w:rPr>
          <w:rFonts w:ascii="Tahoma" w:hAnsi="Tahoma" w:cs="Tahoma"/>
          <w:sz w:val="24"/>
          <w:szCs w:val="24"/>
        </w:rPr>
        <w:t>In the matter between:</w:t>
      </w:r>
      <w:r w:rsidR="007F6B20">
        <w:rPr>
          <w:rFonts w:ascii="Tahoma" w:hAnsi="Tahoma" w:cs="Tahoma"/>
          <w:sz w:val="24"/>
          <w:szCs w:val="24"/>
        </w:rPr>
        <w:t>-</w:t>
      </w:r>
    </w:p>
    <w:p w:rsidR="00AA4716"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8731E0" w:rsidP="000C4504">
      <w:pPr>
        <w:spacing w:line="360" w:lineRule="auto"/>
        <w:jc w:val="both"/>
        <w:rPr>
          <w:rFonts w:ascii="Tahoma" w:hAnsi="Tahoma" w:cs="Tahoma"/>
          <w:b/>
          <w:sz w:val="24"/>
          <w:szCs w:val="24"/>
        </w:rPr>
      </w:pPr>
      <w:r>
        <w:rPr>
          <w:rFonts w:ascii="Tahoma" w:hAnsi="Tahoma" w:cs="Tahoma"/>
          <w:b/>
          <w:sz w:val="24"/>
          <w:szCs w:val="24"/>
        </w:rPr>
        <w:t>MOSES SIKWILA</w:t>
      </w:r>
      <w:r>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b/>
        <w:t>Applicant</w:t>
      </w:r>
    </w:p>
    <w:p w:rsidR="004F2711" w:rsidRDefault="00011826" w:rsidP="000C4504">
      <w:pPr>
        <w:spacing w:line="360" w:lineRule="auto"/>
        <w:jc w:val="both"/>
        <w:rPr>
          <w:rFonts w:ascii="Tahoma" w:hAnsi="Tahoma" w:cs="Tahoma"/>
          <w:b/>
          <w:sz w:val="24"/>
          <w:szCs w:val="24"/>
        </w:rPr>
      </w:pPr>
      <w:r>
        <w:rPr>
          <w:rFonts w:ascii="Tahoma" w:hAnsi="Tahoma" w:cs="Tahoma"/>
          <w:b/>
          <w:sz w:val="24"/>
          <w:szCs w:val="24"/>
        </w:rPr>
        <w:t>AND</w:t>
      </w:r>
    </w:p>
    <w:p w:rsidR="00283F6F" w:rsidRDefault="008731E0" w:rsidP="000C4504">
      <w:pPr>
        <w:spacing w:line="360" w:lineRule="auto"/>
        <w:jc w:val="both"/>
        <w:rPr>
          <w:rFonts w:ascii="Tahoma" w:hAnsi="Tahoma" w:cs="Tahoma"/>
          <w:b/>
          <w:sz w:val="24"/>
          <w:szCs w:val="24"/>
        </w:rPr>
      </w:pPr>
      <w:r>
        <w:rPr>
          <w:rFonts w:ascii="Tahoma" w:hAnsi="Tahoma" w:cs="Tahoma"/>
          <w:b/>
          <w:sz w:val="24"/>
          <w:szCs w:val="24"/>
        </w:rPr>
        <w:t>CHARTERED INSTITUTE OF MANAGEMENT ACCOUNTANTS</w:t>
      </w:r>
      <w:r w:rsidR="004F2711">
        <w:rPr>
          <w:rFonts w:ascii="Tahoma" w:hAnsi="Tahoma" w:cs="Tahoma"/>
          <w:b/>
          <w:sz w:val="24"/>
          <w:szCs w:val="24"/>
        </w:rPr>
        <w:tab/>
      </w:r>
      <w:r w:rsidR="00F80FB6">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011826" w:rsidP="00AA4716">
      <w:pPr>
        <w:spacing w:after="0" w:line="360" w:lineRule="auto"/>
        <w:jc w:val="both"/>
        <w:rPr>
          <w:rFonts w:ascii="Tahoma" w:hAnsi="Tahoma" w:cs="Tahoma"/>
          <w:b/>
          <w:sz w:val="24"/>
          <w:szCs w:val="24"/>
        </w:rPr>
      </w:pPr>
      <w:r>
        <w:rPr>
          <w:rFonts w:ascii="Tahoma" w:hAnsi="Tahoma" w:cs="Tahoma"/>
          <w:b/>
          <w:sz w:val="24"/>
          <w:szCs w:val="24"/>
        </w:rPr>
        <w:t>Before The Honorable L</w:t>
      </w:r>
      <w:r w:rsidR="004B7C0F">
        <w:rPr>
          <w:rFonts w:ascii="Tahoma" w:hAnsi="Tahoma" w:cs="Tahoma"/>
          <w:b/>
          <w:sz w:val="24"/>
          <w:szCs w:val="24"/>
        </w:rPr>
        <w:t>.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8731E0">
        <w:rPr>
          <w:rFonts w:ascii="Tahoma" w:hAnsi="Tahoma" w:cs="Tahoma"/>
          <w:sz w:val="24"/>
          <w:szCs w:val="24"/>
        </w:rPr>
        <w:t>Applicant: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8731E0">
        <w:rPr>
          <w:rFonts w:ascii="Tahoma" w:hAnsi="Tahoma" w:cs="Tahoma"/>
          <w:sz w:val="24"/>
          <w:szCs w:val="24"/>
        </w:rPr>
        <w:t xml:space="preserve">Allen </w:t>
      </w:r>
      <w:proofErr w:type="spellStart"/>
      <w:r w:rsidR="008731E0">
        <w:rPr>
          <w:rFonts w:ascii="Tahoma" w:hAnsi="Tahoma" w:cs="Tahoma"/>
          <w:sz w:val="24"/>
          <w:szCs w:val="24"/>
        </w:rPr>
        <w:t>Moyo</w:t>
      </w:r>
      <w:proofErr w:type="spellEnd"/>
      <w:r w:rsidR="008731E0">
        <w:rPr>
          <w:rFonts w:ascii="Tahoma" w:hAnsi="Tahoma" w:cs="Tahoma"/>
          <w:sz w:val="24"/>
          <w:szCs w:val="24"/>
        </w:rPr>
        <w:t xml:space="preserve"> Attorneys At Law</w:t>
      </w:r>
    </w:p>
    <w:p w:rsidR="00AA4716" w:rsidRDefault="004F2711" w:rsidP="004F2711">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8731E0">
        <w:rPr>
          <w:rFonts w:ascii="Tahoma" w:hAnsi="Tahoma" w:cs="Tahoma"/>
          <w:sz w:val="24"/>
          <w:szCs w:val="24"/>
        </w:rPr>
        <w:tab/>
      </w:r>
      <w:proofErr w:type="spellStart"/>
      <w:r w:rsidR="008731E0">
        <w:rPr>
          <w:rFonts w:ascii="Tahoma" w:hAnsi="Tahoma" w:cs="Tahoma"/>
          <w:sz w:val="24"/>
          <w:szCs w:val="24"/>
        </w:rPr>
        <w:t>Dube</w:t>
      </w:r>
      <w:proofErr w:type="spellEnd"/>
      <w:r w:rsidR="008731E0">
        <w:rPr>
          <w:rFonts w:ascii="Tahoma" w:hAnsi="Tahoma" w:cs="Tahoma"/>
          <w:sz w:val="24"/>
          <w:szCs w:val="24"/>
        </w:rPr>
        <w:t xml:space="preserve">, </w:t>
      </w:r>
      <w:proofErr w:type="spellStart"/>
      <w:r w:rsidR="008731E0">
        <w:rPr>
          <w:rFonts w:ascii="Tahoma" w:hAnsi="Tahoma" w:cs="Tahoma"/>
          <w:sz w:val="24"/>
          <w:szCs w:val="24"/>
        </w:rPr>
        <w:t>Manikai</w:t>
      </w:r>
      <w:proofErr w:type="spellEnd"/>
      <w:r w:rsidR="008731E0">
        <w:rPr>
          <w:rFonts w:ascii="Tahoma" w:hAnsi="Tahoma" w:cs="Tahoma"/>
          <w:sz w:val="24"/>
          <w:szCs w:val="24"/>
        </w:rPr>
        <w:t xml:space="preserve"> &amp; </w:t>
      </w:r>
      <w:proofErr w:type="spellStart"/>
      <w:r w:rsidR="008731E0">
        <w:rPr>
          <w:rFonts w:ascii="Tahoma" w:hAnsi="Tahoma" w:cs="Tahoma"/>
          <w:sz w:val="24"/>
          <w:szCs w:val="24"/>
        </w:rPr>
        <w:t>Hwacha</w:t>
      </w:r>
      <w:proofErr w:type="spellEnd"/>
      <w:r w:rsidR="008731E0">
        <w:rPr>
          <w:rFonts w:ascii="Tahoma" w:hAnsi="Tahoma" w:cs="Tahoma"/>
          <w:sz w:val="24"/>
          <w:szCs w:val="24"/>
        </w:rPr>
        <w:t xml:space="preserve"> (Legal Practitioner)</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785DEE" w:rsidRDefault="00785DEE" w:rsidP="00AA4716">
      <w:pPr>
        <w:spacing w:after="0" w:line="360" w:lineRule="auto"/>
        <w:jc w:val="both"/>
        <w:rPr>
          <w:rFonts w:ascii="Tahoma" w:hAnsi="Tahoma" w:cs="Tahoma"/>
          <w:b/>
          <w:sz w:val="24"/>
          <w:szCs w:val="24"/>
        </w:rPr>
      </w:pPr>
    </w:p>
    <w:p w:rsidR="00145A15" w:rsidRDefault="00785DEE" w:rsidP="00145A15">
      <w:pPr>
        <w:spacing w:after="0" w:line="360" w:lineRule="auto"/>
        <w:jc w:val="both"/>
        <w:rPr>
          <w:rFonts w:ascii="Tahoma" w:hAnsi="Tahoma" w:cs="Tahoma"/>
          <w:sz w:val="24"/>
          <w:szCs w:val="24"/>
        </w:rPr>
      </w:pPr>
      <w:r>
        <w:rPr>
          <w:rFonts w:ascii="Tahoma" w:hAnsi="Tahoma" w:cs="Tahoma"/>
          <w:b/>
          <w:sz w:val="24"/>
          <w:szCs w:val="24"/>
        </w:rPr>
        <w:tab/>
      </w:r>
      <w:r w:rsidR="009A2149">
        <w:rPr>
          <w:rFonts w:ascii="Tahoma" w:hAnsi="Tahoma" w:cs="Tahoma"/>
          <w:sz w:val="24"/>
          <w:szCs w:val="24"/>
        </w:rPr>
        <w:t>This is an application for rescission of an order made in default by this Court against the applicant.</w:t>
      </w:r>
    </w:p>
    <w:p w:rsidR="009A2149" w:rsidRDefault="009A2149" w:rsidP="00145A15">
      <w:pPr>
        <w:spacing w:after="0" w:line="360" w:lineRule="auto"/>
        <w:jc w:val="both"/>
        <w:rPr>
          <w:rFonts w:ascii="Tahoma" w:hAnsi="Tahoma" w:cs="Tahoma"/>
          <w:sz w:val="24"/>
          <w:szCs w:val="24"/>
        </w:rPr>
      </w:pPr>
    </w:p>
    <w:p w:rsidR="009A2149" w:rsidRDefault="009A2149" w:rsidP="00145A15">
      <w:pPr>
        <w:spacing w:after="0" w:line="360" w:lineRule="auto"/>
        <w:jc w:val="both"/>
        <w:rPr>
          <w:rFonts w:ascii="Tahoma" w:hAnsi="Tahoma" w:cs="Tahoma"/>
          <w:sz w:val="24"/>
          <w:szCs w:val="24"/>
        </w:rPr>
      </w:pPr>
      <w:r>
        <w:rPr>
          <w:rFonts w:ascii="Tahoma" w:hAnsi="Tahoma" w:cs="Tahoma"/>
          <w:sz w:val="24"/>
          <w:szCs w:val="24"/>
        </w:rPr>
        <w:tab/>
        <w:t xml:space="preserve">The background is that sometime in 2015, the applicant was charged and dismissed from respondent’s employ for conduct inconsistent with the fulfillment of conditions of his </w:t>
      </w:r>
      <w:r w:rsidR="00225FEC">
        <w:rPr>
          <w:rFonts w:ascii="Tahoma" w:hAnsi="Tahoma" w:cs="Tahoma"/>
          <w:sz w:val="24"/>
          <w:szCs w:val="24"/>
        </w:rPr>
        <w:t>contract and for disobedience of</w:t>
      </w:r>
      <w:r>
        <w:rPr>
          <w:rFonts w:ascii="Tahoma" w:hAnsi="Tahoma" w:cs="Tahoma"/>
          <w:sz w:val="24"/>
          <w:szCs w:val="24"/>
        </w:rPr>
        <w:t xml:space="preserve"> a lawful order</w:t>
      </w:r>
      <w:r w:rsidR="000C4504">
        <w:rPr>
          <w:rFonts w:ascii="Tahoma" w:hAnsi="Tahoma" w:cs="Tahoma"/>
          <w:sz w:val="24"/>
          <w:szCs w:val="24"/>
        </w:rPr>
        <w:t>.</w:t>
      </w:r>
      <w:r w:rsidR="00AE296D">
        <w:rPr>
          <w:rFonts w:ascii="Tahoma" w:hAnsi="Tahoma" w:cs="Tahoma"/>
          <w:sz w:val="24"/>
          <w:szCs w:val="24"/>
        </w:rPr>
        <w:t xml:space="preserve"> </w:t>
      </w:r>
      <w:r>
        <w:rPr>
          <w:rFonts w:ascii="Tahoma" w:hAnsi="Tahoma" w:cs="Tahoma"/>
          <w:sz w:val="24"/>
          <w:szCs w:val="24"/>
        </w:rPr>
        <w:t xml:space="preserve">The applicant lost an internal appeal and referred the dispute to a Labour officer and subsequently to an arbitrator. The arbitrator set aside the decision to dismiss the applicant and ordered reinstatement. The respondent was aggrieved and lodged an appeal to the Labour Court under case number </w:t>
      </w:r>
      <w:r w:rsidRPr="00AE296D">
        <w:rPr>
          <w:rFonts w:ascii="Tahoma" w:hAnsi="Tahoma" w:cs="Tahoma"/>
          <w:b/>
          <w:sz w:val="24"/>
          <w:szCs w:val="24"/>
        </w:rPr>
        <w:t>LC/H/1946/15.</w:t>
      </w:r>
    </w:p>
    <w:p w:rsidR="009A2149" w:rsidRDefault="009A2149" w:rsidP="00145A15">
      <w:pPr>
        <w:spacing w:after="0" w:line="360" w:lineRule="auto"/>
        <w:jc w:val="both"/>
        <w:rPr>
          <w:rFonts w:ascii="Tahoma" w:hAnsi="Tahoma" w:cs="Tahoma"/>
          <w:sz w:val="24"/>
          <w:szCs w:val="24"/>
        </w:rPr>
      </w:pPr>
    </w:p>
    <w:p w:rsidR="00AE296D" w:rsidRDefault="00AE296D" w:rsidP="00145A15">
      <w:pPr>
        <w:spacing w:after="0" w:line="360" w:lineRule="auto"/>
        <w:jc w:val="both"/>
        <w:rPr>
          <w:rFonts w:ascii="Tahoma" w:hAnsi="Tahoma" w:cs="Tahoma"/>
          <w:sz w:val="24"/>
          <w:szCs w:val="24"/>
        </w:rPr>
      </w:pPr>
    </w:p>
    <w:p w:rsidR="009A2149" w:rsidRDefault="009A2149" w:rsidP="00145A15">
      <w:pPr>
        <w:spacing w:after="0" w:line="360" w:lineRule="auto"/>
        <w:jc w:val="both"/>
        <w:rPr>
          <w:rFonts w:ascii="Tahoma" w:hAnsi="Tahoma" w:cs="Tahoma"/>
          <w:b/>
          <w:sz w:val="24"/>
          <w:szCs w:val="24"/>
        </w:rPr>
      </w:pPr>
      <w:r>
        <w:rPr>
          <w:rFonts w:ascii="Tahoma" w:hAnsi="Tahoma" w:cs="Tahoma"/>
          <w:sz w:val="24"/>
          <w:szCs w:val="24"/>
        </w:rPr>
        <w:tab/>
        <w:t>The Labour Court set aside the arbitrator’s award and confirmed the respondent’s decision to dismiss the applicant</w:t>
      </w:r>
      <w:r w:rsidR="00687C36">
        <w:rPr>
          <w:rFonts w:ascii="Tahoma" w:hAnsi="Tahoma" w:cs="Tahoma"/>
          <w:sz w:val="24"/>
          <w:szCs w:val="24"/>
        </w:rPr>
        <w:t xml:space="preserve"> in a judgment handed down on 16 June 2017, that is, judgment number </w:t>
      </w:r>
      <w:r w:rsidR="00687C36" w:rsidRPr="00341ED5">
        <w:rPr>
          <w:rFonts w:ascii="Tahoma" w:hAnsi="Tahoma" w:cs="Tahoma"/>
          <w:b/>
          <w:sz w:val="24"/>
          <w:szCs w:val="24"/>
        </w:rPr>
        <w:t>LC/H/374/17.</w:t>
      </w:r>
    </w:p>
    <w:p w:rsidR="007D3256" w:rsidRDefault="007D3256" w:rsidP="00145A15">
      <w:pPr>
        <w:spacing w:after="0" w:line="360" w:lineRule="auto"/>
        <w:jc w:val="both"/>
        <w:rPr>
          <w:rFonts w:ascii="Tahoma" w:hAnsi="Tahoma" w:cs="Tahoma"/>
          <w:b/>
          <w:sz w:val="24"/>
          <w:szCs w:val="24"/>
        </w:rPr>
      </w:pPr>
    </w:p>
    <w:p w:rsidR="007D3256" w:rsidRDefault="007D3256" w:rsidP="00145A15">
      <w:pPr>
        <w:spacing w:after="0" w:line="360" w:lineRule="auto"/>
        <w:jc w:val="both"/>
        <w:rPr>
          <w:rFonts w:ascii="Tahoma" w:hAnsi="Tahoma" w:cs="Tahoma"/>
          <w:sz w:val="24"/>
          <w:szCs w:val="24"/>
        </w:rPr>
      </w:pPr>
      <w:r>
        <w:rPr>
          <w:rFonts w:ascii="Tahoma" w:hAnsi="Tahoma" w:cs="Tahoma"/>
          <w:b/>
          <w:sz w:val="24"/>
          <w:szCs w:val="24"/>
        </w:rPr>
        <w:tab/>
      </w:r>
      <w:r w:rsidRPr="007D3256">
        <w:rPr>
          <w:rFonts w:ascii="Tahoma" w:hAnsi="Tahoma" w:cs="Tahoma"/>
          <w:sz w:val="24"/>
          <w:szCs w:val="24"/>
        </w:rPr>
        <w:t>Five months after the judgment</w:t>
      </w:r>
      <w:r>
        <w:rPr>
          <w:rFonts w:ascii="Tahoma" w:hAnsi="Tahoma" w:cs="Tahoma"/>
          <w:sz w:val="24"/>
          <w:szCs w:val="24"/>
        </w:rPr>
        <w:t xml:space="preserve"> had been handed </w:t>
      </w:r>
      <w:proofErr w:type="gramStart"/>
      <w:r>
        <w:rPr>
          <w:rFonts w:ascii="Tahoma" w:hAnsi="Tahoma" w:cs="Tahoma"/>
          <w:sz w:val="24"/>
          <w:szCs w:val="24"/>
        </w:rPr>
        <w:t>down</w:t>
      </w:r>
      <w:r w:rsidR="00A37782">
        <w:rPr>
          <w:rFonts w:ascii="Tahoma" w:hAnsi="Tahoma" w:cs="Tahoma"/>
          <w:sz w:val="24"/>
          <w:szCs w:val="24"/>
        </w:rPr>
        <w:t>,</w:t>
      </w:r>
      <w:proofErr w:type="gramEnd"/>
      <w:r>
        <w:rPr>
          <w:rFonts w:ascii="Tahoma" w:hAnsi="Tahoma" w:cs="Tahoma"/>
          <w:sz w:val="24"/>
          <w:szCs w:val="24"/>
        </w:rPr>
        <w:t xml:space="preserve"> on 14 December 2017 the applicant filed an application for condonation of late filing of an application for leave to appeal the decision against him by the Labour Court.</w:t>
      </w:r>
    </w:p>
    <w:p w:rsidR="007D3256" w:rsidRDefault="007D3256" w:rsidP="00145A15">
      <w:pPr>
        <w:spacing w:after="0" w:line="360" w:lineRule="auto"/>
        <w:jc w:val="both"/>
        <w:rPr>
          <w:rFonts w:ascii="Tahoma" w:hAnsi="Tahoma" w:cs="Tahoma"/>
          <w:sz w:val="24"/>
          <w:szCs w:val="24"/>
        </w:rPr>
      </w:pPr>
    </w:p>
    <w:p w:rsidR="007D3256" w:rsidRDefault="007D3256" w:rsidP="00145A15">
      <w:pPr>
        <w:spacing w:after="0" w:line="360" w:lineRule="auto"/>
        <w:jc w:val="both"/>
        <w:rPr>
          <w:rFonts w:ascii="Tahoma" w:hAnsi="Tahoma" w:cs="Tahoma"/>
          <w:sz w:val="24"/>
          <w:szCs w:val="24"/>
        </w:rPr>
      </w:pPr>
      <w:r>
        <w:rPr>
          <w:rFonts w:ascii="Tahoma" w:hAnsi="Tahoma" w:cs="Tahoma"/>
          <w:sz w:val="24"/>
          <w:szCs w:val="24"/>
        </w:rPr>
        <w:tab/>
        <w:t xml:space="preserve">The application for condonation was </w:t>
      </w:r>
      <w:r w:rsidR="00A37782">
        <w:rPr>
          <w:rFonts w:ascii="Tahoma" w:hAnsi="Tahoma" w:cs="Tahoma"/>
          <w:sz w:val="24"/>
          <w:szCs w:val="24"/>
        </w:rPr>
        <w:t>set down for hearing on 21 May 20</w:t>
      </w:r>
      <w:r>
        <w:rPr>
          <w:rFonts w:ascii="Tahoma" w:hAnsi="Tahoma" w:cs="Tahoma"/>
          <w:sz w:val="24"/>
          <w:szCs w:val="24"/>
        </w:rPr>
        <w:t>18 at 10am. By 11:26, both the applicant and his legal practitioners were in default and the court granted an application made by the respondent to dismiss the matter in default of appearance by the applicant. The court dismissed th</w:t>
      </w:r>
      <w:r w:rsidR="00A37782">
        <w:rPr>
          <w:rFonts w:ascii="Tahoma" w:hAnsi="Tahoma" w:cs="Tahoma"/>
          <w:sz w:val="24"/>
          <w:szCs w:val="24"/>
        </w:rPr>
        <w:t>e application for condonation dated</w:t>
      </w:r>
      <w:r>
        <w:rPr>
          <w:rFonts w:ascii="Tahoma" w:hAnsi="Tahoma" w:cs="Tahoma"/>
          <w:sz w:val="24"/>
          <w:szCs w:val="24"/>
        </w:rPr>
        <w:t xml:space="preserve"> 30 May 2018.</w:t>
      </w:r>
    </w:p>
    <w:p w:rsidR="00E87F36" w:rsidRDefault="00E87F36" w:rsidP="00145A15">
      <w:pPr>
        <w:spacing w:after="0" w:line="360" w:lineRule="auto"/>
        <w:jc w:val="both"/>
        <w:rPr>
          <w:rFonts w:ascii="Tahoma" w:hAnsi="Tahoma" w:cs="Tahoma"/>
          <w:sz w:val="24"/>
          <w:szCs w:val="24"/>
        </w:rPr>
      </w:pPr>
    </w:p>
    <w:p w:rsidR="00E87F36" w:rsidRDefault="00E87F36" w:rsidP="00145A15">
      <w:pPr>
        <w:spacing w:after="0" w:line="360" w:lineRule="auto"/>
        <w:jc w:val="both"/>
        <w:rPr>
          <w:rFonts w:ascii="Tahoma" w:hAnsi="Tahoma" w:cs="Tahoma"/>
          <w:sz w:val="24"/>
          <w:szCs w:val="24"/>
        </w:rPr>
      </w:pPr>
      <w:r>
        <w:rPr>
          <w:rFonts w:ascii="Tahoma" w:hAnsi="Tahoma" w:cs="Tahoma"/>
          <w:sz w:val="24"/>
          <w:szCs w:val="24"/>
        </w:rPr>
        <w:tab/>
        <w:t xml:space="preserve">The applicant filed an application for rescission of the court’s order </w:t>
      </w:r>
      <w:r w:rsidR="00A52AE3">
        <w:rPr>
          <w:rFonts w:ascii="Tahoma" w:hAnsi="Tahoma" w:cs="Tahoma"/>
          <w:sz w:val="24"/>
          <w:szCs w:val="24"/>
        </w:rPr>
        <w:t xml:space="preserve">of 30 May 2018 </w:t>
      </w:r>
      <w:r>
        <w:rPr>
          <w:rFonts w:ascii="Tahoma" w:hAnsi="Tahoma" w:cs="Tahoma"/>
          <w:sz w:val="24"/>
          <w:szCs w:val="24"/>
        </w:rPr>
        <w:t xml:space="preserve">in case number </w:t>
      </w:r>
      <w:r w:rsidRPr="005E4400">
        <w:rPr>
          <w:rFonts w:ascii="Tahoma" w:hAnsi="Tahoma" w:cs="Tahoma"/>
          <w:b/>
          <w:sz w:val="24"/>
          <w:szCs w:val="24"/>
        </w:rPr>
        <w:t>LC/H/APP/420/18</w:t>
      </w:r>
      <w:r>
        <w:rPr>
          <w:rFonts w:ascii="Tahoma" w:hAnsi="Tahoma" w:cs="Tahoma"/>
          <w:sz w:val="24"/>
          <w:szCs w:val="24"/>
        </w:rPr>
        <w:t xml:space="preserve"> explaining</w:t>
      </w:r>
      <w:r w:rsidR="00A52AE3">
        <w:rPr>
          <w:rFonts w:ascii="Tahoma" w:hAnsi="Tahoma" w:cs="Tahoma"/>
          <w:sz w:val="24"/>
          <w:szCs w:val="24"/>
        </w:rPr>
        <w:t xml:space="preserve"> that his legal practitioner had</w:t>
      </w:r>
      <w:r>
        <w:rPr>
          <w:rFonts w:ascii="Tahoma" w:hAnsi="Tahoma" w:cs="Tahoma"/>
          <w:sz w:val="24"/>
          <w:szCs w:val="24"/>
        </w:rPr>
        <w:t xml:space="preserve"> made an error in diarizing the matter for the 23</w:t>
      </w:r>
      <w:r w:rsidRPr="00E87F36">
        <w:rPr>
          <w:rFonts w:ascii="Tahoma" w:hAnsi="Tahoma" w:cs="Tahoma"/>
          <w:sz w:val="24"/>
          <w:szCs w:val="24"/>
          <w:vertAlign w:val="superscript"/>
        </w:rPr>
        <w:t>rd</w:t>
      </w:r>
      <w:r>
        <w:rPr>
          <w:rFonts w:ascii="Tahoma" w:hAnsi="Tahoma" w:cs="Tahoma"/>
          <w:sz w:val="24"/>
          <w:szCs w:val="24"/>
        </w:rPr>
        <w:t xml:space="preserve"> and </w:t>
      </w:r>
      <w:r w:rsidR="00A52AE3">
        <w:rPr>
          <w:rFonts w:ascii="Tahoma" w:hAnsi="Tahoma" w:cs="Tahoma"/>
          <w:sz w:val="24"/>
          <w:szCs w:val="24"/>
        </w:rPr>
        <w:t xml:space="preserve">not </w:t>
      </w:r>
      <w:r>
        <w:rPr>
          <w:rFonts w:ascii="Tahoma" w:hAnsi="Tahoma" w:cs="Tahoma"/>
          <w:sz w:val="24"/>
          <w:szCs w:val="24"/>
        </w:rPr>
        <w:t>the 21</w:t>
      </w:r>
      <w:r w:rsidRPr="00E87F36">
        <w:rPr>
          <w:rFonts w:ascii="Tahoma" w:hAnsi="Tahoma" w:cs="Tahoma"/>
          <w:sz w:val="24"/>
          <w:szCs w:val="24"/>
          <w:vertAlign w:val="superscript"/>
        </w:rPr>
        <w:t>st</w:t>
      </w:r>
      <w:r>
        <w:rPr>
          <w:rFonts w:ascii="Tahoma" w:hAnsi="Tahoma" w:cs="Tahoma"/>
          <w:sz w:val="24"/>
          <w:szCs w:val="24"/>
        </w:rPr>
        <w:t xml:space="preserve"> of May 2018</w:t>
      </w:r>
      <w:r w:rsidR="00A52AE3">
        <w:rPr>
          <w:rFonts w:ascii="Tahoma" w:hAnsi="Tahoma" w:cs="Tahoma"/>
          <w:sz w:val="24"/>
          <w:szCs w:val="24"/>
        </w:rPr>
        <w:t xml:space="preserve"> as per </w:t>
      </w:r>
      <w:r w:rsidR="007A68F1">
        <w:rPr>
          <w:rFonts w:ascii="Tahoma" w:hAnsi="Tahoma" w:cs="Tahoma"/>
          <w:sz w:val="24"/>
          <w:szCs w:val="24"/>
        </w:rPr>
        <w:t xml:space="preserve">the </w:t>
      </w:r>
      <w:r w:rsidR="00A52AE3">
        <w:rPr>
          <w:rFonts w:ascii="Tahoma" w:hAnsi="Tahoma" w:cs="Tahoma"/>
          <w:sz w:val="24"/>
          <w:szCs w:val="24"/>
        </w:rPr>
        <w:t xml:space="preserve">notice of </w:t>
      </w:r>
      <w:proofErr w:type="spellStart"/>
      <w:r w:rsidR="00A52AE3">
        <w:rPr>
          <w:rFonts w:ascii="Tahoma" w:hAnsi="Tahoma" w:cs="Tahoma"/>
          <w:sz w:val="24"/>
          <w:szCs w:val="24"/>
        </w:rPr>
        <w:t>setdown</w:t>
      </w:r>
      <w:proofErr w:type="spellEnd"/>
      <w:r w:rsidR="007A68F1">
        <w:rPr>
          <w:rFonts w:ascii="Tahoma" w:hAnsi="Tahoma" w:cs="Tahoma"/>
          <w:sz w:val="24"/>
          <w:szCs w:val="24"/>
        </w:rPr>
        <w:t>. The application for rescission</w:t>
      </w:r>
      <w:r>
        <w:rPr>
          <w:rFonts w:ascii="Tahoma" w:hAnsi="Tahoma" w:cs="Tahoma"/>
          <w:sz w:val="24"/>
          <w:szCs w:val="24"/>
        </w:rPr>
        <w:t xml:space="preserve"> was </w:t>
      </w:r>
      <w:proofErr w:type="spellStart"/>
      <w:r>
        <w:rPr>
          <w:rFonts w:ascii="Tahoma" w:hAnsi="Tahoma" w:cs="Tahoma"/>
          <w:sz w:val="24"/>
          <w:szCs w:val="24"/>
        </w:rPr>
        <w:t>setdown</w:t>
      </w:r>
      <w:proofErr w:type="spellEnd"/>
      <w:r w:rsidR="005E4400">
        <w:rPr>
          <w:rFonts w:ascii="Tahoma" w:hAnsi="Tahoma" w:cs="Tahoma"/>
          <w:sz w:val="24"/>
          <w:szCs w:val="24"/>
        </w:rPr>
        <w:t xml:space="preserve"> for </w:t>
      </w:r>
      <w:r w:rsidR="007A68F1">
        <w:rPr>
          <w:rFonts w:ascii="Tahoma" w:hAnsi="Tahoma" w:cs="Tahoma"/>
          <w:sz w:val="24"/>
          <w:szCs w:val="24"/>
        </w:rPr>
        <w:t xml:space="preserve">hearing on </w:t>
      </w:r>
      <w:r w:rsidR="00A37782">
        <w:rPr>
          <w:rFonts w:ascii="Tahoma" w:hAnsi="Tahoma" w:cs="Tahoma"/>
          <w:sz w:val="24"/>
          <w:szCs w:val="24"/>
        </w:rPr>
        <w:t>3 October 2018</w:t>
      </w:r>
      <w:r w:rsidR="005E4400">
        <w:rPr>
          <w:rFonts w:ascii="Tahoma" w:hAnsi="Tahoma" w:cs="Tahoma"/>
          <w:sz w:val="24"/>
          <w:szCs w:val="24"/>
        </w:rPr>
        <w:t>. On the hearing date, the applicant and his legal practitioners were again not in attendance and a default order was grante</w:t>
      </w:r>
      <w:r w:rsidR="00A37782">
        <w:rPr>
          <w:rFonts w:ascii="Tahoma" w:hAnsi="Tahoma" w:cs="Tahoma"/>
          <w:sz w:val="24"/>
          <w:szCs w:val="24"/>
        </w:rPr>
        <w:t>d dated</w:t>
      </w:r>
      <w:r w:rsidR="005E4400">
        <w:rPr>
          <w:rFonts w:ascii="Tahoma" w:hAnsi="Tahoma" w:cs="Tahoma"/>
          <w:sz w:val="24"/>
          <w:szCs w:val="24"/>
        </w:rPr>
        <w:t xml:space="preserve"> 10 October 2018.</w:t>
      </w:r>
    </w:p>
    <w:p w:rsidR="0072329B" w:rsidRDefault="0072329B" w:rsidP="00145A15">
      <w:pPr>
        <w:spacing w:after="0" w:line="360" w:lineRule="auto"/>
        <w:jc w:val="both"/>
        <w:rPr>
          <w:rFonts w:ascii="Tahoma" w:hAnsi="Tahoma" w:cs="Tahoma"/>
          <w:sz w:val="24"/>
          <w:szCs w:val="24"/>
        </w:rPr>
      </w:pPr>
    </w:p>
    <w:p w:rsidR="0072329B" w:rsidRDefault="0072329B" w:rsidP="00145A15">
      <w:pPr>
        <w:spacing w:after="0" w:line="360" w:lineRule="auto"/>
        <w:jc w:val="both"/>
        <w:rPr>
          <w:rFonts w:ascii="Tahoma" w:hAnsi="Tahoma" w:cs="Tahoma"/>
          <w:sz w:val="24"/>
          <w:szCs w:val="24"/>
        </w:rPr>
      </w:pPr>
      <w:r>
        <w:rPr>
          <w:rFonts w:ascii="Tahoma" w:hAnsi="Tahoma" w:cs="Tahoma"/>
          <w:sz w:val="24"/>
          <w:szCs w:val="24"/>
        </w:rPr>
        <w:tab/>
        <w:t>Another application for rescission of the 2</w:t>
      </w:r>
      <w:r w:rsidRPr="0072329B">
        <w:rPr>
          <w:rFonts w:ascii="Tahoma" w:hAnsi="Tahoma" w:cs="Tahoma"/>
          <w:sz w:val="24"/>
          <w:szCs w:val="24"/>
          <w:vertAlign w:val="superscript"/>
        </w:rPr>
        <w:t>nd</w:t>
      </w:r>
      <w:r>
        <w:rPr>
          <w:rFonts w:ascii="Tahoma" w:hAnsi="Tahoma" w:cs="Tahoma"/>
          <w:sz w:val="24"/>
          <w:szCs w:val="24"/>
        </w:rPr>
        <w:t xml:space="preserve"> default order was made on 6 February 2019 on the basis that the applicant had not been served with the notice of hearing. The notice was apparently served on an old address.</w:t>
      </w:r>
    </w:p>
    <w:p w:rsidR="0072329B" w:rsidRDefault="0072329B" w:rsidP="00145A15">
      <w:pPr>
        <w:spacing w:after="0" w:line="360" w:lineRule="auto"/>
        <w:jc w:val="both"/>
        <w:rPr>
          <w:rFonts w:ascii="Tahoma" w:hAnsi="Tahoma" w:cs="Tahoma"/>
          <w:sz w:val="24"/>
          <w:szCs w:val="24"/>
        </w:rPr>
      </w:pPr>
    </w:p>
    <w:p w:rsidR="0072329B" w:rsidRDefault="0072329B" w:rsidP="00145A15">
      <w:pPr>
        <w:spacing w:after="0" w:line="360" w:lineRule="auto"/>
        <w:jc w:val="both"/>
        <w:rPr>
          <w:rFonts w:ascii="Tahoma" w:hAnsi="Tahoma" w:cs="Tahoma"/>
          <w:b/>
          <w:sz w:val="24"/>
          <w:szCs w:val="24"/>
        </w:rPr>
      </w:pPr>
      <w:r>
        <w:rPr>
          <w:rFonts w:ascii="Tahoma" w:hAnsi="Tahoma" w:cs="Tahoma"/>
          <w:sz w:val="24"/>
          <w:szCs w:val="24"/>
        </w:rPr>
        <w:tab/>
        <w:t xml:space="preserve">The Labour Court granted the application for rescission on 27 August 2019 and rescinded the order in case number </w:t>
      </w:r>
      <w:r w:rsidRPr="0072329B">
        <w:rPr>
          <w:rFonts w:ascii="Tahoma" w:hAnsi="Tahoma" w:cs="Tahoma"/>
          <w:b/>
          <w:sz w:val="24"/>
          <w:szCs w:val="24"/>
        </w:rPr>
        <w:t>LC/H/APP/420/18.</w:t>
      </w:r>
    </w:p>
    <w:p w:rsidR="0072329B" w:rsidRDefault="0072329B" w:rsidP="00145A15">
      <w:pPr>
        <w:spacing w:after="0" w:line="360" w:lineRule="auto"/>
        <w:jc w:val="both"/>
        <w:rPr>
          <w:rFonts w:ascii="Tahoma" w:hAnsi="Tahoma" w:cs="Tahoma"/>
          <w:sz w:val="24"/>
          <w:szCs w:val="24"/>
        </w:rPr>
      </w:pPr>
    </w:p>
    <w:p w:rsidR="0072329B" w:rsidRDefault="0072329B" w:rsidP="00145A15">
      <w:pPr>
        <w:spacing w:after="0" w:line="360" w:lineRule="auto"/>
        <w:jc w:val="both"/>
        <w:rPr>
          <w:rFonts w:ascii="Tahoma" w:hAnsi="Tahoma" w:cs="Tahoma"/>
          <w:sz w:val="24"/>
          <w:szCs w:val="24"/>
        </w:rPr>
      </w:pPr>
      <w:r>
        <w:rPr>
          <w:rFonts w:ascii="Tahoma" w:hAnsi="Tahoma" w:cs="Tahoma"/>
          <w:sz w:val="24"/>
          <w:szCs w:val="24"/>
        </w:rPr>
        <w:tab/>
        <w:t>T</w:t>
      </w:r>
      <w:r w:rsidR="00A37782">
        <w:rPr>
          <w:rFonts w:ascii="Tahoma" w:hAnsi="Tahoma" w:cs="Tahoma"/>
          <w:sz w:val="24"/>
          <w:szCs w:val="24"/>
        </w:rPr>
        <w:t>he effect of that order of 27 August 20</w:t>
      </w:r>
      <w:r>
        <w:rPr>
          <w:rFonts w:ascii="Tahoma" w:hAnsi="Tahoma" w:cs="Tahoma"/>
          <w:sz w:val="24"/>
          <w:szCs w:val="24"/>
        </w:rPr>
        <w:t xml:space="preserve">19 was to take the case back to the application which had originally been set down for 3 October 2018, that is, </w:t>
      </w:r>
      <w:r w:rsidRPr="0072329B">
        <w:rPr>
          <w:rFonts w:ascii="Tahoma" w:hAnsi="Tahoma" w:cs="Tahoma"/>
          <w:b/>
          <w:sz w:val="24"/>
          <w:szCs w:val="24"/>
        </w:rPr>
        <w:t>LC/H/APP/420/18</w:t>
      </w:r>
      <w:r>
        <w:rPr>
          <w:rFonts w:ascii="Tahoma" w:hAnsi="Tahoma" w:cs="Tahoma"/>
          <w:sz w:val="24"/>
          <w:szCs w:val="24"/>
        </w:rPr>
        <w:t xml:space="preserve"> being an application for rescission of an order originally granted in </w:t>
      </w:r>
      <w:r w:rsidR="007A68F1">
        <w:rPr>
          <w:rFonts w:ascii="Tahoma" w:hAnsi="Tahoma" w:cs="Tahoma"/>
          <w:sz w:val="24"/>
          <w:szCs w:val="24"/>
        </w:rPr>
        <w:t xml:space="preserve">default in </w:t>
      </w:r>
      <w:r>
        <w:rPr>
          <w:rFonts w:ascii="Tahoma" w:hAnsi="Tahoma" w:cs="Tahoma"/>
          <w:sz w:val="24"/>
          <w:szCs w:val="24"/>
        </w:rPr>
        <w:t>May 2018.</w:t>
      </w:r>
    </w:p>
    <w:p w:rsidR="00602F52" w:rsidRDefault="00602F52" w:rsidP="00145A15">
      <w:pPr>
        <w:spacing w:after="0" w:line="360" w:lineRule="auto"/>
        <w:jc w:val="both"/>
        <w:rPr>
          <w:rFonts w:ascii="Tahoma" w:hAnsi="Tahoma" w:cs="Tahoma"/>
          <w:sz w:val="24"/>
          <w:szCs w:val="24"/>
        </w:rPr>
      </w:pPr>
    </w:p>
    <w:p w:rsidR="00602F52" w:rsidRDefault="00602F52" w:rsidP="00145A15">
      <w:pPr>
        <w:spacing w:after="0" w:line="360" w:lineRule="auto"/>
        <w:jc w:val="both"/>
        <w:rPr>
          <w:rFonts w:ascii="Tahoma" w:hAnsi="Tahoma" w:cs="Tahoma"/>
          <w:sz w:val="24"/>
          <w:szCs w:val="24"/>
        </w:rPr>
      </w:pPr>
      <w:r>
        <w:rPr>
          <w:rFonts w:ascii="Tahoma" w:hAnsi="Tahoma" w:cs="Tahoma"/>
          <w:sz w:val="24"/>
          <w:szCs w:val="24"/>
        </w:rPr>
        <w:tab/>
        <w:t>The matter w</w:t>
      </w:r>
      <w:r w:rsidR="00A52AE3">
        <w:rPr>
          <w:rFonts w:ascii="Tahoma" w:hAnsi="Tahoma" w:cs="Tahoma"/>
          <w:sz w:val="24"/>
          <w:szCs w:val="24"/>
        </w:rPr>
        <w:t xml:space="preserve">as set down for </w:t>
      </w:r>
      <w:r w:rsidR="007A68F1">
        <w:rPr>
          <w:rFonts w:ascii="Tahoma" w:hAnsi="Tahoma" w:cs="Tahoma"/>
          <w:sz w:val="24"/>
          <w:szCs w:val="24"/>
        </w:rPr>
        <w:t xml:space="preserve">hearing on the </w:t>
      </w:r>
      <w:r w:rsidR="00A52AE3">
        <w:rPr>
          <w:rFonts w:ascii="Tahoma" w:hAnsi="Tahoma" w:cs="Tahoma"/>
          <w:sz w:val="24"/>
          <w:szCs w:val="24"/>
        </w:rPr>
        <w:t>5</w:t>
      </w:r>
      <w:r w:rsidR="007A68F1" w:rsidRPr="007A68F1">
        <w:rPr>
          <w:rFonts w:ascii="Tahoma" w:hAnsi="Tahoma" w:cs="Tahoma"/>
          <w:sz w:val="24"/>
          <w:szCs w:val="24"/>
          <w:vertAlign w:val="superscript"/>
        </w:rPr>
        <w:t>th</w:t>
      </w:r>
      <w:r w:rsidR="00A37782">
        <w:rPr>
          <w:rFonts w:ascii="Tahoma" w:hAnsi="Tahoma" w:cs="Tahoma"/>
          <w:sz w:val="24"/>
          <w:szCs w:val="24"/>
        </w:rPr>
        <w:t xml:space="preserve"> February 20</w:t>
      </w:r>
      <w:r w:rsidR="00A52AE3">
        <w:rPr>
          <w:rFonts w:ascii="Tahoma" w:hAnsi="Tahoma" w:cs="Tahoma"/>
          <w:sz w:val="24"/>
          <w:szCs w:val="24"/>
        </w:rPr>
        <w:t>20 at 10:00am.</w:t>
      </w:r>
    </w:p>
    <w:p w:rsidR="00602F52" w:rsidRDefault="00602F52" w:rsidP="00145A15">
      <w:pPr>
        <w:spacing w:after="0" w:line="360" w:lineRule="auto"/>
        <w:jc w:val="both"/>
        <w:rPr>
          <w:rFonts w:ascii="Tahoma" w:hAnsi="Tahoma" w:cs="Tahoma"/>
          <w:sz w:val="24"/>
          <w:szCs w:val="24"/>
        </w:rPr>
      </w:pPr>
    </w:p>
    <w:p w:rsidR="00602F52" w:rsidRDefault="00602F52" w:rsidP="00145A15">
      <w:pPr>
        <w:spacing w:after="0" w:line="360" w:lineRule="auto"/>
        <w:jc w:val="both"/>
        <w:rPr>
          <w:rFonts w:ascii="Tahoma" w:hAnsi="Tahoma" w:cs="Tahoma"/>
          <w:sz w:val="24"/>
          <w:szCs w:val="24"/>
        </w:rPr>
      </w:pPr>
      <w:r>
        <w:rPr>
          <w:rFonts w:ascii="Tahoma" w:hAnsi="Tahoma" w:cs="Tahoma"/>
          <w:sz w:val="24"/>
          <w:szCs w:val="24"/>
        </w:rPr>
        <w:tab/>
        <w:t>On the 5</w:t>
      </w:r>
      <w:r w:rsidRPr="00602F52">
        <w:rPr>
          <w:rFonts w:ascii="Tahoma" w:hAnsi="Tahoma" w:cs="Tahoma"/>
          <w:sz w:val="24"/>
          <w:szCs w:val="24"/>
          <w:vertAlign w:val="superscript"/>
        </w:rPr>
        <w:t>th</w:t>
      </w:r>
      <w:r>
        <w:rPr>
          <w:rFonts w:ascii="Tahoma" w:hAnsi="Tahoma" w:cs="Tahoma"/>
          <w:sz w:val="24"/>
          <w:szCs w:val="24"/>
        </w:rPr>
        <w:t xml:space="preserve"> of February 2020 at 10 in the morning, the applicant’s legal practit</w:t>
      </w:r>
      <w:r w:rsidR="00A52AE3">
        <w:rPr>
          <w:rFonts w:ascii="Tahoma" w:hAnsi="Tahoma" w:cs="Tahoma"/>
          <w:sz w:val="24"/>
          <w:szCs w:val="24"/>
        </w:rPr>
        <w:t>ioner was not in attendance. H</w:t>
      </w:r>
      <w:r>
        <w:rPr>
          <w:rFonts w:ascii="Tahoma" w:hAnsi="Tahoma" w:cs="Tahoma"/>
          <w:sz w:val="24"/>
          <w:szCs w:val="24"/>
        </w:rPr>
        <w:t>is client (the applicant) was in attendance. Initially, the applicant applied that the matter be stood down to a later time to enable his lawyer to attend. The lawyer was said to be attending an interview with the law society. Later the submissions changed to</w:t>
      </w:r>
    </w:p>
    <w:p w:rsidR="00602F52" w:rsidRPr="00AE296D" w:rsidRDefault="00602F52" w:rsidP="00145A15">
      <w:pPr>
        <w:spacing w:after="0" w:line="360" w:lineRule="auto"/>
        <w:jc w:val="both"/>
        <w:rPr>
          <w:rFonts w:ascii="Tahoma" w:hAnsi="Tahoma" w:cs="Tahoma"/>
          <w:i/>
          <w:sz w:val="24"/>
          <w:szCs w:val="24"/>
        </w:rPr>
      </w:pPr>
      <w:r>
        <w:rPr>
          <w:rFonts w:ascii="Tahoma" w:hAnsi="Tahoma" w:cs="Tahoma"/>
          <w:sz w:val="24"/>
          <w:szCs w:val="24"/>
        </w:rPr>
        <w:tab/>
      </w:r>
      <w:r w:rsidRPr="00AE296D">
        <w:rPr>
          <w:rFonts w:ascii="Tahoma" w:hAnsi="Tahoma" w:cs="Tahoma"/>
          <w:i/>
          <w:sz w:val="24"/>
          <w:szCs w:val="24"/>
        </w:rPr>
        <w:t>“</w:t>
      </w:r>
      <w:proofErr w:type="gramStart"/>
      <w:r w:rsidRPr="00AE296D">
        <w:rPr>
          <w:rFonts w:ascii="Tahoma" w:hAnsi="Tahoma" w:cs="Tahoma"/>
          <w:i/>
          <w:sz w:val="24"/>
          <w:szCs w:val="24"/>
        </w:rPr>
        <w:t>can</w:t>
      </w:r>
      <w:proofErr w:type="gramEnd"/>
      <w:r w:rsidRPr="00AE296D">
        <w:rPr>
          <w:rFonts w:ascii="Tahoma" w:hAnsi="Tahoma" w:cs="Tahoma"/>
          <w:i/>
          <w:sz w:val="24"/>
          <w:szCs w:val="24"/>
        </w:rPr>
        <w:t xml:space="preserve"> the matter be postponed”.</w:t>
      </w:r>
    </w:p>
    <w:p w:rsidR="002B1E42" w:rsidRPr="00AE296D" w:rsidRDefault="002B1E42" w:rsidP="00145A15">
      <w:pPr>
        <w:spacing w:after="0" w:line="360" w:lineRule="auto"/>
        <w:jc w:val="both"/>
        <w:rPr>
          <w:rFonts w:ascii="Tahoma" w:hAnsi="Tahoma" w:cs="Tahoma"/>
          <w:i/>
          <w:sz w:val="24"/>
          <w:szCs w:val="24"/>
        </w:rPr>
      </w:pPr>
    </w:p>
    <w:p w:rsidR="002B1E42" w:rsidRDefault="002B1E42" w:rsidP="00145A15">
      <w:pPr>
        <w:spacing w:after="0" w:line="360" w:lineRule="auto"/>
        <w:jc w:val="both"/>
        <w:rPr>
          <w:rFonts w:ascii="Tahoma" w:hAnsi="Tahoma" w:cs="Tahoma"/>
          <w:sz w:val="24"/>
          <w:szCs w:val="24"/>
        </w:rPr>
      </w:pPr>
      <w:r>
        <w:rPr>
          <w:rFonts w:ascii="Tahoma" w:hAnsi="Tahoma" w:cs="Tahoma"/>
          <w:sz w:val="24"/>
          <w:szCs w:val="24"/>
        </w:rPr>
        <w:tab/>
        <w:t>The court refused to grant a postponement and ordered that the matter be stood down to 12 noon the same day to accommodate the a</w:t>
      </w:r>
      <w:r w:rsidR="00A52AE3">
        <w:rPr>
          <w:rFonts w:ascii="Tahoma" w:hAnsi="Tahoma" w:cs="Tahoma"/>
          <w:sz w:val="24"/>
          <w:szCs w:val="24"/>
        </w:rPr>
        <w:t>pplicant’s legal practitioner. A</w:t>
      </w:r>
      <w:r>
        <w:rPr>
          <w:rFonts w:ascii="Tahoma" w:hAnsi="Tahoma" w:cs="Tahoma"/>
          <w:sz w:val="24"/>
          <w:szCs w:val="24"/>
        </w:rPr>
        <w:t>t 12 noon, when the proceedings resumed, the applicant’s lawyer was still not in attendance. The applicant advised the court that he was prepared to proceed with the matter in the absence of his lawyer</w:t>
      </w:r>
      <w:r w:rsidR="00A52AE3">
        <w:rPr>
          <w:rFonts w:ascii="Tahoma" w:hAnsi="Tahoma" w:cs="Tahoma"/>
          <w:sz w:val="24"/>
          <w:szCs w:val="24"/>
        </w:rPr>
        <w:t>. H</w:t>
      </w:r>
      <w:r w:rsidR="008B617C">
        <w:rPr>
          <w:rFonts w:ascii="Tahoma" w:hAnsi="Tahoma" w:cs="Tahoma"/>
          <w:sz w:val="24"/>
          <w:szCs w:val="24"/>
        </w:rPr>
        <w:t>e had failed to make contact with</w:t>
      </w:r>
      <w:r w:rsidR="00A52AE3">
        <w:rPr>
          <w:rFonts w:ascii="Tahoma" w:hAnsi="Tahoma" w:cs="Tahoma"/>
          <w:sz w:val="24"/>
          <w:szCs w:val="24"/>
        </w:rPr>
        <w:t xml:space="preserve"> him</w:t>
      </w:r>
      <w:r w:rsidR="008B617C">
        <w:rPr>
          <w:rFonts w:ascii="Tahoma" w:hAnsi="Tahoma" w:cs="Tahoma"/>
          <w:sz w:val="24"/>
          <w:szCs w:val="24"/>
        </w:rPr>
        <w:t xml:space="preserve">. The matter so </w:t>
      </w:r>
      <w:proofErr w:type="gramStart"/>
      <w:r w:rsidR="008B617C">
        <w:rPr>
          <w:rFonts w:ascii="Tahoma" w:hAnsi="Tahoma" w:cs="Tahoma"/>
          <w:sz w:val="24"/>
          <w:szCs w:val="24"/>
        </w:rPr>
        <w:t>proceeded</w:t>
      </w:r>
      <w:proofErr w:type="gramEnd"/>
      <w:r w:rsidR="008B617C">
        <w:rPr>
          <w:rFonts w:ascii="Tahoma" w:hAnsi="Tahoma" w:cs="Tahoma"/>
          <w:sz w:val="24"/>
          <w:szCs w:val="24"/>
        </w:rPr>
        <w:t>.</w:t>
      </w:r>
    </w:p>
    <w:p w:rsidR="008B617C" w:rsidRDefault="008B617C" w:rsidP="00145A15">
      <w:pPr>
        <w:spacing w:after="0" w:line="360" w:lineRule="auto"/>
        <w:jc w:val="both"/>
        <w:rPr>
          <w:rFonts w:ascii="Tahoma" w:hAnsi="Tahoma" w:cs="Tahoma"/>
          <w:sz w:val="24"/>
          <w:szCs w:val="24"/>
        </w:rPr>
      </w:pPr>
    </w:p>
    <w:p w:rsidR="008B617C" w:rsidRPr="00AE296D" w:rsidRDefault="008B617C" w:rsidP="00145A15">
      <w:pPr>
        <w:spacing w:after="0" w:line="360" w:lineRule="auto"/>
        <w:jc w:val="both"/>
        <w:rPr>
          <w:rFonts w:ascii="Tahoma" w:hAnsi="Tahoma" w:cs="Tahoma"/>
          <w:i/>
          <w:sz w:val="24"/>
          <w:szCs w:val="24"/>
        </w:rPr>
      </w:pPr>
      <w:r>
        <w:rPr>
          <w:rFonts w:ascii="Tahoma" w:hAnsi="Tahoma" w:cs="Tahoma"/>
          <w:sz w:val="24"/>
          <w:szCs w:val="24"/>
        </w:rPr>
        <w:tab/>
        <w:t xml:space="preserve">The applicant submitted that the reason why </w:t>
      </w:r>
      <w:proofErr w:type="gramStart"/>
      <w:r>
        <w:rPr>
          <w:rFonts w:ascii="Tahoma" w:hAnsi="Tahoma" w:cs="Tahoma"/>
          <w:sz w:val="24"/>
          <w:szCs w:val="24"/>
        </w:rPr>
        <w:t>him</w:t>
      </w:r>
      <w:proofErr w:type="gramEnd"/>
      <w:r>
        <w:rPr>
          <w:rFonts w:ascii="Tahoma" w:hAnsi="Tahoma" w:cs="Tahoma"/>
          <w:sz w:val="24"/>
          <w:szCs w:val="24"/>
        </w:rPr>
        <w:t xml:space="preserve"> and his legal practitioner had</w:t>
      </w:r>
      <w:r w:rsidR="00A37782">
        <w:rPr>
          <w:rFonts w:ascii="Tahoma" w:hAnsi="Tahoma" w:cs="Tahoma"/>
          <w:sz w:val="24"/>
          <w:szCs w:val="24"/>
        </w:rPr>
        <w:t xml:space="preserve"> failed to attend court on 3 October 20</w:t>
      </w:r>
      <w:r>
        <w:rPr>
          <w:rFonts w:ascii="Tahoma" w:hAnsi="Tahoma" w:cs="Tahoma"/>
          <w:sz w:val="24"/>
          <w:szCs w:val="24"/>
        </w:rPr>
        <w:t xml:space="preserve">18 was because his legal practitioner had made a mistake when diarizing the date of </w:t>
      </w:r>
      <w:proofErr w:type="spellStart"/>
      <w:r>
        <w:rPr>
          <w:rFonts w:ascii="Tahoma" w:hAnsi="Tahoma" w:cs="Tahoma"/>
          <w:sz w:val="24"/>
          <w:szCs w:val="24"/>
        </w:rPr>
        <w:t>setdown</w:t>
      </w:r>
      <w:proofErr w:type="spellEnd"/>
      <w:r>
        <w:rPr>
          <w:rFonts w:ascii="Tahoma" w:hAnsi="Tahoma" w:cs="Tahoma"/>
          <w:sz w:val="24"/>
          <w:szCs w:val="24"/>
        </w:rPr>
        <w:t xml:space="preserve"> and he “</w:t>
      </w:r>
      <w:r w:rsidRPr="00AE296D">
        <w:rPr>
          <w:rFonts w:ascii="Tahoma" w:hAnsi="Tahoma" w:cs="Tahoma"/>
          <w:i/>
          <w:sz w:val="24"/>
          <w:szCs w:val="24"/>
        </w:rPr>
        <w:t>mistakenly diarized the matter for 23</w:t>
      </w:r>
      <w:r w:rsidRPr="00AE296D">
        <w:rPr>
          <w:rFonts w:ascii="Tahoma" w:hAnsi="Tahoma" w:cs="Tahoma"/>
          <w:i/>
          <w:sz w:val="24"/>
          <w:szCs w:val="24"/>
          <w:vertAlign w:val="superscript"/>
        </w:rPr>
        <w:t>rd</w:t>
      </w:r>
      <w:r w:rsidRPr="00AE296D">
        <w:rPr>
          <w:rFonts w:ascii="Tahoma" w:hAnsi="Tahoma" w:cs="Tahoma"/>
          <w:i/>
          <w:sz w:val="24"/>
          <w:szCs w:val="24"/>
        </w:rPr>
        <w:t xml:space="preserve"> May 2018”.</w:t>
      </w:r>
    </w:p>
    <w:p w:rsidR="008B617C" w:rsidRDefault="008B617C" w:rsidP="00145A15">
      <w:pPr>
        <w:spacing w:after="0" w:line="360" w:lineRule="auto"/>
        <w:jc w:val="both"/>
        <w:rPr>
          <w:rFonts w:ascii="Tahoma" w:hAnsi="Tahoma" w:cs="Tahoma"/>
          <w:sz w:val="24"/>
          <w:szCs w:val="24"/>
        </w:rPr>
      </w:pPr>
    </w:p>
    <w:p w:rsidR="008B617C" w:rsidRDefault="008B617C" w:rsidP="00145A15">
      <w:pPr>
        <w:spacing w:after="0" w:line="360" w:lineRule="auto"/>
        <w:jc w:val="both"/>
        <w:rPr>
          <w:rFonts w:ascii="Tahoma" w:hAnsi="Tahoma" w:cs="Tahoma"/>
          <w:sz w:val="24"/>
          <w:szCs w:val="24"/>
        </w:rPr>
      </w:pPr>
    </w:p>
    <w:p w:rsidR="008B617C" w:rsidRDefault="008B617C" w:rsidP="00145A15">
      <w:pPr>
        <w:spacing w:after="0" w:line="360" w:lineRule="auto"/>
        <w:jc w:val="both"/>
        <w:rPr>
          <w:rFonts w:ascii="Tahoma" w:hAnsi="Tahoma" w:cs="Tahoma"/>
          <w:sz w:val="24"/>
          <w:szCs w:val="24"/>
        </w:rPr>
      </w:pPr>
    </w:p>
    <w:p w:rsidR="008B617C" w:rsidRDefault="008B617C" w:rsidP="00145A15">
      <w:pPr>
        <w:spacing w:after="0" w:line="360" w:lineRule="auto"/>
        <w:jc w:val="both"/>
        <w:rPr>
          <w:rFonts w:ascii="Tahoma" w:hAnsi="Tahoma" w:cs="Tahoma"/>
          <w:sz w:val="24"/>
          <w:szCs w:val="24"/>
        </w:rPr>
      </w:pPr>
      <w:r>
        <w:rPr>
          <w:rFonts w:ascii="Tahoma" w:hAnsi="Tahoma" w:cs="Tahoma"/>
          <w:sz w:val="24"/>
          <w:szCs w:val="24"/>
        </w:rPr>
        <w:tab/>
        <w:t xml:space="preserve">This was the reason given for the failure </w:t>
      </w:r>
      <w:r w:rsidR="00BA1F16">
        <w:rPr>
          <w:rFonts w:ascii="Tahoma" w:hAnsi="Tahoma" w:cs="Tahoma"/>
          <w:sz w:val="24"/>
          <w:szCs w:val="24"/>
        </w:rPr>
        <w:t>t</w:t>
      </w:r>
      <w:r>
        <w:rPr>
          <w:rFonts w:ascii="Tahoma" w:hAnsi="Tahoma" w:cs="Tahoma"/>
          <w:sz w:val="24"/>
          <w:szCs w:val="24"/>
        </w:rPr>
        <w:t>o attend court</w:t>
      </w:r>
      <w:r w:rsidR="00986878">
        <w:rPr>
          <w:rFonts w:ascii="Tahoma" w:hAnsi="Tahoma" w:cs="Tahoma"/>
          <w:sz w:val="24"/>
          <w:szCs w:val="24"/>
        </w:rPr>
        <w:t>.</w:t>
      </w:r>
      <w:r>
        <w:rPr>
          <w:rFonts w:ascii="Tahoma" w:hAnsi="Tahoma" w:cs="Tahoma"/>
          <w:sz w:val="24"/>
          <w:szCs w:val="24"/>
        </w:rPr>
        <w:t xml:space="preserve"> The applicant then submitted that his non-attendance was not willful. His lawyer </w:t>
      </w:r>
      <w:proofErr w:type="spellStart"/>
      <w:r>
        <w:rPr>
          <w:rFonts w:ascii="Tahoma" w:hAnsi="Tahoma" w:cs="Tahoma"/>
          <w:sz w:val="24"/>
          <w:szCs w:val="24"/>
        </w:rPr>
        <w:t>misdiarized</w:t>
      </w:r>
      <w:proofErr w:type="spellEnd"/>
      <w:r>
        <w:rPr>
          <w:rFonts w:ascii="Tahoma" w:hAnsi="Tahoma" w:cs="Tahoma"/>
          <w:sz w:val="24"/>
          <w:szCs w:val="24"/>
        </w:rPr>
        <w:t xml:space="preserve"> the date of hearing.</w:t>
      </w:r>
    </w:p>
    <w:p w:rsidR="00DB5287" w:rsidRDefault="00DB5287" w:rsidP="00145A15">
      <w:pPr>
        <w:spacing w:after="0" w:line="360" w:lineRule="auto"/>
        <w:jc w:val="both"/>
        <w:rPr>
          <w:rFonts w:ascii="Tahoma" w:hAnsi="Tahoma" w:cs="Tahoma"/>
          <w:sz w:val="24"/>
          <w:szCs w:val="24"/>
        </w:rPr>
      </w:pPr>
    </w:p>
    <w:p w:rsidR="00DB5287" w:rsidRPr="00DB5287" w:rsidRDefault="00DB5287" w:rsidP="00145A15">
      <w:pPr>
        <w:spacing w:after="0" w:line="360" w:lineRule="auto"/>
        <w:jc w:val="both"/>
        <w:rPr>
          <w:rFonts w:ascii="Tahoma" w:hAnsi="Tahoma" w:cs="Tahoma"/>
          <w:i/>
          <w:sz w:val="24"/>
          <w:szCs w:val="24"/>
        </w:rPr>
      </w:pPr>
      <w:r>
        <w:rPr>
          <w:rFonts w:ascii="Tahoma" w:hAnsi="Tahoma" w:cs="Tahoma"/>
          <w:sz w:val="24"/>
          <w:szCs w:val="24"/>
        </w:rPr>
        <w:tab/>
        <w:t xml:space="preserve">An applicant in an application of this nature must </w:t>
      </w:r>
      <w:r w:rsidR="00A52AE3">
        <w:rPr>
          <w:rFonts w:ascii="Tahoma" w:hAnsi="Tahoma" w:cs="Tahoma"/>
          <w:sz w:val="24"/>
          <w:szCs w:val="24"/>
        </w:rPr>
        <w:t>show good and sufficient cause for</w:t>
      </w:r>
      <w:r>
        <w:rPr>
          <w:rFonts w:ascii="Tahoma" w:hAnsi="Tahoma" w:cs="Tahoma"/>
          <w:sz w:val="24"/>
          <w:szCs w:val="24"/>
        </w:rPr>
        <w:t xml:space="preserve"> his default. See the case of </w:t>
      </w:r>
      <w:r w:rsidRPr="00DB5287">
        <w:rPr>
          <w:rFonts w:ascii="Tahoma" w:hAnsi="Tahoma" w:cs="Tahoma"/>
          <w:i/>
          <w:sz w:val="24"/>
          <w:szCs w:val="24"/>
        </w:rPr>
        <w:t xml:space="preserve">Cobra &amp; Wildcat PL &amp; </w:t>
      </w:r>
      <w:proofErr w:type="spellStart"/>
      <w:r w:rsidRPr="00DB5287">
        <w:rPr>
          <w:rFonts w:ascii="Tahoma" w:hAnsi="Tahoma" w:cs="Tahoma"/>
          <w:i/>
          <w:sz w:val="24"/>
          <w:szCs w:val="24"/>
        </w:rPr>
        <w:t>Tundu</w:t>
      </w:r>
      <w:proofErr w:type="spellEnd"/>
      <w:r w:rsidRPr="00DB5287">
        <w:rPr>
          <w:rFonts w:ascii="Tahoma" w:hAnsi="Tahoma" w:cs="Tahoma"/>
          <w:i/>
          <w:sz w:val="24"/>
          <w:szCs w:val="24"/>
        </w:rPr>
        <w:t xml:space="preserve"> distributors P/L HCH 38/90.</w:t>
      </w:r>
      <w:r>
        <w:rPr>
          <w:rFonts w:ascii="Tahoma" w:hAnsi="Tahoma" w:cs="Tahoma"/>
          <w:sz w:val="24"/>
          <w:szCs w:val="24"/>
        </w:rPr>
        <w:t xml:space="preserve"> In other words, the applicant must </w:t>
      </w:r>
      <w:r w:rsidR="00A52AE3">
        <w:rPr>
          <w:rFonts w:ascii="Tahoma" w:hAnsi="Tahoma" w:cs="Tahoma"/>
          <w:sz w:val="24"/>
          <w:szCs w:val="24"/>
        </w:rPr>
        <w:t xml:space="preserve">give a reasonable explanation for his </w:t>
      </w:r>
      <w:proofErr w:type="gramStart"/>
      <w:r w:rsidR="00A52AE3">
        <w:rPr>
          <w:rFonts w:ascii="Tahoma" w:hAnsi="Tahoma" w:cs="Tahoma"/>
          <w:sz w:val="24"/>
          <w:szCs w:val="24"/>
        </w:rPr>
        <w:t>default,</w:t>
      </w:r>
      <w:proofErr w:type="gramEnd"/>
      <w:r w:rsidR="00A52AE3">
        <w:rPr>
          <w:rFonts w:ascii="Tahoma" w:hAnsi="Tahoma" w:cs="Tahoma"/>
          <w:sz w:val="24"/>
          <w:szCs w:val="24"/>
        </w:rPr>
        <w:t xml:space="preserve"> this is </w:t>
      </w:r>
      <w:r>
        <w:rPr>
          <w:rFonts w:ascii="Tahoma" w:hAnsi="Tahoma" w:cs="Tahoma"/>
          <w:sz w:val="24"/>
          <w:szCs w:val="24"/>
        </w:rPr>
        <w:t xml:space="preserve">one of the factors in establishing good and sufficient cause. See the cases of </w:t>
      </w:r>
      <w:proofErr w:type="spellStart"/>
      <w:r w:rsidRPr="00DB5287">
        <w:rPr>
          <w:rFonts w:ascii="Tahoma" w:hAnsi="Tahoma" w:cs="Tahoma"/>
          <w:i/>
          <w:sz w:val="24"/>
          <w:szCs w:val="24"/>
        </w:rPr>
        <w:t>Redstar</w:t>
      </w:r>
      <w:proofErr w:type="spellEnd"/>
      <w:r w:rsidRPr="00DB5287">
        <w:rPr>
          <w:rFonts w:ascii="Tahoma" w:hAnsi="Tahoma" w:cs="Tahoma"/>
          <w:i/>
          <w:sz w:val="24"/>
          <w:szCs w:val="24"/>
        </w:rPr>
        <w:t xml:space="preserve"> Wholesalers</w:t>
      </w:r>
      <w:r>
        <w:rPr>
          <w:rFonts w:ascii="Tahoma" w:hAnsi="Tahoma" w:cs="Tahoma"/>
          <w:sz w:val="24"/>
          <w:szCs w:val="24"/>
        </w:rPr>
        <w:t xml:space="preserve"> </w:t>
      </w:r>
      <w:r w:rsidRPr="00DB5287">
        <w:rPr>
          <w:rFonts w:ascii="Tahoma" w:hAnsi="Tahoma" w:cs="Tahoma"/>
          <w:i/>
          <w:sz w:val="24"/>
          <w:szCs w:val="24"/>
        </w:rPr>
        <w:t xml:space="preserve">v </w:t>
      </w:r>
      <w:proofErr w:type="spellStart"/>
      <w:r w:rsidRPr="00DB5287">
        <w:rPr>
          <w:rFonts w:ascii="Tahoma" w:hAnsi="Tahoma" w:cs="Tahoma"/>
          <w:i/>
          <w:sz w:val="24"/>
          <w:szCs w:val="24"/>
        </w:rPr>
        <w:t>Mutamba</w:t>
      </w:r>
      <w:proofErr w:type="spellEnd"/>
      <w:r w:rsidRPr="00DB5287">
        <w:rPr>
          <w:rFonts w:ascii="Tahoma" w:hAnsi="Tahoma" w:cs="Tahoma"/>
          <w:i/>
          <w:sz w:val="24"/>
          <w:szCs w:val="24"/>
        </w:rPr>
        <w:t xml:space="preserve"> SC 142/04.</w:t>
      </w:r>
    </w:p>
    <w:p w:rsidR="00DB5287" w:rsidRPr="00DB5287" w:rsidRDefault="00DB5287" w:rsidP="00145A15">
      <w:pPr>
        <w:spacing w:after="0" w:line="360" w:lineRule="auto"/>
        <w:jc w:val="both"/>
        <w:rPr>
          <w:rFonts w:ascii="Tahoma" w:hAnsi="Tahoma" w:cs="Tahoma"/>
          <w:i/>
          <w:sz w:val="24"/>
          <w:szCs w:val="24"/>
        </w:rPr>
      </w:pPr>
      <w:proofErr w:type="spellStart"/>
      <w:proofErr w:type="gramStart"/>
      <w:r w:rsidRPr="00DB5287">
        <w:rPr>
          <w:rFonts w:ascii="Tahoma" w:hAnsi="Tahoma" w:cs="Tahoma"/>
          <w:i/>
          <w:sz w:val="24"/>
          <w:szCs w:val="24"/>
        </w:rPr>
        <w:t>Zimbank</w:t>
      </w:r>
      <w:proofErr w:type="spellEnd"/>
      <w:r w:rsidRPr="00DB5287">
        <w:rPr>
          <w:rFonts w:ascii="Tahoma" w:hAnsi="Tahoma" w:cs="Tahoma"/>
          <w:i/>
          <w:sz w:val="24"/>
          <w:szCs w:val="24"/>
        </w:rPr>
        <w:t xml:space="preserve"> v </w:t>
      </w:r>
      <w:proofErr w:type="spellStart"/>
      <w:r w:rsidRPr="00DB5287">
        <w:rPr>
          <w:rFonts w:ascii="Tahoma" w:hAnsi="Tahoma" w:cs="Tahoma"/>
          <w:i/>
          <w:sz w:val="24"/>
          <w:szCs w:val="24"/>
        </w:rPr>
        <w:t>Masendeke</w:t>
      </w:r>
      <w:proofErr w:type="spellEnd"/>
      <w:r w:rsidRPr="00DB5287">
        <w:rPr>
          <w:rFonts w:ascii="Tahoma" w:hAnsi="Tahoma" w:cs="Tahoma"/>
          <w:i/>
          <w:sz w:val="24"/>
          <w:szCs w:val="24"/>
        </w:rPr>
        <w:t xml:space="preserve"> SC 223/95.</w:t>
      </w:r>
      <w:proofErr w:type="gramEnd"/>
    </w:p>
    <w:p w:rsidR="00DB5287" w:rsidRDefault="00DB5287" w:rsidP="00145A15">
      <w:pPr>
        <w:spacing w:after="0" w:line="360" w:lineRule="auto"/>
        <w:jc w:val="both"/>
        <w:rPr>
          <w:rFonts w:ascii="Tahoma" w:hAnsi="Tahoma" w:cs="Tahoma"/>
          <w:sz w:val="24"/>
          <w:szCs w:val="24"/>
        </w:rPr>
      </w:pPr>
    </w:p>
    <w:p w:rsidR="00DB5287" w:rsidRDefault="00DB5287" w:rsidP="00145A15">
      <w:pPr>
        <w:spacing w:after="0" w:line="360" w:lineRule="auto"/>
        <w:jc w:val="both"/>
        <w:rPr>
          <w:rFonts w:ascii="Tahoma" w:hAnsi="Tahoma" w:cs="Tahoma"/>
          <w:sz w:val="24"/>
          <w:szCs w:val="24"/>
        </w:rPr>
      </w:pPr>
      <w:r>
        <w:rPr>
          <w:rFonts w:ascii="Tahoma" w:hAnsi="Tahoma" w:cs="Tahoma"/>
          <w:sz w:val="24"/>
          <w:szCs w:val="24"/>
        </w:rPr>
        <w:tab/>
        <w:t>In this case,</w:t>
      </w:r>
      <w:r w:rsidR="00A3553D">
        <w:rPr>
          <w:rFonts w:ascii="Tahoma" w:hAnsi="Tahoma" w:cs="Tahoma"/>
          <w:sz w:val="24"/>
          <w:szCs w:val="24"/>
        </w:rPr>
        <w:t xml:space="preserve"> the explanation given is that</w:t>
      </w:r>
      <w:r w:rsidR="00A52AE3">
        <w:rPr>
          <w:rFonts w:ascii="Tahoma" w:hAnsi="Tahoma" w:cs="Tahoma"/>
          <w:sz w:val="24"/>
          <w:szCs w:val="24"/>
        </w:rPr>
        <w:t xml:space="preserve"> the applicant’s lawyer</w:t>
      </w:r>
      <w:r w:rsidR="002523E4">
        <w:rPr>
          <w:rFonts w:ascii="Tahoma" w:hAnsi="Tahoma" w:cs="Tahoma"/>
          <w:sz w:val="24"/>
          <w:szCs w:val="24"/>
        </w:rPr>
        <w:t xml:space="preserve"> </w:t>
      </w:r>
      <w:proofErr w:type="spellStart"/>
      <w:r w:rsidR="002523E4">
        <w:rPr>
          <w:rFonts w:ascii="Tahoma" w:hAnsi="Tahoma" w:cs="Tahoma"/>
          <w:sz w:val="24"/>
          <w:szCs w:val="24"/>
        </w:rPr>
        <w:t>misdiarized</w:t>
      </w:r>
      <w:proofErr w:type="spellEnd"/>
      <w:r w:rsidR="002523E4">
        <w:rPr>
          <w:rFonts w:ascii="Tahoma" w:hAnsi="Tahoma" w:cs="Tahoma"/>
          <w:sz w:val="24"/>
          <w:szCs w:val="24"/>
        </w:rPr>
        <w:t xml:space="preserve"> the date of set down</w:t>
      </w:r>
      <w:r w:rsidR="008F610F">
        <w:rPr>
          <w:rFonts w:ascii="Tahoma" w:hAnsi="Tahoma" w:cs="Tahoma"/>
          <w:sz w:val="24"/>
          <w:szCs w:val="24"/>
        </w:rPr>
        <w:t xml:space="preserve"> when they were serve</w:t>
      </w:r>
      <w:r w:rsidR="00A52AE3">
        <w:rPr>
          <w:rFonts w:ascii="Tahoma" w:hAnsi="Tahoma" w:cs="Tahoma"/>
          <w:sz w:val="24"/>
          <w:szCs w:val="24"/>
        </w:rPr>
        <w:t xml:space="preserve">d with the notice of </w:t>
      </w:r>
      <w:proofErr w:type="spellStart"/>
      <w:r w:rsidR="00A52AE3">
        <w:rPr>
          <w:rFonts w:ascii="Tahoma" w:hAnsi="Tahoma" w:cs="Tahoma"/>
          <w:sz w:val="24"/>
          <w:szCs w:val="24"/>
        </w:rPr>
        <w:t>setdown</w:t>
      </w:r>
      <w:proofErr w:type="spellEnd"/>
      <w:r w:rsidR="00A52AE3">
        <w:rPr>
          <w:rFonts w:ascii="Tahoma" w:hAnsi="Tahoma" w:cs="Tahoma"/>
          <w:sz w:val="24"/>
          <w:szCs w:val="24"/>
        </w:rPr>
        <w:t>. H</w:t>
      </w:r>
      <w:r w:rsidR="008F610F">
        <w:rPr>
          <w:rFonts w:ascii="Tahoma" w:hAnsi="Tahoma" w:cs="Tahoma"/>
          <w:sz w:val="24"/>
          <w:szCs w:val="24"/>
        </w:rPr>
        <w:t>e diarized for the 23</w:t>
      </w:r>
      <w:r w:rsidR="008F610F" w:rsidRPr="008F610F">
        <w:rPr>
          <w:rFonts w:ascii="Tahoma" w:hAnsi="Tahoma" w:cs="Tahoma"/>
          <w:sz w:val="24"/>
          <w:szCs w:val="24"/>
          <w:vertAlign w:val="superscript"/>
        </w:rPr>
        <w:t>rd</w:t>
      </w:r>
      <w:r w:rsidR="008F610F">
        <w:rPr>
          <w:rFonts w:ascii="Tahoma" w:hAnsi="Tahoma" w:cs="Tahoma"/>
          <w:sz w:val="24"/>
          <w:szCs w:val="24"/>
        </w:rPr>
        <w:t xml:space="preserve"> when the set down date was the 21</w:t>
      </w:r>
      <w:r w:rsidR="008F610F" w:rsidRPr="008F610F">
        <w:rPr>
          <w:rFonts w:ascii="Tahoma" w:hAnsi="Tahoma" w:cs="Tahoma"/>
          <w:sz w:val="24"/>
          <w:szCs w:val="24"/>
          <w:vertAlign w:val="superscript"/>
        </w:rPr>
        <w:t>st</w:t>
      </w:r>
      <w:r w:rsidR="008F610F">
        <w:rPr>
          <w:rFonts w:ascii="Tahoma" w:hAnsi="Tahoma" w:cs="Tahoma"/>
          <w:sz w:val="24"/>
          <w:szCs w:val="24"/>
        </w:rPr>
        <w:t xml:space="preserve">. The applicant gives this explanation himself imputing the blame for the default on his legal practitioner. There is no affidavit from the legal practitioner confirming that the default was as a result of his </w:t>
      </w:r>
      <w:proofErr w:type="spellStart"/>
      <w:r w:rsidR="008F610F">
        <w:rPr>
          <w:rFonts w:ascii="Tahoma" w:hAnsi="Tahoma" w:cs="Tahoma"/>
          <w:sz w:val="24"/>
          <w:szCs w:val="24"/>
        </w:rPr>
        <w:t>misdiarizing</w:t>
      </w:r>
      <w:proofErr w:type="spellEnd"/>
      <w:r w:rsidR="000C1280">
        <w:rPr>
          <w:rFonts w:ascii="Tahoma" w:hAnsi="Tahoma" w:cs="Tahoma"/>
          <w:sz w:val="24"/>
          <w:szCs w:val="24"/>
        </w:rPr>
        <w:t xml:space="preserve">. It is trite law that where blame is imputed on a legal practitioner, that legal practitioner must himself file an affidavit with the court supporting the client’s averments. In </w:t>
      </w:r>
      <w:proofErr w:type="spellStart"/>
      <w:r w:rsidR="000C1280" w:rsidRPr="000C1280">
        <w:rPr>
          <w:rFonts w:ascii="Tahoma" w:hAnsi="Tahoma" w:cs="Tahoma"/>
          <w:i/>
          <w:sz w:val="24"/>
          <w:szCs w:val="24"/>
        </w:rPr>
        <w:t>casu</w:t>
      </w:r>
      <w:proofErr w:type="spellEnd"/>
      <w:r w:rsidR="000C1280" w:rsidRPr="000C1280">
        <w:rPr>
          <w:rFonts w:ascii="Tahoma" w:hAnsi="Tahoma" w:cs="Tahoma"/>
          <w:i/>
          <w:sz w:val="24"/>
          <w:szCs w:val="24"/>
        </w:rPr>
        <w:t>,</w:t>
      </w:r>
      <w:r w:rsidR="000C1280">
        <w:rPr>
          <w:rFonts w:ascii="Tahoma" w:hAnsi="Tahoma" w:cs="Tahoma"/>
          <w:sz w:val="24"/>
          <w:szCs w:val="24"/>
        </w:rPr>
        <w:t xml:space="preserve"> there is nothing from the legal practitioner.</w:t>
      </w:r>
    </w:p>
    <w:p w:rsidR="008C3B1C" w:rsidRDefault="008C3B1C" w:rsidP="00145A15">
      <w:pPr>
        <w:spacing w:after="0" w:line="360" w:lineRule="auto"/>
        <w:jc w:val="both"/>
        <w:rPr>
          <w:rFonts w:ascii="Tahoma" w:hAnsi="Tahoma" w:cs="Tahoma"/>
          <w:sz w:val="24"/>
          <w:szCs w:val="24"/>
        </w:rPr>
      </w:pPr>
    </w:p>
    <w:p w:rsidR="008C3B1C" w:rsidRDefault="008C3B1C" w:rsidP="00145A15">
      <w:pPr>
        <w:spacing w:after="0" w:line="360" w:lineRule="auto"/>
        <w:jc w:val="both"/>
        <w:rPr>
          <w:rFonts w:ascii="Tahoma" w:hAnsi="Tahoma" w:cs="Tahoma"/>
          <w:sz w:val="24"/>
          <w:szCs w:val="24"/>
        </w:rPr>
      </w:pPr>
      <w:r>
        <w:rPr>
          <w:rFonts w:ascii="Tahoma" w:hAnsi="Tahoma" w:cs="Tahoma"/>
          <w:sz w:val="24"/>
          <w:szCs w:val="24"/>
        </w:rPr>
        <w:tab/>
        <w:t xml:space="preserve">In the case of </w:t>
      </w:r>
      <w:r w:rsidRPr="00E5593A">
        <w:rPr>
          <w:rFonts w:ascii="Tahoma" w:hAnsi="Tahoma" w:cs="Tahoma"/>
          <w:i/>
          <w:sz w:val="24"/>
          <w:szCs w:val="24"/>
        </w:rPr>
        <w:t>Grant v Plumbers P/L 1919(2) SA 470</w:t>
      </w:r>
      <w:r>
        <w:rPr>
          <w:rFonts w:ascii="Tahoma" w:hAnsi="Tahoma" w:cs="Tahoma"/>
          <w:sz w:val="24"/>
          <w:szCs w:val="24"/>
        </w:rPr>
        <w:t xml:space="preserve"> the court held that a reasonable explanation for the default must be given and if it a</w:t>
      </w:r>
      <w:r w:rsidR="00A52AE3">
        <w:rPr>
          <w:rFonts w:ascii="Tahoma" w:hAnsi="Tahoma" w:cs="Tahoma"/>
          <w:sz w:val="24"/>
          <w:szCs w:val="24"/>
        </w:rPr>
        <w:t xml:space="preserve">ppears that the default was </w:t>
      </w:r>
      <w:proofErr w:type="spellStart"/>
      <w:r w:rsidR="00A52AE3">
        <w:rPr>
          <w:rFonts w:ascii="Tahoma" w:hAnsi="Tahoma" w:cs="Tahoma"/>
          <w:sz w:val="24"/>
          <w:szCs w:val="24"/>
        </w:rPr>
        <w:t>wil</w:t>
      </w:r>
      <w:r>
        <w:rPr>
          <w:rFonts w:ascii="Tahoma" w:hAnsi="Tahoma" w:cs="Tahoma"/>
          <w:sz w:val="24"/>
          <w:szCs w:val="24"/>
        </w:rPr>
        <w:t>ful</w:t>
      </w:r>
      <w:proofErr w:type="spellEnd"/>
      <w:r>
        <w:rPr>
          <w:rFonts w:ascii="Tahoma" w:hAnsi="Tahoma" w:cs="Tahoma"/>
          <w:sz w:val="24"/>
          <w:szCs w:val="24"/>
        </w:rPr>
        <w:t xml:space="preserve"> or that it was due to gross negligence, the court should not come to the applicant’s assistance.</w:t>
      </w:r>
    </w:p>
    <w:p w:rsidR="00621797" w:rsidRDefault="00621797" w:rsidP="00145A15">
      <w:pPr>
        <w:spacing w:after="0" w:line="360" w:lineRule="auto"/>
        <w:jc w:val="both"/>
        <w:rPr>
          <w:rFonts w:ascii="Tahoma" w:hAnsi="Tahoma" w:cs="Tahoma"/>
          <w:sz w:val="24"/>
          <w:szCs w:val="24"/>
        </w:rPr>
      </w:pPr>
    </w:p>
    <w:p w:rsidR="00621797" w:rsidRDefault="00621797" w:rsidP="00145A15">
      <w:pPr>
        <w:spacing w:after="0" w:line="360" w:lineRule="auto"/>
        <w:jc w:val="both"/>
        <w:rPr>
          <w:rFonts w:ascii="Tahoma" w:hAnsi="Tahoma" w:cs="Tahoma"/>
          <w:sz w:val="24"/>
          <w:szCs w:val="24"/>
        </w:rPr>
      </w:pPr>
    </w:p>
    <w:p w:rsidR="008C3B1C" w:rsidRDefault="008C3B1C" w:rsidP="00145A15">
      <w:pPr>
        <w:spacing w:after="0" w:line="360" w:lineRule="auto"/>
        <w:jc w:val="both"/>
        <w:rPr>
          <w:rFonts w:ascii="Tahoma" w:hAnsi="Tahoma" w:cs="Tahoma"/>
          <w:sz w:val="24"/>
          <w:szCs w:val="24"/>
        </w:rPr>
      </w:pPr>
    </w:p>
    <w:p w:rsidR="008C3B1C" w:rsidRDefault="008C3B1C" w:rsidP="00145A15">
      <w:pPr>
        <w:spacing w:after="0" w:line="360" w:lineRule="auto"/>
        <w:jc w:val="both"/>
        <w:rPr>
          <w:rFonts w:ascii="Tahoma" w:hAnsi="Tahoma" w:cs="Tahoma"/>
          <w:i/>
          <w:sz w:val="24"/>
          <w:szCs w:val="24"/>
        </w:rPr>
      </w:pPr>
      <w:r>
        <w:rPr>
          <w:rFonts w:ascii="Tahoma" w:hAnsi="Tahoma" w:cs="Tahoma"/>
          <w:sz w:val="24"/>
          <w:szCs w:val="24"/>
        </w:rPr>
        <w:lastRenderedPageBreak/>
        <w:tab/>
        <w:t xml:space="preserve">I am of the opinion that the explanation tendered in </w:t>
      </w:r>
      <w:proofErr w:type="spellStart"/>
      <w:r w:rsidRPr="008C3B1C">
        <w:rPr>
          <w:rFonts w:ascii="Tahoma" w:hAnsi="Tahoma" w:cs="Tahoma"/>
          <w:i/>
          <w:sz w:val="24"/>
          <w:szCs w:val="24"/>
        </w:rPr>
        <w:t>casu</w:t>
      </w:r>
      <w:proofErr w:type="spellEnd"/>
      <w:r w:rsidRPr="008C3B1C">
        <w:rPr>
          <w:rFonts w:ascii="Tahoma" w:hAnsi="Tahoma" w:cs="Tahoma"/>
          <w:i/>
          <w:sz w:val="24"/>
          <w:szCs w:val="24"/>
        </w:rPr>
        <w:t xml:space="preserve"> </w:t>
      </w:r>
      <w:r>
        <w:rPr>
          <w:rFonts w:ascii="Tahoma" w:hAnsi="Tahoma" w:cs="Tahoma"/>
          <w:sz w:val="24"/>
          <w:szCs w:val="24"/>
        </w:rPr>
        <w:t xml:space="preserve">is far from being satisfactory. The applicant is pleading his </w:t>
      </w:r>
      <w:proofErr w:type="gramStart"/>
      <w:r>
        <w:rPr>
          <w:rFonts w:ascii="Tahoma" w:hAnsi="Tahoma" w:cs="Tahoma"/>
          <w:sz w:val="24"/>
          <w:szCs w:val="24"/>
        </w:rPr>
        <w:t>lawyers</w:t>
      </w:r>
      <w:proofErr w:type="gramEnd"/>
      <w:r>
        <w:rPr>
          <w:rFonts w:ascii="Tahoma" w:hAnsi="Tahoma" w:cs="Tahoma"/>
          <w:sz w:val="24"/>
          <w:szCs w:val="24"/>
        </w:rPr>
        <w:t xml:space="preserve"> negligence, that he was served with a notice of </w:t>
      </w:r>
      <w:proofErr w:type="spellStart"/>
      <w:r>
        <w:rPr>
          <w:rFonts w:ascii="Tahoma" w:hAnsi="Tahoma" w:cs="Tahoma"/>
          <w:sz w:val="24"/>
          <w:szCs w:val="24"/>
        </w:rPr>
        <w:t>setdown</w:t>
      </w:r>
      <w:proofErr w:type="spellEnd"/>
      <w:r>
        <w:rPr>
          <w:rFonts w:ascii="Tahoma" w:hAnsi="Tahoma" w:cs="Tahoma"/>
          <w:sz w:val="24"/>
          <w:szCs w:val="24"/>
        </w:rPr>
        <w:t xml:space="preserve"> which clearly showed that the date of hearing was the 21</w:t>
      </w:r>
      <w:r w:rsidRPr="008C3B1C">
        <w:rPr>
          <w:rFonts w:ascii="Tahoma" w:hAnsi="Tahoma" w:cs="Tahoma"/>
          <w:sz w:val="24"/>
          <w:szCs w:val="24"/>
          <w:vertAlign w:val="superscript"/>
        </w:rPr>
        <w:t>st</w:t>
      </w:r>
      <w:r>
        <w:rPr>
          <w:rFonts w:ascii="Tahoma" w:hAnsi="Tahoma" w:cs="Tahoma"/>
          <w:sz w:val="24"/>
          <w:szCs w:val="24"/>
        </w:rPr>
        <w:t xml:space="preserve"> and he </w:t>
      </w:r>
      <w:r w:rsidR="00BA38C1">
        <w:rPr>
          <w:rFonts w:ascii="Tahoma" w:hAnsi="Tahoma" w:cs="Tahoma"/>
          <w:sz w:val="24"/>
          <w:szCs w:val="24"/>
        </w:rPr>
        <w:t>diarized for the 23</w:t>
      </w:r>
      <w:r w:rsidR="00BA38C1" w:rsidRPr="00BA38C1">
        <w:rPr>
          <w:rFonts w:ascii="Tahoma" w:hAnsi="Tahoma" w:cs="Tahoma"/>
          <w:sz w:val="24"/>
          <w:szCs w:val="24"/>
          <w:vertAlign w:val="superscript"/>
        </w:rPr>
        <w:t>rd</w:t>
      </w:r>
      <w:r w:rsidR="00BA38C1">
        <w:rPr>
          <w:rFonts w:ascii="Tahoma" w:hAnsi="Tahoma" w:cs="Tahoma"/>
          <w:sz w:val="24"/>
          <w:szCs w:val="24"/>
        </w:rPr>
        <w:t>. The lawyer does not swear to an affidavit explaining the circumstances of his error</w:t>
      </w:r>
      <w:r w:rsidR="00A52AE3">
        <w:rPr>
          <w:rFonts w:ascii="Tahoma" w:hAnsi="Tahoma" w:cs="Tahoma"/>
          <w:sz w:val="24"/>
          <w:szCs w:val="24"/>
        </w:rPr>
        <w:t>. W</w:t>
      </w:r>
      <w:r w:rsidR="007A68F1">
        <w:rPr>
          <w:rFonts w:ascii="Tahoma" w:hAnsi="Tahoma" w:cs="Tahoma"/>
          <w:sz w:val="24"/>
          <w:szCs w:val="24"/>
        </w:rPr>
        <w:t>ithout any explanation, the C</w:t>
      </w:r>
      <w:r w:rsidR="00BA38C1">
        <w:rPr>
          <w:rFonts w:ascii="Tahoma" w:hAnsi="Tahoma" w:cs="Tahoma"/>
          <w:sz w:val="24"/>
          <w:szCs w:val="24"/>
        </w:rPr>
        <w:t xml:space="preserve">ourt is of the view that the lawyer lacked diligence in the execution of his duties and was grossly negligent. The applicant cannot escape the result of his lawyer’s lack of diligence. See the case of </w:t>
      </w:r>
      <w:proofErr w:type="spellStart"/>
      <w:r w:rsidR="007A68F1">
        <w:rPr>
          <w:rFonts w:ascii="Tahoma" w:hAnsi="Tahoma" w:cs="Tahoma"/>
          <w:i/>
          <w:sz w:val="24"/>
          <w:szCs w:val="24"/>
        </w:rPr>
        <w:t>Soloo</w:t>
      </w:r>
      <w:r w:rsidR="00BA38C1" w:rsidRPr="00471500">
        <w:rPr>
          <w:rFonts w:ascii="Tahoma" w:hAnsi="Tahoma" w:cs="Tahoma"/>
          <w:i/>
          <w:sz w:val="24"/>
          <w:szCs w:val="24"/>
        </w:rPr>
        <w:t>jee</w:t>
      </w:r>
      <w:proofErr w:type="spellEnd"/>
      <w:r w:rsidR="00BA38C1" w:rsidRPr="00471500">
        <w:rPr>
          <w:rFonts w:ascii="Tahoma" w:hAnsi="Tahoma" w:cs="Tahoma"/>
          <w:i/>
          <w:sz w:val="24"/>
          <w:szCs w:val="24"/>
        </w:rPr>
        <w:t xml:space="preserve"> &amp; </w:t>
      </w:r>
      <w:proofErr w:type="spellStart"/>
      <w:r w:rsidR="00BA38C1" w:rsidRPr="00471500">
        <w:rPr>
          <w:rFonts w:ascii="Tahoma" w:hAnsi="Tahoma" w:cs="Tahoma"/>
          <w:i/>
          <w:sz w:val="24"/>
          <w:szCs w:val="24"/>
        </w:rPr>
        <w:t>anor</w:t>
      </w:r>
      <w:proofErr w:type="spellEnd"/>
      <w:r w:rsidR="00BA38C1" w:rsidRPr="00471500">
        <w:rPr>
          <w:rFonts w:ascii="Tahoma" w:hAnsi="Tahoma" w:cs="Tahoma"/>
          <w:i/>
          <w:sz w:val="24"/>
          <w:szCs w:val="24"/>
        </w:rPr>
        <w:t xml:space="preserve"> v Minister of Community Development 1965 (2) SA 135</w:t>
      </w:r>
      <w:r w:rsidR="00471500" w:rsidRPr="00471500">
        <w:rPr>
          <w:rFonts w:ascii="Tahoma" w:hAnsi="Tahoma" w:cs="Tahoma"/>
          <w:i/>
          <w:sz w:val="24"/>
          <w:szCs w:val="24"/>
        </w:rPr>
        <w:t>.</w:t>
      </w:r>
    </w:p>
    <w:p w:rsidR="00FC11AC" w:rsidRDefault="00FC11AC" w:rsidP="00145A15">
      <w:pPr>
        <w:spacing w:after="0" w:line="360" w:lineRule="auto"/>
        <w:jc w:val="both"/>
        <w:rPr>
          <w:rFonts w:ascii="Tahoma" w:hAnsi="Tahoma" w:cs="Tahoma"/>
          <w:i/>
          <w:sz w:val="24"/>
          <w:szCs w:val="24"/>
        </w:rPr>
      </w:pPr>
    </w:p>
    <w:p w:rsidR="00FC11AC" w:rsidRDefault="00FC11AC" w:rsidP="00145A15">
      <w:pPr>
        <w:spacing w:after="0" w:line="360" w:lineRule="auto"/>
        <w:jc w:val="both"/>
        <w:rPr>
          <w:rFonts w:ascii="Tahoma" w:hAnsi="Tahoma" w:cs="Tahoma"/>
          <w:sz w:val="24"/>
          <w:szCs w:val="24"/>
        </w:rPr>
      </w:pPr>
      <w:r>
        <w:rPr>
          <w:rFonts w:ascii="Tahoma" w:hAnsi="Tahoma" w:cs="Tahoma"/>
          <w:i/>
          <w:sz w:val="24"/>
          <w:szCs w:val="24"/>
        </w:rPr>
        <w:tab/>
      </w:r>
      <w:r w:rsidRPr="00FC11AC">
        <w:rPr>
          <w:rFonts w:ascii="Tahoma" w:hAnsi="Tahoma" w:cs="Tahoma"/>
          <w:sz w:val="24"/>
          <w:szCs w:val="24"/>
        </w:rPr>
        <w:t>The court</w:t>
      </w:r>
      <w:r>
        <w:rPr>
          <w:rFonts w:ascii="Tahoma" w:hAnsi="Tahoma" w:cs="Tahoma"/>
          <w:sz w:val="24"/>
          <w:szCs w:val="24"/>
        </w:rPr>
        <w:t xml:space="preserve"> in the case of </w:t>
      </w:r>
      <w:proofErr w:type="spellStart"/>
      <w:r w:rsidRPr="00FC11AC">
        <w:rPr>
          <w:rFonts w:ascii="Tahoma" w:hAnsi="Tahoma" w:cs="Tahoma"/>
          <w:i/>
          <w:sz w:val="24"/>
          <w:szCs w:val="24"/>
        </w:rPr>
        <w:t>Uzande</w:t>
      </w:r>
      <w:proofErr w:type="spellEnd"/>
      <w:r w:rsidRPr="00FC11AC">
        <w:rPr>
          <w:rFonts w:ascii="Tahoma" w:hAnsi="Tahoma" w:cs="Tahoma"/>
          <w:i/>
          <w:sz w:val="24"/>
          <w:szCs w:val="24"/>
        </w:rPr>
        <w:t xml:space="preserve"> v </w:t>
      </w:r>
      <w:proofErr w:type="spellStart"/>
      <w:r w:rsidRPr="00FC11AC">
        <w:rPr>
          <w:rFonts w:ascii="Tahoma" w:hAnsi="Tahoma" w:cs="Tahoma"/>
          <w:i/>
          <w:sz w:val="24"/>
          <w:szCs w:val="24"/>
        </w:rPr>
        <w:t>Katsande</w:t>
      </w:r>
      <w:proofErr w:type="spellEnd"/>
      <w:r w:rsidRPr="00FC11AC">
        <w:rPr>
          <w:rFonts w:ascii="Tahoma" w:hAnsi="Tahoma" w:cs="Tahoma"/>
          <w:i/>
          <w:sz w:val="24"/>
          <w:szCs w:val="24"/>
        </w:rPr>
        <w:t xml:space="preserve"> 1988 (2) ZLR 47</w:t>
      </w:r>
      <w:r>
        <w:rPr>
          <w:rFonts w:ascii="Tahoma" w:hAnsi="Tahoma" w:cs="Tahoma"/>
          <w:sz w:val="24"/>
          <w:szCs w:val="24"/>
        </w:rPr>
        <w:t xml:space="preserve"> (HC) </w:t>
      </w:r>
      <w:r w:rsidR="00A52AE3">
        <w:rPr>
          <w:rFonts w:ascii="Tahoma" w:hAnsi="Tahoma" w:cs="Tahoma"/>
          <w:sz w:val="24"/>
          <w:szCs w:val="24"/>
        </w:rPr>
        <w:t>e</w:t>
      </w:r>
      <w:r>
        <w:rPr>
          <w:rFonts w:ascii="Tahoma" w:hAnsi="Tahoma" w:cs="Tahoma"/>
          <w:sz w:val="24"/>
          <w:szCs w:val="24"/>
        </w:rPr>
        <w:t xml:space="preserve">choed the sentiments set out in the case of </w:t>
      </w:r>
      <w:r w:rsidRPr="00FC11AC">
        <w:rPr>
          <w:rFonts w:ascii="Tahoma" w:hAnsi="Tahoma" w:cs="Tahoma"/>
          <w:i/>
          <w:sz w:val="24"/>
          <w:szCs w:val="24"/>
        </w:rPr>
        <w:t>Stewart’s Assignee v Walls Trustees &amp; others (1981) 3</w:t>
      </w:r>
      <w:r>
        <w:rPr>
          <w:rFonts w:ascii="Tahoma" w:hAnsi="Tahoma" w:cs="Tahoma"/>
          <w:sz w:val="24"/>
          <w:szCs w:val="24"/>
        </w:rPr>
        <w:t xml:space="preserve"> </w:t>
      </w:r>
      <w:r w:rsidRPr="00FC11AC">
        <w:rPr>
          <w:rFonts w:ascii="Tahoma" w:hAnsi="Tahoma" w:cs="Tahoma"/>
          <w:i/>
          <w:sz w:val="24"/>
          <w:szCs w:val="24"/>
        </w:rPr>
        <w:t>SC 243</w:t>
      </w:r>
      <w:r>
        <w:rPr>
          <w:rFonts w:ascii="Tahoma" w:hAnsi="Tahoma" w:cs="Tahoma"/>
          <w:sz w:val="24"/>
          <w:szCs w:val="24"/>
        </w:rPr>
        <w:t xml:space="preserve"> to the effect that an allegation by a litigant</w:t>
      </w:r>
      <w:r w:rsidR="004B3DF7">
        <w:rPr>
          <w:rFonts w:ascii="Tahoma" w:hAnsi="Tahoma" w:cs="Tahoma"/>
          <w:sz w:val="24"/>
          <w:szCs w:val="24"/>
        </w:rPr>
        <w:t xml:space="preserve"> that he was unaware of a pending trial would justify restitution only if he could establish a supremely just cause of ignoranc</w:t>
      </w:r>
      <w:r w:rsidR="00A52AE3">
        <w:rPr>
          <w:rFonts w:ascii="Tahoma" w:hAnsi="Tahoma" w:cs="Tahoma"/>
          <w:sz w:val="24"/>
          <w:szCs w:val="24"/>
        </w:rPr>
        <w:t>e, free of all blame whatsoever</w:t>
      </w:r>
      <w:r w:rsidR="004B3DF7">
        <w:rPr>
          <w:rFonts w:ascii="Tahoma" w:hAnsi="Tahoma" w:cs="Tahoma"/>
          <w:sz w:val="24"/>
          <w:szCs w:val="24"/>
        </w:rPr>
        <w:t>.</w:t>
      </w:r>
    </w:p>
    <w:p w:rsidR="004B3DF7" w:rsidRDefault="004B3DF7" w:rsidP="00145A15">
      <w:pPr>
        <w:spacing w:after="0" w:line="360" w:lineRule="auto"/>
        <w:jc w:val="both"/>
        <w:rPr>
          <w:rFonts w:ascii="Tahoma" w:hAnsi="Tahoma" w:cs="Tahoma"/>
          <w:sz w:val="24"/>
          <w:szCs w:val="24"/>
        </w:rPr>
      </w:pPr>
    </w:p>
    <w:p w:rsidR="004B3DF7" w:rsidRDefault="004B3DF7" w:rsidP="00145A15">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4B3DF7">
        <w:rPr>
          <w:rFonts w:ascii="Tahoma" w:hAnsi="Tahoma" w:cs="Tahoma"/>
          <w:i/>
          <w:sz w:val="24"/>
          <w:szCs w:val="24"/>
        </w:rPr>
        <w:t>casu</w:t>
      </w:r>
      <w:proofErr w:type="spellEnd"/>
      <w:r w:rsidRPr="004B3DF7">
        <w:rPr>
          <w:rFonts w:ascii="Tahoma" w:hAnsi="Tahoma" w:cs="Tahoma"/>
          <w:i/>
          <w:sz w:val="24"/>
          <w:szCs w:val="24"/>
        </w:rPr>
        <w:t>,</w:t>
      </w:r>
      <w:r>
        <w:rPr>
          <w:rFonts w:ascii="Tahoma" w:hAnsi="Tahoma" w:cs="Tahoma"/>
          <w:sz w:val="24"/>
          <w:szCs w:val="24"/>
        </w:rPr>
        <w:t xml:space="preserve"> the applicant’s legal practitioner cannot be said to b</w:t>
      </w:r>
      <w:r w:rsidR="00A52AE3">
        <w:rPr>
          <w:rFonts w:ascii="Tahoma" w:hAnsi="Tahoma" w:cs="Tahoma"/>
          <w:sz w:val="24"/>
          <w:szCs w:val="24"/>
        </w:rPr>
        <w:t>e ‘free of all blame whatsoever</w:t>
      </w:r>
      <w:r w:rsidR="00A37782">
        <w:rPr>
          <w:rFonts w:ascii="Tahoma" w:hAnsi="Tahoma" w:cs="Tahoma"/>
          <w:sz w:val="24"/>
          <w:szCs w:val="24"/>
        </w:rPr>
        <w:t>’</w:t>
      </w:r>
      <w:r>
        <w:rPr>
          <w:rFonts w:ascii="Tahoma" w:hAnsi="Tahoma" w:cs="Tahoma"/>
          <w:sz w:val="24"/>
          <w:szCs w:val="24"/>
        </w:rPr>
        <w:t xml:space="preserve">. He is to blame for the </w:t>
      </w:r>
      <w:proofErr w:type="spellStart"/>
      <w:r>
        <w:rPr>
          <w:rFonts w:ascii="Tahoma" w:hAnsi="Tahoma" w:cs="Tahoma"/>
          <w:sz w:val="24"/>
          <w:szCs w:val="24"/>
        </w:rPr>
        <w:t>misdiarizing</w:t>
      </w:r>
      <w:proofErr w:type="spellEnd"/>
      <w:r>
        <w:rPr>
          <w:rFonts w:ascii="Tahoma" w:hAnsi="Tahoma" w:cs="Tahoma"/>
          <w:sz w:val="24"/>
          <w:szCs w:val="24"/>
        </w:rPr>
        <w:t xml:space="preserve"> whose circumstances he has not explained. He lacked diligence and his </w:t>
      </w:r>
      <w:proofErr w:type="gramStart"/>
      <w:r>
        <w:rPr>
          <w:rFonts w:ascii="Tahoma" w:hAnsi="Tahoma" w:cs="Tahoma"/>
          <w:sz w:val="24"/>
          <w:szCs w:val="24"/>
        </w:rPr>
        <w:t>client,</w:t>
      </w:r>
      <w:proofErr w:type="gramEnd"/>
      <w:r>
        <w:rPr>
          <w:rFonts w:ascii="Tahoma" w:hAnsi="Tahoma" w:cs="Tahoma"/>
          <w:sz w:val="24"/>
          <w:szCs w:val="24"/>
        </w:rPr>
        <w:t xml:space="preserve"> the applicant cannot escape the lack of diligence on the part of his chosen agent. The cour</w:t>
      </w:r>
      <w:r w:rsidR="00A52AE3">
        <w:rPr>
          <w:rFonts w:ascii="Tahoma" w:hAnsi="Tahoma" w:cs="Tahoma"/>
          <w:sz w:val="24"/>
          <w:szCs w:val="24"/>
        </w:rPr>
        <w:t xml:space="preserve">ts have stated that the </w:t>
      </w:r>
      <w:proofErr w:type="spellStart"/>
      <w:r w:rsidR="00A52AE3">
        <w:rPr>
          <w:rFonts w:ascii="Tahoma" w:hAnsi="Tahoma" w:cs="Tahoma"/>
          <w:sz w:val="24"/>
          <w:szCs w:val="24"/>
        </w:rPr>
        <w:t>wil</w:t>
      </w:r>
      <w:r>
        <w:rPr>
          <w:rFonts w:ascii="Tahoma" w:hAnsi="Tahoma" w:cs="Tahoma"/>
          <w:sz w:val="24"/>
          <w:szCs w:val="24"/>
        </w:rPr>
        <w:t>ful</w:t>
      </w:r>
      <w:r w:rsidR="00A52AE3">
        <w:rPr>
          <w:rFonts w:ascii="Tahoma" w:hAnsi="Tahoma" w:cs="Tahoma"/>
          <w:sz w:val="24"/>
          <w:szCs w:val="24"/>
        </w:rPr>
        <w:t>ness</w:t>
      </w:r>
      <w:proofErr w:type="spellEnd"/>
      <w:r w:rsidR="00A52AE3">
        <w:rPr>
          <w:rFonts w:ascii="Tahoma" w:hAnsi="Tahoma" w:cs="Tahoma"/>
          <w:sz w:val="24"/>
          <w:szCs w:val="24"/>
        </w:rPr>
        <w:t xml:space="preserve"> of the default is seldom if ever clear c</w:t>
      </w:r>
      <w:r>
        <w:rPr>
          <w:rFonts w:ascii="Tahoma" w:hAnsi="Tahoma" w:cs="Tahoma"/>
          <w:sz w:val="24"/>
          <w:szCs w:val="24"/>
        </w:rPr>
        <w:t>ut. There is almost always negligence and the question is</w:t>
      </w:r>
      <w:proofErr w:type="gramStart"/>
      <w:r>
        <w:rPr>
          <w:rFonts w:ascii="Tahoma" w:hAnsi="Tahoma" w:cs="Tahoma"/>
          <w:sz w:val="24"/>
          <w:szCs w:val="24"/>
        </w:rPr>
        <w:t>,</w:t>
      </w:r>
      <w:proofErr w:type="gramEnd"/>
      <w:r>
        <w:rPr>
          <w:rFonts w:ascii="Tahoma" w:hAnsi="Tahoma" w:cs="Tahoma"/>
          <w:sz w:val="24"/>
          <w:szCs w:val="24"/>
        </w:rPr>
        <w:t xml:space="preserve"> was it gross negligence and whether it w</w:t>
      </w:r>
      <w:r w:rsidR="00A52AE3">
        <w:rPr>
          <w:rFonts w:ascii="Tahoma" w:hAnsi="Tahoma" w:cs="Tahoma"/>
          <w:sz w:val="24"/>
          <w:szCs w:val="24"/>
        </w:rPr>
        <w:t xml:space="preserve">as so gross as to amount to </w:t>
      </w:r>
      <w:proofErr w:type="spellStart"/>
      <w:r w:rsidR="00A52AE3">
        <w:rPr>
          <w:rFonts w:ascii="Tahoma" w:hAnsi="Tahoma" w:cs="Tahoma"/>
          <w:sz w:val="24"/>
          <w:szCs w:val="24"/>
        </w:rPr>
        <w:t>wil</w:t>
      </w:r>
      <w:r>
        <w:rPr>
          <w:rFonts w:ascii="Tahoma" w:hAnsi="Tahoma" w:cs="Tahoma"/>
          <w:sz w:val="24"/>
          <w:szCs w:val="24"/>
        </w:rPr>
        <w:t>fulness</w:t>
      </w:r>
      <w:proofErr w:type="spellEnd"/>
      <w:r>
        <w:rPr>
          <w:rFonts w:ascii="Tahoma" w:hAnsi="Tahoma" w:cs="Tahoma"/>
          <w:sz w:val="24"/>
          <w:szCs w:val="24"/>
        </w:rPr>
        <w:t>.</w:t>
      </w:r>
    </w:p>
    <w:p w:rsidR="004C6B8B" w:rsidRDefault="004C6B8B" w:rsidP="00145A15">
      <w:pPr>
        <w:spacing w:after="0" w:line="360" w:lineRule="auto"/>
        <w:jc w:val="both"/>
        <w:rPr>
          <w:rFonts w:ascii="Tahoma" w:hAnsi="Tahoma" w:cs="Tahoma"/>
          <w:sz w:val="24"/>
          <w:szCs w:val="24"/>
        </w:rPr>
      </w:pPr>
    </w:p>
    <w:p w:rsidR="004C6B8B" w:rsidRDefault="004C6B8B" w:rsidP="00145A15">
      <w:pPr>
        <w:spacing w:after="0" w:line="360" w:lineRule="auto"/>
        <w:jc w:val="both"/>
        <w:rPr>
          <w:rFonts w:ascii="Tahoma" w:hAnsi="Tahoma" w:cs="Tahoma"/>
          <w:sz w:val="24"/>
          <w:szCs w:val="24"/>
        </w:rPr>
      </w:pPr>
      <w:r>
        <w:rPr>
          <w:rFonts w:ascii="Tahoma" w:hAnsi="Tahoma" w:cs="Tahoma"/>
          <w:sz w:val="24"/>
          <w:szCs w:val="24"/>
        </w:rPr>
        <w:tab/>
        <w:t xml:space="preserve">I have already stated that without an explanation by the legal practitioner as to the circumstances of the </w:t>
      </w:r>
      <w:proofErr w:type="spellStart"/>
      <w:r>
        <w:rPr>
          <w:rFonts w:ascii="Tahoma" w:hAnsi="Tahoma" w:cs="Tahoma"/>
          <w:sz w:val="24"/>
          <w:szCs w:val="24"/>
        </w:rPr>
        <w:t>misdiarizing</w:t>
      </w:r>
      <w:proofErr w:type="spellEnd"/>
      <w:r>
        <w:rPr>
          <w:rFonts w:ascii="Tahoma" w:hAnsi="Tahoma" w:cs="Tahoma"/>
          <w:sz w:val="24"/>
          <w:szCs w:val="24"/>
        </w:rPr>
        <w:t xml:space="preserve">, the </w:t>
      </w:r>
      <w:proofErr w:type="spellStart"/>
      <w:r>
        <w:rPr>
          <w:rFonts w:ascii="Tahoma" w:hAnsi="Tahoma" w:cs="Tahoma"/>
          <w:sz w:val="24"/>
          <w:szCs w:val="24"/>
        </w:rPr>
        <w:t>misdiarizing</w:t>
      </w:r>
      <w:proofErr w:type="spellEnd"/>
      <w:r>
        <w:rPr>
          <w:rFonts w:ascii="Tahoma" w:hAnsi="Tahoma" w:cs="Tahoma"/>
          <w:sz w:val="24"/>
          <w:szCs w:val="24"/>
        </w:rPr>
        <w:t xml:space="preserve"> is a gross lack of dilig</w:t>
      </w:r>
      <w:r w:rsidR="0072035B">
        <w:rPr>
          <w:rFonts w:ascii="Tahoma" w:hAnsi="Tahoma" w:cs="Tahoma"/>
          <w:sz w:val="24"/>
          <w:szCs w:val="24"/>
        </w:rPr>
        <w:t xml:space="preserve">ence and it thus amounts to </w:t>
      </w:r>
      <w:proofErr w:type="spellStart"/>
      <w:r w:rsidR="0072035B">
        <w:rPr>
          <w:rFonts w:ascii="Tahoma" w:hAnsi="Tahoma" w:cs="Tahoma"/>
          <w:sz w:val="24"/>
          <w:szCs w:val="24"/>
        </w:rPr>
        <w:t>wil</w:t>
      </w:r>
      <w:r>
        <w:rPr>
          <w:rFonts w:ascii="Tahoma" w:hAnsi="Tahoma" w:cs="Tahoma"/>
          <w:sz w:val="24"/>
          <w:szCs w:val="24"/>
        </w:rPr>
        <w:t>fulness</w:t>
      </w:r>
      <w:proofErr w:type="spellEnd"/>
      <w:r>
        <w:rPr>
          <w:rFonts w:ascii="Tahoma" w:hAnsi="Tahoma" w:cs="Tahoma"/>
          <w:sz w:val="24"/>
          <w:szCs w:val="24"/>
        </w:rPr>
        <w:t xml:space="preserve">. The court under those </w:t>
      </w:r>
      <w:proofErr w:type="gramStart"/>
      <w:r>
        <w:rPr>
          <w:rFonts w:ascii="Tahoma" w:hAnsi="Tahoma" w:cs="Tahoma"/>
          <w:sz w:val="24"/>
          <w:szCs w:val="24"/>
        </w:rPr>
        <w:t>circumstances,</w:t>
      </w:r>
      <w:proofErr w:type="gramEnd"/>
      <w:r>
        <w:rPr>
          <w:rFonts w:ascii="Tahoma" w:hAnsi="Tahoma" w:cs="Tahoma"/>
          <w:sz w:val="24"/>
          <w:szCs w:val="24"/>
        </w:rPr>
        <w:t xml:space="preserve"> cannot came to the applicant’s assistance.</w:t>
      </w:r>
    </w:p>
    <w:p w:rsidR="004C6B8B" w:rsidRDefault="004C6B8B" w:rsidP="00145A15">
      <w:pPr>
        <w:spacing w:after="0" w:line="360" w:lineRule="auto"/>
        <w:jc w:val="both"/>
        <w:rPr>
          <w:rFonts w:ascii="Tahoma" w:hAnsi="Tahoma" w:cs="Tahoma"/>
          <w:sz w:val="24"/>
          <w:szCs w:val="24"/>
        </w:rPr>
      </w:pPr>
    </w:p>
    <w:p w:rsidR="004C6B8B" w:rsidRPr="004C6B8B" w:rsidRDefault="004C6B8B" w:rsidP="00145A15">
      <w:pPr>
        <w:spacing w:after="0" w:line="360" w:lineRule="auto"/>
        <w:jc w:val="both"/>
        <w:rPr>
          <w:rFonts w:ascii="Tahoma" w:hAnsi="Tahoma" w:cs="Tahoma"/>
          <w:sz w:val="24"/>
          <w:szCs w:val="24"/>
          <w:u w:val="single"/>
        </w:rPr>
      </w:pPr>
      <w:r w:rsidRPr="004C6B8B">
        <w:rPr>
          <w:rFonts w:ascii="Tahoma" w:hAnsi="Tahoma" w:cs="Tahoma"/>
          <w:sz w:val="24"/>
          <w:szCs w:val="24"/>
          <w:u w:val="single"/>
        </w:rPr>
        <w:lastRenderedPageBreak/>
        <w:t>Prospects of success</w:t>
      </w:r>
    </w:p>
    <w:p w:rsidR="004C6B8B" w:rsidRDefault="004C6B8B" w:rsidP="00145A15">
      <w:pPr>
        <w:spacing w:after="0" w:line="360" w:lineRule="auto"/>
        <w:jc w:val="both"/>
        <w:rPr>
          <w:rFonts w:ascii="Tahoma" w:hAnsi="Tahoma" w:cs="Tahoma"/>
          <w:sz w:val="24"/>
          <w:szCs w:val="24"/>
        </w:rPr>
      </w:pPr>
    </w:p>
    <w:p w:rsidR="004C6B8B" w:rsidRDefault="004C6B8B" w:rsidP="00145A15">
      <w:pPr>
        <w:spacing w:after="0" w:line="360" w:lineRule="auto"/>
        <w:jc w:val="both"/>
        <w:rPr>
          <w:rFonts w:ascii="Tahoma" w:hAnsi="Tahoma" w:cs="Tahoma"/>
          <w:sz w:val="24"/>
          <w:szCs w:val="24"/>
        </w:rPr>
      </w:pPr>
      <w:r>
        <w:rPr>
          <w:rFonts w:ascii="Tahoma" w:hAnsi="Tahoma" w:cs="Tahoma"/>
          <w:sz w:val="24"/>
          <w:szCs w:val="24"/>
        </w:rPr>
        <w:t>If the applicant is successful in this case, he would earn the right to bring his application for condonation for late noting of appeal before the court. It is my considered view that for this application to succeed, he must show that in that application for condonation for late noting o</w:t>
      </w:r>
      <w:r w:rsidR="0072035B">
        <w:rPr>
          <w:rFonts w:ascii="Tahoma" w:hAnsi="Tahoma" w:cs="Tahoma"/>
          <w:sz w:val="24"/>
          <w:szCs w:val="24"/>
        </w:rPr>
        <w:t xml:space="preserve">f his appeal, he has good </w:t>
      </w:r>
      <w:r>
        <w:rPr>
          <w:rFonts w:ascii="Tahoma" w:hAnsi="Tahoma" w:cs="Tahoma"/>
          <w:sz w:val="24"/>
          <w:szCs w:val="24"/>
        </w:rPr>
        <w:t>prospects of success. The applicant has not addressed the court on the prospects of success of the application for condonation for late noting of appeal. He has thus failed to satisfy one of the requirements in establishing a good and sufficient cause.</w:t>
      </w:r>
    </w:p>
    <w:p w:rsidR="00B52FBB" w:rsidRDefault="00B52FBB" w:rsidP="00145A15">
      <w:pPr>
        <w:spacing w:after="0" w:line="360" w:lineRule="auto"/>
        <w:jc w:val="both"/>
        <w:rPr>
          <w:rFonts w:ascii="Tahoma" w:hAnsi="Tahoma" w:cs="Tahoma"/>
          <w:sz w:val="24"/>
          <w:szCs w:val="24"/>
        </w:rPr>
      </w:pPr>
    </w:p>
    <w:p w:rsidR="00B52FBB" w:rsidRDefault="0072035B" w:rsidP="00145A15">
      <w:pPr>
        <w:spacing w:after="0" w:line="360" w:lineRule="auto"/>
        <w:jc w:val="both"/>
        <w:rPr>
          <w:rFonts w:ascii="Tahoma" w:hAnsi="Tahoma" w:cs="Tahoma"/>
          <w:sz w:val="24"/>
          <w:szCs w:val="24"/>
        </w:rPr>
      </w:pPr>
      <w:r>
        <w:rPr>
          <w:rFonts w:ascii="Tahoma" w:hAnsi="Tahoma" w:cs="Tahoma"/>
          <w:sz w:val="24"/>
          <w:szCs w:val="24"/>
        </w:rPr>
        <w:tab/>
        <w:t>He chose to refer th</w:t>
      </w:r>
      <w:r w:rsidR="00AA433B">
        <w:rPr>
          <w:rFonts w:ascii="Tahoma" w:hAnsi="Tahoma" w:cs="Tahoma"/>
          <w:sz w:val="24"/>
          <w:szCs w:val="24"/>
        </w:rPr>
        <w:t>e</w:t>
      </w:r>
      <w:r w:rsidR="00B52FBB">
        <w:rPr>
          <w:rFonts w:ascii="Tahoma" w:hAnsi="Tahoma" w:cs="Tahoma"/>
          <w:sz w:val="24"/>
          <w:szCs w:val="24"/>
        </w:rPr>
        <w:t xml:space="preserve"> court, for his prospects of success, to the record in his founding affidavit</w:t>
      </w:r>
      <w:r w:rsidR="00DB50BF">
        <w:rPr>
          <w:rFonts w:ascii="Tahoma" w:hAnsi="Tahoma" w:cs="Tahoma"/>
          <w:sz w:val="24"/>
          <w:szCs w:val="24"/>
        </w:rPr>
        <w:t>. He states in paragraph 8.5 of his founding affidavit as follows;</w:t>
      </w:r>
    </w:p>
    <w:p w:rsidR="001A67F1" w:rsidRDefault="001A67F1" w:rsidP="00145A15">
      <w:pPr>
        <w:spacing w:after="0" w:line="360" w:lineRule="auto"/>
        <w:jc w:val="both"/>
        <w:rPr>
          <w:rFonts w:ascii="Tahoma" w:hAnsi="Tahoma" w:cs="Tahoma"/>
          <w:sz w:val="24"/>
          <w:szCs w:val="24"/>
        </w:rPr>
      </w:pPr>
    </w:p>
    <w:p w:rsidR="001A67F1" w:rsidRPr="001A67F1" w:rsidRDefault="001A67F1" w:rsidP="001A67F1">
      <w:pPr>
        <w:spacing w:after="0" w:line="360" w:lineRule="auto"/>
        <w:ind w:left="720"/>
        <w:jc w:val="both"/>
        <w:rPr>
          <w:rFonts w:ascii="Tahoma" w:hAnsi="Tahoma" w:cs="Tahoma"/>
          <w:i/>
          <w:sz w:val="24"/>
          <w:szCs w:val="24"/>
        </w:rPr>
      </w:pPr>
      <w:r w:rsidRPr="001A67F1">
        <w:rPr>
          <w:rFonts w:ascii="Tahoma" w:hAnsi="Tahoma" w:cs="Tahoma"/>
          <w:i/>
          <w:sz w:val="24"/>
          <w:szCs w:val="24"/>
        </w:rPr>
        <w:t>“</w:t>
      </w:r>
      <w:proofErr w:type="gramStart"/>
      <w:r w:rsidRPr="001A67F1">
        <w:rPr>
          <w:rFonts w:ascii="Tahoma" w:hAnsi="Tahoma" w:cs="Tahoma"/>
          <w:i/>
          <w:sz w:val="24"/>
          <w:szCs w:val="24"/>
        </w:rPr>
        <w:t>as</w:t>
      </w:r>
      <w:proofErr w:type="gramEnd"/>
      <w:r w:rsidRPr="001A67F1">
        <w:rPr>
          <w:rFonts w:ascii="Tahoma" w:hAnsi="Tahoma" w:cs="Tahoma"/>
          <w:i/>
          <w:sz w:val="24"/>
          <w:szCs w:val="24"/>
        </w:rPr>
        <w:t xml:space="preserve"> regards the prospects of success on the merits of that application, the </w:t>
      </w:r>
      <w:proofErr w:type="spellStart"/>
      <w:r w:rsidRPr="001A67F1">
        <w:rPr>
          <w:rFonts w:ascii="Tahoma" w:hAnsi="Tahoma" w:cs="Tahoma"/>
          <w:i/>
          <w:sz w:val="24"/>
          <w:szCs w:val="24"/>
        </w:rPr>
        <w:t>Honourable</w:t>
      </w:r>
      <w:proofErr w:type="spellEnd"/>
      <w:r w:rsidRPr="001A67F1">
        <w:rPr>
          <w:rFonts w:ascii="Tahoma" w:hAnsi="Tahoma" w:cs="Tahoma"/>
          <w:i/>
          <w:sz w:val="24"/>
          <w:szCs w:val="24"/>
        </w:rPr>
        <w:t xml:space="preserve"> Court is humbly referred to the record for reference.”</w:t>
      </w:r>
    </w:p>
    <w:p w:rsidR="001A67F1" w:rsidRDefault="001A67F1" w:rsidP="001A67F1">
      <w:pPr>
        <w:spacing w:after="0" w:line="360" w:lineRule="auto"/>
        <w:jc w:val="both"/>
        <w:rPr>
          <w:rFonts w:ascii="Tahoma" w:hAnsi="Tahoma" w:cs="Tahoma"/>
          <w:sz w:val="24"/>
          <w:szCs w:val="24"/>
        </w:rPr>
      </w:pPr>
    </w:p>
    <w:p w:rsidR="001A67F1" w:rsidRDefault="001A67F1" w:rsidP="001A67F1">
      <w:pPr>
        <w:spacing w:after="0" w:line="360" w:lineRule="auto"/>
        <w:jc w:val="both"/>
        <w:rPr>
          <w:rFonts w:ascii="Tahoma" w:hAnsi="Tahoma" w:cs="Tahoma"/>
          <w:sz w:val="24"/>
          <w:szCs w:val="24"/>
        </w:rPr>
      </w:pPr>
      <w:r>
        <w:rPr>
          <w:rFonts w:ascii="Tahoma" w:hAnsi="Tahoma" w:cs="Tahoma"/>
          <w:sz w:val="24"/>
          <w:szCs w:val="24"/>
        </w:rPr>
        <w:tab/>
        <w:t>It is my opinion that one must show the court that he has good prospects of success on the merits by making reference to the record</w:t>
      </w:r>
      <w:r w:rsidR="0086587D">
        <w:rPr>
          <w:rFonts w:ascii="Tahoma" w:hAnsi="Tahoma" w:cs="Tahoma"/>
          <w:sz w:val="24"/>
          <w:szCs w:val="24"/>
        </w:rPr>
        <w:t>. It is not for the court to gleam through an entire record with no specific areas pointed out to enable it to find applicant’s</w:t>
      </w:r>
      <w:r w:rsidR="00142C44">
        <w:rPr>
          <w:rFonts w:ascii="Tahoma" w:hAnsi="Tahoma" w:cs="Tahoma"/>
          <w:sz w:val="24"/>
          <w:szCs w:val="24"/>
        </w:rPr>
        <w:t xml:space="preserve"> prospects of success. In any event, it is not clear which record the court is being referred to. The applicant in his founding papers dismally fails to make a case as regard his prospects of success.</w:t>
      </w:r>
    </w:p>
    <w:p w:rsidR="00142C44" w:rsidRDefault="00142C44" w:rsidP="001A67F1">
      <w:pPr>
        <w:spacing w:after="0" w:line="360" w:lineRule="auto"/>
        <w:jc w:val="both"/>
        <w:rPr>
          <w:rFonts w:ascii="Tahoma" w:hAnsi="Tahoma" w:cs="Tahoma"/>
          <w:sz w:val="24"/>
          <w:szCs w:val="24"/>
        </w:rPr>
      </w:pPr>
    </w:p>
    <w:p w:rsidR="00142C44" w:rsidRDefault="00142C44" w:rsidP="001A67F1">
      <w:pPr>
        <w:spacing w:after="0" w:line="360" w:lineRule="auto"/>
        <w:jc w:val="both"/>
        <w:rPr>
          <w:rFonts w:ascii="Tahoma" w:hAnsi="Tahoma" w:cs="Tahoma"/>
          <w:sz w:val="24"/>
          <w:szCs w:val="24"/>
        </w:rPr>
      </w:pPr>
      <w:r>
        <w:rPr>
          <w:rFonts w:ascii="Tahoma" w:hAnsi="Tahoma" w:cs="Tahoma"/>
          <w:sz w:val="24"/>
          <w:szCs w:val="24"/>
        </w:rPr>
        <w:tab/>
        <w:t>The applicant’s heads of argument address the requirement of prospects of success but these were not in the application and the founding affidavit.</w:t>
      </w:r>
    </w:p>
    <w:p w:rsidR="00C44460" w:rsidRDefault="00C44460" w:rsidP="001A67F1">
      <w:pPr>
        <w:spacing w:after="0" w:line="360" w:lineRule="auto"/>
        <w:jc w:val="both"/>
        <w:rPr>
          <w:rFonts w:ascii="Tahoma" w:hAnsi="Tahoma" w:cs="Tahoma"/>
          <w:sz w:val="24"/>
          <w:szCs w:val="24"/>
        </w:rPr>
      </w:pPr>
    </w:p>
    <w:p w:rsidR="00C44460" w:rsidRDefault="00C44460" w:rsidP="001A67F1">
      <w:pPr>
        <w:spacing w:after="0" w:line="360" w:lineRule="auto"/>
        <w:jc w:val="both"/>
        <w:rPr>
          <w:rFonts w:ascii="Tahoma" w:hAnsi="Tahoma" w:cs="Tahoma"/>
          <w:sz w:val="24"/>
          <w:szCs w:val="24"/>
        </w:rPr>
      </w:pPr>
    </w:p>
    <w:p w:rsidR="00112966" w:rsidRDefault="00112966" w:rsidP="001A67F1">
      <w:pPr>
        <w:spacing w:after="0" w:line="360" w:lineRule="auto"/>
        <w:jc w:val="both"/>
        <w:rPr>
          <w:rFonts w:ascii="Tahoma" w:hAnsi="Tahoma" w:cs="Tahoma"/>
          <w:sz w:val="24"/>
          <w:szCs w:val="24"/>
        </w:rPr>
      </w:pPr>
    </w:p>
    <w:p w:rsidR="00112966" w:rsidRDefault="00112966" w:rsidP="001A67F1">
      <w:pPr>
        <w:spacing w:after="0" w:line="360" w:lineRule="auto"/>
        <w:jc w:val="both"/>
        <w:rPr>
          <w:rFonts w:ascii="Tahoma" w:hAnsi="Tahoma" w:cs="Tahoma"/>
          <w:sz w:val="24"/>
          <w:szCs w:val="24"/>
        </w:rPr>
      </w:pPr>
      <w:r>
        <w:rPr>
          <w:rFonts w:ascii="Tahoma" w:hAnsi="Tahoma" w:cs="Tahoma"/>
          <w:sz w:val="24"/>
          <w:szCs w:val="24"/>
        </w:rPr>
        <w:lastRenderedPageBreak/>
        <w:tab/>
        <w:t>I am of the opinion that the prospects of success that ought to have been addressed are in relation to the application for condonation for late noting of appeal. In the event that the applicant succeeds</w:t>
      </w:r>
      <w:r w:rsidR="009B1AFB">
        <w:rPr>
          <w:rFonts w:ascii="Tahoma" w:hAnsi="Tahoma" w:cs="Tahoma"/>
          <w:sz w:val="24"/>
          <w:szCs w:val="24"/>
        </w:rPr>
        <w:t xml:space="preserve"> to have this default order rescinded, and he gets to argue the application for condonation for late noting of appeal, It is then that the prospects of success of the intended appeal can address the merits of whether or not the applicant has good prospects of setting aside the decision that is being sought to be appealed against. At this stage, the prospects of success must relate to the application for condonation for late noting of appeal and these have not been addressed.</w:t>
      </w:r>
    </w:p>
    <w:p w:rsidR="005320E5" w:rsidRDefault="005320E5" w:rsidP="001A67F1">
      <w:pPr>
        <w:spacing w:after="0" w:line="360" w:lineRule="auto"/>
        <w:jc w:val="both"/>
        <w:rPr>
          <w:rFonts w:ascii="Tahoma" w:hAnsi="Tahoma" w:cs="Tahoma"/>
          <w:sz w:val="24"/>
          <w:szCs w:val="24"/>
        </w:rPr>
      </w:pPr>
    </w:p>
    <w:p w:rsidR="005320E5" w:rsidRPr="005320E5" w:rsidRDefault="005320E5" w:rsidP="001A67F1">
      <w:pPr>
        <w:spacing w:after="0" w:line="360" w:lineRule="auto"/>
        <w:jc w:val="both"/>
        <w:rPr>
          <w:rFonts w:ascii="Tahoma" w:hAnsi="Tahoma" w:cs="Tahoma"/>
          <w:b/>
          <w:sz w:val="24"/>
          <w:szCs w:val="24"/>
        </w:rPr>
      </w:pPr>
      <w:r>
        <w:rPr>
          <w:rFonts w:ascii="Tahoma" w:hAnsi="Tahoma" w:cs="Tahoma"/>
          <w:sz w:val="24"/>
          <w:szCs w:val="24"/>
        </w:rPr>
        <w:tab/>
        <w:t>In the result, the applicant has failed to show good and sufficient cause for the rescission of the default order entered against him on the 30</w:t>
      </w:r>
      <w:r w:rsidRPr="005320E5">
        <w:rPr>
          <w:rFonts w:ascii="Tahoma" w:hAnsi="Tahoma" w:cs="Tahoma"/>
          <w:sz w:val="24"/>
          <w:szCs w:val="24"/>
          <w:vertAlign w:val="superscript"/>
        </w:rPr>
        <w:t>th</w:t>
      </w:r>
      <w:r>
        <w:rPr>
          <w:rFonts w:ascii="Tahoma" w:hAnsi="Tahoma" w:cs="Tahoma"/>
          <w:sz w:val="24"/>
          <w:szCs w:val="24"/>
        </w:rPr>
        <w:t xml:space="preserve"> May 2018 </w:t>
      </w:r>
      <w:r w:rsidRPr="005320E5">
        <w:rPr>
          <w:rFonts w:ascii="Tahoma" w:hAnsi="Tahoma" w:cs="Tahoma"/>
          <w:b/>
          <w:sz w:val="24"/>
          <w:szCs w:val="24"/>
        </w:rPr>
        <w:t>LC/H/AP/907/17.</w:t>
      </w:r>
    </w:p>
    <w:p w:rsidR="005320E5" w:rsidRDefault="005320E5" w:rsidP="001A67F1">
      <w:pPr>
        <w:spacing w:after="0" w:line="360" w:lineRule="auto"/>
        <w:jc w:val="both"/>
        <w:rPr>
          <w:rFonts w:ascii="Tahoma" w:hAnsi="Tahoma" w:cs="Tahoma"/>
          <w:sz w:val="24"/>
          <w:szCs w:val="24"/>
        </w:rPr>
      </w:pPr>
    </w:p>
    <w:p w:rsidR="005320E5" w:rsidRDefault="005320E5" w:rsidP="001A67F1">
      <w:pPr>
        <w:spacing w:after="0" w:line="360" w:lineRule="auto"/>
        <w:jc w:val="both"/>
        <w:rPr>
          <w:rFonts w:ascii="Tahoma" w:hAnsi="Tahoma" w:cs="Tahoma"/>
          <w:sz w:val="24"/>
          <w:szCs w:val="24"/>
        </w:rPr>
      </w:pPr>
    </w:p>
    <w:p w:rsidR="00896778" w:rsidRDefault="00896778" w:rsidP="001A67F1">
      <w:pPr>
        <w:spacing w:after="0" w:line="360" w:lineRule="auto"/>
        <w:jc w:val="both"/>
        <w:rPr>
          <w:rFonts w:ascii="Tahoma" w:hAnsi="Tahoma" w:cs="Tahoma"/>
          <w:sz w:val="24"/>
          <w:szCs w:val="24"/>
        </w:rPr>
      </w:pPr>
    </w:p>
    <w:p w:rsidR="005320E5" w:rsidRPr="005320E5" w:rsidRDefault="005320E5" w:rsidP="001A67F1">
      <w:pPr>
        <w:spacing w:after="0" w:line="360" w:lineRule="auto"/>
        <w:jc w:val="both"/>
        <w:rPr>
          <w:rFonts w:ascii="Tahoma" w:hAnsi="Tahoma" w:cs="Tahoma"/>
          <w:b/>
          <w:sz w:val="32"/>
          <w:szCs w:val="32"/>
        </w:rPr>
      </w:pPr>
      <w:r w:rsidRPr="005320E5">
        <w:rPr>
          <w:rFonts w:ascii="Tahoma" w:hAnsi="Tahoma" w:cs="Tahoma"/>
          <w:b/>
          <w:sz w:val="32"/>
          <w:szCs w:val="32"/>
        </w:rPr>
        <w:t xml:space="preserve">Order </w:t>
      </w:r>
    </w:p>
    <w:p w:rsidR="005320E5" w:rsidRDefault="005320E5" w:rsidP="001A67F1">
      <w:pPr>
        <w:spacing w:after="0" w:line="360" w:lineRule="auto"/>
        <w:jc w:val="both"/>
        <w:rPr>
          <w:rFonts w:ascii="Tahoma" w:hAnsi="Tahoma" w:cs="Tahoma"/>
          <w:sz w:val="24"/>
          <w:szCs w:val="24"/>
        </w:rPr>
      </w:pPr>
    </w:p>
    <w:p w:rsidR="005320E5" w:rsidRDefault="005320E5" w:rsidP="001A67F1">
      <w:pPr>
        <w:spacing w:after="0" w:line="360" w:lineRule="auto"/>
        <w:jc w:val="both"/>
        <w:rPr>
          <w:rFonts w:ascii="Tahoma" w:hAnsi="Tahoma" w:cs="Tahoma"/>
          <w:sz w:val="24"/>
          <w:szCs w:val="24"/>
        </w:rPr>
      </w:pPr>
      <w:r>
        <w:rPr>
          <w:rFonts w:ascii="Tahoma" w:hAnsi="Tahoma" w:cs="Tahoma"/>
          <w:sz w:val="24"/>
          <w:szCs w:val="24"/>
        </w:rPr>
        <w:t xml:space="preserve">The application for rescission of </w:t>
      </w:r>
      <w:r w:rsidR="00BB18CF">
        <w:rPr>
          <w:rFonts w:ascii="Tahoma" w:hAnsi="Tahoma" w:cs="Tahoma"/>
          <w:sz w:val="24"/>
          <w:szCs w:val="24"/>
        </w:rPr>
        <w:t>a</w:t>
      </w:r>
      <w:r>
        <w:rPr>
          <w:rFonts w:ascii="Tahoma" w:hAnsi="Tahoma" w:cs="Tahoma"/>
          <w:sz w:val="24"/>
          <w:szCs w:val="24"/>
        </w:rPr>
        <w:t xml:space="preserve"> default order granted on 30 May 2018 in case number </w:t>
      </w:r>
      <w:r w:rsidRPr="005320E5">
        <w:rPr>
          <w:rFonts w:ascii="Tahoma" w:hAnsi="Tahoma" w:cs="Tahoma"/>
          <w:b/>
          <w:sz w:val="24"/>
          <w:szCs w:val="24"/>
        </w:rPr>
        <w:t>LC/H/APP/907/17</w:t>
      </w:r>
      <w:r>
        <w:rPr>
          <w:rFonts w:ascii="Tahoma" w:hAnsi="Tahoma" w:cs="Tahoma"/>
          <w:sz w:val="24"/>
          <w:szCs w:val="24"/>
        </w:rPr>
        <w:t xml:space="preserve"> be and is hereby dismissed with costs.</w:t>
      </w:r>
    </w:p>
    <w:p w:rsidR="0033750A" w:rsidRDefault="0033750A" w:rsidP="001A67F1">
      <w:pPr>
        <w:spacing w:after="0" w:line="360" w:lineRule="auto"/>
        <w:jc w:val="both"/>
        <w:rPr>
          <w:rFonts w:ascii="Tahoma" w:hAnsi="Tahoma" w:cs="Tahoma"/>
          <w:sz w:val="24"/>
          <w:szCs w:val="24"/>
        </w:rPr>
      </w:pPr>
    </w:p>
    <w:p w:rsidR="0033750A" w:rsidRDefault="0033750A" w:rsidP="001A67F1">
      <w:pPr>
        <w:spacing w:after="0" w:line="360" w:lineRule="auto"/>
        <w:jc w:val="both"/>
        <w:rPr>
          <w:rFonts w:ascii="Tahoma" w:hAnsi="Tahoma" w:cs="Tahoma"/>
          <w:sz w:val="24"/>
          <w:szCs w:val="24"/>
        </w:rPr>
      </w:pPr>
    </w:p>
    <w:p w:rsidR="0033750A" w:rsidRDefault="0033750A" w:rsidP="001A67F1">
      <w:pPr>
        <w:spacing w:after="0" w:line="360" w:lineRule="auto"/>
        <w:jc w:val="both"/>
        <w:rPr>
          <w:rFonts w:ascii="Tahoma" w:hAnsi="Tahoma" w:cs="Tahoma"/>
          <w:sz w:val="24"/>
          <w:szCs w:val="24"/>
        </w:rPr>
      </w:pPr>
    </w:p>
    <w:p w:rsidR="0033750A" w:rsidRDefault="0033750A" w:rsidP="001A67F1">
      <w:pPr>
        <w:spacing w:after="0" w:line="360" w:lineRule="auto"/>
        <w:jc w:val="both"/>
        <w:rPr>
          <w:rFonts w:ascii="Tahoma" w:hAnsi="Tahoma" w:cs="Tahoma"/>
          <w:sz w:val="24"/>
          <w:szCs w:val="24"/>
        </w:rPr>
      </w:pPr>
    </w:p>
    <w:p w:rsidR="0033750A" w:rsidRPr="0033750A" w:rsidRDefault="0033750A" w:rsidP="001A67F1">
      <w:pPr>
        <w:spacing w:after="0" w:line="360" w:lineRule="auto"/>
        <w:jc w:val="both"/>
        <w:rPr>
          <w:rFonts w:ascii="Tahoma" w:hAnsi="Tahoma" w:cs="Tahoma"/>
          <w:b/>
          <w:i/>
          <w:sz w:val="24"/>
          <w:szCs w:val="24"/>
        </w:rPr>
      </w:pPr>
      <w:r w:rsidRPr="0033750A">
        <w:rPr>
          <w:rFonts w:ascii="Tahoma" w:hAnsi="Tahoma" w:cs="Tahoma"/>
          <w:b/>
          <w:i/>
          <w:sz w:val="24"/>
          <w:szCs w:val="24"/>
        </w:rPr>
        <w:t xml:space="preserve">Allen </w:t>
      </w:r>
      <w:proofErr w:type="spellStart"/>
      <w:r w:rsidRPr="0033750A">
        <w:rPr>
          <w:rFonts w:ascii="Tahoma" w:hAnsi="Tahoma" w:cs="Tahoma"/>
          <w:b/>
          <w:i/>
          <w:sz w:val="24"/>
          <w:szCs w:val="24"/>
        </w:rPr>
        <w:t>Moyo</w:t>
      </w:r>
      <w:proofErr w:type="spellEnd"/>
      <w:r w:rsidRPr="0033750A">
        <w:rPr>
          <w:rFonts w:ascii="Tahoma" w:hAnsi="Tahoma" w:cs="Tahoma"/>
          <w:b/>
          <w:i/>
          <w:sz w:val="24"/>
          <w:szCs w:val="24"/>
        </w:rPr>
        <w:t xml:space="preserve"> Attorneys At Law</w:t>
      </w:r>
      <w:r w:rsidRPr="0033750A">
        <w:rPr>
          <w:rFonts w:ascii="Tahoma" w:hAnsi="Tahoma" w:cs="Tahoma"/>
          <w:b/>
          <w:i/>
          <w:sz w:val="24"/>
          <w:szCs w:val="24"/>
        </w:rPr>
        <w:tab/>
        <w:t>-</w:t>
      </w:r>
      <w:r w:rsidRPr="0033750A">
        <w:rPr>
          <w:rFonts w:ascii="Tahoma" w:hAnsi="Tahoma" w:cs="Tahoma"/>
          <w:b/>
          <w:i/>
          <w:sz w:val="24"/>
          <w:szCs w:val="24"/>
        </w:rPr>
        <w:tab/>
        <w:t>Applicant’s Legal Practitioners</w:t>
      </w:r>
    </w:p>
    <w:p w:rsidR="0033750A" w:rsidRPr="0033750A" w:rsidRDefault="0033750A" w:rsidP="001A67F1">
      <w:pPr>
        <w:spacing w:after="0" w:line="360" w:lineRule="auto"/>
        <w:jc w:val="both"/>
        <w:rPr>
          <w:rFonts w:ascii="Tahoma" w:hAnsi="Tahoma" w:cs="Tahoma"/>
          <w:b/>
          <w:i/>
          <w:sz w:val="24"/>
          <w:szCs w:val="24"/>
        </w:rPr>
      </w:pPr>
    </w:p>
    <w:p w:rsidR="0033750A" w:rsidRPr="0033750A" w:rsidRDefault="0033750A" w:rsidP="001A67F1">
      <w:pPr>
        <w:spacing w:after="0" w:line="360" w:lineRule="auto"/>
        <w:jc w:val="both"/>
        <w:rPr>
          <w:rFonts w:ascii="Tahoma" w:hAnsi="Tahoma" w:cs="Tahoma"/>
          <w:b/>
          <w:i/>
          <w:sz w:val="24"/>
          <w:szCs w:val="24"/>
        </w:rPr>
      </w:pPr>
      <w:bookmarkStart w:id="0" w:name="_GoBack"/>
      <w:bookmarkEnd w:id="0"/>
      <w:proofErr w:type="spellStart"/>
      <w:r w:rsidRPr="0033750A">
        <w:rPr>
          <w:rFonts w:ascii="Tahoma" w:hAnsi="Tahoma" w:cs="Tahoma"/>
          <w:b/>
          <w:i/>
          <w:sz w:val="24"/>
          <w:szCs w:val="24"/>
        </w:rPr>
        <w:t>Dube</w:t>
      </w:r>
      <w:proofErr w:type="spellEnd"/>
      <w:r w:rsidRPr="0033750A">
        <w:rPr>
          <w:rFonts w:ascii="Tahoma" w:hAnsi="Tahoma" w:cs="Tahoma"/>
          <w:b/>
          <w:i/>
          <w:sz w:val="24"/>
          <w:szCs w:val="24"/>
        </w:rPr>
        <w:t xml:space="preserve">, </w:t>
      </w:r>
      <w:proofErr w:type="spellStart"/>
      <w:r w:rsidRPr="0033750A">
        <w:rPr>
          <w:rFonts w:ascii="Tahoma" w:hAnsi="Tahoma" w:cs="Tahoma"/>
          <w:b/>
          <w:i/>
          <w:sz w:val="24"/>
          <w:szCs w:val="24"/>
        </w:rPr>
        <w:t>Manikai</w:t>
      </w:r>
      <w:proofErr w:type="spellEnd"/>
      <w:r w:rsidRPr="0033750A">
        <w:rPr>
          <w:rFonts w:ascii="Tahoma" w:hAnsi="Tahoma" w:cs="Tahoma"/>
          <w:b/>
          <w:i/>
          <w:sz w:val="24"/>
          <w:szCs w:val="24"/>
        </w:rPr>
        <w:t xml:space="preserve"> &amp; </w:t>
      </w:r>
      <w:proofErr w:type="spellStart"/>
      <w:r w:rsidRPr="0033750A">
        <w:rPr>
          <w:rFonts w:ascii="Tahoma" w:hAnsi="Tahoma" w:cs="Tahoma"/>
          <w:b/>
          <w:i/>
          <w:sz w:val="24"/>
          <w:szCs w:val="24"/>
        </w:rPr>
        <w:t>Hwacha</w:t>
      </w:r>
      <w:proofErr w:type="spellEnd"/>
      <w:r w:rsidRPr="0033750A">
        <w:rPr>
          <w:rFonts w:ascii="Tahoma" w:hAnsi="Tahoma" w:cs="Tahoma"/>
          <w:b/>
          <w:i/>
          <w:sz w:val="24"/>
          <w:szCs w:val="24"/>
        </w:rPr>
        <w:tab/>
        <w:t>-</w:t>
      </w:r>
      <w:r w:rsidRPr="0033750A">
        <w:rPr>
          <w:rFonts w:ascii="Tahoma" w:hAnsi="Tahoma" w:cs="Tahoma"/>
          <w:b/>
          <w:i/>
          <w:sz w:val="24"/>
          <w:szCs w:val="24"/>
        </w:rPr>
        <w:tab/>
        <w:t>Respondent’s Legal Practitioners</w:t>
      </w:r>
    </w:p>
    <w:sectPr w:rsidR="0033750A" w:rsidRPr="0033750A"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BBE" w:rsidRDefault="00343BBE" w:rsidP="002E1B63">
      <w:pPr>
        <w:spacing w:after="0" w:line="240" w:lineRule="auto"/>
      </w:pPr>
      <w:r>
        <w:separator/>
      </w:r>
    </w:p>
  </w:endnote>
  <w:endnote w:type="continuationSeparator" w:id="0">
    <w:p w:rsidR="00343BBE" w:rsidRDefault="00343BBE"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BBE" w:rsidRDefault="00343BBE" w:rsidP="002E1B63">
      <w:pPr>
        <w:spacing w:after="0" w:line="240" w:lineRule="auto"/>
      </w:pPr>
      <w:r>
        <w:separator/>
      </w:r>
    </w:p>
  </w:footnote>
  <w:footnote w:type="continuationSeparator" w:id="0">
    <w:p w:rsidR="00343BBE" w:rsidRDefault="00343BBE"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112966" w:rsidRDefault="00112966">
        <w:pPr>
          <w:pStyle w:val="Header"/>
          <w:jc w:val="right"/>
        </w:pPr>
      </w:p>
      <w:p w:rsidR="00112966" w:rsidRDefault="00112966">
        <w:pPr>
          <w:pStyle w:val="Header"/>
          <w:jc w:val="right"/>
          <w:rPr>
            <w:noProof/>
          </w:rPr>
        </w:pPr>
        <w:r>
          <w:fldChar w:fldCharType="begin"/>
        </w:r>
        <w:r>
          <w:instrText xml:space="preserve"> PAGE   \* MERGEFORMAT </w:instrText>
        </w:r>
        <w:r>
          <w:fldChar w:fldCharType="separate"/>
        </w:r>
        <w:r w:rsidR="009A6B24">
          <w:rPr>
            <w:noProof/>
          </w:rPr>
          <w:t>7</w:t>
        </w:r>
        <w:r>
          <w:rPr>
            <w:noProof/>
          </w:rPr>
          <w:fldChar w:fldCharType="end"/>
        </w:r>
      </w:p>
      <w:p w:rsidR="00112966" w:rsidRDefault="00112966">
        <w:pPr>
          <w:pStyle w:val="Header"/>
          <w:jc w:val="right"/>
          <w:rPr>
            <w:noProof/>
          </w:rPr>
        </w:pPr>
        <w:r>
          <w:rPr>
            <w:noProof/>
          </w:rPr>
          <w:t>JUDGMENT NO. LC/H/</w:t>
        </w:r>
        <w:r w:rsidR="00C6536D">
          <w:rPr>
            <w:noProof/>
          </w:rPr>
          <w:t>62</w:t>
        </w:r>
        <w:r>
          <w:rPr>
            <w:noProof/>
          </w:rPr>
          <w:t>/2020</w:t>
        </w:r>
      </w:p>
      <w:p w:rsidR="00112966" w:rsidRDefault="00112966" w:rsidP="00833E26">
        <w:pPr>
          <w:pStyle w:val="Header"/>
          <w:jc w:val="center"/>
        </w:pPr>
        <w:r>
          <w:rPr>
            <w:noProof/>
          </w:rPr>
          <w:tab/>
        </w:r>
        <w:r>
          <w:rPr>
            <w:noProof/>
          </w:rPr>
          <w:tab/>
          <w:t>CASE NO. LC/H/APP/420/18</w:t>
        </w:r>
      </w:p>
    </w:sdtContent>
  </w:sdt>
  <w:p w:rsidR="00112966" w:rsidRDefault="00112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98661AF"/>
    <w:multiLevelType w:val="hybridMultilevel"/>
    <w:tmpl w:val="EFA64670"/>
    <w:lvl w:ilvl="0" w:tplc="8FBC85EA">
      <w:start w:val="3"/>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1826"/>
    <w:rsid w:val="00016EE7"/>
    <w:rsid w:val="00020499"/>
    <w:rsid w:val="00020D7A"/>
    <w:rsid w:val="00025EDA"/>
    <w:rsid w:val="00046609"/>
    <w:rsid w:val="0005261C"/>
    <w:rsid w:val="0006239A"/>
    <w:rsid w:val="00067E67"/>
    <w:rsid w:val="00080978"/>
    <w:rsid w:val="00086895"/>
    <w:rsid w:val="000901E3"/>
    <w:rsid w:val="0009283E"/>
    <w:rsid w:val="00094DA1"/>
    <w:rsid w:val="000A1D3A"/>
    <w:rsid w:val="000A3168"/>
    <w:rsid w:val="000A6910"/>
    <w:rsid w:val="000B00F4"/>
    <w:rsid w:val="000B43EE"/>
    <w:rsid w:val="000C1280"/>
    <w:rsid w:val="000C27E1"/>
    <w:rsid w:val="000C4504"/>
    <w:rsid w:val="000D424B"/>
    <w:rsid w:val="000D77F1"/>
    <w:rsid w:val="000E3EAB"/>
    <w:rsid w:val="000E69DF"/>
    <w:rsid w:val="000F163D"/>
    <w:rsid w:val="00107657"/>
    <w:rsid w:val="00110B2F"/>
    <w:rsid w:val="00112966"/>
    <w:rsid w:val="0011404F"/>
    <w:rsid w:val="0012177F"/>
    <w:rsid w:val="001374B6"/>
    <w:rsid w:val="00142C44"/>
    <w:rsid w:val="001442E7"/>
    <w:rsid w:val="00144612"/>
    <w:rsid w:val="00145A15"/>
    <w:rsid w:val="001478A0"/>
    <w:rsid w:val="00151D73"/>
    <w:rsid w:val="00152041"/>
    <w:rsid w:val="00161586"/>
    <w:rsid w:val="001674BF"/>
    <w:rsid w:val="0017425B"/>
    <w:rsid w:val="0017463F"/>
    <w:rsid w:val="00190F8A"/>
    <w:rsid w:val="001958D6"/>
    <w:rsid w:val="001A67F1"/>
    <w:rsid w:val="001B1DF6"/>
    <w:rsid w:val="001B7A70"/>
    <w:rsid w:val="001B7CD3"/>
    <w:rsid w:val="001C6ABE"/>
    <w:rsid w:val="001D24A7"/>
    <w:rsid w:val="001F0940"/>
    <w:rsid w:val="001F6960"/>
    <w:rsid w:val="002009EF"/>
    <w:rsid w:val="00203A26"/>
    <w:rsid w:val="00205812"/>
    <w:rsid w:val="0021679E"/>
    <w:rsid w:val="00216B43"/>
    <w:rsid w:val="00217328"/>
    <w:rsid w:val="00221EA5"/>
    <w:rsid w:val="00225FEC"/>
    <w:rsid w:val="002262E8"/>
    <w:rsid w:val="002324D0"/>
    <w:rsid w:val="00232C1C"/>
    <w:rsid w:val="00234172"/>
    <w:rsid w:val="0023440A"/>
    <w:rsid w:val="00241E38"/>
    <w:rsid w:val="0024238F"/>
    <w:rsid w:val="002477BE"/>
    <w:rsid w:val="002505D9"/>
    <w:rsid w:val="002523E4"/>
    <w:rsid w:val="0026230C"/>
    <w:rsid w:val="00271300"/>
    <w:rsid w:val="00283CAE"/>
    <w:rsid w:val="00283F6F"/>
    <w:rsid w:val="002B1E42"/>
    <w:rsid w:val="002D49DB"/>
    <w:rsid w:val="002D516A"/>
    <w:rsid w:val="002E1B63"/>
    <w:rsid w:val="002E3B7B"/>
    <w:rsid w:val="00321E25"/>
    <w:rsid w:val="00331C57"/>
    <w:rsid w:val="003336F1"/>
    <w:rsid w:val="0033750A"/>
    <w:rsid w:val="00341ED5"/>
    <w:rsid w:val="00343BBE"/>
    <w:rsid w:val="00356915"/>
    <w:rsid w:val="0037089B"/>
    <w:rsid w:val="00370B20"/>
    <w:rsid w:val="00372B3E"/>
    <w:rsid w:val="003752DA"/>
    <w:rsid w:val="00384859"/>
    <w:rsid w:val="00396D58"/>
    <w:rsid w:val="0039713D"/>
    <w:rsid w:val="003A284B"/>
    <w:rsid w:val="003A5BCD"/>
    <w:rsid w:val="003A718D"/>
    <w:rsid w:val="003B6072"/>
    <w:rsid w:val="003D00D4"/>
    <w:rsid w:val="003E172D"/>
    <w:rsid w:val="003E1CAC"/>
    <w:rsid w:val="003F153D"/>
    <w:rsid w:val="00400976"/>
    <w:rsid w:val="0040494B"/>
    <w:rsid w:val="00406BB1"/>
    <w:rsid w:val="00416D53"/>
    <w:rsid w:val="0045490B"/>
    <w:rsid w:val="00471500"/>
    <w:rsid w:val="004721BA"/>
    <w:rsid w:val="0047590A"/>
    <w:rsid w:val="00475FDE"/>
    <w:rsid w:val="00477D79"/>
    <w:rsid w:val="00477F15"/>
    <w:rsid w:val="00487C8A"/>
    <w:rsid w:val="0049288B"/>
    <w:rsid w:val="00492E11"/>
    <w:rsid w:val="004A4BEA"/>
    <w:rsid w:val="004B275D"/>
    <w:rsid w:val="004B3DF7"/>
    <w:rsid w:val="004B5D82"/>
    <w:rsid w:val="004B7C0F"/>
    <w:rsid w:val="004C54CE"/>
    <w:rsid w:val="004C6B8B"/>
    <w:rsid w:val="004D18DE"/>
    <w:rsid w:val="004E5BCA"/>
    <w:rsid w:val="004F2711"/>
    <w:rsid w:val="004F7023"/>
    <w:rsid w:val="004F7093"/>
    <w:rsid w:val="0050111D"/>
    <w:rsid w:val="00511750"/>
    <w:rsid w:val="005136B6"/>
    <w:rsid w:val="005152A7"/>
    <w:rsid w:val="00523DF5"/>
    <w:rsid w:val="00525AD7"/>
    <w:rsid w:val="005320E5"/>
    <w:rsid w:val="00535F13"/>
    <w:rsid w:val="005407F8"/>
    <w:rsid w:val="00541D30"/>
    <w:rsid w:val="0055392F"/>
    <w:rsid w:val="005838DE"/>
    <w:rsid w:val="00586AD5"/>
    <w:rsid w:val="0059003E"/>
    <w:rsid w:val="0059220D"/>
    <w:rsid w:val="005973ED"/>
    <w:rsid w:val="005A4A4F"/>
    <w:rsid w:val="005B0651"/>
    <w:rsid w:val="005B0B21"/>
    <w:rsid w:val="005B5C62"/>
    <w:rsid w:val="005C0F96"/>
    <w:rsid w:val="005C3D75"/>
    <w:rsid w:val="005D0191"/>
    <w:rsid w:val="005D68F2"/>
    <w:rsid w:val="005E17F7"/>
    <w:rsid w:val="005E2A42"/>
    <w:rsid w:val="005E4400"/>
    <w:rsid w:val="005E7CCC"/>
    <w:rsid w:val="005E7D66"/>
    <w:rsid w:val="005F1F7B"/>
    <w:rsid w:val="006005B2"/>
    <w:rsid w:val="00602F52"/>
    <w:rsid w:val="00604405"/>
    <w:rsid w:val="006045BE"/>
    <w:rsid w:val="00621797"/>
    <w:rsid w:val="00632235"/>
    <w:rsid w:val="00643D91"/>
    <w:rsid w:val="00643EFB"/>
    <w:rsid w:val="00654EFC"/>
    <w:rsid w:val="006612E6"/>
    <w:rsid w:val="0066176B"/>
    <w:rsid w:val="006639EC"/>
    <w:rsid w:val="00680C2E"/>
    <w:rsid w:val="0068514E"/>
    <w:rsid w:val="00687C36"/>
    <w:rsid w:val="006934AB"/>
    <w:rsid w:val="0069415D"/>
    <w:rsid w:val="006A0459"/>
    <w:rsid w:val="006A1DDE"/>
    <w:rsid w:val="006A7F23"/>
    <w:rsid w:val="006B0CCB"/>
    <w:rsid w:val="006B3B44"/>
    <w:rsid w:val="006D4893"/>
    <w:rsid w:val="006F49E1"/>
    <w:rsid w:val="00704680"/>
    <w:rsid w:val="00714452"/>
    <w:rsid w:val="00717AED"/>
    <w:rsid w:val="0072035B"/>
    <w:rsid w:val="0072329B"/>
    <w:rsid w:val="00725829"/>
    <w:rsid w:val="007324AA"/>
    <w:rsid w:val="0075127E"/>
    <w:rsid w:val="007820F7"/>
    <w:rsid w:val="00784EA8"/>
    <w:rsid w:val="00785DEE"/>
    <w:rsid w:val="00793501"/>
    <w:rsid w:val="007A68F1"/>
    <w:rsid w:val="007C4853"/>
    <w:rsid w:val="007C5098"/>
    <w:rsid w:val="007C68AA"/>
    <w:rsid w:val="007C6DC9"/>
    <w:rsid w:val="007D3256"/>
    <w:rsid w:val="007D6DBF"/>
    <w:rsid w:val="007E22C3"/>
    <w:rsid w:val="007E7122"/>
    <w:rsid w:val="007F0867"/>
    <w:rsid w:val="007F4649"/>
    <w:rsid w:val="007F6B20"/>
    <w:rsid w:val="00803186"/>
    <w:rsid w:val="00807F09"/>
    <w:rsid w:val="0082579A"/>
    <w:rsid w:val="00833479"/>
    <w:rsid w:val="00833E26"/>
    <w:rsid w:val="00844CA2"/>
    <w:rsid w:val="00847C92"/>
    <w:rsid w:val="008502F8"/>
    <w:rsid w:val="00854C90"/>
    <w:rsid w:val="0085733D"/>
    <w:rsid w:val="00860479"/>
    <w:rsid w:val="008625DC"/>
    <w:rsid w:val="0086587D"/>
    <w:rsid w:val="00867E2D"/>
    <w:rsid w:val="00871D84"/>
    <w:rsid w:val="008731E0"/>
    <w:rsid w:val="00887F43"/>
    <w:rsid w:val="00896778"/>
    <w:rsid w:val="008B617C"/>
    <w:rsid w:val="008B77DD"/>
    <w:rsid w:val="008C3B1C"/>
    <w:rsid w:val="008D0393"/>
    <w:rsid w:val="008D7BFF"/>
    <w:rsid w:val="008E19CC"/>
    <w:rsid w:val="008F14A6"/>
    <w:rsid w:val="008F610F"/>
    <w:rsid w:val="00912658"/>
    <w:rsid w:val="00915C41"/>
    <w:rsid w:val="009217FC"/>
    <w:rsid w:val="00931E5A"/>
    <w:rsid w:val="00942148"/>
    <w:rsid w:val="00963FDC"/>
    <w:rsid w:val="00970F32"/>
    <w:rsid w:val="009754C2"/>
    <w:rsid w:val="00986878"/>
    <w:rsid w:val="00990998"/>
    <w:rsid w:val="009A2149"/>
    <w:rsid w:val="009A6B24"/>
    <w:rsid w:val="009B02D7"/>
    <w:rsid w:val="009B1AFB"/>
    <w:rsid w:val="009C683B"/>
    <w:rsid w:val="009D4878"/>
    <w:rsid w:val="009D487C"/>
    <w:rsid w:val="009D510C"/>
    <w:rsid w:val="009D633C"/>
    <w:rsid w:val="009F33B4"/>
    <w:rsid w:val="00A100C5"/>
    <w:rsid w:val="00A154A8"/>
    <w:rsid w:val="00A228E5"/>
    <w:rsid w:val="00A34027"/>
    <w:rsid w:val="00A34C82"/>
    <w:rsid w:val="00A3553D"/>
    <w:rsid w:val="00A37782"/>
    <w:rsid w:val="00A50BDA"/>
    <w:rsid w:val="00A52AE3"/>
    <w:rsid w:val="00A75A40"/>
    <w:rsid w:val="00A911D7"/>
    <w:rsid w:val="00A94BF2"/>
    <w:rsid w:val="00AA433B"/>
    <w:rsid w:val="00AA4716"/>
    <w:rsid w:val="00AB00D2"/>
    <w:rsid w:val="00AB0516"/>
    <w:rsid w:val="00AB5375"/>
    <w:rsid w:val="00AD070F"/>
    <w:rsid w:val="00AD1A4A"/>
    <w:rsid w:val="00AD1B95"/>
    <w:rsid w:val="00AE234C"/>
    <w:rsid w:val="00AE296D"/>
    <w:rsid w:val="00AF121E"/>
    <w:rsid w:val="00B01197"/>
    <w:rsid w:val="00B2216B"/>
    <w:rsid w:val="00B3533D"/>
    <w:rsid w:val="00B433C6"/>
    <w:rsid w:val="00B514A6"/>
    <w:rsid w:val="00B52FBB"/>
    <w:rsid w:val="00B64850"/>
    <w:rsid w:val="00B700A5"/>
    <w:rsid w:val="00B701C2"/>
    <w:rsid w:val="00B85300"/>
    <w:rsid w:val="00B85BD9"/>
    <w:rsid w:val="00BA1F16"/>
    <w:rsid w:val="00BA38C1"/>
    <w:rsid w:val="00BB18CF"/>
    <w:rsid w:val="00BC12ED"/>
    <w:rsid w:val="00BC6AD9"/>
    <w:rsid w:val="00BD0E8F"/>
    <w:rsid w:val="00BE45FE"/>
    <w:rsid w:val="00BF1D84"/>
    <w:rsid w:val="00BF3273"/>
    <w:rsid w:val="00BF68E7"/>
    <w:rsid w:val="00C16513"/>
    <w:rsid w:val="00C21FD6"/>
    <w:rsid w:val="00C33DA8"/>
    <w:rsid w:val="00C36D65"/>
    <w:rsid w:val="00C410AE"/>
    <w:rsid w:val="00C42CF1"/>
    <w:rsid w:val="00C44460"/>
    <w:rsid w:val="00C6452B"/>
    <w:rsid w:val="00C6536D"/>
    <w:rsid w:val="00C65E4B"/>
    <w:rsid w:val="00C74B5A"/>
    <w:rsid w:val="00C756CC"/>
    <w:rsid w:val="00C75E14"/>
    <w:rsid w:val="00C854E2"/>
    <w:rsid w:val="00C92F12"/>
    <w:rsid w:val="00C952F3"/>
    <w:rsid w:val="00CA0C38"/>
    <w:rsid w:val="00CA16F6"/>
    <w:rsid w:val="00CB1222"/>
    <w:rsid w:val="00CC093B"/>
    <w:rsid w:val="00CC2A24"/>
    <w:rsid w:val="00CF2F5F"/>
    <w:rsid w:val="00D11484"/>
    <w:rsid w:val="00D35095"/>
    <w:rsid w:val="00D453E5"/>
    <w:rsid w:val="00D531D2"/>
    <w:rsid w:val="00D546EA"/>
    <w:rsid w:val="00D567A0"/>
    <w:rsid w:val="00D579E4"/>
    <w:rsid w:val="00D63F0E"/>
    <w:rsid w:val="00D80508"/>
    <w:rsid w:val="00D84D3A"/>
    <w:rsid w:val="00D97025"/>
    <w:rsid w:val="00DA4F16"/>
    <w:rsid w:val="00DB1DDD"/>
    <w:rsid w:val="00DB3E6C"/>
    <w:rsid w:val="00DB50BF"/>
    <w:rsid w:val="00DB5287"/>
    <w:rsid w:val="00DE0976"/>
    <w:rsid w:val="00DE7463"/>
    <w:rsid w:val="00DF3033"/>
    <w:rsid w:val="00DF3B3D"/>
    <w:rsid w:val="00E11904"/>
    <w:rsid w:val="00E15007"/>
    <w:rsid w:val="00E27594"/>
    <w:rsid w:val="00E34FBC"/>
    <w:rsid w:val="00E4367C"/>
    <w:rsid w:val="00E46B82"/>
    <w:rsid w:val="00E47E18"/>
    <w:rsid w:val="00E508A4"/>
    <w:rsid w:val="00E5110B"/>
    <w:rsid w:val="00E5497A"/>
    <w:rsid w:val="00E5503E"/>
    <w:rsid w:val="00E5593A"/>
    <w:rsid w:val="00E70F13"/>
    <w:rsid w:val="00E7756A"/>
    <w:rsid w:val="00E80932"/>
    <w:rsid w:val="00E87F36"/>
    <w:rsid w:val="00EC0A7C"/>
    <w:rsid w:val="00EC7253"/>
    <w:rsid w:val="00EE1971"/>
    <w:rsid w:val="00F07EB4"/>
    <w:rsid w:val="00F112EA"/>
    <w:rsid w:val="00F2114B"/>
    <w:rsid w:val="00F24630"/>
    <w:rsid w:val="00F31CF9"/>
    <w:rsid w:val="00F4268F"/>
    <w:rsid w:val="00F46DF8"/>
    <w:rsid w:val="00F51A57"/>
    <w:rsid w:val="00F53212"/>
    <w:rsid w:val="00F57B71"/>
    <w:rsid w:val="00F62C80"/>
    <w:rsid w:val="00F75CEC"/>
    <w:rsid w:val="00F80FB6"/>
    <w:rsid w:val="00F97F0E"/>
    <w:rsid w:val="00FA489B"/>
    <w:rsid w:val="00FB26B5"/>
    <w:rsid w:val="00FB605D"/>
    <w:rsid w:val="00FC11AC"/>
    <w:rsid w:val="00FD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59</cp:revision>
  <cp:lastPrinted>2020-02-18T08:53:00Z</cp:lastPrinted>
  <dcterms:created xsi:type="dcterms:W3CDTF">2020-02-14T10:33:00Z</dcterms:created>
  <dcterms:modified xsi:type="dcterms:W3CDTF">2020-02-26T09:04:00Z</dcterms:modified>
</cp:coreProperties>
</file>