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D33DB" w:rsidRPr="00DD33DB" w:rsidRDefault="00DD33DB" w:rsidP="00DD33DB">
      <w:pPr>
        <w:rPr>
          <w:rFonts w:ascii="Trebuchet MS" w:hAnsi="Trebuchet MS"/>
          <w:b/>
          <w:sz w:val="24"/>
          <w:szCs w:val="24"/>
        </w:rPr>
      </w:pPr>
      <w:bookmarkStart w:id="0" w:name="_GoBack"/>
      <w:bookmarkEnd w:id="0"/>
      <w:proofErr w:type="gramStart"/>
      <w:r w:rsidRPr="00DD33DB">
        <w:rPr>
          <w:rFonts w:ascii="Trebuchet MS" w:hAnsi="Trebuchet MS"/>
          <w:b/>
          <w:sz w:val="24"/>
          <w:szCs w:val="24"/>
        </w:rPr>
        <w:t>IN THE LABOUR COURT OF ZIMABABWE</w:t>
      </w:r>
      <w:r w:rsidRPr="00DD33DB">
        <w:rPr>
          <w:rFonts w:ascii="Trebuchet MS" w:hAnsi="Trebuchet MS"/>
          <w:b/>
          <w:sz w:val="24"/>
          <w:szCs w:val="24"/>
        </w:rPr>
        <w:tab/>
      </w:r>
      <w:r w:rsidRPr="00DD33DB">
        <w:rPr>
          <w:rFonts w:ascii="Trebuchet MS" w:hAnsi="Trebuchet MS"/>
          <w:b/>
          <w:sz w:val="24"/>
          <w:szCs w:val="24"/>
        </w:rPr>
        <w:tab/>
        <w:t>JUDGMENT NO.</w:t>
      </w:r>
      <w:proofErr w:type="gramEnd"/>
      <w:r w:rsidRPr="00DD33DB">
        <w:rPr>
          <w:rFonts w:ascii="Trebuchet MS" w:hAnsi="Trebuchet MS"/>
          <w:b/>
          <w:sz w:val="24"/>
          <w:szCs w:val="24"/>
        </w:rPr>
        <w:t xml:space="preserve"> LC/H/173/13</w:t>
      </w:r>
    </w:p>
    <w:p w:rsidR="00DD33DB" w:rsidRPr="00DD33DB" w:rsidRDefault="00DD33DB" w:rsidP="00DD33DB">
      <w:pPr>
        <w:rPr>
          <w:rFonts w:ascii="Trebuchet MS" w:hAnsi="Trebuchet MS"/>
          <w:b/>
          <w:sz w:val="24"/>
          <w:szCs w:val="24"/>
        </w:rPr>
      </w:pPr>
      <w:proofErr w:type="gramStart"/>
      <w:r w:rsidRPr="00DD33DB">
        <w:rPr>
          <w:rFonts w:ascii="Trebuchet MS" w:hAnsi="Trebuchet MS"/>
          <w:b/>
          <w:sz w:val="24"/>
          <w:szCs w:val="24"/>
        </w:rPr>
        <w:t>HELD AT HARARE ON 15 MAY 2013</w:t>
      </w:r>
      <w:r w:rsidRPr="00DD33DB">
        <w:rPr>
          <w:rFonts w:ascii="Trebuchet MS" w:hAnsi="Trebuchet MS"/>
          <w:b/>
          <w:sz w:val="24"/>
          <w:szCs w:val="24"/>
        </w:rPr>
        <w:tab/>
      </w:r>
      <w:r w:rsidRPr="00DD33DB">
        <w:rPr>
          <w:rFonts w:ascii="Trebuchet MS" w:hAnsi="Trebuchet MS"/>
          <w:b/>
          <w:sz w:val="24"/>
          <w:szCs w:val="24"/>
        </w:rPr>
        <w:tab/>
      </w:r>
      <w:r w:rsidRPr="00DD33DB">
        <w:rPr>
          <w:rFonts w:ascii="Trebuchet MS" w:hAnsi="Trebuchet MS"/>
          <w:b/>
          <w:sz w:val="24"/>
          <w:szCs w:val="24"/>
        </w:rPr>
        <w:tab/>
        <w:t>CASE NO.</w:t>
      </w:r>
      <w:proofErr w:type="gramEnd"/>
      <w:r w:rsidRPr="00DD33DB">
        <w:rPr>
          <w:rFonts w:ascii="Trebuchet MS" w:hAnsi="Trebuchet MS"/>
          <w:b/>
          <w:sz w:val="24"/>
          <w:szCs w:val="24"/>
        </w:rPr>
        <w:t xml:space="preserve"> LC/H/196/12</w:t>
      </w:r>
    </w:p>
    <w:p w:rsidR="00DD33DB" w:rsidRPr="00DD33DB" w:rsidRDefault="00DD33DB" w:rsidP="00DD33DB">
      <w:pPr>
        <w:rPr>
          <w:rFonts w:ascii="Trebuchet MS" w:hAnsi="Trebuchet MS"/>
          <w:b/>
          <w:sz w:val="24"/>
          <w:szCs w:val="24"/>
        </w:rPr>
      </w:pPr>
    </w:p>
    <w:p w:rsidR="00DD33DB" w:rsidRPr="00DD33DB" w:rsidRDefault="00DD33DB" w:rsidP="00DD33DB">
      <w:pPr>
        <w:rPr>
          <w:rFonts w:ascii="Trebuchet MS" w:hAnsi="Trebuchet MS"/>
          <w:sz w:val="24"/>
          <w:szCs w:val="24"/>
        </w:rPr>
      </w:pPr>
      <w:r w:rsidRPr="00DD33DB">
        <w:rPr>
          <w:rFonts w:ascii="Trebuchet MS" w:hAnsi="Trebuchet MS"/>
          <w:sz w:val="24"/>
          <w:szCs w:val="24"/>
        </w:rPr>
        <w:t>In the matter between:</w:t>
      </w:r>
      <w:r w:rsidRPr="00DD33DB">
        <w:rPr>
          <w:rFonts w:ascii="Trebuchet MS" w:hAnsi="Trebuchet MS"/>
          <w:sz w:val="24"/>
          <w:szCs w:val="24"/>
        </w:rPr>
        <w:tab/>
      </w:r>
      <w:r w:rsidRPr="00DD33DB">
        <w:rPr>
          <w:rFonts w:ascii="Trebuchet MS" w:hAnsi="Trebuchet MS"/>
          <w:sz w:val="24"/>
          <w:szCs w:val="24"/>
        </w:rPr>
        <w:tab/>
      </w:r>
      <w:r w:rsidRPr="00DD33DB">
        <w:rPr>
          <w:rFonts w:ascii="Trebuchet MS" w:hAnsi="Trebuchet MS"/>
          <w:sz w:val="24"/>
          <w:szCs w:val="24"/>
        </w:rPr>
        <w:tab/>
      </w:r>
      <w:r w:rsidRPr="00DD33DB">
        <w:rPr>
          <w:rFonts w:ascii="Trebuchet MS" w:hAnsi="Trebuchet MS"/>
          <w:sz w:val="24"/>
          <w:szCs w:val="24"/>
        </w:rPr>
        <w:tab/>
      </w:r>
      <w:r w:rsidRPr="00DD33DB">
        <w:rPr>
          <w:rFonts w:ascii="Trebuchet MS" w:hAnsi="Trebuchet MS"/>
          <w:sz w:val="24"/>
          <w:szCs w:val="24"/>
        </w:rPr>
        <w:tab/>
      </w:r>
    </w:p>
    <w:p w:rsidR="00DD33DB" w:rsidRPr="00DD33DB" w:rsidRDefault="00DD33DB" w:rsidP="00DD33DB">
      <w:pPr>
        <w:rPr>
          <w:rFonts w:ascii="Trebuchet MS" w:hAnsi="Trebuchet MS"/>
          <w:b/>
          <w:sz w:val="24"/>
          <w:szCs w:val="24"/>
        </w:rPr>
      </w:pPr>
      <w:r w:rsidRPr="00DD33DB">
        <w:rPr>
          <w:rFonts w:ascii="Trebuchet MS" w:hAnsi="Trebuchet MS"/>
          <w:b/>
          <w:sz w:val="24"/>
          <w:szCs w:val="24"/>
        </w:rPr>
        <w:t>MOSES SABAO</w:t>
      </w:r>
      <w:r w:rsidRPr="00DD33DB">
        <w:rPr>
          <w:rFonts w:ascii="Trebuchet MS" w:hAnsi="Trebuchet MS"/>
          <w:b/>
          <w:sz w:val="24"/>
          <w:szCs w:val="24"/>
        </w:rPr>
        <w:tab/>
      </w:r>
      <w:r w:rsidRPr="00DD33DB">
        <w:rPr>
          <w:rFonts w:ascii="Trebuchet MS" w:hAnsi="Trebuchet MS"/>
          <w:b/>
          <w:sz w:val="24"/>
          <w:szCs w:val="24"/>
        </w:rPr>
        <w:tab/>
      </w:r>
      <w:r w:rsidRPr="00DD33DB">
        <w:rPr>
          <w:rFonts w:ascii="Trebuchet MS" w:hAnsi="Trebuchet MS"/>
          <w:b/>
          <w:sz w:val="24"/>
          <w:szCs w:val="24"/>
        </w:rPr>
        <w:tab/>
      </w:r>
      <w:r w:rsidRPr="00DD33DB">
        <w:rPr>
          <w:rFonts w:ascii="Trebuchet MS" w:hAnsi="Trebuchet MS"/>
          <w:b/>
          <w:sz w:val="24"/>
          <w:szCs w:val="24"/>
        </w:rPr>
        <w:tab/>
      </w:r>
      <w:r w:rsidRPr="00DD33DB">
        <w:rPr>
          <w:rFonts w:ascii="Trebuchet MS" w:hAnsi="Trebuchet MS"/>
          <w:b/>
          <w:sz w:val="24"/>
          <w:szCs w:val="24"/>
        </w:rPr>
        <w:tab/>
      </w:r>
      <w:r w:rsidRPr="00DD33DB">
        <w:rPr>
          <w:rFonts w:ascii="Trebuchet MS" w:hAnsi="Trebuchet MS"/>
          <w:b/>
          <w:sz w:val="24"/>
          <w:szCs w:val="24"/>
        </w:rPr>
        <w:tab/>
        <w:t>-</w:t>
      </w:r>
      <w:r w:rsidRPr="00DD33DB">
        <w:rPr>
          <w:rFonts w:ascii="Trebuchet MS" w:hAnsi="Trebuchet MS"/>
          <w:b/>
          <w:sz w:val="24"/>
          <w:szCs w:val="24"/>
        </w:rPr>
        <w:tab/>
        <w:t>Appellant</w:t>
      </w:r>
    </w:p>
    <w:p w:rsidR="00DD33DB" w:rsidRPr="00DD33DB" w:rsidRDefault="00DD33DB" w:rsidP="00DD33DB">
      <w:pPr>
        <w:rPr>
          <w:rFonts w:ascii="Trebuchet MS" w:hAnsi="Trebuchet MS"/>
          <w:sz w:val="24"/>
          <w:szCs w:val="24"/>
        </w:rPr>
      </w:pPr>
      <w:r w:rsidRPr="00DD33DB">
        <w:rPr>
          <w:rFonts w:ascii="Trebuchet MS" w:hAnsi="Trebuchet MS"/>
          <w:sz w:val="24"/>
          <w:szCs w:val="24"/>
        </w:rPr>
        <w:t>And</w:t>
      </w:r>
    </w:p>
    <w:p w:rsidR="00DD33DB" w:rsidRPr="00DD33DB" w:rsidRDefault="00DD33DB" w:rsidP="00DD33DB">
      <w:pPr>
        <w:rPr>
          <w:rFonts w:ascii="Trebuchet MS" w:hAnsi="Trebuchet MS"/>
          <w:b/>
          <w:sz w:val="24"/>
          <w:szCs w:val="24"/>
        </w:rPr>
      </w:pPr>
      <w:r w:rsidRPr="00DD33DB">
        <w:rPr>
          <w:rFonts w:ascii="Trebuchet MS" w:hAnsi="Trebuchet MS"/>
          <w:b/>
          <w:sz w:val="24"/>
          <w:szCs w:val="24"/>
        </w:rPr>
        <w:t>SPORROW HAULIERS T/A J.J. TRANSPORT</w:t>
      </w:r>
      <w:r w:rsidRPr="00DD33DB">
        <w:rPr>
          <w:rFonts w:ascii="Trebuchet MS" w:hAnsi="Trebuchet MS"/>
          <w:b/>
          <w:sz w:val="24"/>
          <w:szCs w:val="24"/>
        </w:rPr>
        <w:tab/>
      </w:r>
      <w:r w:rsidRPr="00DD33DB">
        <w:rPr>
          <w:rFonts w:ascii="Trebuchet MS" w:hAnsi="Trebuchet MS"/>
          <w:b/>
          <w:sz w:val="24"/>
          <w:szCs w:val="24"/>
        </w:rPr>
        <w:tab/>
        <w:t>-</w:t>
      </w:r>
      <w:r w:rsidRPr="00DD33DB">
        <w:rPr>
          <w:rFonts w:ascii="Trebuchet MS" w:hAnsi="Trebuchet MS"/>
          <w:b/>
          <w:sz w:val="24"/>
          <w:szCs w:val="24"/>
        </w:rPr>
        <w:tab/>
        <w:t>Respondent</w:t>
      </w:r>
    </w:p>
    <w:p w:rsidR="00DD33DB" w:rsidRPr="00DD33DB" w:rsidRDefault="00DD33DB" w:rsidP="00DD33DB">
      <w:pPr>
        <w:rPr>
          <w:rFonts w:ascii="Trebuchet MS" w:hAnsi="Trebuchet MS"/>
          <w:sz w:val="24"/>
          <w:szCs w:val="24"/>
        </w:rPr>
      </w:pPr>
    </w:p>
    <w:p w:rsidR="00DD33DB" w:rsidRPr="00DD33DB" w:rsidRDefault="00DD33DB" w:rsidP="00DD33DB">
      <w:pPr>
        <w:rPr>
          <w:rFonts w:ascii="Trebuchet MS" w:hAnsi="Trebuchet MS"/>
          <w:sz w:val="24"/>
          <w:szCs w:val="24"/>
        </w:rPr>
      </w:pPr>
      <w:r w:rsidRPr="00DD33DB">
        <w:rPr>
          <w:rFonts w:ascii="Trebuchet MS" w:hAnsi="Trebuchet MS"/>
          <w:sz w:val="24"/>
          <w:szCs w:val="24"/>
        </w:rPr>
        <w:t xml:space="preserve">Before the Honourable President, E.F. </w:t>
      </w:r>
      <w:proofErr w:type="spellStart"/>
      <w:r w:rsidRPr="00DD33DB">
        <w:rPr>
          <w:rFonts w:ascii="Trebuchet MS" w:hAnsi="Trebuchet MS"/>
          <w:sz w:val="24"/>
          <w:szCs w:val="24"/>
        </w:rPr>
        <w:t>Ndewere</w:t>
      </w:r>
      <w:proofErr w:type="spellEnd"/>
    </w:p>
    <w:p w:rsidR="00DD33DB" w:rsidRPr="00DD33DB" w:rsidRDefault="00DD33DB" w:rsidP="00DD33DB">
      <w:pPr>
        <w:rPr>
          <w:rFonts w:ascii="Trebuchet MS" w:hAnsi="Trebuchet MS"/>
          <w:b/>
          <w:sz w:val="24"/>
          <w:szCs w:val="24"/>
        </w:rPr>
      </w:pPr>
      <w:r w:rsidRPr="00DD33DB">
        <w:rPr>
          <w:rFonts w:ascii="Trebuchet MS" w:hAnsi="Trebuchet MS"/>
          <w:b/>
          <w:sz w:val="24"/>
          <w:szCs w:val="24"/>
        </w:rPr>
        <w:t>For Appellant</w:t>
      </w:r>
      <w:r w:rsidRPr="00DD33DB">
        <w:rPr>
          <w:rFonts w:ascii="Trebuchet MS" w:hAnsi="Trebuchet MS"/>
          <w:b/>
          <w:sz w:val="24"/>
          <w:szCs w:val="24"/>
        </w:rPr>
        <w:tab/>
      </w:r>
      <w:r w:rsidRPr="00DD33DB">
        <w:rPr>
          <w:rFonts w:ascii="Trebuchet MS" w:hAnsi="Trebuchet MS"/>
          <w:b/>
          <w:sz w:val="24"/>
          <w:szCs w:val="24"/>
        </w:rPr>
        <w:tab/>
      </w:r>
      <w:r w:rsidRPr="00DD33DB">
        <w:rPr>
          <w:rFonts w:ascii="Trebuchet MS" w:hAnsi="Trebuchet MS"/>
          <w:b/>
          <w:sz w:val="24"/>
          <w:szCs w:val="24"/>
        </w:rPr>
        <w:tab/>
        <w:t>-</w:t>
      </w:r>
      <w:r w:rsidRPr="00DD33DB">
        <w:rPr>
          <w:rFonts w:ascii="Trebuchet MS" w:hAnsi="Trebuchet MS"/>
          <w:b/>
          <w:sz w:val="24"/>
          <w:szCs w:val="24"/>
        </w:rPr>
        <w:tab/>
      </w:r>
      <w:r w:rsidRPr="00DD33DB">
        <w:rPr>
          <w:rFonts w:ascii="Trebuchet MS" w:hAnsi="Trebuchet MS"/>
          <w:b/>
          <w:sz w:val="24"/>
          <w:szCs w:val="24"/>
        </w:rPr>
        <w:tab/>
        <w:t xml:space="preserve">Mr C. </w:t>
      </w:r>
      <w:proofErr w:type="spellStart"/>
      <w:r w:rsidRPr="00DD33DB">
        <w:rPr>
          <w:rFonts w:ascii="Trebuchet MS" w:hAnsi="Trebuchet MS"/>
          <w:b/>
          <w:sz w:val="24"/>
          <w:szCs w:val="24"/>
        </w:rPr>
        <w:t>Chigwada</w:t>
      </w:r>
      <w:proofErr w:type="spellEnd"/>
      <w:r w:rsidRPr="00DD33DB">
        <w:rPr>
          <w:rFonts w:ascii="Trebuchet MS" w:hAnsi="Trebuchet MS"/>
          <w:b/>
          <w:sz w:val="24"/>
          <w:szCs w:val="24"/>
        </w:rPr>
        <w:t xml:space="preserve"> (Trade Unionist)</w:t>
      </w:r>
    </w:p>
    <w:p w:rsidR="00DD33DB" w:rsidRPr="00DD33DB" w:rsidRDefault="00DD33DB" w:rsidP="00DD33DB">
      <w:pPr>
        <w:rPr>
          <w:rFonts w:ascii="Trebuchet MS" w:hAnsi="Trebuchet MS"/>
          <w:b/>
          <w:sz w:val="24"/>
          <w:szCs w:val="24"/>
        </w:rPr>
      </w:pPr>
    </w:p>
    <w:p w:rsidR="00DD33DB" w:rsidRPr="00DD33DB" w:rsidRDefault="00DD33DB" w:rsidP="00DD33DB">
      <w:pPr>
        <w:rPr>
          <w:rFonts w:ascii="Trebuchet MS" w:hAnsi="Trebuchet MS"/>
          <w:b/>
          <w:sz w:val="24"/>
          <w:szCs w:val="24"/>
        </w:rPr>
      </w:pPr>
      <w:r w:rsidRPr="00DD33DB">
        <w:rPr>
          <w:rFonts w:ascii="Trebuchet MS" w:hAnsi="Trebuchet MS"/>
          <w:b/>
          <w:sz w:val="24"/>
          <w:szCs w:val="24"/>
        </w:rPr>
        <w:t>For Respondent</w:t>
      </w:r>
      <w:r w:rsidRPr="00DD33DB">
        <w:rPr>
          <w:rFonts w:ascii="Trebuchet MS" w:hAnsi="Trebuchet MS"/>
          <w:b/>
          <w:sz w:val="24"/>
          <w:szCs w:val="24"/>
        </w:rPr>
        <w:tab/>
      </w:r>
      <w:r w:rsidRPr="00DD33DB">
        <w:rPr>
          <w:rFonts w:ascii="Trebuchet MS" w:hAnsi="Trebuchet MS"/>
          <w:b/>
          <w:sz w:val="24"/>
          <w:szCs w:val="24"/>
        </w:rPr>
        <w:tab/>
      </w:r>
      <w:r w:rsidRPr="00DD33DB">
        <w:rPr>
          <w:rFonts w:ascii="Trebuchet MS" w:hAnsi="Trebuchet MS"/>
          <w:b/>
          <w:sz w:val="24"/>
          <w:szCs w:val="24"/>
        </w:rPr>
        <w:tab/>
        <w:t>-</w:t>
      </w:r>
      <w:r w:rsidRPr="00DD33DB">
        <w:rPr>
          <w:rFonts w:ascii="Trebuchet MS" w:hAnsi="Trebuchet MS"/>
          <w:b/>
          <w:sz w:val="24"/>
          <w:szCs w:val="24"/>
        </w:rPr>
        <w:tab/>
      </w:r>
      <w:r w:rsidRPr="00DD33DB">
        <w:rPr>
          <w:rFonts w:ascii="Trebuchet MS" w:hAnsi="Trebuchet MS"/>
          <w:b/>
          <w:sz w:val="24"/>
          <w:szCs w:val="24"/>
        </w:rPr>
        <w:tab/>
        <w:t xml:space="preserve">Mr P. </w:t>
      </w:r>
      <w:proofErr w:type="spellStart"/>
      <w:r w:rsidRPr="00DD33DB">
        <w:rPr>
          <w:rFonts w:ascii="Trebuchet MS" w:hAnsi="Trebuchet MS"/>
          <w:b/>
          <w:sz w:val="24"/>
          <w:szCs w:val="24"/>
        </w:rPr>
        <w:t>Mabundu</w:t>
      </w:r>
      <w:proofErr w:type="spellEnd"/>
      <w:r w:rsidRPr="00DD33DB">
        <w:rPr>
          <w:rFonts w:ascii="Trebuchet MS" w:hAnsi="Trebuchet MS"/>
          <w:b/>
          <w:sz w:val="24"/>
          <w:szCs w:val="24"/>
        </w:rPr>
        <w:t xml:space="preserve"> (Legal Practitioner)</w:t>
      </w:r>
    </w:p>
    <w:p w:rsidR="00DD33DB" w:rsidRPr="00DD33DB" w:rsidRDefault="00DD33DB" w:rsidP="00DD33DB">
      <w:pPr>
        <w:rPr>
          <w:rFonts w:ascii="Trebuchet MS" w:hAnsi="Trebuchet MS"/>
          <w:b/>
          <w:sz w:val="24"/>
          <w:szCs w:val="24"/>
        </w:rPr>
      </w:pPr>
    </w:p>
    <w:p w:rsidR="00DD33DB" w:rsidRPr="00DD33DB" w:rsidRDefault="00DD33DB" w:rsidP="00DD33DB">
      <w:pPr>
        <w:rPr>
          <w:rFonts w:ascii="Trebuchet MS" w:hAnsi="Trebuchet MS"/>
          <w:b/>
          <w:sz w:val="24"/>
          <w:szCs w:val="24"/>
        </w:rPr>
      </w:pPr>
      <w:r w:rsidRPr="00DD33DB">
        <w:rPr>
          <w:rFonts w:ascii="Trebuchet MS" w:hAnsi="Trebuchet MS"/>
          <w:b/>
          <w:sz w:val="24"/>
          <w:szCs w:val="24"/>
        </w:rPr>
        <w:t>NDEWERE E.F.:</w:t>
      </w:r>
    </w:p>
    <w:p w:rsidR="001405F9" w:rsidRPr="00DD33DB" w:rsidRDefault="001405F9">
      <w:pPr>
        <w:rPr>
          <w:rFonts w:ascii="Trebuchet MS" w:hAnsi="Trebuchet MS"/>
          <w:sz w:val="24"/>
          <w:szCs w:val="24"/>
        </w:rPr>
      </w:pPr>
    </w:p>
    <w:p w:rsidR="00DD33DB" w:rsidRDefault="00DD33DB" w:rsidP="00DD33DB">
      <w:pPr>
        <w:spacing w:line="360" w:lineRule="auto"/>
        <w:jc w:val="both"/>
        <w:rPr>
          <w:rFonts w:ascii="Trebuchet MS" w:hAnsi="Trebuchet MS" w:cs="Tahoma"/>
          <w:sz w:val="24"/>
          <w:szCs w:val="24"/>
        </w:rPr>
      </w:pPr>
      <w:r w:rsidRPr="00DD33DB">
        <w:rPr>
          <w:rFonts w:ascii="Trebuchet MS" w:hAnsi="Trebuchet MS" w:cs="Tahoma"/>
          <w:sz w:val="24"/>
          <w:szCs w:val="24"/>
        </w:rPr>
        <w:tab/>
        <w:t>Appellant was employed as a Truck driver by J and J transport.  On 21 January, 2012, he was instructed to leave the depot at 6:00a.m to proceed with a copper convoy from Harare to Forbes.  The Appellant then left the depot with his loaded truck and proceed</w:t>
      </w:r>
      <w:r w:rsidR="00376620">
        <w:rPr>
          <w:rFonts w:ascii="Trebuchet MS" w:hAnsi="Trebuchet MS" w:cs="Tahoma"/>
          <w:sz w:val="24"/>
          <w:szCs w:val="24"/>
        </w:rPr>
        <w:t>ed</w:t>
      </w:r>
      <w:r w:rsidRPr="00DD33DB">
        <w:rPr>
          <w:rFonts w:ascii="Trebuchet MS" w:hAnsi="Trebuchet MS" w:cs="Tahoma"/>
          <w:sz w:val="24"/>
          <w:szCs w:val="24"/>
        </w:rPr>
        <w:t xml:space="preserve"> to </w:t>
      </w:r>
      <w:proofErr w:type="spellStart"/>
      <w:r w:rsidRPr="00DD33DB">
        <w:rPr>
          <w:rFonts w:ascii="Trebuchet MS" w:hAnsi="Trebuchet MS" w:cs="Tahoma"/>
          <w:sz w:val="24"/>
          <w:szCs w:val="24"/>
        </w:rPr>
        <w:t>Chitungwiza</w:t>
      </w:r>
      <w:proofErr w:type="spellEnd"/>
      <w:r w:rsidRPr="00DD33DB">
        <w:rPr>
          <w:rFonts w:ascii="Trebuchet MS" w:hAnsi="Trebuchet MS" w:cs="Tahoma"/>
          <w:sz w:val="24"/>
          <w:szCs w:val="24"/>
        </w:rPr>
        <w:t xml:space="preserve">.  Another driver who was supposed to form the convoy with him then rang the Operations manager, Mr </w:t>
      </w:r>
      <w:proofErr w:type="spellStart"/>
      <w:r w:rsidRPr="00DD33DB">
        <w:rPr>
          <w:rFonts w:ascii="Trebuchet MS" w:hAnsi="Trebuchet MS" w:cs="Tahoma"/>
          <w:sz w:val="24"/>
          <w:szCs w:val="24"/>
        </w:rPr>
        <w:t>Chipenzi</w:t>
      </w:r>
      <w:proofErr w:type="spellEnd"/>
      <w:r w:rsidRPr="00DD33DB">
        <w:rPr>
          <w:rFonts w:ascii="Trebuchet MS" w:hAnsi="Trebuchet MS" w:cs="Tahoma"/>
          <w:sz w:val="24"/>
          <w:szCs w:val="24"/>
        </w:rPr>
        <w:t xml:space="preserve"> and told him that he was alone at the depot and could not see the Appellant, whom he was supposed to form a convoy with.  Other arrangements had to be made for that driver.  A few moments later, Management was informed that the Appellant had been seen driving along </w:t>
      </w:r>
      <w:proofErr w:type="spellStart"/>
      <w:r w:rsidRPr="00DD33DB">
        <w:rPr>
          <w:rFonts w:ascii="Trebuchet MS" w:hAnsi="Trebuchet MS" w:cs="Tahoma"/>
          <w:sz w:val="24"/>
          <w:szCs w:val="24"/>
        </w:rPr>
        <w:t>Seke</w:t>
      </w:r>
      <w:proofErr w:type="spellEnd"/>
      <w:r w:rsidRPr="00DD33DB">
        <w:rPr>
          <w:rFonts w:ascii="Trebuchet MS" w:hAnsi="Trebuchet MS" w:cs="Tahoma"/>
          <w:sz w:val="24"/>
          <w:szCs w:val="24"/>
        </w:rPr>
        <w:t xml:space="preserve"> road going towards </w:t>
      </w:r>
      <w:proofErr w:type="spellStart"/>
      <w:r w:rsidRPr="00DD33DB">
        <w:rPr>
          <w:rFonts w:ascii="Trebuchet MS" w:hAnsi="Trebuchet MS" w:cs="Tahoma"/>
          <w:sz w:val="24"/>
          <w:szCs w:val="24"/>
        </w:rPr>
        <w:t>Chitungwiza</w:t>
      </w:r>
      <w:proofErr w:type="spellEnd"/>
      <w:r w:rsidRPr="00DD33DB">
        <w:rPr>
          <w:rFonts w:ascii="Trebuchet MS" w:hAnsi="Trebuchet MS" w:cs="Tahoma"/>
          <w:sz w:val="24"/>
          <w:szCs w:val="24"/>
        </w:rPr>
        <w:t>.  He was called back to the depot.</w:t>
      </w:r>
    </w:p>
    <w:p w:rsidR="00D3092B" w:rsidRDefault="00D3092B" w:rsidP="00DD33DB">
      <w:pPr>
        <w:spacing w:line="360" w:lineRule="auto"/>
        <w:jc w:val="both"/>
        <w:rPr>
          <w:rFonts w:ascii="Trebuchet MS" w:hAnsi="Trebuchet MS" w:cs="Tahoma"/>
          <w:sz w:val="24"/>
          <w:szCs w:val="24"/>
        </w:rPr>
      </w:pPr>
      <w:r>
        <w:rPr>
          <w:rFonts w:ascii="Trebuchet MS" w:hAnsi="Trebuchet MS" w:cs="Tahoma"/>
          <w:sz w:val="24"/>
          <w:szCs w:val="24"/>
        </w:rPr>
        <w:tab/>
        <w:t xml:space="preserve">Appellant admitted deviating </w:t>
      </w:r>
      <w:r w:rsidR="00FE3A7B">
        <w:rPr>
          <w:rFonts w:ascii="Trebuchet MS" w:hAnsi="Trebuchet MS" w:cs="Tahoma"/>
          <w:sz w:val="24"/>
          <w:szCs w:val="24"/>
        </w:rPr>
        <w:t xml:space="preserve">from </w:t>
      </w:r>
      <w:r w:rsidR="00A43572">
        <w:rPr>
          <w:rFonts w:ascii="Trebuchet MS" w:hAnsi="Trebuchet MS" w:cs="Tahoma"/>
          <w:sz w:val="24"/>
          <w:szCs w:val="24"/>
        </w:rPr>
        <w:t xml:space="preserve">the </w:t>
      </w:r>
      <w:r w:rsidR="00FE3A7B">
        <w:rPr>
          <w:rFonts w:ascii="Trebuchet MS" w:hAnsi="Trebuchet MS" w:cs="Tahoma"/>
          <w:sz w:val="24"/>
          <w:szCs w:val="24"/>
        </w:rPr>
        <w:t xml:space="preserve">convoy and driving the truck to </w:t>
      </w:r>
      <w:proofErr w:type="spellStart"/>
      <w:r w:rsidR="00FE3A7B">
        <w:rPr>
          <w:rFonts w:ascii="Trebuchet MS" w:hAnsi="Trebuchet MS" w:cs="Tahoma"/>
          <w:sz w:val="24"/>
          <w:szCs w:val="24"/>
        </w:rPr>
        <w:t>Chitungwiza</w:t>
      </w:r>
      <w:proofErr w:type="spellEnd"/>
      <w:r w:rsidR="00FE3A7B">
        <w:rPr>
          <w:rFonts w:ascii="Trebuchet MS" w:hAnsi="Trebuchet MS" w:cs="Tahoma"/>
          <w:sz w:val="24"/>
          <w:szCs w:val="24"/>
        </w:rPr>
        <w:t xml:space="preserve"> and back, without authority, contrary to the instructions he had been given.  He said he did that because he needed clothes yet standing instructions </w:t>
      </w:r>
      <w:r w:rsidR="00FE3A7B">
        <w:rPr>
          <w:rFonts w:ascii="Trebuchet MS" w:hAnsi="Trebuchet MS" w:cs="Tahoma"/>
          <w:sz w:val="24"/>
          <w:szCs w:val="24"/>
        </w:rPr>
        <w:lastRenderedPageBreak/>
        <w:t xml:space="preserve">were that if a driver forgot anything </w:t>
      </w:r>
      <w:r w:rsidR="00F64E55">
        <w:rPr>
          <w:rFonts w:ascii="Trebuchet MS" w:hAnsi="Trebuchet MS" w:cs="Tahoma"/>
          <w:sz w:val="24"/>
          <w:szCs w:val="24"/>
        </w:rPr>
        <w:t xml:space="preserve">which he </w:t>
      </w:r>
      <w:r w:rsidR="00FE3A7B">
        <w:rPr>
          <w:rFonts w:ascii="Trebuchet MS" w:hAnsi="Trebuchet MS" w:cs="Tahoma"/>
          <w:sz w:val="24"/>
          <w:szCs w:val="24"/>
        </w:rPr>
        <w:t xml:space="preserve">needed on a trip </w:t>
      </w:r>
      <w:r w:rsidR="00C23840">
        <w:rPr>
          <w:rFonts w:ascii="Trebuchet MS" w:hAnsi="Trebuchet MS" w:cs="Tahoma"/>
          <w:sz w:val="24"/>
          <w:szCs w:val="24"/>
        </w:rPr>
        <w:t>he</w:t>
      </w:r>
      <w:r w:rsidR="00FE3A7B">
        <w:rPr>
          <w:rFonts w:ascii="Trebuchet MS" w:hAnsi="Trebuchet MS" w:cs="Tahoma"/>
          <w:sz w:val="24"/>
          <w:szCs w:val="24"/>
        </w:rPr>
        <w:t xml:space="preserve"> report</w:t>
      </w:r>
      <w:r w:rsidR="00707628">
        <w:rPr>
          <w:rFonts w:ascii="Trebuchet MS" w:hAnsi="Trebuchet MS" w:cs="Tahoma"/>
          <w:sz w:val="24"/>
          <w:szCs w:val="24"/>
        </w:rPr>
        <w:t>s</w:t>
      </w:r>
      <w:r w:rsidR="00465312">
        <w:rPr>
          <w:rFonts w:ascii="Trebuchet MS" w:hAnsi="Trebuchet MS" w:cs="Tahoma"/>
          <w:sz w:val="24"/>
          <w:szCs w:val="24"/>
        </w:rPr>
        <w:t xml:space="preserve"> to Operations who will assist</w:t>
      </w:r>
      <w:r w:rsidR="00FE3A7B">
        <w:rPr>
          <w:rFonts w:ascii="Trebuchet MS" w:hAnsi="Trebuchet MS" w:cs="Tahoma"/>
          <w:sz w:val="24"/>
          <w:szCs w:val="24"/>
        </w:rPr>
        <w:t xml:space="preserve"> with transport to go and collect the things.</w:t>
      </w:r>
    </w:p>
    <w:p w:rsidR="00FE3A7B" w:rsidRDefault="00FE3A7B" w:rsidP="00DD33DB">
      <w:pPr>
        <w:spacing w:line="360" w:lineRule="auto"/>
        <w:jc w:val="both"/>
        <w:rPr>
          <w:rFonts w:ascii="Trebuchet MS" w:hAnsi="Trebuchet MS" w:cs="Tahoma"/>
          <w:sz w:val="24"/>
          <w:szCs w:val="24"/>
        </w:rPr>
      </w:pPr>
      <w:r>
        <w:rPr>
          <w:rFonts w:ascii="Trebuchet MS" w:hAnsi="Trebuchet MS" w:cs="Tahoma"/>
          <w:sz w:val="24"/>
          <w:szCs w:val="24"/>
        </w:rPr>
        <w:tab/>
        <w:t>The Disciplinary Committee found the Appellant guilty and he was dismissed from employment with effect from 29 February, 2012 the day of the hearing.  The Appellant filed an appeal on 26 March, 2012.  The grounds of appeal were as follows:</w:t>
      </w:r>
    </w:p>
    <w:p w:rsidR="00FE3A7B" w:rsidRPr="00A52F70" w:rsidRDefault="00FE3A7B" w:rsidP="00FE3A7B">
      <w:pPr>
        <w:pStyle w:val="ListParagraph"/>
        <w:numPr>
          <w:ilvl w:val="0"/>
          <w:numId w:val="1"/>
        </w:numPr>
        <w:spacing w:line="360" w:lineRule="auto"/>
        <w:jc w:val="both"/>
        <w:rPr>
          <w:rFonts w:ascii="Bookman Old Style" w:hAnsi="Bookman Old Style" w:cs="Tahoma"/>
          <w:i/>
          <w:sz w:val="20"/>
          <w:szCs w:val="20"/>
        </w:rPr>
      </w:pPr>
      <w:r w:rsidRPr="00A52F70">
        <w:rPr>
          <w:rFonts w:ascii="Bookman Old Style" w:hAnsi="Bookman Old Style" w:cs="Tahoma"/>
          <w:i/>
          <w:sz w:val="20"/>
          <w:szCs w:val="20"/>
        </w:rPr>
        <w:t>The Appellant invited his representatives for the h</w:t>
      </w:r>
      <w:r w:rsidR="00337D72">
        <w:rPr>
          <w:rFonts w:ascii="Bookman Old Style" w:hAnsi="Bookman Old Style" w:cs="Tahoma"/>
          <w:i/>
          <w:sz w:val="20"/>
          <w:szCs w:val="20"/>
        </w:rPr>
        <w:t>earing, from the Transport and General W</w:t>
      </w:r>
      <w:r w:rsidRPr="00A52F70">
        <w:rPr>
          <w:rFonts w:ascii="Bookman Old Style" w:hAnsi="Bookman Old Style" w:cs="Tahoma"/>
          <w:i/>
          <w:sz w:val="20"/>
          <w:szCs w:val="20"/>
        </w:rPr>
        <w:t>orkers Union.  Who were allowed to enter the premises gate</w:t>
      </w:r>
      <w:r w:rsidR="00854D68">
        <w:rPr>
          <w:rFonts w:ascii="Bookman Old Style" w:hAnsi="Bookman Old Style" w:cs="Tahoma"/>
          <w:i/>
          <w:sz w:val="20"/>
          <w:szCs w:val="20"/>
        </w:rPr>
        <w:t>s</w:t>
      </w:r>
      <w:r w:rsidR="00B47657">
        <w:rPr>
          <w:rFonts w:ascii="Bookman Old Style" w:hAnsi="Bookman Old Style" w:cs="Tahoma"/>
          <w:i/>
          <w:sz w:val="20"/>
          <w:szCs w:val="20"/>
        </w:rPr>
        <w:t xml:space="preserve">, </w:t>
      </w:r>
      <w:r w:rsidRPr="00A52F70">
        <w:rPr>
          <w:rFonts w:ascii="Bookman Old Style" w:hAnsi="Bookman Old Style" w:cs="Tahoma"/>
          <w:i/>
          <w:sz w:val="20"/>
          <w:szCs w:val="20"/>
        </w:rPr>
        <w:t>but were informed that they could not participate in the hearing proceedings.  In spite of the provisions at law to represent an alleged offender in a hearing at company level.</w:t>
      </w:r>
    </w:p>
    <w:p w:rsidR="00FE3A7B" w:rsidRPr="00A52F70" w:rsidRDefault="00FE3A7B" w:rsidP="00FE3A7B">
      <w:pPr>
        <w:pStyle w:val="ListParagraph"/>
        <w:numPr>
          <w:ilvl w:val="0"/>
          <w:numId w:val="1"/>
        </w:numPr>
        <w:spacing w:line="360" w:lineRule="auto"/>
        <w:jc w:val="both"/>
        <w:rPr>
          <w:rFonts w:ascii="Bookman Old Style" w:hAnsi="Bookman Old Style" w:cs="Tahoma"/>
          <w:i/>
          <w:sz w:val="20"/>
          <w:szCs w:val="20"/>
        </w:rPr>
      </w:pPr>
      <w:r w:rsidRPr="00A52F70">
        <w:rPr>
          <w:rFonts w:ascii="Bookman Old Style" w:hAnsi="Bookman Old Style" w:cs="Tahoma"/>
          <w:i/>
          <w:sz w:val="20"/>
          <w:szCs w:val="20"/>
        </w:rPr>
        <w:t xml:space="preserve">Failure to allow, Appellant representative access to the hearing, ultimately mean the </w:t>
      </w:r>
      <w:proofErr w:type="spellStart"/>
      <w:r w:rsidRPr="00A52F70">
        <w:rPr>
          <w:rFonts w:ascii="Bookman Old Style" w:hAnsi="Bookman Old Style" w:cs="Tahoma"/>
          <w:b/>
          <w:i/>
          <w:sz w:val="20"/>
          <w:szCs w:val="20"/>
        </w:rPr>
        <w:t>audi</w:t>
      </w:r>
      <w:proofErr w:type="spellEnd"/>
      <w:r w:rsidRPr="00A52F70">
        <w:rPr>
          <w:rFonts w:ascii="Bookman Old Style" w:hAnsi="Bookman Old Style" w:cs="Tahoma"/>
          <w:b/>
          <w:i/>
          <w:sz w:val="20"/>
          <w:szCs w:val="20"/>
        </w:rPr>
        <w:t xml:space="preserve"> </w:t>
      </w:r>
      <w:proofErr w:type="spellStart"/>
      <w:r w:rsidRPr="00A52F70">
        <w:rPr>
          <w:rFonts w:ascii="Bookman Old Style" w:hAnsi="Bookman Old Style" w:cs="Tahoma"/>
          <w:b/>
          <w:i/>
          <w:sz w:val="20"/>
          <w:szCs w:val="20"/>
        </w:rPr>
        <w:t>alterm</w:t>
      </w:r>
      <w:proofErr w:type="spellEnd"/>
      <w:r w:rsidRPr="00A52F70">
        <w:rPr>
          <w:rFonts w:ascii="Bookman Old Style" w:hAnsi="Bookman Old Style" w:cs="Tahoma"/>
          <w:b/>
          <w:i/>
          <w:sz w:val="20"/>
          <w:szCs w:val="20"/>
        </w:rPr>
        <w:t xml:space="preserve"> </w:t>
      </w:r>
      <w:proofErr w:type="spellStart"/>
      <w:r w:rsidRPr="00A52F70">
        <w:rPr>
          <w:rFonts w:ascii="Bookman Old Style" w:hAnsi="Bookman Old Style" w:cs="Tahoma"/>
          <w:b/>
          <w:i/>
          <w:sz w:val="20"/>
          <w:szCs w:val="20"/>
        </w:rPr>
        <w:t>patem</w:t>
      </w:r>
      <w:proofErr w:type="spellEnd"/>
      <w:r w:rsidRPr="00A52F70">
        <w:rPr>
          <w:rFonts w:ascii="Bookman Old Style" w:hAnsi="Bookman Old Style" w:cs="Tahoma"/>
          <w:i/>
          <w:sz w:val="20"/>
          <w:szCs w:val="20"/>
        </w:rPr>
        <w:t xml:space="preserve"> rule was not observed, yet when Appellant was called in after the T.G.W.U representative had left, he kept insisting that he wanted his </w:t>
      </w:r>
      <w:r w:rsidRPr="00A52F70">
        <w:rPr>
          <w:rFonts w:ascii="Bookman Old Style" w:hAnsi="Bookman Old Style" w:cs="Tahoma"/>
          <w:b/>
          <w:i/>
          <w:sz w:val="20"/>
          <w:szCs w:val="20"/>
          <w:u w:val="single"/>
        </w:rPr>
        <w:t>refused access</w:t>
      </w:r>
      <w:r w:rsidRPr="00A52F70">
        <w:rPr>
          <w:rFonts w:ascii="Bookman Old Style" w:hAnsi="Bookman Old Style" w:cs="Tahoma"/>
          <w:i/>
          <w:sz w:val="20"/>
          <w:szCs w:val="20"/>
        </w:rPr>
        <w:t xml:space="preserve"> representatives present, since they had all his instructions.  Something which fall on deaf ears on the part of the Respondent</w:t>
      </w:r>
    </w:p>
    <w:p w:rsidR="00897A32" w:rsidRPr="00A52F70" w:rsidRDefault="00897A32" w:rsidP="00FE3A7B">
      <w:pPr>
        <w:pStyle w:val="ListParagraph"/>
        <w:numPr>
          <w:ilvl w:val="0"/>
          <w:numId w:val="1"/>
        </w:numPr>
        <w:spacing w:line="360" w:lineRule="auto"/>
        <w:jc w:val="both"/>
        <w:rPr>
          <w:rFonts w:ascii="Bookman Old Style" w:hAnsi="Bookman Old Style" w:cs="Tahoma"/>
          <w:i/>
          <w:sz w:val="20"/>
          <w:szCs w:val="20"/>
        </w:rPr>
      </w:pPr>
      <w:r w:rsidRPr="00A52F70">
        <w:rPr>
          <w:rFonts w:ascii="Bookman Old Style" w:hAnsi="Bookman Old Style" w:cs="Tahoma"/>
          <w:i/>
          <w:sz w:val="20"/>
          <w:szCs w:val="20"/>
        </w:rPr>
        <w:t xml:space="preserve">The Respondent in his </w:t>
      </w:r>
      <w:r w:rsidRPr="00A52F70">
        <w:rPr>
          <w:rFonts w:ascii="Bookman Old Style" w:hAnsi="Bookman Old Style" w:cs="Tahoma"/>
          <w:b/>
          <w:i/>
          <w:sz w:val="20"/>
          <w:szCs w:val="20"/>
          <w:u w:val="single"/>
        </w:rPr>
        <w:t>response of a letter of appeal</w:t>
      </w:r>
      <w:r w:rsidRPr="00A52F70">
        <w:rPr>
          <w:rFonts w:ascii="Bookman Old Style" w:hAnsi="Bookman Old Style" w:cs="Tahoma"/>
          <w:i/>
          <w:sz w:val="20"/>
          <w:szCs w:val="20"/>
        </w:rPr>
        <w:t xml:space="preserve"> date 2</w:t>
      </w:r>
      <w:r w:rsidRPr="00A52F70">
        <w:rPr>
          <w:rFonts w:ascii="Bookman Old Style" w:hAnsi="Bookman Old Style" w:cs="Tahoma"/>
          <w:i/>
          <w:sz w:val="20"/>
          <w:szCs w:val="20"/>
          <w:vertAlign w:val="superscript"/>
        </w:rPr>
        <w:t>nd</w:t>
      </w:r>
      <w:r w:rsidRPr="00A52F70">
        <w:rPr>
          <w:rFonts w:ascii="Bookman Old Style" w:hAnsi="Bookman Old Style" w:cs="Tahoma"/>
          <w:i/>
          <w:sz w:val="20"/>
          <w:szCs w:val="20"/>
        </w:rPr>
        <w:t xml:space="preserve"> March 2012, brings in new charges from the ones the Disciplinary committee sought or purported to discuss: page 2 paragraph 7 “</w:t>
      </w:r>
      <w:r w:rsidRPr="00A52F70">
        <w:rPr>
          <w:rFonts w:ascii="Bookman Old Style" w:hAnsi="Bookman Old Style" w:cs="Tahoma"/>
          <w:b/>
          <w:i/>
          <w:sz w:val="20"/>
          <w:szCs w:val="20"/>
        </w:rPr>
        <w:t>The charges, which were clearly outlined in the letter dated 23 February 2012 are for (I) failing to drive a copper truck in a convoy”</w:t>
      </w:r>
      <w:r w:rsidRPr="00A52F70">
        <w:rPr>
          <w:rFonts w:ascii="Bookman Old Style" w:hAnsi="Bookman Old Style" w:cs="Tahoma"/>
          <w:i/>
          <w:sz w:val="20"/>
          <w:szCs w:val="20"/>
        </w:rPr>
        <w:t>.  (See letter of 23/02/12).</w:t>
      </w:r>
    </w:p>
    <w:p w:rsidR="00897A32" w:rsidRPr="00A52F70" w:rsidRDefault="00897A32" w:rsidP="00FE3A7B">
      <w:pPr>
        <w:pStyle w:val="ListParagraph"/>
        <w:numPr>
          <w:ilvl w:val="0"/>
          <w:numId w:val="1"/>
        </w:numPr>
        <w:spacing w:line="360" w:lineRule="auto"/>
        <w:jc w:val="both"/>
        <w:rPr>
          <w:rFonts w:ascii="Bookman Old Style" w:hAnsi="Bookman Old Style" w:cs="Tahoma"/>
          <w:i/>
          <w:sz w:val="20"/>
          <w:szCs w:val="20"/>
        </w:rPr>
      </w:pPr>
      <w:r w:rsidRPr="00A52F70">
        <w:rPr>
          <w:rFonts w:ascii="Bookman Old Style" w:hAnsi="Bookman Old Style" w:cs="Tahoma"/>
          <w:i/>
          <w:sz w:val="20"/>
          <w:szCs w:val="20"/>
        </w:rPr>
        <w:t>That there was and is no prejudice which the company suffered, since the pick-up point, was the same route to the intended destination, had the Respondent allowed Appellant to proceed.</w:t>
      </w:r>
    </w:p>
    <w:p w:rsidR="00897A32" w:rsidRPr="00A52F70" w:rsidRDefault="00897A32" w:rsidP="00FE3A7B">
      <w:pPr>
        <w:pStyle w:val="ListParagraph"/>
        <w:numPr>
          <w:ilvl w:val="0"/>
          <w:numId w:val="1"/>
        </w:numPr>
        <w:spacing w:line="360" w:lineRule="auto"/>
        <w:jc w:val="both"/>
        <w:rPr>
          <w:rFonts w:ascii="Bookman Old Style" w:hAnsi="Bookman Old Style" w:cs="Tahoma"/>
          <w:i/>
          <w:sz w:val="20"/>
          <w:szCs w:val="20"/>
        </w:rPr>
      </w:pPr>
      <w:r w:rsidRPr="00A52F70">
        <w:rPr>
          <w:rFonts w:ascii="Bookman Old Style" w:hAnsi="Bookman Old Style" w:cs="Tahoma"/>
          <w:i/>
          <w:sz w:val="20"/>
          <w:szCs w:val="20"/>
        </w:rPr>
        <w:t xml:space="preserve">The traditional standing is that from </w:t>
      </w:r>
      <w:r w:rsidRPr="00A52F70">
        <w:rPr>
          <w:rFonts w:ascii="Bookman Old Style" w:hAnsi="Bookman Old Style" w:cs="Tahoma"/>
          <w:b/>
          <w:i/>
          <w:sz w:val="20"/>
          <w:szCs w:val="20"/>
        </w:rPr>
        <w:t>Harare</w:t>
      </w:r>
      <w:r w:rsidRPr="00A52F70">
        <w:rPr>
          <w:rFonts w:ascii="Bookman Old Style" w:hAnsi="Bookman Old Style" w:cs="Tahoma"/>
          <w:i/>
          <w:sz w:val="20"/>
          <w:szCs w:val="20"/>
        </w:rPr>
        <w:t xml:space="preserve"> to </w:t>
      </w:r>
      <w:r w:rsidRPr="00A52F70">
        <w:rPr>
          <w:rFonts w:ascii="Bookman Old Style" w:hAnsi="Bookman Old Style" w:cs="Tahoma"/>
          <w:b/>
          <w:i/>
          <w:sz w:val="20"/>
          <w:szCs w:val="20"/>
        </w:rPr>
        <w:t>Beira Mozambique</w:t>
      </w:r>
      <w:r w:rsidRPr="00A52F70">
        <w:rPr>
          <w:rFonts w:ascii="Bookman Old Style" w:hAnsi="Bookman Old Style" w:cs="Tahoma"/>
          <w:i/>
          <w:sz w:val="20"/>
          <w:szCs w:val="20"/>
        </w:rPr>
        <w:t>, there was and is no requirement and or instruction on which route you must utilize neither is there an instruction to travel in a Copper Convoy.  This is so beca</w:t>
      </w:r>
      <w:r w:rsidR="003F3C6D">
        <w:rPr>
          <w:rFonts w:ascii="Bookman Old Style" w:hAnsi="Bookman Old Style" w:cs="Tahoma"/>
          <w:i/>
          <w:sz w:val="20"/>
          <w:szCs w:val="20"/>
        </w:rPr>
        <w:t xml:space="preserve">use </w:t>
      </w:r>
      <w:proofErr w:type="gramStart"/>
      <w:r w:rsidR="003F3C6D">
        <w:rPr>
          <w:rFonts w:ascii="Bookman Old Style" w:hAnsi="Bookman Old Style" w:cs="Tahoma"/>
          <w:i/>
          <w:sz w:val="20"/>
          <w:szCs w:val="20"/>
        </w:rPr>
        <w:t>time of dispatch from the depot (workshop) vary</w:t>
      </w:r>
      <w:proofErr w:type="gramEnd"/>
      <w:r w:rsidR="003F3C6D">
        <w:rPr>
          <w:rFonts w:ascii="Bookman Old Style" w:hAnsi="Bookman Old Style" w:cs="Tahoma"/>
          <w:i/>
          <w:sz w:val="20"/>
          <w:szCs w:val="20"/>
        </w:rPr>
        <w:t xml:space="preserve">.  </w:t>
      </w:r>
      <w:r w:rsidRPr="00A52F70">
        <w:rPr>
          <w:rFonts w:ascii="Bookman Old Style" w:hAnsi="Bookman Old Style" w:cs="Tahoma"/>
          <w:i/>
          <w:sz w:val="20"/>
          <w:szCs w:val="20"/>
        </w:rPr>
        <w:t>Some trucks will have minor problems and others having major problems.</w:t>
      </w:r>
    </w:p>
    <w:p w:rsidR="00897A32" w:rsidRPr="007430C6" w:rsidRDefault="00897A32" w:rsidP="00FE3A7B">
      <w:pPr>
        <w:pStyle w:val="ListParagraph"/>
        <w:numPr>
          <w:ilvl w:val="0"/>
          <w:numId w:val="1"/>
        </w:numPr>
        <w:spacing w:line="360" w:lineRule="auto"/>
        <w:jc w:val="both"/>
        <w:rPr>
          <w:rFonts w:ascii="Bookman Old Style" w:hAnsi="Bookman Old Style" w:cs="Tahoma"/>
          <w:i/>
          <w:sz w:val="20"/>
          <w:szCs w:val="20"/>
        </w:rPr>
      </w:pPr>
      <w:r w:rsidRPr="00A52F70">
        <w:rPr>
          <w:rFonts w:ascii="Bookman Old Style" w:hAnsi="Bookman Old Style" w:cs="Tahoma"/>
          <w:i/>
          <w:sz w:val="20"/>
          <w:szCs w:val="20"/>
        </w:rPr>
        <w:t xml:space="preserve">The standing instruction to travel in a copper convoy </w:t>
      </w:r>
      <w:r w:rsidR="0085458A" w:rsidRPr="00A52F70">
        <w:rPr>
          <w:rFonts w:ascii="Bookman Old Style" w:hAnsi="Bookman Old Style" w:cs="Tahoma"/>
          <w:i/>
          <w:sz w:val="20"/>
          <w:szCs w:val="20"/>
        </w:rPr>
        <w:t>is</w:t>
      </w:r>
      <w:r w:rsidRPr="00A52F70">
        <w:rPr>
          <w:rFonts w:ascii="Bookman Old Style" w:hAnsi="Bookman Old Style" w:cs="Tahoma"/>
          <w:i/>
          <w:sz w:val="20"/>
          <w:szCs w:val="20"/>
        </w:rPr>
        <w:t xml:space="preserve"> from the loading point </w:t>
      </w:r>
      <w:r w:rsidRPr="00A52F70">
        <w:rPr>
          <w:rFonts w:ascii="Bookman Old Style" w:hAnsi="Bookman Old Style" w:cs="Tahoma"/>
          <w:b/>
          <w:i/>
          <w:sz w:val="20"/>
          <w:szCs w:val="20"/>
        </w:rPr>
        <w:t>(Ndola) Zambia</w:t>
      </w:r>
      <w:r w:rsidRPr="00A52F70">
        <w:rPr>
          <w:rFonts w:ascii="Bookman Old Style" w:hAnsi="Bookman Old Style" w:cs="Tahoma"/>
          <w:i/>
          <w:sz w:val="20"/>
          <w:szCs w:val="20"/>
        </w:rPr>
        <w:t xml:space="preserve"> to </w:t>
      </w:r>
      <w:r w:rsidRPr="00A52F70">
        <w:rPr>
          <w:rFonts w:ascii="Bookman Old Style" w:hAnsi="Bookman Old Style" w:cs="Tahoma"/>
          <w:b/>
          <w:i/>
          <w:sz w:val="20"/>
          <w:szCs w:val="20"/>
        </w:rPr>
        <w:t>Harare.</w:t>
      </w:r>
    </w:p>
    <w:p w:rsidR="007430C6" w:rsidRDefault="007430C6" w:rsidP="007430C6">
      <w:pPr>
        <w:spacing w:line="360" w:lineRule="auto"/>
        <w:jc w:val="both"/>
        <w:rPr>
          <w:rFonts w:ascii="Bookman Old Style" w:hAnsi="Bookman Old Style" w:cs="Tahoma"/>
          <w:i/>
          <w:sz w:val="20"/>
          <w:szCs w:val="20"/>
        </w:rPr>
      </w:pPr>
    </w:p>
    <w:p w:rsidR="007430C6" w:rsidRDefault="007430C6" w:rsidP="007430C6">
      <w:pPr>
        <w:spacing w:line="360" w:lineRule="auto"/>
        <w:ind w:left="360"/>
        <w:jc w:val="both"/>
        <w:rPr>
          <w:rFonts w:ascii="Trebuchet MS" w:hAnsi="Trebuchet MS" w:cs="Tahoma"/>
          <w:sz w:val="24"/>
          <w:szCs w:val="24"/>
        </w:rPr>
      </w:pPr>
      <w:r>
        <w:rPr>
          <w:rFonts w:ascii="Trebuchet MS" w:hAnsi="Trebuchet MS" w:cs="Tahoma"/>
          <w:sz w:val="24"/>
          <w:szCs w:val="24"/>
        </w:rPr>
        <w:t xml:space="preserve">Grounds of appeal (a) and (b) refer to the company’s refusal to allow representatives of the Transport and General </w:t>
      </w:r>
      <w:r w:rsidR="0085458A">
        <w:rPr>
          <w:rFonts w:ascii="Trebuchet MS" w:hAnsi="Trebuchet MS" w:cs="Tahoma"/>
          <w:sz w:val="24"/>
          <w:szCs w:val="24"/>
        </w:rPr>
        <w:t>Workers’ Union</w:t>
      </w:r>
      <w:r>
        <w:rPr>
          <w:rFonts w:ascii="Trebuchet MS" w:hAnsi="Trebuchet MS" w:cs="Tahoma"/>
          <w:sz w:val="24"/>
          <w:szCs w:val="24"/>
        </w:rPr>
        <w:t xml:space="preserve"> who were not employees of the company to represent the Appellant at the hearing.  A look into the Code of Conduct for </w:t>
      </w:r>
      <w:r w:rsidR="006159DD">
        <w:rPr>
          <w:rFonts w:ascii="Trebuchet MS" w:hAnsi="Trebuchet MS" w:cs="Tahoma"/>
          <w:sz w:val="24"/>
          <w:szCs w:val="24"/>
        </w:rPr>
        <w:t xml:space="preserve">the </w:t>
      </w:r>
      <w:r>
        <w:rPr>
          <w:rFonts w:ascii="Trebuchet MS" w:hAnsi="Trebuchet MS" w:cs="Tahoma"/>
          <w:sz w:val="24"/>
          <w:szCs w:val="24"/>
        </w:rPr>
        <w:t xml:space="preserve">Transport Operating Industry, Statutory </w:t>
      </w:r>
      <w:r>
        <w:rPr>
          <w:rFonts w:ascii="Trebuchet MS" w:hAnsi="Trebuchet MS" w:cs="Tahoma"/>
          <w:sz w:val="24"/>
          <w:szCs w:val="24"/>
        </w:rPr>
        <w:lastRenderedPageBreak/>
        <w:t xml:space="preserve">Instrument 94 of 1995 which was applicable at the time of the hearing shows that the exclusion of the Union members were in line with the Code of Conduct.  </w:t>
      </w:r>
      <w:proofErr w:type="gramStart"/>
      <w:r w:rsidRPr="0085458A">
        <w:rPr>
          <w:rFonts w:ascii="Trebuchet MS" w:hAnsi="Trebuchet MS" w:cs="Tahoma"/>
          <w:b/>
          <w:sz w:val="24"/>
          <w:szCs w:val="24"/>
        </w:rPr>
        <w:t>Section 7 (c)</w:t>
      </w:r>
      <w:r>
        <w:rPr>
          <w:rFonts w:ascii="Trebuchet MS" w:hAnsi="Trebuchet MS" w:cs="Tahoma"/>
          <w:sz w:val="24"/>
          <w:szCs w:val="24"/>
        </w:rPr>
        <w:t xml:space="preserve"> of the above code provided that an employee had “a right to be represented by a member of the </w:t>
      </w:r>
      <w:r w:rsidR="0085458A">
        <w:rPr>
          <w:rFonts w:ascii="Trebuchet MS" w:hAnsi="Trebuchet MS" w:cs="Tahoma"/>
          <w:sz w:val="24"/>
          <w:szCs w:val="24"/>
        </w:rPr>
        <w:t>Workers’ Committee</w:t>
      </w:r>
      <w:r>
        <w:rPr>
          <w:rFonts w:ascii="Trebuchet MS" w:hAnsi="Trebuchet MS" w:cs="Tahoma"/>
          <w:sz w:val="24"/>
          <w:szCs w:val="24"/>
        </w:rPr>
        <w:t xml:space="preserve"> or a member of the Trade Union who is employed at the workplace”.</w:t>
      </w:r>
      <w:proofErr w:type="gramEnd"/>
      <w:r>
        <w:rPr>
          <w:rFonts w:ascii="Trebuchet MS" w:hAnsi="Trebuchet MS" w:cs="Tahoma"/>
          <w:sz w:val="24"/>
          <w:szCs w:val="24"/>
        </w:rPr>
        <w:t xml:space="preserve">  </w:t>
      </w:r>
      <w:r w:rsidR="0085458A">
        <w:rPr>
          <w:rFonts w:ascii="Trebuchet MS" w:hAnsi="Trebuchet MS" w:cs="Tahoma"/>
          <w:sz w:val="24"/>
          <w:szCs w:val="24"/>
        </w:rPr>
        <w:t>The Union representatives whom the Appellant had invited to represent him were not “employed at the workplace” so they were properly excluded from the hearing.</w:t>
      </w:r>
    </w:p>
    <w:p w:rsidR="007430C6" w:rsidRDefault="007430C6" w:rsidP="007430C6">
      <w:pPr>
        <w:spacing w:line="360" w:lineRule="auto"/>
        <w:ind w:left="360"/>
        <w:jc w:val="both"/>
        <w:rPr>
          <w:rFonts w:ascii="Trebuchet MS" w:hAnsi="Trebuchet MS" w:cs="Tahoma"/>
          <w:sz w:val="24"/>
          <w:szCs w:val="24"/>
        </w:rPr>
      </w:pPr>
      <w:r>
        <w:rPr>
          <w:rFonts w:ascii="Trebuchet MS" w:hAnsi="Trebuchet MS" w:cs="Tahoma"/>
          <w:sz w:val="24"/>
          <w:szCs w:val="24"/>
        </w:rPr>
        <w:tab/>
        <w:t>Ground of Appeal (c) alleges that a letter dated 2 March, 2012 the termination advice brings in ne</w:t>
      </w:r>
      <w:r w:rsidR="00775ACC">
        <w:rPr>
          <w:rFonts w:ascii="Trebuchet MS" w:hAnsi="Trebuchet MS" w:cs="Tahoma"/>
          <w:sz w:val="24"/>
          <w:szCs w:val="24"/>
        </w:rPr>
        <w:t>w charges.  This allegatio</w:t>
      </w:r>
      <w:r>
        <w:rPr>
          <w:rFonts w:ascii="Trebuchet MS" w:hAnsi="Trebuchet MS" w:cs="Tahoma"/>
          <w:sz w:val="24"/>
          <w:szCs w:val="24"/>
        </w:rPr>
        <w:t>n has no basis at all and should be dismissed.  The Appellant was charged with</w:t>
      </w:r>
    </w:p>
    <w:p w:rsidR="007430C6" w:rsidRDefault="007430C6" w:rsidP="007430C6">
      <w:pPr>
        <w:pStyle w:val="ListParagraph"/>
        <w:numPr>
          <w:ilvl w:val="0"/>
          <w:numId w:val="2"/>
        </w:numPr>
        <w:spacing w:line="360" w:lineRule="auto"/>
        <w:jc w:val="both"/>
        <w:rPr>
          <w:rFonts w:ascii="Trebuchet MS" w:hAnsi="Trebuchet MS" w:cs="Tahoma"/>
          <w:sz w:val="24"/>
          <w:szCs w:val="24"/>
        </w:rPr>
      </w:pPr>
      <w:r>
        <w:rPr>
          <w:rFonts w:ascii="Trebuchet MS" w:hAnsi="Trebuchet MS" w:cs="Tahoma"/>
          <w:sz w:val="24"/>
          <w:szCs w:val="24"/>
        </w:rPr>
        <w:t>Wilful disobedience of a lawful order given by the employer</w:t>
      </w:r>
    </w:p>
    <w:p w:rsidR="007430C6" w:rsidRDefault="007430C6" w:rsidP="007430C6">
      <w:pPr>
        <w:pStyle w:val="ListParagraph"/>
        <w:numPr>
          <w:ilvl w:val="0"/>
          <w:numId w:val="2"/>
        </w:numPr>
        <w:spacing w:line="360" w:lineRule="auto"/>
        <w:jc w:val="both"/>
        <w:rPr>
          <w:rFonts w:ascii="Trebuchet MS" w:hAnsi="Trebuchet MS" w:cs="Tahoma"/>
          <w:sz w:val="24"/>
          <w:szCs w:val="24"/>
        </w:rPr>
      </w:pPr>
      <w:r>
        <w:rPr>
          <w:rFonts w:ascii="Trebuchet MS" w:hAnsi="Trebuchet MS" w:cs="Tahoma"/>
          <w:sz w:val="24"/>
          <w:szCs w:val="24"/>
        </w:rPr>
        <w:t>Abuse of company vehicle or alternatively, misuse of company property that is for personal gain.</w:t>
      </w:r>
    </w:p>
    <w:p w:rsidR="007430C6" w:rsidRDefault="00E55624" w:rsidP="007430C6">
      <w:pPr>
        <w:spacing w:line="360" w:lineRule="auto"/>
        <w:ind w:left="360"/>
        <w:jc w:val="both"/>
        <w:rPr>
          <w:rFonts w:ascii="Trebuchet MS" w:hAnsi="Trebuchet MS" w:cs="Tahoma"/>
          <w:sz w:val="24"/>
          <w:szCs w:val="24"/>
        </w:rPr>
      </w:pPr>
      <w:r>
        <w:rPr>
          <w:rFonts w:ascii="Trebuchet MS" w:hAnsi="Trebuchet MS" w:cs="Tahoma"/>
          <w:sz w:val="24"/>
          <w:szCs w:val="24"/>
        </w:rPr>
        <w:t>The above are the charges he was convicted of</w:t>
      </w:r>
      <w:r w:rsidR="00023E51">
        <w:rPr>
          <w:rFonts w:ascii="Trebuchet MS" w:hAnsi="Trebuchet MS" w:cs="Tahoma"/>
          <w:sz w:val="24"/>
          <w:szCs w:val="24"/>
        </w:rPr>
        <w:t>.</w:t>
      </w:r>
    </w:p>
    <w:p w:rsidR="00E55624" w:rsidRDefault="00E55624" w:rsidP="007430C6">
      <w:pPr>
        <w:spacing w:line="360" w:lineRule="auto"/>
        <w:ind w:left="360"/>
        <w:jc w:val="both"/>
        <w:rPr>
          <w:rFonts w:ascii="Trebuchet MS" w:hAnsi="Trebuchet MS" w:cs="Tahoma"/>
          <w:sz w:val="24"/>
          <w:szCs w:val="24"/>
        </w:rPr>
      </w:pPr>
      <w:r>
        <w:rPr>
          <w:rFonts w:ascii="Trebuchet MS" w:hAnsi="Trebuchet MS" w:cs="Tahoma"/>
          <w:sz w:val="24"/>
          <w:szCs w:val="24"/>
        </w:rPr>
        <w:t>The termination advice which is the letter of 2 March, 2012, in the second paragraph stated as follows;</w:t>
      </w:r>
    </w:p>
    <w:p w:rsidR="00E55624" w:rsidRDefault="00E55624" w:rsidP="007430C6">
      <w:pPr>
        <w:spacing w:line="360" w:lineRule="auto"/>
        <w:ind w:left="360"/>
        <w:jc w:val="both"/>
        <w:rPr>
          <w:rFonts w:ascii="Trebuchet MS" w:hAnsi="Trebuchet MS" w:cs="Tahoma"/>
          <w:sz w:val="24"/>
          <w:szCs w:val="24"/>
        </w:rPr>
      </w:pPr>
      <w:r>
        <w:rPr>
          <w:rFonts w:ascii="Trebuchet MS" w:hAnsi="Trebuchet MS" w:cs="Tahoma"/>
          <w:sz w:val="24"/>
          <w:szCs w:val="24"/>
        </w:rPr>
        <w:tab/>
        <w:t>The Disciplinary Committee found you guilty of committing the following acts of misconduct:</w:t>
      </w:r>
    </w:p>
    <w:p w:rsidR="00E55624" w:rsidRPr="0085458A" w:rsidRDefault="00E55624" w:rsidP="007430C6">
      <w:pPr>
        <w:spacing w:line="360" w:lineRule="auto"/>
        <w:ind w:left="360"/>
        <w:jc w:val="both"/>
        <w:rPr>
          <w:rFonts w:ascii="Bookman Old Style" w:hAnsi="Bookman Old Style" w:cs="Tahoma"/>
          <w:i/>
          <w:sz w:val="20"/>
          <w:szCs w:val="20"/>
        </w:rPr>
      </w:pPr>
      <w:r>
        <w:rPr>
          <w:rFonts w:ascii="Trebuchet MS" w:hAnsi="Trebuchet MS" w:cs="Tahoma"/>
          <w:sz w:val="24"/>
          <w:szCs w:val="24"/>
        </w:rPr>
        <w:tab/>
      </w:r>
      <w:r>
        <w:rPr>
          <w:rFonts w:ascii="Trebuchet MS" w:hAnsi="Trebuchet MS" w:cs="Tahoma"/>
          <w:sz w:val="24"/>
          <w:szCs w:val="24"/>
        </w:rPr>
        <w:tab/>
      </w:r>
      <w:r w:rsidRPr="0085458A">
        <w:rPr>
          <w:rFonts w:ascii="Bookman Old Style" w:hAnsi="Bookman Old Style" w:cs="Tahoma"/>
          <w:i/>
          <w:sz w:val="20"/>
          <w:szCs w:val="20"/>
        </w:rPr>
        <w:t>-wilful disobedience of a lawful order given by the employer</w:t>
      </w:r>
    </w:p>
    <w:p w:rsidR="00E55624" w:rsidRPr="0085458A" w:rsidRDefault="00E55624" w:rsidP="00E55624">
      <w:pPr>
        <w:spacing w:line="360" w:lineRule="auto"/>
        <w:ind w:left="1440"/>
        <w:jc w:val="both"/>
        <w:rPr>
          <w:rFonts w:ascii="Bookman Old Style" w:hAnsi="Bookman Old Style" w:cs="Tahoma"/>
          <w:i/>
          <w:sz w:val="20"/>
          <w:szCs w:val="20"/>
        </w:rPr>
      </w:pPr>
      <w:r w:rsidRPr="0085458A">
        <w:rPr>
          <w:rFonts w:ascii="Bookman Old Style" w:hAnsi="Bookman Old Style" w:cs="Tahoma"/>
          <w:i/>
          <w:sz w:val="20"/>
          <w:szCs w:val="20"/>
        </w:rPr>
        <w:t>-abuse of company vehicle or alternativ</w:t>
      </w:r>
      <w:r w:rsidR="00EE4CB6">
        <w:rPr>
          <w:rFonts w:ascii="Bookman Old Style" w:hAnsi="Bookman Old Style" w:cs="Tahoma"/>
          <w:i/>
          <w:sz w:val="20"/>
          <w:szCs w:val="20"/>
        </w:rPr>
        <w:t xml:space="preserve">ely, misuse of company property, </w:t>
      </w:r>
      <w:r w:rsidRPr="0085458A">
        <w:rPr>
          <w:rFonts w:ascii="Bookman Old Style" w:hAnsi="Bookman Old Style" w:cs="Tahoma"/>
          <w:i/>
          <w:sz w:val="20"/>
          <w:szCs w:val="20"/>
        </w:rPr>
        <w:t>that is for personal gain.</w:t>
      </w:r>
    </w:p>
    <w:p w:rsidR="00E55624" w:rsidRDefault="00E55624" w:rsidP="00E55624">
      <w:pPr>
        <w:spacing w:line="360" w:lineRule="auto"/>
        <w:jc w:val="both"/>
        <w:rPr>
          <w:rFonts w:ascii="Trebuchet MS" w:hAnsi="Trebuchet MS" w:cs="Tahoma"/>
          <w:sz w:val="24"/>
          <w:szCs w:val="24"/>
        </w:rPr>
      </w:pPr>
      <w:r>
        <w:rPr>
          <w:rFonts w:ascii="Trebuchet MS" w:hAnsi="Trebuchet MS" w:cs="Tahoma"/>
          <w:sz w:val="24"/>
          <w:szCs w:val="24"/>
        </w:rPr>
        <w:tab/>
        <w:t>The above are the same charges which appears in the letter of 23 February, 2012 to the Appellant in paragraph 2 of that letter.  The Court is therefore at a loss as to how the Appellant concluded that the letter of 2 March, 2012 contained fresh charges; given the observation above.</w:t>
      </w:r>
    </w:p>
    <w:p w:rsidR="00E55624" w:rsidRDefault="00E55624" w:rsidP="00E55624">
      <w:pPr>
        <w:spacing w:line="360" w:lineRule="auto"/>
        <w:jc w:val="both"/>
        <w:rPr>
          <w:rFonts w:ascii="Trebuchet MS" w:hAnsi="Trebuchet MS" w:cs="Tahoma"/>
          <w:sz w:val="24"/>
          <w:szCs w:val="24"/>
        </w:rPr>
      </w:pPr>
      <w:r>
        <w:rPr>
          <w:rFonts w:ascii="Trebuchet MS" w:hAnsi="Trebuchet MS" w:cs="Tahoma"/>
          <w:sz w:val="24"/>
          <w:szCs w:val="24"/>
        </w:rPr>
        <w:tab/>
        <w:t xml:space="preserve">Ground of appeal </w:t>
      </w:r>
      <w:r w:rsidR="00EE4CB6">
        <w:rPr>
          <w:rFonts w:ascii="Trebuchet MS" w:hAnsi="Trebuchet MS" w:cs="Tahoma"/>
          <w:sz w:val="24"/>
          <w:szCs w:val="24"/>
        </w:rPr>
        <w:t xml:space="preserve">(d) </w:t>
      </w:r>
      <w:r>
        <w:rPr>
          <w:rFonts w:ascii="Trebuchet MS" w:hAnsi="Trebuchet MS" w:cs="Tahoma"/>
          <w:sz w:val="24"/>
          <w:szCs w:val="24"/>
        </w:rPr>
        <w:t>says there was no prejudice to the company.  In</w:t>
      </w:r>
      <w:r w:rsidR="00EE4CB6">
        <w:rPr>
          <w:rFonts w:ascii="Trebuchet MS" w:hAnsi="Trebuchet MS" w:cs="Tahoma"/>
          <w:sz w:val="24"/>
          <w:szCs w:val="24"/>
        </w:rPr>
        <w:t>deed, there was no</w:t>
      </w:r>
      <w:r>
        <w:rPr>
          <w:rFonts w:ascii="Trebuchet MS" w:hAnsi="Trebuchet MS" w:cs="Tahoma"/>
          <w:sz w:val="24"/>
          <w:szCs w:val="24"/>
        </w:rPr>
        <w:t xml:space="preserve"> actual prejudice because the Appellant’s misconduct was realised quickly and he was called back to the depot.  However, from the evidence of the Operations manager, it is clear there is serious potential prejudice to the company </w:t>
      </w:r>
      <w:r w:rsidR="00264D07">
        <w:rPr>
          <w:rFonts w:ascii="Trebuchet MS" w:hAnsi="Trebuchet MS" w:cs="Tahoma"/>
          <w:sz w:val="24"/>
          <w:szCs w:val="24"/>
        </w:rPr>
        <w:lastRenderedPageBreak/>
        <w:t xml:space="preserve">if </w:t>
      </w:r>
      <w:r>
        <w:rPr>
          <w:rFonts w:ascii="Trebuchet MS" w:hAnsi="Trebuchet MS" w:cs="Tahoma"/>
          <w:sz w:val="24"/>
          <w:szCs w:val="24"/>
        </w:rPr>
        <w:t>truck drivers do not follow laid down procedur</w:t>
      </w:r>
      <w:r w:rsidR="00296CA6">
        <w:rPr>
          <w:rFonts w:ascii="Trebuchet MS" w:hAnsi="Trebuchet MS" w:cs="Tahoma"/>
          <w:sz w:val="24"/>
          <w:szCs w:val="24"/>
        </w:rPr>
        <w:t>es on routes and convoys.  Cli</w:t>
      </w:r>
      <w:r>
        <w:rPr>
          <w:rFonts w:ascii="Trebuchet MS" w:hAnsi="Trebuchet MS" w:cs="Tahoma"/>
          <w:sz w:val="24"/>
          <w:szCs w:val="24"/>
        </w:rPr>
        <w:t xml:space="preserve">ents whose goods are being </w:t>
      </w:r>
      <w:r w:rsidR="00880CFC">
        <w:rPr>
          <w:rFonts w:ascii="Trebuchet MS" w:hAnsi="Trebuchet MS" w:cs="Tahoma"/>
          <w:sz w:val="24"/>
          <w:szCs w:val="24"/>
        </w:rPr>
        <w:t>transported</w:t>
      </w:r>
      <w:r>
        <w:rPr>
          <w:rFonts w:ascii="Trebuchet MS" w:hAnsi="Trebuchet MS" w:cs="Tahoma"/>
          <w:sz w:val="24"/>
          <w:szCs w:val="24"/>
        </w:rPr>
        <w:t xml:space="preserve"> by the transport company want to be assured that their goods will get to the intended </w:t>
      </w:r>
      <w:r w:rsidR="00880CFC">
        <w:rPr>
          <w:rFonts w:ascii="Trebuchet MS" w:hAnsi="Trebuchet MS" w:cs="Tahoma"/>
          <w:sz w:val="24"/>
          <w:szCs w:val="24"/>
        </w:rPr>
        <w:t>destination</w:t>
      </w:r>
      <w:r>
        <w:rPr>
          <w:rFonts w:ascii="Trebuchet MS" w:hAnsi="Trebuchet MS" w:cs="Tahoma"/>
          <w:sz w:val="24"/>
          <w:szCs w:val="24"/>
        </w:rPr>
        <w:t xml:space="preserve"> safely through</w:t>
      </w:r>
      <w:r w:rsidR="00020DAD">
        <w:rPr>
          <w:rFonts w:ascii="Trebuchet MS" w:hAnsi="Trebuchet MS" w:cs="Tahoma"/>
          <w:sz w:val="24"/>
          <w:szCs w:val="24"/>
        </w:rPr>
        <w:t xml:space="preserve"> use of approved routes and in convoys for security against thefts and damage during transit.</w:t>
      </w:r>
    </w:p>
    <w:p w:rsidR="00020DAD" w:rsidRDefault="00020DAD" w:rsidP="00E55624">
      <w:pPr>
        <w:spacing w:line="360" w:lineRule="auto"/>
        <w:jc w:val="both"/>
        <w:rPr>
          <w:rFonts w:ascii="Trebuchet MS" w:hAnsi="Trebuchet MS" w:cs="Tahoma"/>
          <w:sz w:val="24"/>
          <w:szCs w:val="24"/>
        </w:rPr>
      </w:pPr>
      <w:r>
        <w:rPr>
          <w:rFonts w:ascii="Trebuchet MS" w:hAnsi="Trebuchet MS" w:cs="Tahoma"/>
          <w:sz w:val="24"/>
          <w:szCs w:val="24"/>
        </w:rPr>
        <w:tab/>
        <w:t>The Operations Manager’s evidence to the committee was that if the company does not follow the procedures agreed to with a client, the client can cancel the contract, resulting in the company losing business.  In any event the fact that there is no actual prejudice because the misconduct is quickly discovered is not a defence for the Appellant.</w:t>
      </w:r>
    </w:p>
    <w:p w:rsidR="00020DAD" w:rsidRDefault="00020DAD" w:rsidP="00E55624">
      <w:pPr>
        <w:spacing w:line="360" w:lineRule="auto"/>
        <w:jc w:val="both"/>
        <w:rPr>
          <w:rFonts w:ascii="Trebuchet MS" w:hAnsi="Trebuchet MS" w:cs="Tahoma"/>
          <w:sz w:val="24"/>
          <w:szCs w:val="24"/>
        </w:rPr>
      </w:pPr>
      <w:r>
        <w:rPr>
          <w:rFonts w:ascii="Trebuchet MS" w:hAnsi="Trebuchet MS" w:cs="Tahoma"/>
          <w:sz w:val="24"/>
          <w:szCs w:val="24"/>
        </w:rPr>
        <w:tab/>
        <w:t xml:space="preserve">Grounds of appeal (e) and (f) are saying there was no instruction on which route to use neither is there an instruction to travel in a Copper Convoy.  These two grounds have no merit and should be dismissed because the Appellant admitted at the disciplinary hearing and the appeal hearing that on 21 February, 2012, he was “instructed to leave the depot at 6:00 </w:t>
      </w:r>
      <w:r w:rsidR="0085458A">
        <w:rPr>
          <w:rFonts w:ascii="Trebuchet MS" w:hAnsi="Trebuchet MS" w:cs="Tahoma"/>
          <w:sz w:val="24"/>
          <w:szCs w:val="24"/>
        </w:rPr>
        <w:t>am</w:t>
      </w:r>
      <w:r>
        <w:rPr>
          <w:rFonts w:ascii="Trebuchet MS" w:hAnsi="Trebuchet MS" w:cs="Tahoma"/>
          <w:sz w:val="24"/>
          <w:szCs w:val="24"/>
        </w:rPr>
        <w:t xml:space="preserve"> to proceed with a Copper Convoy from Harare to Forbes”.  So even if they were no sta</w:t>
      </w:r>
      <w:r w:rsidR="00072DF3">
        <w:rPr>
          <w:rFonts w:ascii="Trebuchet MS" w:hAnsi="Trebuchet MS" w:cs="Tahoma"/>
          <w:sz w:val="24"/>
          <w:szCs w:val="24"/>
        </w:rPr>
        <w:t xml:space="preserve">nding or permanent instructions, we know from his own admission </w:t>
      </w:r>
      <w:r>
        <w:rPr>
          <w:rFonts w:ascii="Trebuchet MS" w:hAnsi="Trebuchet MS" w:cs="Tahoma"/>
          <w:sz w:val="24"/>
          <w:szCs w:val="24"/>
        </w:rPr>
        <w:t>that he was instructed to proceed with a Copper Convoy and he abandoned that Convoy  and went on a frolic of his own, in contravention of that instruction he had been given.</w:t>
      </w:r>
    </w:p>
    <w:p w:rsidR="00020DAD" w:rsidRDefault="00020DAD" w:rsidP="00E55624">
      <w:pPr>
        <w:spacing w:line="360" w:lineRule="auto"/>
        <w:jc w:val="both"/>
        <w:rPr>
          <w:rFonts w:ascii="Trebuchet MS" w:hAnsi="Trebuchet MS" w:cs="Tahoma"/>
          <w:sz w:val="24"/>
          <w:szCs w:val="24"/>
        </w:rPr>
      </w:pPr>
      <w:r>
        <w:rPr>
          <w:rFonts w:ascii="Trebuchet MS" w:hAnsi="Trebuchet MS" w:cs="Tahoma"/>
          <w:sz w:val="24"/>
          <w:szCs w:val="24"/>
        </w:rPr>
        <w:tab/>
        <w:t>In view of the above reasons, the Court has no option but to dismiss the appeal.</w:t>
      </w:r>
      <w:r w:rsidR="0072629A">
        <w:rPr>
          <w:rFonts w:ascii="Trebuchet MS" w:hAnsi="Trebuchet MS" w:cs="Tahoma"/>
          <w:sz w:val="24"/>
          <w:szCs w:val="24"/>
        </w:rPr>
        <w:t xml:space="preserve">  Each party will pay its own costs.</w:t>
      </w:r>
    </w:p>
    <w:p w:rsidR="00020DAD" w:rsidRPr="007430C6" w:rsidRDefault="00020DAD" w:rsidP="00E55624">
      <w:pPr>
        <w:spacing w:line="360" w:lineRule="auto"/>
        <w:jc w:val="both"/>
        <w:rPr>
          <w:rFonts w:ascii="Trebuchet MS" w:hAnsi="Trebuchet MS" w:cs="Tahoma"/>
          <w:sz w:val="24"/>
          <w:szCs w:val="24"/>
        </w:rPr>
      </w:pPr>
    </w:p>
    <w:sectPr w:rsidR="00020DAD" w:rsidRPr="007430C6" w:rsidSect="0085458A">
      <w:headerReference w:type="default" r:id="rId8"/>
      <w:footerReference w:type="default" r:id="rId9"/>
      <w:pgSz w:w="11906" w:h="16838"/>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233FA" w:rsidRDefault="001233FA" w:rsidP="0085458A">
      <w:pPr>
        <w:spacing w:after="0" w:line="240" w:lineRule="auto"/>
      </w:pPr>
      <w:r>
        <w:separator/>
      </w:r>
    </w:p>
  </w:endnote>
  <w:endnote w:type="continuationSeparator" w:id="0">
    <w:p w:rsidR="001233FA" w:rsidRDefault="001233FA" w:rsidP="008545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rebuchet MS">
    <w:panose1 w:val="020B0603020202020204"/>
    <w:charset w:val="00"/>
    <w:family w:val="swiss"/>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1284254"/>
      <w:docPartObj>
        <w:docPartGallery w:val="Page Numbers (Bottom of Page)"/>
        <w:docPartUnique/>
      </w:docPartObj>
    </w:sdtPr>
    <w:sdtEndPr/>
    <w:sdtContent>
      <w:p w:rsidR="0085458A" w:rsidRDefault="001233FA">
        <w:pPr>
          <w:pStyle w:val="Footer"/>
          <w:jc w:val="right"/>
        </w:pPr>
        <w:r>
          <w:fldChar w:fldCharType="begin"/>
        </w:r>
        <w:r>
          <w:instrText xml:space="preserve"> PAGE   \* MERGEFORMAT </w:instrText>
        </w:r>
        <w:r>
          <w:fldChar w:fldCharType="separate"/>
        </w:r>
        <w:r w:rsidR="00CF21D9">
          <w:rPr>
            <w:noProof/>
          </w:rPr>
          <w:t>4</w:t>
        </w:r>
        <w:r>
          <w:rPr>
            <w:noProof/>
          </w:rPr>
          <w:fldChar w:fldCharType="end"/>
        </w:r>
      </w:p>
    </w:sdtContent>
  </w:sdt>
  <w:p w:rsidR="0085458A" w:rsidRDefault="0085458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233FA" w:rsidRDefault="001233FA" w:rsidP="0085458A">
      <w:pPr>
        <w:spacing w:after="0" w:line="240" w:lineRule="auto"/>
      </w:pPr>
      <w:r>
        <w:separator/>
      </w:r>
    </w:p>
  </w:footnote>
  <w:footnote w:type="continuationSeparator" w:id="0">
    <w:p w:rsidR="001233FA" w:rsidRDefault="001233FA" w:rsidP="0085458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5458A" w:rsidRDefault="0085458A" w:rsidP="0085458A">
    <w:pPr>
      <w:pStyle w:val="Header"/>
      <w:jc w:val="right"/>
    </w:pPr>
    <w:r w:rsidRPr="00DD33DB">
      <w:rPr>
        <w:rFonts w:ascii="Trebuchet MS" w:hAnsi="Trebuchet MS"/>
        <w:b/>
        <w:sz w:val="24"/>
        <w:szCs w:val="24"/>
      </w:rPr>
      <w:t>JUDGMENT NO. LC/H/173/13</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75E24D4"/>
    <w:multiLevelType w:val="hybridMultilevel"/>
    <w:tmpl w:val="53B487B6"/>
    <w:lvl w:ilvl="0" w:tplc="30090017">
      <w:start w:val="1"/>
      <w:numFmt w:val="lowerLetter"/>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
    <w:nsid w:val="739156F1"/>
    <w:multiLevelType w:val="hybridMultilevel"/>
    <w:tmpl w:val="5DFCE37A"/>
    <w:lvl w:ilvl="0" w:tplc="9604BD64">
      <w:start w:val="1"/>
      <w:numFmt w:val="lowerRoman"/>
      <w:lvlText w:val="(%1)"/>
      <w:lvlJc w:val="left"/>
      <w:pPr>
        <w:ind w:left="1080" w:hanging="72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D33DB"/>
    <w:rsid w:val="00020DAD"/>
    <w:rsid w:val="00023E51"/>
    <w:rsid w:val="00072DF3"/>
    <w:rsid w:val="00085B2F"/>
    <w:rsid w:val="001233FA"/>
    <w:rsid w:val="001405F9"/>
    <w:rsid w:val="00170320"/>
    <w:rsid w:val="001E154B"/>
    <w:rsid w:val="00264D07"/>
    <w:rsid w:val="00296CA6"/>
    <w:rsid w:val="00307942"/>
    <w:rsid w:val="00333821"/>
    <w:rsid w:val="00337D72"/>
    <w:rsid w:val="00376620"/>
    <w:rsid w:val="003F3C6D"/>
    <w:rsid w:val="00465312"/>
    <w:rsid w:val="004704B4"/>
    <w:rsid w:val="00537308"/>
    <w:rsid w:val="00545922"/>
    <w:rsid w:val="005D716A"/>
    <w:rsid w:val="0060624D"/>
    <w:rsid w:val="006159DD"/>
    <w:rsid w:val="00615C90"/>
    <w:rsid w:val="00707628"/>
    <w:rsid w:val="0072629A"/>
    <w:rsid w:val="007430C6"/>
    <w:rsid w:val="00775ACC"/>
    <w:rsid w:val="0085458A"/>
    <w:rsid w:val="00854D68"/>
    <w:rsid w:val="00880CFC"/>
    <w:rsid w:val="00897A32"/>
    <w:rsid w:val="00977539"/>
    <w:rsid w:val="009A4202"/>
    <w:rsid w:val="009B44F9"/>
    <w:rsid w:val="00A41174"/>
    <w:rsid w:val="00A43572"/>
    <w:rsid w:val="00A52F70"/>
    <w:rsid w:val="00AC70F3"/>
    <w:rsid w:val="00B47657"/>
    <w:rsid w:val="00C23840"/>
    <w:rsid w:val="00CF21D9"/>
    <w:rsid w:val="00D3092B"/>
    <w:rsid w:val="00DB6596"/>
    <w:rsid w:val="00DD33DB"/>
    <w:rsid w:val="00E55624"/>
    <w:rsid w:val="00EE3735"/>
    <w:rsid w:val="00EE4CB6"/>
    <w:rsid w:val="00F00D43"/>
    <w:rsid w:val="00F64E55"/>
    <w:rsid w:val="00F66AE6"/>
    <w:rsid w:val="00FE3A7B"/>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ZW" w:eastAsia="en-ZW"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E3A7B"/>
    <w:pPr>
      <w:ind w:left="720"/>
      <w:contextualSpacing/>
    </w:pPr>
  </w:style>
  <w:style w:type="paragraph" w:styleId="Header">
    <w:name w:val="header"/>
    <w:basedOn w:val="Normal"/>
    <w:link w:val="HeaderChar"/>
    <w:uiPriority w:val="99"/>
    <w:semiHidden/>
    <w:unhideWhenUsed/>
    <w:rsid w:val="0085458A"/>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85458A"/>
  </w:style>
  <w:style w:type="paragraph" w:styleId="Footer">
    <w:name w:val="footer"/>
    <w:basedOn w:val="Normal"/>
    <w:link w:val="FooterChar"/>
    <w:uiPriority w:val="99"/>
    <w:unhideWhenUsed/>
    <w:rsid w:val="0085458A"/>
    <w:pPr>
      <w:tabs>
        <w:tab w:val="center" w:pos="4513"/>
        <w:tab w:val="right" w:pos="9026"/>
      </w:tabs>
      <w:spacing w:after="0" w:line="240" w:lineRule="auto"/>
    </w:pPr>
  </w:style>
  <w:style w:type="character" w:customStyle="1" w:styleId="FooterChar">
    <w:name w:val="Footer Char"/>
    <w:basedOn w:val="DefaultParagraphFont"/>
    <w:link w:val="Footer"/>
    <w:uiPriority w:val="99"/>
    <w:rsid w:val="0085458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ZW" w:eastAsia="en-ZW"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E3A7B"/>
    <w:pPr>
      <w:ind w:left="720"/>
      <w:contextualSpacing/>
    </w:pPr>
  </w:style>
  <w:style w:type="paragraph" w:styleId="Header">
    <w:name w:val="header"/>
    <w:basedOn w:val="Normal"/>
    <w:link w:val="HeaderChar"/>
    <w:uiPriority w:val="99"/>
    <w:semiHidden/>
    <w:unhideWhenUsed/>
    <w:rsid w:val="0085458A"/>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85458A"/>
  </w:style>
  <w:style w:type="paragraph" w:styleId="Footer">
    <w:name w:val="footer"/>
    <w:basedOn w:val="Normal"/>
    <w:link w:val="FooterChar"/>
    <w:uiPriority w:val="99"/>
    <w:unhideWhenUsed/>
    <w:rsid w:val="0085458A"/>
    <w:pPr>
      <w:tabs>
        <w:tab w:val="center" w:pos="4513"/>
        <w:tab w:val="right" w:pos="9026"/>
      </w:tabs>
      <w:spacing w:after="0" w:line="240" w:lineRule="auto"/>
    </w:pPr>
  </w:style>
  <w:style w:type="character" w:customStyle="1" w:styleId="FooterChar">
    <w:name w:val="Footer Char"/>
    <w:basedOn w:val="DefaultParagraphFont"/>
    <w:link w:val="Footer"/>
    <w:uiPriority w:val="99"/>
    <w:rsid w:val="0085458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1058</Words>
  <Characters>6036</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7080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MELODY</dc:creator>
  <cp:lastModifiedBy>HP</cp:lastModifiedBy>
  <cp:revision>2</cp:revision>
  <dcterms:created xsi:type="dcterms:W3CDTF">2017-04-05T13:01:00Z</dcterms:created>
  <dcterms:modified xsi:type="dcterms:W3CDTF">2017-04-05T13:01:00Z</dcterms:modified>
</cp:coreProperties>
</file>