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73816" w14:textId="77777777" w:rsidR="00332697" w:rsidRDefault="00332697">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175" w:type="dxa"/>
        <w:tblInd w:w="-601" w:type="dxa"/>
        <w:tblBorders>
          <w:bottom w:val="single" w:sz="6" w:space="0" w:color="000000"/>
        </w:tblBorders>
        <w:tblLayout w:type="fixed"/>
        <w:tblLook w:val="0000" w:firstRow="0" w:lastRow="0" w:firstColumn="0" w:lastColumn="0" w:noHBand="0" w:noVBand="0"/>
      </w:tblPr>
      <w:tblGrid>
        <w:gridCol w:w="3896"/>
        <w:gridCol w:w="1491"/>
        <w:gridCol w:w="4394"/>
        <w:gridCol w:w="4394"/>
      </w:tblGrid>
      <w:tr w:rsidR="00332697" w14:paraId="1F9EE17C" w14:textId="77777777">
        <w:trPr>
          <w:trHeight w:val="70"/>
        </w:trPr>
        <w:tc>
          <w:tcPr>
            <w:tcW w:w="3896" w:type="dxa"/>
            <w:tcBorders>
              <w:bottom w:val="nil"/>
            </w:tcBorders>
          </w:tcPr>
          <w:p w14:paraId="310F83E7" w14:textId="77777777" w:rsidR="00332697" w:rsidRDefault="00332697">
            <w:pPr>
              <w:tabs>
                <w:tab w:val="left" w:pos="1134"/>
                <w:tab w:val="left" w:pos="1276"/>
                <w:tab w:val="left" w:pos="1560"/>
                <w:tab w:val="center" w:pos="4395"/>
                <w:tab w:val="right" w:pos="8505"/>
              </w:tabs>
              <w:spacing w:line="360" w:lineRule="auto"/>
              <w:jc w:val="both"/>
              <w:rPr>
                <w:b/>
                <w:sz w:val="2"/>
                <w:szCs w:val="2"/>
              </w:rPr>
            </w:pPr>
          </w:p>
        </w:tc>
        <w:tc>
          <w:tcPr>
            <w:tcW w:w="1491" w:type="dxa"/>
            <w:tcBorders>
              <w:bottom w:val="nil"/>
            </w:tcBorders>
          </w:tcPr>
          <w:p w14:paraId="3B43FB93" w14:textId="77777777" w:rsidR="00332697" w:rsidRDefault="00332697">
            <w:pPr>
              <w:tabs>
                <w:tab w:val="center" w:pos="4395"/>
                <w:tab w:val="right" w:pos="8505"/>
              </w:tabs>
              <w:spacing w:line="360" w:lineRule="auto"/>
              <w:jc w:val="both"/>
              <w:rPr>
                <w:sz w:val="19"/>
                <w:szCs w:val="19"/>
              </w:rPr>
            </w:pPr>
          </w:p>
        </w:tc>
        <w:tc>
          <w:tcPr>
            <w:tcW w:w="4394" w:type="dxa"/>
            <w:tcBorders>
              <w:bottom w:val="nil"/>
            </w:tcBorders>
          </w:tcPr>
          <w:p w14:paraId="3A171B42" w14:textId="77777777" w:rsidR="00332697" w:rsidRDefault="00332697">
            <w:pPr>
              <w:tabs>
                <w:tab w:val="center" w:pos="4395"/>
                <w:tab w:val="right" w:pos="8505"/>
              </w:tabs>
              <w:spacing w:line="360" w:lineRule="auto"/>
              <w:jc w:val="both"/>
              <w:rPr>
                <w:b/>
                <w:sz w:val="19"/>
                <w:szCs w:val="19"/>
              </w:rPr>
            </w:pPr>
          </w:p>
        </w:tc>
        <w:tc>
          <w:tcPr>
            <w:tcW w:w="4394" w:type="dxa"/>
            <w:tcBorders>
              <w:bottom w:val="nil"/>
            </w:tcBorders>
          </w:tcPr>
          <w:p w14:paraId="237D7930" w14:textId="77777777" w:rsidR="00332697" w:rsidRDefault="00332697">
            <w:pPr>
              <w:tabs>
                <w:tab w:val="center" w:pos="4395"/>
                <w:tab w:val="right" w:pos="8505"/>
              </w:tabs>
              <w:spacing w:line="360" w:lineRule="auto"/>
              <w:jc w:val="both"/>
              <w:rPr>
                <w:b/>
                <w:sz w:val="19"/>
                <w:szCs w:val="19"/>
              </w:rPr>
            </w:pPr>
          </w:p>
        </w:tc>
      </w:tr>
    </w:tbl>
    <w:p w14:paraId="2D3D0A9F" w14:textId="77777777" w:rsidR="00332697" w:rsidRDefault="00471E65" w:rsidP="00FA5EBB">
      <w:pPr>
        <w:jc w:val="both"/>
      </w:pPr>
      <w:r>
        <w:t>MORGAN PARADZA</w:t>
      </w:r>
    </w:p>
    <w:p w14:paraId="6F7FF1A6" w14:textId="77777777" w:rsidR="00332697" w:rsidRDefault="00471E65" w:rsidP="00FA5EBB">
      <w:pPr>
        <w:jc w:val="both"/>
      </w:pPr>
      <w:r>
        <w:t xml:space="preserve">versus </w:t>
      </w:r>
    </w:p>
    <w:p w14:paraId="62D7F030" w14:textId="77777777" w:rsidR="00332697" w:rsidRDefault="00471E65" w:rsidP="00FA5EBB">
      <w:pPr>
        <w:jc w:val="both"/>
      </w:pPr>
      <w:r>
        <w:t>MASHONALAND TOBACCO COMPANY</w:t>
      </w:r>
    </w:p>
    <w:p w14:paraId="11263FB3" w14:textId="77777777" w:rsidR="00332697" w:rsidRDefault="00332697" w:rsidP="00FA5EBB">
      <w:pPr>
        <w:jc w:val="both"/>
      </w:pPr>
    </w:p>
    <w:p w14:paraId="03667CD7" w14:textId="77777777" w:rsidR="00332697" w:rsidRDefault="00332697" w:rsidP="00FA5EBB">
      <w:pPr>
        <w:jc w:val="both"/>
        <w:rPr>
          <w:sz w:val="6"/>
          <w:szCs w:val="6"/>
        </w:rPr>
      </w:pPr>
    </w:p>
    <w:p w14:paraId="2883FC1C" w14:textId="77777777" w:rsidR="007904A4" w:rsidRDefault="007904A4" w:rsidP="00FA5EBB">
      <w:pPr>
        <w:jc w:val="both"/>
        <w:rPr>
          <w:sz w:val="16"/>
          <w:szCs w:val="16"/>
        </w:rPr>
      </w:pPr>
    </w:p>
    <w:p w14:paraId="521C655D" w14:textId="77777777" w:rsidR="00332697" w:rsidRDefault="00471E65" w:rsidP="00FA5EBB">
      <w:pPr>
        <w:jc w:val="both"/>
      </w:pPr>
      <w:r>
        <w:t>HIGH COURT OF ZIMBABWE</w:t>
      </w:r>
    </w:p>
    <w:p w14:paraId="26698B09" w14:textId="77777777" w:rsidR="00332697" w:rsidRDefault="00471E65" w:rsidP="00FA5EBB">
      <w:pPr>
        <w:jc w:val="both"/>
      </w:pPr>
      <w:r>
        <w:t>CHINAMORA J</w:t>
      </w:r>
    </w:p>
    <w:p w14:paraId="3A07A17A" w14:textId="703D705E" w:rsidR="00332697" w:rsidRDefault="00471E65" w:rsidP="00FA5EBB">
      <w:pPr>
        <w:jc w:val="both"/>
      </w:pPr>
      <w:r>
        <w:t>HARARE</w:t>
      </w:r>
      <w:r w:rsidR="00D9384D">
        <w:t>,</w:t>
      </w:r>
      <w:r>
        <w:t xml:space="preserve"> 26 July 2022 and 1</w:t>
      </w:r>
      <w:r w:rsidR="00377E1E">
        <w:t>5</w:t>
      </w:r>
      <w:r>
        <w:t xml:space="preserve"> March 2023</w:t>
      </w:r>
    </w:p>
    <w:p w14:paraId="3BAB08A9" w14:textId="0A74A80A" w:rsidR="007904A4" w:rsidRDefault="007904A4" w:rsidP="00FA5EBB">
      <w:pPr>
        <w:jc w:val="both"/>
      </w:pPr>
    </w:p>
    <w:p w14:paraId="385F2F0C" w14:textId="77777777" w:rsidR="00FA5EBB" w:rsidRDefault="00FA5EBB" w:rsidP="00FA5EBB">
      <w:pPr>
        <w:jc w:val="both"/>
      </w:pPr>
    </w:p>
    <w:p w14:paraId="3C600922" w14:textId="702285FB" w:rsidR="00332697" w:rsidRDefault="00471E65" w:rsidP="00FA5EBB">
      <w:pPr>
        <w:jc w:val="both"/>
        <w:rPr>
          <w:b/>
        </w:rPr>
      </w:pPr>
      <w:r>
        <w:rPr>
          <w:b/>
        </w:rPr>
        <w:t xml:space="preserve">Opposed </w:t>
      </w:r>
      <w:r w:rsidR="00A82776">
        <w:rPr>
          <w:b/>
        </w:rPr>
        <w:t>A</w:t>
      </w:r>
      <w:r>
        <w:rPr>
          <w:b/>
        </w:rPr>
        <w:t xml:space="preserve">pplication </w:t>
      </w:r>
    </w:p>
    <w:p w14:paraId="166802B0" w14:textId="77777777" w:rsidR="007904A4" w:rsidRDefault="007904A4" w:rsidP="00FA5EBB">
      <w:pPr>
        <w:jc w:val="both"/>
        <w:rPr>
          <w:i/>
          <w:iCs/>
        </w:rPr>
      </w:pPr>
    </w:p>
    <w:p w14:paraId="27AB25FF" w14:textId="77777777" w:rsidR="007904A4" w:rsidRDefault="007904A4" w:rsidP="00FA5EBB">
      <w:pPr>
        <w:jc w:val="both"/>
        <w:rPr>
          <w:i/>
          <w:iCs/>
        </w:rPr>
      </w:pPr>
    </w:p>
    <w:p w14:paraId="4B4B37A4" w14:textId="2F3BE41E" w:rsidR="00332697" w:rsidRDefault="00E46687" w:rsidP="007904A4">
      <w:pPr>
        <w:jc w:val="both"/>
        <w:rPr>
          <w:b/>
        </w:rPr>
      </w:pPr>
      <w:r w:rsidRPr="00D9384D">
        <w:t>Mr</w:t>
      </w:r>
      <w:r w:rsidRPr="00943CC0">
        <w:rPr>
          <w:i/>
          <w:iCs/>
        </w:rPr>
        <w:t xml:space="preserve"> N Mugiya</w:t>
      </w:r>
      <w:r w:rsidR="00471E65">
        <w:t>, for the applicant</w:t>
      </w:r>
    </w:p>
    <w:p w14:paraId="1FA263B3" w14:textId="49C903D5" w:rsidR="00332697" w:rsidRDefault="00E46687" w:rsidP="007904A4">
      <w:pPr>
        <w:jc w:val="both"/>
      </w:pPr>
      <w:r w:rsidRPr="00D9384D">
        <w:t>Mr</w:t>
      </w:r>
      <w:r w:rsidRPr="00943CC0">
        <w:rPr>
          <w:i/>
          <w:iCs/>
        </w:rPr>
        <w:t xml:space="preserve"> G Ndlovu</w:t>
      </w:r>
      <w:r w:rsidR="00471E65">
        <w:t>, for the respondent</w:t>
      </w:r>
    </w:p>
    <w:p w14:paraId="4EB9CF09" w14:textId="77777777" w:rsidR="002669D7" w:rsidRDefault="002669D7">
      <w:pPr>
        <w:spacing w:after="120" w:line="360" w:lineRule="auto"/>
        <w:jc w:val="both"/>
      </w:pPr>
    </w:p>
    <w:p w14:paraId="6EF078C5" w14:textId="4F3566E9" w:rsidR="00332697" w:rsidRPr="005F19DE" w:rsidRDefault="00471E65">
      <w:pPr>
        <w:spacing w:after="120" w:line="360" w:lineRule="auto"/>
        <w:jc w:val="both"/>
        <w:rPr>
          <w:b/>
          <w:bCs/>
        </w:rPr>
      </w:pPr>
      <w:r w:rsidRPr="005F19DE">
        <w:rPr>
          <w:b/>
          <w:bCs/>
        </w:rPr>
        <w:t xml:space="preserve">CHINAMORA J: </w:t>
      </w:r>
    </w:p>
    <w:p w14:paraId="1A5620EB" w14:textId="77777777" w:rsidR="00332697" w:rsidRDefault="00471E65" w:rsidP="00D9384D">
      <w:pPr>
        <w:spacing w:line="360" w:lineRule="auto"/>
        <w:jc w:val="both"/>
        <w:rPr>
          <w:b/>
        </w:rPr>
      </w:pPr>
      <w:r>
        <w:rPr>
          <w:b/>
        </w:rPr>
        <w:t>Background facts:</w:t>
      </w:r>
    </w:p>
    <w:p w14:paraId="75399AE1" w14:textId="1491F825" w:rsidR="00332697" w:rsidRDefault="00471E65">
      <w:pPr>
        <w:pBdr>
          <w:top w:val="nil"/>
          <w:left w:val="nil"/>
          <w:bottom w:val="nil"/>
          <w:right w:val="nil"/>
          <w:between w:val="nil"/>
        </w:pBdr>
        <w:shd w:val="clear" w:color="auto" w:fill="FFFFFF"/>
        <w:spacing w:line="360" w:lineRule="auto"/>
        <w:ind w:firstLine="720"/>
        <w:jc w:val="both"/>
        <w:rPr>
          <w:color w:val="000000"/>
        </w:rPr>
      </w:pPr>
      <w:r>
        <w:rPr>
          <w:color w:val="000000"/>
        </w:rPr>
        <w:t>This is an application for a decl</w:t>
      </w:r>
      <w:r w:rsidR="00827CF0">
        <w:rPr>
          <w:color w:val="000000"/>
        </w:rPr>
        <w:t>a</w:t>
      </w:r>
      <w:r>
        <w:rPr>
          <w:color w:val="000000"/>
        </w:rPr>
        <w:t>rat</w:t>
      </w:r>
      <w:r w:rsidR="00D9384D">
        <w:rPr>
          <w:color w:val="000000"/>
        </w:rPr>
        <w:t>u</w:t>
      </w:r>
      <w:r>
        <w:rPr>
          <w:color w:val="000000"/>
        </w:rPr>
        <w:t>r in terms of s 14 of the High Court Act. The background facts are that the applicant was employed by the respondent</w:t>
      </w:r>
      <w:r w:rsidR="007B75D7">
        <w:rPr>
          <w:color w:val="000000"/>
        </w:rPr>
        <w:t>, Mashonaland Tobacco Company (“MTC”)</w:t>
      </w:r>
      <w:r w:rsidR="00980CF5">
        <w:rPr>
          <w:color w:val="000000"/>
        </w:rPr>
        <w:t xml:space="preserve"> under a fixed term contract</w:t>
      </w:r>
      <w:r>
        <w:rPr>
          <w:color w:val="000000"/>
        </w:rPr>
        <w:t xml:space="preserve"> </w:t>
      </w:r>
      <w:r w:rsidR="007B75D7">
        <w:rPr>
          <w:color w:val="000000"/>
        </w:rPr>
        <w:t>from</w:t>
      </w:r>
      <w:r>
        <w:rPr>
          <w:color w:val="000000"/>
        </w:rPr>
        <w:t xml:space="preserve"> 2006</w:t>
      </w:r>
      <w:r w:rsidR="00980CF5">
        <w:rPr>
          <w:color w:val="000000"/>
        </w:rPr>
        <w:t>,</w:t>
      </w:r>
      <w:r>
        <w:rPr>
          <w:color w:val="000000"/>
        </w:rPr>
        <w:t xml:space="preserve"> as a messenger in the stores and procurement department. It is the applicant’s contention that in 2009 </w:t>
      </w:r>
      <w:r w:rsidR="005F19DE">
        <w:rPr>
          <w:color w:val="000000"/>
        </w:rPr>
        <w:t>his</w:t>
      </w:r>
      <w:r>
        <w:rPr>
          <w:color w:val="000000"/>
        </w:rPr>
        <w:t xml:space="preserve"> salary was reduced without </w:t>
      </w:r>
      <w:r w:rsidR="00745122">
        <w:rPr>
          <w:color w:val="000000"/>
        </w:rPr>
        <w:t>his</w:t>
      </w:r>
      <w:r>
        <w:rPr>
          <w:color w:val="000000"/>
        </w:rPr>
        <w:t xml:space="preserve"> consent and knowledge.</w:t>
      </w:r>
      <w:r w:rsidR="00EB78D8">
        <w:rPr>
          <w:color w:val="000000"/>
        </w:rPr>
        <w:t xml:space="preserve"> He </w:t>
      </w:r>
      <w:r>
        <w:rPr>
          <w:color w:val="000000"/>
        </w:rPr>
        <w:t xml:space="preserve">also states that in 2015 </w:t>
      </w:r>
      <w:r w:rsidR="00327354">
        <w:rPr>
          <w:color w:val="000000"/>
        </w:rPr>
        <w:t xml:space="preserve">his </w:t>
      </w:r>
      <w:r>
        <w:rPr>
          <w:color w:val="000000"/>
        </w:rPr>
        <w:t xml:space="preserve">contract was changed from a fixed </w:t>
      </w:r>
      <w:r w:rsidR="00327354">
        <w:rPr>
          <w:color w:val="000000"/>
        </w:rPr>
        <w:t xml:space="preserve">term </w:t>
      </w:r>
      <w:r>
        <w:rPr>
          <w:color w:val="000000"/>
        </w:rPr>
        <w:t>contract to a seasonal contract. It is from this that the applicant’s grievance stems. In essence</w:t>
      </w:r>
      <w:r w:rsidR="00561D36">
        <w:rPr>
          <w:color w:val="000000"/>
        </w:rPr>
        <w:t>,</w:t>
      </w:r>
      <w:r>
        <w:rPr>
          <w:color w:val="000000"/>
        </w:rPr>
        <w:t xml:space="preserve"> the applicant’s complaint is that the contract </w:t>
      </w:r>
      <w:r w:rsidR="00561D36">
        <w:rPr>
          <w:color w:val="000000"/>
        </w:rPr>
        <w:t xml:space="preserve">between him and MTC </w:t>
      </w:r>
      <w:r>
        <w:rPr>
          <w:color w:val="000000"/>
        </w:rPr>
        <w:t xml:space="preserve">was unlawfully changed without </w:t>
      </w:r>
      <w:r w:rsidR="00576173">
        <w:rPr>
          <w:color w:val="000000"/>
        </w:rPr>
        <w:t>hi</w:t>
      </w:r>
      <w:r w:rsidR="00300EAE">
        <w:rPr>
          <w:color w:val="000000"/>
        </w:rPr>
        <w:t xml:space="preserve">s </w:t>
      </w:r>
      <w:r>
        <w:rPr>
          <w:color w:val="000000"/>
        </w:rPr>
        <w:t xml:space="preserve">consent. </w:t>
      </w:r>
      <w:r w:rsidR="00300EAE">
        <w:rPr>
          <w:color w:val="000000"/>
        </w:rPr>
        <w:t xml:space="preserve">He contends that his </w:t>
      </w:r>
      <w:r>
        <w:rPr>
          <w:color w:val="000000"/>
        </w:rPr>
        <w:t xml:space="preserve">duties were permanent and not seasonal </w:t>
      </w:r>
      <w:r w:rsidR="00300EAE">
        <w:rPr>
          <w:color w:val="000000"/>
        </w:rPr>
        <w:t>since</w:t>
      </w:r>
      <w:r>
        <w:rPr>
          <w:color w:val="000000"/>
        </w:rPr>
        <w:t xml:space="preserve"> they are not tobacco related duties. </w:t>
      </w:r>
      <w:r w:rsidR="00300EAE">
        <w:rPr>
          <w:color w:val="000000"/>
        </w:rPr>
        <w:t xml:space="preserve">Because of this, </w:t>
      </w:r>
      <w:r>
        <w:rPr>
          <w:color w:val="000000"/>
        </w:rPr>
        <w:t xml:space="preserve">the applicant </w:t>
      </w:r>
      <w:r w:rsidR="00A43951">
        <w:rPr>
          <w:color w:val="000000"/>
        </w:rPr>
        <w:t>asks this</w:t>
      </w:r>
      <w:r>
        <w:rPr>
          <w:color w:val="000000"/>
        </w:rPr>
        <w:t xml:space="preserve"> court </w:t>
      </w:r>
      <w:r w:rsidR="00DD576B">
        <w:rPr>
          <w:color w:val="000000"/>
        </w:rPr>
        <w:t>for</w:t>
      </w:r>
      <w:r>
        <w:rPr>
          <w:color w:val="000000"/>
        </w:rPr>
        <w:t xml:space="preserve"> a declar</w:t>
      </w:r>
      <w:r w:rsidR="00DD576B">
        <w:rPr>
          <w:color w:val="000000"/>
        </w:rPr>
        <w:t>atory order</w:t>
      </w:r>
      <w:r>
        <w:rPr>
          <w:color w:val="000000"/>
        </w:rPr>
        <w:t xml:space="preserve"> on the two contracts and ascertain which contract the applicant is subjected to, and which one determines their rights. Noteworthy is that the relationship between the applicant and the respondent </w:t>
      </w:r>
      <w:r w:rsidR="00DF62D8">
        <w:rPr>
          <w:color w:val="000000"/>
        </w:rPr>
        <w:t xml:space="preserve">originates </w:t>
      </w:r>
      <w:r>
        <w:rPr>
          <w:color w:val="000000"/>
        </w:rPr>
        <w:t xml:space="preserve">from a contract of employment. </w:t>
      </w:r>
    </w:p>
    <w:p w14:paraId="64E9C2E1" w14:textId="1028D09D" w:rsidR="007C1284" w:rsidRDefault="00471E65" w:rsidP="009B0114">
      <w:pPr>
        <w:pBdr>
          <w:top w:val="nil"/>
          <w:left w:val="nil"/>
          <w:bottom w:val="nil"/>
          <w:right w:val="nil"/>
          <w:between w:val="nil"/>
        </w:pBdr>
        <w:shd w:val="clear" w:color="auto" w:fill="FFFFFF"/>
        <w:spacing w:line="360" w:lineRule="auto"/>
        <w:ind w:firstLine="720"/>
        <w:jc w:val="both"/>
        <w:rPr>
          <w:color w:val="000000"/>
        </w:rPr>
      </w:pPr>
      <w:r>
        <w:rPr>
          <w:color w:val="000000"/>
        </w:rPr>
        <w:t xml:space="preserve">When the matter </w:t>
      </w:r>
      <w:r w:rsidR="00A07C1D">
        <w:rPr>
          <w:color w:val="000000"/>
        </w:rPr>
        <w:t>came</w:t>
      </w:r>
      <w:r>
        <w:rPr>
          <w:color w:val="000000"/>
        </w:rPr>
        <w:t xml:space="preserve"> before me on 26 July </w:t>
      </w:r>
      <w:r w:rsidR="00A07C1D">
        <w:rPr>
          <w:color w:val="000000"/>
        </w:rPr>
        <w:t xml:space="preserve">2021, </w:t>
      </w:r>
      <w:r>
        <w:rPr>
          <w:color w:val="000000"/>
        </w:rPr>
        <w:t xml:space="preserve">the respondent raised </w:t>
      </w:r>
      <w:r w:rsidR="00A07C1D">
        <w:rPr>
          <w:color w:val="000000"/>
        </w:rPr>
        <w:t>three (</w:t>
      </w:r>
      <w:r>
        <w:rPr>
          <w:color w:val="000000"/>
        </w:rPr>
        <w:t>3</w:t>
      </w:r>
      <w:r w:rsidR="00A07C1D">
        <w:rPr>
          <w:color w:val="000000"/>
        </w:rPr>
        <w:t>)</w:t>
      </w:r>
      <w:r>
        <w:rPr>
          <w:color w:val="000000"/>
        </w:rPr>
        <w:t xml:space="preserve"> points </w:t>
      </w:r>
      <w:r w:rsidRPr="00A82776">
        <w:rPr>
          <w:i/>
          <w:iCs/>
          <w:color w:val="000000"/>
        </w:rPr>
        <w:t>in</w:t>
      </w:r>
      <w:r>
        <w:rPr>
          <w:color w:val="000000"/>
        </w:rPr>
        <w:t xml:space="preserve"> </w:t>
      </w:r>
      <w:r>
        <w:rPr>
          <w:i/>
          <w:color w:val="000000"/>
        </w:rPr>
        <w:t>limin</w:t>
      </w:r>
      <w:r w:rsidR="00DF626A">
        <w:rPr>
          <w:i/>
          <w:color w:val="000000"/>
        </w:rPr>
        <w:t>e,</w:t>
      </w:r>
      <w:r w:rsidR="00DF626A">
        <w:rPr>
          <w:iCs/>
          <w:color w:val="000000"/>
        </w:rPr>
        <w:t xml:space="preserve"> namely;</w:t>
      </w:r>
      <w:r>
        <w:rPr>
          <w:color w:val="000000"/>
        </w:rPr>
        <w:t xml:space="preserve"> </w:t>
      </w:r>
      <w:r w:rsidR="00DF626A">
        <w:rPr>
          <w:color w:val="000000"/>
        </w:rPr>
        <w:t xml:space="preserve">that the High Court </w:t>
      </w:r>
      <w:r>
        <w:rPr>
          <w:color w:val="000000"/>
        </w:rPr>
        <w:t>lack</w:t>
      </w:r>
      <w:r w:rsidR="00DF626A">
        <w:rPr>
          <w:color w:val="000000"/>
        </w:rPr>
        <w:t xml:space="preserve">s </w:t>
      </w:r>
      <w:r>
        <w:rPr>
          <w:color w:val="000000"/>
        </w:rPr>
        <w:t>jurisdiction</w:t>
      </w:r>
      <w:r w:rsidR="00DF626A">
        <w:rPr>
          <w:color w:val="000000"/>
        </w:rPr>
        <w:t>;</w:t>
      </w:r>
      <w:r>
        <w:rPr>
          <w:color w:val="000000"/>
        </w:rPr>
        <w:t xml:space="preserve"> </w:t>
      </w:r>
      <w:r w:rsidR="0063440C">
        <w:rPr>
          <w:color w:val="000000"/>
        </w:rPr>
        <w:t xml:space="preserve">that </w:t>
      </w:r>
      <w:r>
        <w:rPr>
          <w:color w:val="000000"/>
        </w:rPr>
        <w:t xml:space="preserve">there </w:t>
      </w:r>
      <w:r w:rsidR="0063440C">
        <w:rPr>
          <w:color w:val="000000"/>
        </w:rPr>
        <w:t xml:space="preserve">is </w:t>
      </w:r>
      <w:r>
        <w:rPr>
          <w:color w:val="000000"/>
        </w:rPr>
        <w:t>no respondent before the court</w:t>
      </w:r>
      <w:r w:rsidR="0063440C">
        <w:rPr>
          <w:color w:val="000000"/>
        </w:rPr>
        <w:t xml:space="preserve">; </w:t>
      </w:r>
      <w:r>
        <w:rPr>
          <w:color w:val="000000"/>
        </w:rPr>
        <w:t xml:space="preserve">and </w:t>
      </w:r>
      <w:r w:rsidR="0063440C">
        <w:rPr>
          <w:color w:val="000000"/>
        </w:rPr>
        <w:t xml:space="preserve">that the applicant’s claim has </w:t>
      </w:r>
      <w:r>
        <w:rPr>
          <w:color w:val="000000"/>
        </w:rPr>
        <w:t>presc</w:t>
      </w:r>
      <w:r w:rsidR="0063440C">
        <w:rPr>
          <w:color w:val="000000"/>
        </w:rPr>
        <w:t>ribed</w:t>
      </w:r>
      <w:r>
        <w:rPr>
          <w:color w:val="000000"/>
        </w:rPr>
        <w:t xml:space="preserve">. </w:t>
      </w:r>
      <w:r w:rsidR="00536465">
        <w:rPr>
          <w:color w:val="000000"/>
        </w:rPr>
        <w:t>On the</w:t>
      </w:r>
      <w:r>
        <w:rPr>
          <w:color w:val="000000"/>
        </w:rPr>
        <w:t xml:space="preserve"> first </w:t>
      </w:r>
      <w:r w:rsidR="00536465">
        <w:rPr>
          <w:color w:val="000000"/>
        </w:rPr>
        <w:t xml:space="preserve">preliminary </w:t>
      </w:r>
      <w:r>
        <w:rPr>
          <w:color w:val="000000"/>
        </w:rPr>
        <w:t>point</w:t>
      </w:r>
      <w:r w:rsidR="00536465">
        <w:rPr>
          <w:color w:val="000000"/>
        </w:rPr>
        <w:t>,</w:t>
      </w:r>
      <w:r>
        <w:rPr>
          <w:color w:val="000000"/>
        </w:rPr>
        <w:t xml:space="preserve"> the respondent </w:t>
      </w:r>
      <w:r w:rsidR="00536465">
        <w:rPr>
          <w:color w:val="000000"/>
        </w:rPr>
        <w:t xml:space="preserve">argued </w:t>
      </w:r>
      <w:r w:rsidR="009D40D3">
        <w:rPr>
          <w:color w:val="000000"/>
        </w:rPr>
        <w:t xml:space="preserve">this court has no </w:t>
      </w:r>
      <w:r>
        <w:rPr>
          <w:color w:val="000000"/>
        </w:rPr>
        <w:t xml:space="preserve">jurisdiction </w:t>
      </w:r>
      <w:r w:rsidR="009D40D3">
        <w:rPr>
          <w:color w:val="000000"/>
        </w:rPr>
        <w:t>to deal with</w:t>
      </w:r>
      <w:r>
        <w:rPr>
          <w:color w:val="000000"/>
        </w:rPr>
        <w:t xml:space="preserve"> </w:t>
      </w:r>
      <w:r w:rsidR="009D40D3">
        <w:rPr>
          <w:color w:val="000000"/>
        </w:rPr>
        <w:t>l</w:t>
      </w:r>
      <w:r>
        <w:rPr>
          <w:color w:val="000000"/>
        </w:rPr>
        <w:t>abour matters</w:t>
      </w:r>
      <w:r w:rsidR="009D40D3">
        <w:rPr>
          <w:color w:val="000000"/>
        </w:rPr>
        <w:t xml:space="preserve"> at first instance</w:t>
      </w:r>
      <w:r>
        <w:rPr>
          <w:color w:val="000000"/>
        </w:rPr>
        <w:t xml:space="preserve">. I upheld the point in </w:t>
      </w:r>
      <w:r>
        <w:rPr>
          <w:i/>
          <w:color w:val="000000"/>
        </w:rPr>
        <w:lastRenderedPageBreak/>
        <w:t>limine</w:t>
      </w:r>
      <w:r>
        <w:rPr>
          <w:color w:val="000000"/>
        </w:rPr>
        <w:t xml:space="preserve"> on lack of jurisdiction and struck off the matter off the roll. It is imperative to note that during the proceedings </w:t>
      </w:r>
      <w:r w:rsidR="0070628F">
        <w:rPr>
          <w:color w:val="000000"/>
        </w:rPr>
        <w:t>C</w:t>
      </w:r>
      <w:r>
        <w:rPr>
          <w:color w:val="000000"/>
        </w:rPr>
        <w:t>ounsel for the applicant</w:t>
      </w:r>
      <w:r w:rsidR="00CE6F47">
        <w:rPr>
          <w:color w:val="000000"/>
        </w:rPr>
        <w:t xml:space="preserve"> conceded </w:t>
      </w:r>
      <w:r>
        <w:rPr>
          <w:color w:val="000000"/>
        </w:rPr>
        <w:t xml:space="preserve">this </w:t>
      </w:r>
      <w:r w:rsidR="00CE6F47">
        <w:rPr>
          <w:color w:val="000000"/>
        </w:rPr>
        <w:t xml:space="preserve">legal </w:t>
      </w:r>
      <w:r>
        <w:rPr>
          <w:color w:val="000000"/>
        </w:rPr>
        <w:t>position</w:t>
      </w:r>
      <w:r w:rsidR="00CE6F47">
        <w:rPr>
          <w:color w:val="000000"/>
        </w:rPr>
        <w:t>,</w:t>
      </w:r>
      <w:r>
        <w:rPr>
          <w:color w:val="000000"/>
        </w:rPr>
        <w:t xml:space="preserve"> but </w:t>
      </w:r>
      <w:r w:rsidR="00CE6F47">
        <w:rPr>
          <w:color w:val="000000"/>
        </w:rPr>
        <w:t>advised the court that</w:t>
      </w:r>
      <w:r>
        <w:rPr>
          <w:color w:val="000000"/>
        </w:rPr>
        <w:t xml:space="preserve"> he </w:t>
      </w:r>
      <w:r w:rsidR="00CE6F47">
        <w:rPr>
          <w:color w:val="000000"/>
        </w:rPr>
        <w:t>wished</w:t>
      </w:r>
      <w:r>
        <w:rPr>
          <w:color w:val="000000"/>
        </w:rPr>
        <w:t xml:space="preserve"> to </w:t>
      </w:r>
      <w:r w:rsidR="00CE6F47">
        <w:rPr>
          <w:color w:val="000000"/>
        </w:rPr>
        <w:t xml:space="preserve">personally </w:t>
      </w:r>
      <w:r>
        <w:rPr>
          <w:color w:val="000000"/>
        </w:rPr>
        <w:t>explain t</w:t>
      </w:r>
      <w:r w:rsidR="00CE6F47">
        <w:rPr>
          <w:color w:val="000000"/>
        </w:rPr>
        <w:t>his to his client.</w:t>
      </w:r>
      <w:r>
        <w:rPr>
          <w:color w:val="000000"/>
        </w:rPr>
        <w:t xml:space="preserve"> </w:t>
      </w:r>
      <w:r w:rsidR="001A05AD">
        <w:rPr>
          <w:color w:val="000000"/>
        </w:rPr>
        <w:t xml:space="preserve">When the matter was struck </w:t>
      </w:r>
      <w:r>
        <w:rPr>
          <w:color w:val="000000"/>
        </w:rPr>
        <w:t>off the</w:t>
      </w:r>
      <w:r w:rsidR="001A05AD">
        <w:rPr>
          <w:color w:val="000000"/>
        </w:rPr>
        <w:t xml:space="preserve"> roll, t</w:t>
      </w:r>
      <w:r>
        <w:rPr>
          <w:color w:val="000000"/>
        </w:rPr>
        <w:t>he applicant wrote to t</w:t>
      </w:r>
      <w:r w:rsidR="001A05AD">
        <w:rPr>
          <w:color w:val="000000"/>
        </w:rPr>
        <w:t xml:space="preserve">he registrar of this </w:t>
      </w:r>
      <w:r>
        <w:rPr>
          <w:color w:val="000000"/>
        </w:rPr>
        <w:t xml:space="preserve">court seeking reasons for </w:t>
      </w:r>
      <w:r w:rsidR="001A05AD">
        <w:rPr>
          <w:color w:val="000000"/>
        </w:rPr>
        <w:t>my decision</w:t>
      </w:r>
      <w:r>
        <w:rPr>
          <w:color w:val="000000"/>
        </w:rPr>
        <w:t>. These are</w:t>
      </w:r>
      <w:r w:rsidR="001A05AD">
        <w:rPr>
          <w:color w:val="000000"/>
        </w:rPr>
        <w:t xml:space="preserve"> the </w:t>
      </w:r>
      <w:r>
        <w:rPr>
          <w:color w:val="000000"/>
        </w:rPr>
        <w:t>reasons.</w:t>
      </w:r>
    </w:p>
    <w:p w14:paraId="08D7DAD9" w14:textId="77777777" w:rsidR="009B0114" w:rsidRPr="009B0114" w:rsidRDefault="009B0114" w:rsidP="009B0114">
      <w:pPr>
        <w:pBdr>
          <w:top w:val="nil"/>
          <w:left w:val="nil"/>
          <w:bottom w:val="nil"/>
          <w:right w:val="nil"/>
          <w:between w:val="nil"/>
        </w:pBdr>
        <w:shd w:val="clear" w:color="auto" w:fill="FFFFFF"/>
        <w:spacing w:line="360" w:lineRule="auto"/>
        <w:ind w:firstLine="720"/>
        <w:jc w:val="both"/>
        <w:rPr>
          <w:color w:val="000000"/>
        </w:rPr>
      </w:pPr>
    </w:p>
    <w:p w14:paraId="5F484ADA" w14:textId="16EB88BF" w:rsidR="00332697" w:rsidRDefault="00471E65" w:rsidP="007C1284">
      <w:pPr>
        <w:pBdr>
          <w:top w:val="nil"/>
          <w:left w:val="nil"/>
          <w:bottom w:val="nil"/>
          <w:right w:val="nil"/>
          <w:between w:val="nil"/>
        </w:pBdr>
        <w:shd w:val="clear" w:color="auto" w:fill="FFFFFF"/>
        <w:spacing w:line="360" w:lineRule="auto"/>
        <w:jc w:val="both"/>
        <w:rPr>
          <w:b/>
          <w:color w:val="000000"/>
        </w:rPr>
      </w:pPr>
      <w:r>
        <w:rPr>
          <w:b/>
          <w:color w:val="000000"/>
        </w:rPr>
        <w:t>The applicable law</w:t>
      </w:r>
    </w:p>
    <w:p w14:paraId="6D2B4EBD" w14:textId="645E835F" w:rsidR="009B0114" w:rsidRDefault="00471E65" w:rsidP="00A82776">
      <w:pPr>
        <w:spacing w:line="360" w:lineRule="auto"/>
        <w:ind w:firstLine="720"/>
        <w:jc w:val="both"/>
      </w:pPr>
      <w:r>
        <w:t>The position of the law is set</w:t>
      </w:r>
      <w:r w:rsidR="009A02F9">
        <w:t>tled on the issue of</w:t>
      </w:r>
      <w:r>
        <w:t xml:space="preserve"> the jurisdiction of the High Court in </w:t>
      </w:r>
      <w:r w:rsidR="009A02F9">
        <w:t>l</w:t>
      </w:r>
      <w:r>
        <w:t xml:space="preserve">abour matters. </w:t>
      </w:r>
      <w:r w:rsidR="00ED1CD6">
        <w:t>For example, t</w:t>
      </w:r>
      <w:r>
        <w:t xml:space="preserve">he </w:t>
      </w:r>
      <w:r w:rsidR="00B06167">
        <w:t>S</w:t>
      </w:r>
      <w:r>
        <w:t xml:space="preserve">upreme </w:t>
      </w:r>
      <w:r w:rsidR="00B06167">
        <w:t>C</w:t>
      </w:r>
      <w:r>
        <w:t>ourt has</w:t>
      </w:r>
      <w:r w:rsidR="00ED1CD6">
        <w:t xml:space="preserve"> </w:t>
      </w:r>
      <w:r>
        <w:t>pronounce</w:t>
      </w:r>
      <w:r w:rsidR="00ED1CD6">
        <w:t>d on this subject</w:t>
      </w:r>
      <w:r>
        <w:t xml:space="preserve"> </w:t>
      </w:r>
      <w:r w:rsidR="00ED1CD6">
        <w:t>in</w:t>
      </w:r>
      <w:r>
        <w:t xml:space="preserve"> </w:t>
      </w:r>
      <w:r w:rsidRPr="00ED1CD6">
        <w:rPr>
          <w:bCs/>
          <w:i/>
          <w:iCs/>
        </w:rPr>
        <w:t xml:space="preserve">Chingombe and Anor </w:t>
      </w:r>
      <w:r w:rsidRPr="00D9384D">
        <w:rPr>
          <w:bCs/>
        </w:rPr>
        <w:t xml:space="preserve">v </w:t>
      </w:r>
      <w:r w:rsidRPr="00ED1CD6">
        <w:rPr>
          <w:bCs/>
          <w:i/>
          <w:iCs/>
        </w:rPr>
        <w:t xml:space="preserve">City of Harare and Ors </w:t>
      </w:r>
      <w:r w:rsidRPr="00ED1CD6">
        <w:rPr>
          <w:bCs/>
        </w:rPr>
        <w:t>SC177</w:t>
      </w:r>
      <w:r w:rsidR="00ED1CD6">
        <w:rPr>
          <w:bCs/>
        </w:rPr>
        <w:t>-</w:t>
      </w:r>
      <w:r w:rsidRPr="00ED1CD6">
        <w:rPr>
          <w:bCs/>
        </w:rPr>
        <w:t>20</w:t>
      </w:r>
      <w:r w:rsidR="00C37692">
        <w:rPr>
          <w:bCs/>
        </w:rPr>
        <w:t>;</w:t>
      </w:r>
      <w:r w:rsidRPr="00ED1CD6">
        <w:rPr>
          <w:bCs/>
        </w:rPr>
        <w:t xml:space="preserve"> </w:t>
      </w:r>
      <w:r w:rsidRPr="00C37692">
        <w:rPr>
          <w:bCs/>
          <w:i/>
          <w:iCs/>
        </w:rPr>
        <w:t xml:space="preserve">Nhari </w:t>
      </w:r>
      <w:r w:rsidRPr="00D9384D">
        <w:rPr>
          <w:bCs/>
        </w:rPr>
        <w:t>v</w:t>
      </w:r>
      <w:r w:rsidRPr="00C37692">
        <w:rPr>
          <w:bCs/>
          <w:i/>
          <w:iCs/>
        </w:rPr>
        <w:t xml:space="preserve"> Mugabe and Ors</w:t>
      </w:r>
      <w:r w:rsidRPr="00C37692">
        <w:rPr>
          <w:bCs/>
        </w:rPr>
        <w:t xml:space="preserve"> SC 161</w:t>
      </w:r>
      <w:r w:rsidR="00766292">
        <w:rPr>
          <w:bCs/>
        </w:rPr>
        <w:t>-</w:t>
      </w:r>
      <w:r w:rsidRPr="00C37692">
        <w:rPr>
          <w:bCs/>
        </w:rPr>
        <w:t>20</w:t>
      </w:r>
      <w:r w:rsidR="00C37692">
        <w:t xml:space="preserve">. This court has also added weight on its lack of jurisdiction in </w:t>
      </w:r>
      <w:r w:rsidRPr="00C37692">
        <w:rPr>
          <w:bCs/>
          <w:i/>
          <w:iCs/>
        </w:rPr>
        <w:t xml:space="preserve">Muchenje </w:t>
      </w:r>
      <w:r w:rsidRPr="00D9384D">
        <w:rPr>
          <w:bCs/>
        </w:rPr>
        <w:t>v</w:t>
      </w:r>
      <w:r w:rsidRPr="00C37692">
        <w:rPr>
          <w:bCs/>
          <w:i/>
          <w:iCs/>
        </w:rPr>
        <w:t xml:space="preserve"> Mutangadura and Ors</w:t>
      </w:r>
      <w:r w:rsidRPr="00C37692">
        <w:rPr>
          <w:bCs/>
        </w:rPr>
        <w:t xml:space="preserve"> HH</w:t>
      </w:r>
      <w:r w:rsidR="00B62117">
        <w:rPr>
          <w:bCs/>
        </w:rPr>
        <w:t xml:space="preserve"> </w:t>
      </w:r>
      <w:r w:rsidRPr="00C37692">
        <w:rPr>
          <w:bCs/>
        </w:rPr>
        <w:t>21</w:t>
      </w:r>
      <w:r w:rsidR="00C37692">
        <w:rPr>
          <w:bCs/>
        </w:rPr>
        <w:t>-</w:t>
      </w:r>
      <w:r w:rsidRPr="00C37692">
        <w:rPr>
          <w:bCs/>
        </w:rPr>
        <w:t>21</w:t>
      </w:r>
      <w:r w:rsidR="006C1D57">
        <w:rPr>
          <w:bCs/>
        </w:rPr>
        <w:t xml:space="preserve">; </w:t>
      </w:r>
      <w:r w:rsidR="006C1D57">
        <w:rPr>
          <w:i/>
        </w:rPr>
        <w:t>Confederation of Zimbabwe Industries</w:t>
      </w:r>
      <w:r w:rsidR="006C1D57">
        <w:t xml:space="preserve"> v </w:t>
      </w:r>
      <w:r w:rsidR="006C1D57">
        <w:rPr>
          <w:i/>
        </w:rPr>
        <w:t xml:space="preserve">Rita Marque Mbatha </w:t>
      </w:r>
      <w:r w:rsidR="006C1D57">
        <w:t>HH 125-15</w:t>
      </w:r>
      <w:r w:rsidR="00EB4449">
        <w:rPr>
          <w:bCs/>
        </w:rPr>
        <w:t xml:space="preserve"> and </w:t>
      </w:r>
      <w:r w:rsidR="00EB4449" w:rsidRPr="00694B70">
        <w:rPr>
          <w:bCs/>
          <w:i/>
          <w:iCs/>
        </w:rPr>
        <w:t>Rodin</w:t>
      </w:r>
      <w:r w:rsidR="00694B70">
        <w:rPr>
          <w:bCs/>
          <w:i/>
          <w:iCs/>
        </w:rPr>
        <w:t xml:space="preserve"> </w:t>
      </w:r>
      <w:r w:rsidR="00EB4449" w:rsidRPr="00694B70">
        <w:rPr>
          <w:bCs/>
          <w:i/>
          <w:iCs/>
        </w:rPr>
        <w:t xml:space="preserve">Mzyece </w:t>
      </w:r>
      <w:r w:rsidR="00EB4449" w:rsidRPr="00D9384D">
        <w:rPr>
          <w:bCs/>
        </w:rPr>
        <w:t>v</w:t>
      </w:r>
      <w:r w:rsidR="00EB4449" w:rsidRPr="00694B70">
        <w:rPr>
          <w:bCs/>
          <w:i/>
          <w:iCs/>
        </w:rPr>
        <w:t xml:space="preserve"> Grain Marketing Board </w:t>
      </w:r>
      <w:r w:rsidR="00EB4449">
        <w:rPr>
          <w:bCs/>
        </w:rPr>
        <w:t>HH 72-23</w:t>
      </w:r>
      <w:r>
        <w:rPr>
          <w:b/>
        </w:rPr>
        <w:t xml:space="preserve">.  </w:t>
      </w:r>
      <w:r>
        <w:t xml:space="preserve">In </w:t>
      </w:r>
      <w:r>
        <w:rPr>
          <w:i/>
        </w:rPr>
        <w:t xml:space="preserve">Stanley Machote </w:t>
      </w:r>
      <w:r>
        <w:t xml:space="preserve">v </w:t>
      </w:r>
      <w:r>
        <w:rPr>
          <w:i/>
        </w:rPr>
        <w:t xml:space="preserve">Zimbabwe Manpower Development Fund </w:t>
      </w:r>
      <w:r>
        <w:t>HH 813</w:t>
      </w:r>
      <w:r w:rsidR="006C1D57">
        <w:t>-</w:t>
      </w:r>
      <w:r>
        <w:t xml:space="preserve">15, </w:t>
      </w:r>
      <w:r w:rsidR="006C1D57">
        <w:t>the question was considered</w:t>
      </w:r>
      <w:r>
        <w:t xml:space="preserve"> whether the Constitution had reinstated the jurisdiction of the High Court in labour matters.</w:t>
      </w:r>
      <w:r w:rsidR="006C1D57">
        <w:t xml:space="preserve"> </w:t>
      </w:r>
      <w:r w:rsidR="006C1D57" w:rsidRPr="009B0114">
        <w:rPr>
          <w:smallCaps/>
        </w:rPr>
        <w:t>T</w:t>
      </w:r>
      <w:r w:rsidR="009B0114" w:rsidRPr="009B0114">
        <w:rPr>
          <w:smallCaps/>
        </w:rPr>
        <w:t>sanga</w:t>
      </w:r>
      <w:r w:rsidR="006C1D57" w:rsidRPr="009B0114">
        <w:rPr>
          <w:smallCaps/>
        </w:rPr>
        <w:t xml:space="preserve"> J</w:t>
      </w:r>
      <w:r>
        <w:t xml:space="preserve"> had this to say:</w:t>
      </w:r>
    </w:p>
    <w:p w14:paraId="18E2B8E4" w14:textId="77777777" w:rsidR="0081631F" w:rsidRPr="00D9384D" w:rsidRDefault="0081631F" w:rsidP="00A82776">
      <w:pPr>
        <w:spacing w:line="360" w:lineRule="auto"/>
        <w:ind w:firstLine="720"/>
        <w:jc w:val="both"/>
      </w:pPr>
    </w:p>
    <w:p w14:paraId="14627FA5" w14:textId="4182A4D0" w:rsidR="00332697" w:rsidRDefault="00471E65" w:rsidP="00C34BFD">
      <w:pPr>
        <w:ind w:left="720"/>
        <w:jc w:val="both"/>
        <w:rPr>
          <w:sz w:val="22"/>
          <w:szCs w:val="22"/>
        </w:rPr>
      </w:pPr>
      <w:r>
        <w:rPr>
          <w:sz w:val="22"/>
          <w:szCs w:val="22"/>
        </w:rPr>
        <w:t>“As stated, when a court has original jurisdiction this refers to its standing and right to hear a case as the first court of first instance. Constitutionally, the High Court has indeed been conferred with unfettered power to exercise original jurisdiction in all civil and criminal matters as argued by the respondent. Such original jurisdiction is exercisable even in matters regulated by statute. However, whilst s 171</w:t>
      </w:r>
      <w:r w:rsidR="00933B9C">
        <w:rPr>
          <w:sz w:val="22"/>
          <w:szCs w:val="22"/>
        </w:rPr>
        <w:t xml:space="preserve"> </w:t>
      </w:r>
      <w:r>
        <w:rPr>
          <w:sz w:val="22"/>
          <w:szCs w:val="22"/>
        </w:rPr>
        <w:t>(1) (a) does confer upon the High Court original jurisdiction over all civil and criminal matters throughout Zimbabwe,</w:t>
      </w:r>
      <w:r w:rsidR="00C127EB">
        <w:rPr>
          <w:sz w:val="22"/>
          <w:szCs w:val="22"/>
        </w:rPr>
        <w:t xml:space="preserve"> </w:t>
      </w:r>
      <w:r>
        <w:rPr>
          <w:sz w:val="22"/>
          <w:szCs w:val="22"/>
        </w:rPr>
        <w:t>this overall authority also has to take into account other applicable constitutional provisions as well as legislation force that in reality places some breaks or limits on its exercise of original jurisdiction in</w:t>
      </w:r>
      <w:r w:rsidR="00CA7406">
        <w:rPr>
          <w:sz w:val="22"/>
          <w:szCs w:val="22"/>
        </w:rPr>
        <w:t xml:space="preserve"> </w:t>
      </w:r>
      <w:r>
        <w:rPr>
          <w:sz w:val="22"/>
          <w:szCs w:val="22"/>
        </w:rPr>
        <w:t>specific instances.</w:t>
      </w:r>
      <w:bookmarkStart w:id="1" w:name="_gjdgxs" w:colFirst="0" w:colLast="0"/>
      <w:bookmarkEnd w:id="1"/>
      <w:r w:rsidR="00C34BFD">
        <w:rPr>
          <w:sz w:val="22"/>
          <w:szCs w:val="22"/>
        </w:rPr>
        <w:t xml:space="preserve"> </w:t>
      </w:r>
      <w:r>
        <w:rPr>
          <w:sz w:val="22"/>
          <w:szCs w:val="22"/>
        </w:rPr>
        <w:t>Thus, s 172 (2) of the Constitution gives the Labour Court “jurisdiction over labour matters as conferred by an Act of Parliament”. The applicable Act of Parliament in labour matters is the Labour Act [</w:t>
      </w:r>
      <w:r>
        <w:rPr>
          <w:i/>
          <w:sz w:val="22"/>
          <w:szCs w:val="22"/>
        </w:rPr>
        <w:t>Chapter 28:01</w:t>
      </w:r>
      <w:r>
        <w:rPr>
          <w:sz w:val="22"/>
          <w:szCs w:val="22"/>
        </w:rPr>
        <w:t>]. As stated, its s 89 (6) clearly confers on the Labour Court jurisdiction in the first instance to hear and determine any applications, appeals or other matters stipulated in that Act. The Labour Act is thus a delegated piece of legislation in labour matters in terms of which it is empowered to determine all labour matters as a court of first instance and as also as a court of appeal</w:t>
      </w:r>
      <w:r w:rsidR="00496178">
        <w:rPr>
          <w:sz w:val="22"/>
          <w:szCs w:val="22"/>
        </w:rPr>
        <w:t>”</w:t>
      </w:r>
      <w:r>
        <w:rPr>
          <w:sz w:val="22"/>
          <w:szCs w:val="22"/>
        </w:rPr>
        <w:t xml:space="preserve">. </w:t>
      </w:r>
    </w:p>
    <w:p w14:paraId="21C797D6" w14:textId="77777777" w:rsidR="00332697" w:rsidRPr="000B5DC3" w:rsidRDefault="00332697">
      <w:pPr>
        <w:ind w:firstLine="360"/>
        <w:jc w:val="both"/>
      </w:pPr>
    </w:p>
    <w:p w14:paraId="008FD889" w14:textId="5B012E28" w:rsidR="00C84A1B" w:rsidRDefault="00471E65" w:rsidP="009B0114">
      <w:pPr>
        <w:pBdr>
          <w:top w:val="nil"/>
          <w:left w:val="nil"/>
          <w:bottom w:val="nil"/>
          <w:right w:val="nil"/>
          <w:between w:val="nil"/>
        </w:pBdr>
        <w:shd w:val="clear" w:color="auto" w:fill="FFFFFF"/>
        <w:spacing w:line="360" w:lineRule="auto"/>
        <w:ind w:firstLine="720"/>
        <w:jc w:val="both"/>
        <w:rPr>
          <w:color w:val="000000"/>
        </w:rPr>
      </w:pPr>
      <w:r>
        <w:rPr>
          <w:color w:val="000000"/>
        </w:rPr>
        <w:t xml:space="preserve">I agree entirely with the sentiments </w:t>
      </w:r>
      <w:r w:rsidR="005F2694">
        <w:rPr>
          <w:color w:val="000000"/>
        </w:rPr>
        <w:t>of</w:t>
      </w:r>
      <w:r>
        <w:rPr>
          <w:color w:val="000000"/>
        </w:rPr>
        <w:t xml:space="preserve"> </w:t>
      </w:r>
      <w:r w:rsidRPr="00D9384D">
        <w:rPr>
          <w:smallCaps/>
          <w:color w:val="000000"/>
        </w:rPr>
        <w:t>T</w:t>
      </w:r>
      <w:r w:rsidR="00D9384D" w:rsidRPr="00D9384D">
        <w:rPr>
          <w:smallCaps/>
          <w:color w:val="000000"/>
        </w:rPr>
        <w:t>sanga</w:t>
      </w:r>
      <w:r w:rsidRPr="00D9384D">
        <w:rPr>
          <w:smallCaps/>
          <w:color w:val="000000"/>
        </w:rPr>
        <w:t xml:space="preserve"> J</w:t>
      </w:r>
      <w:r>
        <w:rPr>
          <w:color w:val="000000"/>
        </w:rPr>
        <w:t xml:space="preserve">. </w:t>
      </w:r>
      <w:r w:rsidR="00D9384D">
        <w:rPr>
          <w:color w:val="000000"/>
        </w:rPr>
        <w:t xml:space="preserve"> </w:t>
      </w:r>
      <w:r>
        <w:rPr>
          <w:color w:val="000000"/>
        </w:rPr>
        <w:t xml:space="preserve">The </w:t>
      </w:r>
      <w:r w:rsidR="008E11B4">
        <w:rPr>
          <w:color w:val="000000"/>
        </w:rPr>
        <w:t>j</w:t>
      </w:r>
      <w:r>
        <w:rPr>
          <w:color w:val="000000"/>
        </w:rPr>
        <w:t xml:space="preserve">urisdiction of the High Court is specifically ousted in the first instance by </w:t>
      </w:r>
      <w:r w:rsidR="00900F60">
        <w:rPr>
          <w:color w:val="000000"/>
        </w:rPr>
        <w:t xml:space="preserve">s 89 (6) of </w:t>
      </w:r>
      <w:r w:rsidR="00862901">
        <w:rPr>
          <w:color w:val="000000"/>
        </w:rPr>
        <w:t>the Labour Act</w:t>
      </w:r>
      <w:r>
        <w:rPr>
          <w:color w:val="000000"/>
        </w:rPr>
        <w:t xml:space="preserve"> when it comes to labour matters.</w:t>
      </w:r>
      <w:r w:rsidR="00F50363">
        <w:rPr>
          <w:color w:val="000000"/>
        </w:rPr>
        <w:t xml:space="preserve"> Similarly,</w:t>
      </w:r>
      <w:r>
        <w:rPr>
          <w:color w:val="000000"/>
        </w:rPr>
        <w:t xml:space="preserve"> </w:t>
      </w:r>
      <w:r w:rsidR="00F50363">
        <w:rPr>
          <w:color w:val="000000"/>
        </w:rPr>
        <w:t>i</w:t>
      </w:r>
      <w:r>
        <w:rPr>
          <w:color w:val="000000"/>
        </w:rPr>
        <w:t xml:space="preserve">n </w:t>
      </w:r>
      <w:r w:rsidRPr="00F50363">
        <w:rPr>
          <w:bCs/>
          <w:i/>
          <w:iCs/>
          <w:color w:val="000000"/>
        </w:rPr>
        <w:t xml:space="preserve">Triangle Limited and Ors </w:t>
      </w:r>
      <w:r w:rsidRPr="00D9384D">
        <w:rPr>
          <w:bCs/>
          <w:color w:val="000000"/>
        </w:rPr>
        <w:t>v</w:t>
      </w:r>
      <w:r w:rsidRPr="00F50363">
        <w:rPr>
          <w:bCs/>
          <w:i/>
          <w:iCs/>
          <w:color w:val="000000"/>
        </w:rPr>
        <w:t xml:space="preserve"> Zimbabwe Sugar Milling Industry Workers Union and Or</w:t>
      </w:r>
      <w:r w:rsidR="001053F1">
        <w:rPr>
          <w:bCs/>
          <w:i/>
          <w:iCs/>
          <w:color w:val="000000"/>
        </w:rPr>
        <w:t>s</w:t>
      </w:r>
      <w:r w:rsidR="000D7732">
        <w:rPr>
          <w:bCs/>
          <w:i/>
          <w:iCs/>
          <w:color w:val="000000"/>
        </w:rPr>
        <w:t xml:space="preserve"> </w:t>
      </w:r>
      <w:r w:rsidRPr="00033197">
        <w:rPr>
          <w:bCs/>
          <w:color w:val="000000"/>
        </w:rPr>
        <w:t>H</w:t>
      </w:r>
      <w:r w:rsidR="00D9384D">
        <w:rPr>
          <w:bCs/>
          <w:color w:val="000000"/>
        </w:rPr>
        <w:t>H </w:t>
      </w:r>
      <w:r w:rsidRPr="00033197">
        <w:rPr>
          <w:bCs/>
          <w:color w:val="000000"/>
        </w:rPr>
        <w:t>74</w:t>
      </w:r>
      <w:r w:rsidR="00D9384D">
        <w:rPr>
          <w:bCs/>
          <w:color w:val="000000"/>
        </w:rPr>
        <w:t>-</w:t>
      </w:r>
      <w:r w:rsidRPr="00033197">
        <w:rPr>
          <w:bCs/>
          <w:color w:val="000000"/>
        </w:rPr>
        <w:t>16</w:t>
      </w:r>
      <w:r>
        <w:rPr>
          <w:b/>
          <w:color w:val="000000"/>
        </w:rPr>
        <w:t xml:space="preserve"> </w:t>
      </w:r>
      <w:r w:rsidRPr="00D9384D">
        <w:rPr>
          <w:smallCaps/>
          <w:color w:val="000000"/>
        </w:rPr>
        <w:t>M</w:t>
      </w:r>
      <w:r w:rsidR="00D9384D" w:rsidRPr="00D9384D">
        <w:rPr>
          <w:smallCaps/>
          <w:color w:val="000000"/>
        </w:rPr>
        <w:t>akoni</w:t>
      </w:r>
      <w:r w:rsidRPr="00D9384D">
        <w:rPr>
          <w:smallCaps/>
          <w:color w:val="000000"/>
        </w:rPr>
        <w:t xml:space="preserve"> J</w:t>
      </w:r>
      <w:r>
        <w:rPr>
          <w:color w:val="000000"/>
        </w:rPr>
        <w:t xml:space="preserve"> </w:t>
      </w:r>
      <w:r w:rsidR="000D7732">
        <w:rPr>
          <w:color w:val="000000"/>
        </w:rPr>
        <w:t xml:space="preserve">(as she then was) </w:t>
      </w:r>
      <w:r w:rsidR="00512F8B">
        <w:rPr>
          <w:color w:val="000000"/>
        </w:rPr>
        <w:t>confirmed</w:t>
      </w:r>
      <w:r>
        <w:rPr>
          <w:color w:val="000000"/>
        </w:rPr>
        <w:t xml:space="preserve"> that</w:t>
      </w:r>
      <w:r w:rsidR="00C84A1B">
        <w:rPr>
          <w:color w:val="000000"/>
        </w:rPr>
        <w:t>:</w:t>
      </w:r>
    </w:p>
    <w:p w14:paraId="57549915" w14:textId="77777777" w:rsidR="00F81D18" w:rsidRPr="009B0114" w:rsidRDefault="00F81D18" w:rsidP="00F81D18">
      <w:pPr>
        <w:pBdr>
          <w:top w:val="nil"/>
          <w:left w:val="nil"/>
          <w:bottom w:val="nil"/>
          <w:right w:val="nil"/>
          <w:between w:val="nil"/>
        </w:pBdr>
        <w:shd w:val="clear" w:color="auto" w:fill="FFFFFF"/>
        <w:ind w:firstLine="720"/>
        <w:jc w:val="both"/>
        <w:rPr>
          <w:color w:val="000000"/>
        </w:rPr>
      </w:pPr>
    </w:p>
    <w:p w14:paraId="062A57EA" w14:textId="11627F1C" w:rsidR="00332697" w:rsidRDefault="00471E65" w:rsidP="00EA0DAB">
      <w:pPr>
        <w:spacing w:line="276" w:lineRule="auto"/>
        <w:ind w:left="720"/>
        <w:jc w:val="both"/>
        <w:rPr>
          <w:sz w:val="22"/>
          <w:szCs w:val="22"/>
        </w:rPr>
      </w:pPr>
      <w:r>
        <w:rPr>
          <w:sz w:val="22"/>
          <w:szCs w:val="22"/>
        </w:rPr>
        <w:t>“Provisions of the Constitution cannot be read in isolation. If</w:t>
      </w:r>
      <w:r w:rsidR="000D7732">
        <w:rPr>
          <w:sz w:val="22"/>
          <w:szCs w:val="22"/>
        </w:rPr>
        <w:t xml:space="preserve"> </w:t>
      </w:r>
      <w:r>
        <w:rPr>
          <w:sz w:val="22"/>
          <w:szCs w:val="22"/>
        </w:rPr>
        <w:t xml:space="preserve">s 171 (1) is read with s 172 it becomes clear that “all matters” in s 171 (1) excludes matters over which a specialized court, such as the Labour Court is established. The absurdity that will arise is that while the Labour Court is set up </w:t>
      </w:r>
      <w:r>
        <w:rPr>
          <w:sz w:val="22"/>
          <w:szCs w:val="22"/>
        </w:rPr>
        <w:lastRenderedPageBreak/>
        <w:t>with elaborate mechanisms to deal with labour disputes, litigants will by-pass it and approach the High Court. This would render the establishment of specialized courts nugatory. This would not have been the intention of the drafters of the law.”</w:t>
      </w:r>
    </w:p>
    <w:p w14:paraId="0AB30894" w14:textId="77777777" w:rsidR="00D17372" w:rsidRPr="00D17372" w:rsidRDefault="00D17372" w:rsidP="00EA0DAB">
      <w:pPr>
        <w:spacing w:line="276" w:lineRule="auto"/>
        <w:ind w:left="720"/>
        <w:jc w:val="both"/>
        <w:rPr>
          <w:sz w:val="16"/>
          <w:szCs w:val="16"/>
        </w:rPr>
      </w:pPr>
    </w:p>
    <w:p w14:paraId="377C795D" w14:textId="77777777" w:rsidR="00EA0DAB" w:rsidRPr="00EA0DAB" w:rsidRDefault="00EA0DAB" w:rsidP="00EA0DAB">
      <w:pPr>
        <w:spacing w:line="276" w:lineRule="auto"/>
        <w:ind w:left="720"/>
        <w:jc w:val="both"/>
        <w:rPr>
          <w:sz w:val="12"/>
          <w:szCs w:val="12"/>
        </w:rPr>
      </w:pPr>
    </w:p>
    <w:p w14:paraId="2446FB04" w14:textId="5EFEACFB" w:rsidR="00D17372" w:rsidRDefault="00471E65" w:rsidP="00A82776">
      <w:pPr>
        <w:pBdr>
          <w:top w:val="nil"/>
          <w:left w:val="nil"/>
          <w:bottom w:val="nil"/>
          <w:right w:val="nil"/>
          <w:between w:val="nil"/>
        </w:pBdr>
        <w:spacing w:line="360" w:lineRule="auto"/>
        <w:ind w:firstLine="720"/>
        <w:jc w:val="both"/>
        <w:rPr>
          <w:color w:val="000000"/>
        </w:rPr>
      </w:pPr>
      <w:r>
        <w:rPr>
          <w:color w:val="000000"/>
        </w:rPr>
        <w:t xml:space="preserve">Having </w:t>
      </w:r>
      <w:r w:rsidR="00A14CF1">
        <w:rPr>
          <w:color w:val="000000"/>
        </w:rPr>
        <w:t>reviewed</w:t>
      </w:r>
      <w:r>
        <w:rPr>
          <w:color w:val="000000"/>
        </w:rPr>
        <w:t xml:space="preserve"> the law </w:t>
      </w:r>
      <w:r w:rsidR="00A14CF1">
        <w:rPr>
          <w:color w:val="000000"/>
        </w:rPr>
        <w:t>as it stands in this jurisdiction, I now</w:t>
      </w:r>
      <w:r>
        <w:rPr>
          <w:color w:val="000000"/>
        </w:rPr>
        <w:t xml:space="preserve"> </w:t>
      </w:r>
      <w:r w:rsidR="007B19AA">
        <w:rPr>
          <w:color w:val="000000"/>
        </w:rPr>
        <w:t xml:space="preserve">move to </w:t>
      </w:r>
      <w:r w:rsidR="00A14CF1">
        <w:rPr>
          <w:color w:val="000000"/>
        </w:rPr>
        <w:t>consider</w:t>
      </w:r>
      <w:r>
        <w:rPr>
          <w:color w:val="000000"/>
        </w:rPr>
        <w:t xml:space="preserve"> if th</w:t>
      </w:r>
      <w:r w:rsidR="00A14CF1">
        <w:rPr>
          <w:color w:val="000000"/>
        </w:rPr>
        <w:t>e</w:t>
      </w:r>
      <w:r w:rsidR="00481C6D">
        <w:rPr>
          <w:color w:val="000000"/>
        </w:rPr>
        <w:t>re is merit in the</w:t>
      </w:r>
      <w:r w:rsidR="00A14CF1">
        <w:rPr>
          <w:color w:val="000000"/>
        </w:rPr>
        <w:t xml:space="preserve"> point </w:t>
      </w:r>
      <w:r w:rsidR="00A14CF1" w:rsidRPr="009B0114">
        <w:rPr>
          <w:i/>
          <w:iCs/>
          <w:color w:val="000000"/>
        </w:rPr>
        <w:t xml:space="preserve">in </w:t>
      </w:r>
      <w:r w:rsidR="00A14CF1" w:rsidRPr="00C65778">
        <w:rPr>
          <w:i/>
          <w:iCs/>
          <w:color w:val="000000"/>
        </w:rPr>
        <w:t xml:space="preserve">limine </w:t>
      </w:r>
      <w:r w:rsidR="00A14CF1">
        <w:rPr>
          <w:color w:val="000000"/>
        </w:rPr>
        <w:t>raised by the respondent.</w:t>
      </w:r>
      <w:r w:rsidR="00BB0184">
        <w:rPr>
          <w:color w:val="000000"/>
        </w:rPr>
        <w:t xml:space="preserve"> In other words, the question that requires an answer is:</w:t>
      </w:r>
      <w:r>
        <w:rPr>
          <w:color w:val="000000"/>
        </w:rPr>
        <w:t xml:space="preserve"> </w:t>
      </w:r>
      <w:r w:rsidR="00975985">
        <w:rPr>
          <w:color w:val="000000"/>
        </w:rPr>
        <w:t xml:space="preserve">Does s 89 (6) of the Constitution </w:t>
      </w:r>
      <w:r w:rsidR="00360573">
        <w:rPr>
          <w:color w:val="000000"/>
        </w:rPr>
        <w:t xml:space="preserve">preclude the jurisdiction of this court in </w:t>
      </w:r>
      <w:r w:rsidR="00360573" w:rsidRPr="00360573">
        <w:rPr>
          <w:i/>
          <w:iCs/>
          <w:color w:val="000000"/>
        </w:rPr>
        <w:t>casu</w:t>
      </w:r>
      <w:r w:rsidR="00360573">
        <w:rPr>
          <w:color w:val="000000"/>
        </w:rPr>
        <w:t xml:space="preserve">? </w:t>
      </w:r>
      <w:r>
        <w:rPr>
          <w:color w:val="000000"/>
        </w:rPr>
        <w:t xml:space="preserve">It is my view </w:t>
      </w:r>
      <w:r w:rsidR="0030087D">
        <w:rPr>
          <w:color w:val="000000"/>
        </w:rPr>
        <w:t xml:space="preserve">that </w:t>
      </w:r>
      <w:r w:rsidR="00360573">
        <w:rPr>
          <w:color w:val="000000"/>
        </w:rPr>
        <w:t xml:space="preserve">the dispute in </w:t>
      </w:r>
      <w:r>
        <w:rPr>
          <w:color w:val="000000"/>
        </w:rPr>
        <w:t xml:space="preserve">this </w:t>
      </w:r>
      <w:r w:rsidR="00360573">
        <w:rPr>
          <w:color w:val="000000"/>
        </w:rPr>
        <w:t xml:space="preserve">matter </w:t>
      </w:r>
      <w:r>
        <w:rPr>
          <w:color w:val="000000"/>
        </w:rPr>
        <w:t>is purely a labour</w:t>
      </w:r>
      <w:r w:rsidR="00360573">
        <w:rPr>
          <w:color w:val="000000"/>
        </w:rPr>
        <w:t xml:space="preserve"> one</w:t>
      </w:r>
      <w:r w:rsidR="00645614">
        <w:rPr>
          <w:color w:val="000000"/>
        </w:rPr>
        <w:t xml:space="preserve"> in so far as the</w:t>
      </w:r>
      <w:r>
        <w:rPr>
          <w:color w:val="000000"/>
        </w:rPr>
        <w:t xml:space="preserve"> dis</w:t>
      </w:r>
      <w:r w:rsidR="00774DC5">
        <w:rPr>
          <w:color w:val="000000"/>
        </w:rPr>
        <w:t>agreement</w:t>
      </w:r>
      <w:r>
        <w:rPr>
          <w:color w:val="000000"/>
        </w:rPr>
        <w:t xml:space="preserve"> between the parties </w:t>
      </w:r>
      <w:r w:rsidR="00A16139">
        <w:rPr>
          <w:color w:val="000000"/>
        </w:rPr>
        <w:t>arises</w:t>
      </w:r>
      <w:r>
        <w:rPr>
          <w:color w:val="000000"/>
        </w:rPr>
        <w:t xml:space="preserve"> from a contract of employment. </w:t>
      </w:r>
      <w:r w:rsidR="007473D9">
        <w:rPr>
          <w:color w:val="000000"/>
        </w:rPr>
        <w:t>It is apparent that t</w:t>
      </w:r>
      <w:r>
        <w:rPr>
          <w:color w:val="000000"/>
        </w:rPr>
        <w:t xml:space="preserve">he applicant has disguised </w:t>
      </w:r>
      <w:r w:rsidR="007473D9">
        <w:rPr>
          <w:color w:val="000000"/>
        </w:rPr>
        <w:t>his</w:t>
      </w:r>
      <w:r>
        <w:rPr>
          <w:color w:val="000000"/>
        </w:rPr>
        <w:t xml:space="preserve"> application as a declarat</w:t>
      </w:r>
      <w:r w:rsidR="00D9384D">
        <w:rPr>
          <w:color w:val="000000"/>
        </w:rPr>
        <w:t>u</w:t>
      </w:r>
      <w:r>
        <w:rPr>
          <w:color w:val="000000"/>
        </w:rPr>
        <w:t>r</w:t>
      </w:r>
      <w:r w:rsidR="007473D9">
        <w:rPr>
          <w:color w:val="000000"/>
        </w:rPr>
        <w:t>, and that this has been done</w:t>
      </w:r>
      <w:r>
        <w:rPr>
          <w:color w:val="000000"/>
        </w:rPr>
        <w:t xml:space="preserve"> </w:t>
      </w:r>
      <w:r w:rsidR="007473D9">
        <w:rPr>
          <w:color w:val="000000"/>
        </w:rPr>
        <w:t>in order</w:t>
      </w:r>
      <w:r>
        <w:rPr>
          <w:color w:val="000000"/>
        </w:rPr>
        <w:t xml:space="preserve"> to exclude </w:t>
      </w:r>
      <w:r w:rsidR="007473D9">
        <w:rPr>
          <w:color w:val="000000"/>
        </w:rPr>
        <w:t>the jurisdiction</w:t>
      </w:r>
      <w:r>
        <w:rPr>
          <w:color w:val="000000"/>
        </w:rPr>
        <w:t xml:space="preserve"> of the Labour Court. </w:t>
      </w:r>
      <w:r w:rsidR="005E4B35">
        <w:rPr>
          <w:color w:val="000000"/>
        </w:rPr>
        <w:t xml:space="preserve">I say so taking guidance from </w:t>
      </w:r>
      <w:r>
        <w:rPr>
          <w:color w:val="000000"/>
        </w:rPr>
        <w:t xml:space="preserve">the case of </w:t>
      </w:r>
      <w:r w:rsidRPr="004D0486">
        <w:rPr>
          <w:bCs/>
          <w:i/>
          <w:iCs/>
          <w:color w:val="000000"/>
        </w:rPr>
        <w:t xml:space="preserve">Shangiwa and Ors </w:t>
      </w:r>
      <w:r w:rsidRPr="00D9384D">
        <w:rPr>
          <w:bCs/>
          <w:color w:val="000000"/>
        </w:rPr>
        <w:t xml:space="preserve">v </w:t>
      </w:r>
      <w:r w:rsidRPr="004D0486">
        <w:rPr>
          <w:bCs/>
          <w:i/>
          <w:iCs/>
          <w:color w:val="000000"/>
        </w:rPr>
        <w:t>Ndimbarimba N.O and Ors</w:t>
      </w:r>
      <w:r w:rsidRPr="004D0486">
        <w:rPr>
          <w:bCs/>
          <w:color w:val="000000"/>
        </w:rPr>
        <w:t xml:space="preserve"> HH</w:t>
      </w:r>
      <w:r w:rsidR="004D0486" w:rsidRPr="004D0486">
        <w:rPr>
          <w:bCs/>
          <w:color w:val="000000"/>
        </w:rPr>
        <w:t xml:space="preserve"> </w:t>
      </w:r>
      <w:r w:rsidRPr="004D0486">
        <w:rPr>
          <w:bCs/>
          <w:color w:val="000000"/>
        </w:rPr>
        <w:t>679-2022</w:t>
      </w:r>
      <w:r w:rsidR="004D0486">
        <w:rPr>
          <w:bCs/>
          <w:color w:val="000000"/>
        </w:rPr>
        <w:t>,</w:t>
      </w:r>
      <w:r>
        <w:rPr>
          <w:b/>
          <w:color w:val="000000"/>
        </w:rPr>
        <w:t xml:space="preserve"> </w:t>
      </w:r>
      <w:r w:rsidR="005E4B35" w:rsidRPr="005E4B35">
        <w:rPr>
          <w:bCs/>
          <w:color w:val="000000"/>
        </w:rPr>
        <w:t xml:space="preserve">where </w:t>
      </w:r>
      <w:r w:rsidR="009B0114" w:rsidRPr="009B0114">
        <w:rPr>
          <w:smallCaps/>
          <w:color w:val="000000"/>
        </w:rPr>
        <w:t>Chilimbe</w:t>
      </w:r>
      <w:r w:rsidRPr="009B0114">
        <w:rPr>
          <w:smallCaps/>
          <w:color w:val="000000"/>
        </w:rPr>
        <w:t xml:space="preserve"> J</w:t>
      </w:r>
      <w:r w:rsidR="005E4B35">
        <w:rPr>
          <w:color w:val="000000"/>
        </w:rPr>
        <w:t xml:space="preserve"> appositely</w:t>
      </w:r>
      <w:r>
        <w:rPr>
          <w:color w:val="000000"/>
        </w:rPr>
        <w:t xml:space="preserve"> </w:t>
      </w:r>
      <w:r w:rsidR="00ED1A11">
        <w:rPr>
          <w:color w:val="000000"/>
        </w:rPr>
        <w:t>observed</w:t>
      </w:r>
      <w:r>
        <w:rPr>
          <w:color w:val="000000"/>
        </w:rPr>
        <w:t xml:space="preserve"> that</w:t>
      </w:r>
      <w:r w:rsidR="00C05CE8">
        <w:rPr>
          <w:color w:val="000000"/>
        </w:rPr>
        <w:t>:</w:t>
      </w:r>
      <w:r>
        <w:rPr>
          <w:color w:val="000000"/>
        </w:rPr>
        <w:t xml:space="preserve"> </w:t>
      </w:r>
    </w:p>
    <w:p w14:paraId="38CE332E" w14:textId="598E3B35" w:rsidR="00A82776" w:rsidRPr="00294D18" w:rsidRDefault="00471E65" w:rsidP="00A82776">
      <w:pPr>
        <w:pBdr>
          <w:top w:val="nil"/>
          <w:left w:val="nil"/>
          <w:bottom w:val="nil"/>
          <w:right w:val="nil"/>
          <w:between w:val="nil"/>
        </w:pBdr>
        <w:spacing w:before="280"/>
        <w:ind w:left="720"/>
        <w:jc w:val="both"/>
        <w:rPr>
          <w:color w:val="000000"/>
          <w:sz w:val="22"/>
          <w:szCs w:val="22"/>
        </w:rPr>
      </w:pPr>
      <w:r w:rsidRPr="00294D18">
        <w:rPr>
          <w:color w:val="000000"/>
          <w:sz w:val="22"/>
          <w:szCs w:val="22"/>
        </w:rPr>
        <w:t>“I note that in </w:t>
      </w:r>
      <w:r w:rsidRPr="00F53894">
        <w:rPr>
          <w:bCs/>
          <w:i/>
          <w:color w:val="000000"/>
          <w:sz w:val="22"/>
          <w:szCs w:val="22"/>
        </w:rPr>
        <w:t>Nhari v Mugabe &amp; Ors</w:t>
      </w:r>
      <w:r w:rsidRPr="00F53894">
        <w:rPr>
          <w:bCs/>
          <w:color w:val="000000"/>
          <w:sz w:val="22"/>
          <w:szCs w:val="22"/>
        </w:rPr>
        <w:t> SC 161</w:t>
      </w:r>
      <w:r w:rsidR="00F53894">
        <w:rPr>
          <w:bCs/>
          <w:color w:val="000000"/>
          <w:sz w:val="22"/>
          <w:szCs w:val="22"/>
        </w:rPr>
        <w:t>-</w:t>
      </w:r>
      <w:r w:rsidRPr="00F53894">
        <w:rPr>
          <w:bCs/>
          <w:color w:val="000000"/>
          <w:sz w:val="22"/>
          <w:szCs w:val="22"/>
        </w:rPr>
        <w:t>20</w:t>
      </w:r>
      <w:r w:rsidR="00F53894">
        <w:rPr>
          <w:color w:val="000000"/>
          <w:sz w:val="22"/>
          <w:szCs w:val="22"/>
        </w:rPr>
        <w:t>;</w:t>
      </w:r>
      <w:r w:rsidRPr="00294D18">
        <w:rPr>
          <w:color w:val="000000"/>
          <w:sz w:val="22"/>
          <w:szCs w:val="22"/>
        </w:rPr>
        <w:t> </w:t>
      </w:r>
      <w:r w:rsidRPr="00294D18">
        <w:rPr>
          <w:i/>
          <w:color w:val="000000"/>
          <w:sz w:val="22"/>
          <w:szCs w:val="22"/>
        </w:rPr>
        <w:t>Chingombe &amp; Anor v City of Harare &amp; Ors </w:t>
      </w:r>
      <w:r w:rsidRPr="00294D18">
        <w:rPr>
          <w:color w:val="000000"/>
          <w:sz w:val="22"/>
          <w:szCs w:val="22"/>
        </w:rPr>
        <w:t>SC</w:t>
      </w:r>
      <w:r w:rsidR="00D9384D">
        <w:rPr>
          <w:color w:val="000000"/>
          <w:sz w:val="22"/>
          <w:szCs w:val="22"/>
        </w:rPr>
        <w:t> </w:t>
      </w:r>
      <w:r w:rsidRPr="00294D18">
        <w:rPr>
          <w:color w:val="000000"/>
          <w:sz w:val="22"/>
          <w:szCs w:val="22"/>
        </w:rPr>
        <w:t>177/20 as well as </w:t>
      </w:r>
      <w:r w:rsidRPr="00294D18">
        <w:rPr>
          <w:i/>
          <w:color w:val="000000"/>
          <w:sz w:val="22"/>
          <w:szCs w:val="22"/>
        </w:rPr>
        <w:t>Muchenje v Mutangadura &amp; 4 Ors HH 21-21</w:t>
      </w:r>
      <w:r w:rsidRPr="00294D18">
        <w:rPr>
          <w:color w:val="000000"/>
          <w:sz w:val="22"/>
          <w:szCs w:val="22"/>
        </w:rPr>
        <w:t>, the court analysed whether the applicants/appellants` had fulfilled the requirements of a declarat</w:t>
      </w:r>
      <w:r w:rsidR="00D9384D">
        <w:rPr>
          <w:color w:val="000000"/>
          <w:sz w:val="22"/>
          <w:szCs w:val="22"/>
        </w:rPr>
        <w:t>u</w:t>
      </w:r>
      <w:r w:rsidRPr="00294D18">
        <w:rPr>
          <w:color w:val="000000"/>
          <w:sz w:val="22"/>
          <w:szCs w:val="22"/>
        </w:rPr>
        <w:t>r. That inquiry exposed that the underlying relief sought was that of reinstatement of the contract of employment under the guise of a declarat</w:t>
      </w:r>
      <w:r w:rsidR="00D9384D">
        <w:rPr>
          <w:color w:val="000000"/>
          <w:sz w:val="22"/>
          <w:szCs w:val="22"/>
        </w:rPr>
        <w:t>u</w:t>
      </w:r>
      <w:r w:rsidRPr="00294D18">
        <w:rPr>
          <w:color w:val="000000"/>
          <w:sz w:val="22"/>
          <w:szCs w:val="22"/>
        </w:rPr>
        <w:t>r.”</w:t>
      </w:r>
    </w:p>
    <w:p w14:paraId="5D543203" w14:textId="5576B4E5" w:rsidR="00772AAB" w:rsidRDefault="00BC10F7" w:rsidP="00D9384D">
      <w:pPr>
        <w:pBdr>
          <w:top w:val="nil"/>
          <w:left w:val="nil"/>
          <w:bottom w:val="nil"/>
          <w:right w:val="nil"/>
          <w:between w:val="nil"/>
        </w:pBdr>
        <w:spacing w:before="280" w:after="280" w:line="360" w:lineRule="auto"/>
        <w:ind w:firstLine="720"/>
        <w:jc w:val="both"/>
        <w:rPr>
          <w:bCs/>
        </w:rPr>
      </w:pPr>
      <w:r>
        <w:rPr>
          <w:color w:val="000000"/>
        </w:rPr>
        <w:t xml:space="preserve">From </w:t>
      </w:r>
      <w:r w:rsidR="001A5387">
        <w:rPr>
          <w:color w:val="000000"/>
        </w:rPr>
        <w:t xml:space="preserve">what is discernible from </w:t>
      </w:r>
      <w:r>
        <w:rPr>
          <w:color w:val="000000"/>
        </w:rPr>
        <w:t xml:space="preserve">the </w:t>
      </w:r>
      <w:r w:rsidR="00505D68">
        <w:rPr>
          <w:color w:val="000000"/>
        </w:rPr>
        <w:t>papers</w:t>
      </w:r>
      <w:r>
        <w:rPr>
          <w:color w:val="000000"/>
        </w:rPr>
        <w:t xml:space="preserve"> before me, I </w:t>
      </w:r>
      <w:r w:rsidR="00906C01">
        <w:rPr>
          <w:color w:val="000000"/>
        </w:rPr>
        <w:t xml:space="preserve">inevitably </w:t>
      </w:r>
      <w:r>
        <w:rPr>
          <w:color w:val="000000"/>
        </w:rPr>
        <w:t xml:space="preserve">reach the same conclusion </w:t>
      </w:r>
      <w:r w:rsidR="00906C01">
        <w:rPr>
          <w:color w:val="000000"/>
        </w:rPr>
        <w:t xml:space="preserve">as my brother, </w:t>
      </w:r>
      <w:r w:rsidR="00906C01" w:rsidRPr="00D9384D">
        <w:rPr>
          <w:smallCaps/>
          <w:color w:val="000000"/>
        </w:rPr>
        <w:t>C</w:t>
      </w:r>
      <w:r w:rsidR="00D9384D" w:rsidRPr="00D9384D">
        <w:rPr>
          <w:smallCaps/>
          <w:color w:val="000000"/>
        </w:rPr>
        <w:t xml:space="preserve">hilimbe </w:t>
      </w:r>
      <w:r w:rsidR="00906C01" w:rsidRPr="00D9384D">
        <w:rPr>
          <w:smallCaps/>
          <w:color w:val="000000"/>
        </w:rPr>
        <w:t>J</w:t>
      </w:r>
      <w:r w:rsidR="00AB2AB5">
        <w:rPr>
          <w:color w:val="000000"/>
        </w:rPr>
        <w:t>. The point must be repeated that Counsel for the respondent accepted that this matter falls within the purview of the Labour Cour</w:t>
      </w:r>
      <w:r w:rsidR="000A4587">
        <w:rPr>
          <w:color w:val="000000"/>
        </w:rPr>
        <w:t>t,</w:t>
      </w:r>
      <w:r w:rsidR="00D37B7C">
        <w:rPr>
          <w:color w:val="000000"/>
        </w:rPr>
        <w:t xml:space="preserve"> but</w:t>
      </w:r>
      <w:r w:rsidR="000A4587">
        <w:rPr>
          <w:color w:val="000000"/>
        </w:rPr>
        <w:t xml:space="preserve"> </w:t>
      </w:r>
      <w:r w:rsidR="00D37B7C">
        <w:rPr>
          <w:color w:val="000000"/>
        </w:rPr>
        <w:t>act</w:t>
      </w:r>
      <w:r w:rsidR="000A4587">
        <w:rPr>
          <w:color w:val="000000"/>
        </w:rPr>
        <w:t>ed</w:t>
      </w:r>
      <w:r w:rsidR="00D37B7C">
        <w:rPr>
          <w:color w:val="000000"/>
        </w:rPr>
        <w:t xml:space="preserve"> </w:t>
      </w:r>
      <w:r w:rsidR="00D37B7C" w:rsidRPr="000A4587">
        <w:rPr>
          <w:i/>
          <w:iCs/>
          <w:color w:val="000000"/>
        </w:rPr>
        <w:t>ex abundante cautela</w:t>
      </w:r>
      <w:r w:rsidR="000A4587">
        <w:rPr>
          <w:color w:val="000000"/>
        </w:rPr>
        <w:t xml:space="preserve"> to avoid </w:t>
      </w:r>
      <w:r w:rsidR="00D37B7C">
        <w:rPr>
          <w:color w:val="000000"/>
        </w:rPr>
        <w:t>mak</w:t>
      </w:r>
      <w:r w:rsidR="000A4587">
        <w:rPr>
          <w:color w:val="000000"/>
        </w:rPr>
        <w:t>ing</w:t>
      </w:r>
      <w:r w:rsidR="00D37B7C">
        <w:rPr>
          <w:color w:val="000000"/>
        </w:rPr>
        <w:t xml:space="preserve"> a</w:t>
      </w:r>
      <w:r w:rsidR="00471E65">
        <w:rPr>
          <w:color w:val="000000"/>
        </w:rPr>
        <w:t xml:space="preserve"> conc</w:t>
      </w:r>
      <w:r w:rsidR="00D37B7C">
        <w:rPr>
          <w:color w:val="000000"/>
        </w:rPr>
        <w:t>ession without</w:t>
      </w:r>
      <w:r w:rsidR="00471E65">
        <w:rPr>
          <w:color w:val="000000"/>
        </w:rPr>
        <w:t xml:space="preserve"> instruction from his client. </w:t>
      </w:r>
      <w:r w:rsidR="00BC7679">
        <w:rPr>
          <w:color w:val="000000"/>
        </w:rPr>
        <w:t>It is evident that t</w:t>
      </w:r>
      <w:r w:rsidR="00471E65">
        <w:rPr>
          <w:color w:val="000000"/>
        </w:rPr>
        <w:t xml:space="preserve">he </w:t>
      </w:r>
      <w:r w:rsidR="00BC7679">
        <w:rPr>
          <w:color w:val="000000"/>
        </w:rPr>
        <w:t xml:space="preserve">applicant sought a </w:t>
      </w:r>
      <w:r w:rsidR="00471E65">
        <w:rPr>
          <w:color w:val="000000"/>
        </w:rPr>
        <w:t>declarat</w:t>
      </w:r>
      <w:r w:rsidR="00D9384D">
        <w:rPr>
          <w:color w:val="000000"/>
        </w:rPr>
        <w:t>u</w:t>
      </w:r>
      <w:r w:rsidR="00471E65">
        <w:rPr>
          <w:color w:val="000000"/>
        </w:rPr>
        <w:t xml:space="preserve">r </w:t>
      </w:r>
      <w:r w:rsidR="00BC7679">
        <w:rPr>
          <w:color w:val="000000"/>
        </w:rPr>
        <w:t xml:space="preserve">principally </w:t>
      </w:r>
      <w:r w:rsidR="00471E65">
        <w:rPr>
          <w:color w:val="000000"/>
        </w:rPr>
        <w:t xml:space="preserve">to </w:t>
      </w:r>
      <w:r w:rsidR="00BC7679">
        <w:rPr>
          <w:color w:val="000000"/>
        </w:rPr>
        <w:t xml:space="preserve">have the court </w:t>
      </w:r>
      <w:r w:rsidR="00471E65">
        <w:rPr>
          <w:color w:val="000000"/>
        </w:rPr>
        <w:t>declare the applicant</w:t>
      </w:r>
      <w:r w:rsidR="00B11AB6">
        <w:rPr>
          <w:color w:val="000000"/>
        </w:rPr>
        <w:t>’s rights</w:t>
      </w:r>
      <w:r w:rsidR="00471E65">
        <w:rPr>
          <w:color w:val="000000"/>
        </w:rPr>
        <w:t xml:space="preserve"> in a contract of employment. </w:t>
      </w:r>
      <w:r w:rsidR="00893CB4">
        <w:rPr>
          <w:color w:val="000000"/>
        </w:rPr>
        <w:t xml:space="preserve">However, </w:t>
      </w:r>
      <w:r w:rsidR="00CD0C41">
        <w:rPr>
          <w:color w:val="000000"/>
        </w:rPr>
        <w:t xml:space="preserve">the facts </w:t>
      </w:r>
      <w:r w:rsidR="00CD0C41" w:rsidRPr="009B0114">
        <w:rPr>
          <w:i/>
          <w:iCs/>
          <w:color w:val="000000"/>
        </w:rPr>
        <w:t>in</w:t>
      </w:r>
      <w:r w:rsidR="00CD0C41" w:rsidRPr="00CD0C41">
        <w:rPr>
          <w:i/>
          <w:iCs/>
          <w:color w:val="000000"/>
        </w:rPr>
        <w:t xml:space="preserve"> casu</w:t>
      </w:r>
      <w:r w:rsidR="00CD0C41">
        <w:rPr>
          <w:color w:val="000000"/>
        </w:rPr>
        <w:t xml:space="preserve"> are no different from those</w:t>
      </w:r>
      <w:r w:rsidR="00772AAB">
        <w:rPr>
          <w:color w:val="000000"/>
        </w:rPr>
        <w:t xml:space="preserve"> that confronted this court in </w:t>
      </w:r>
      <w:r w:rsidR="00C114FD" w:rsidRPr="00C37692">
        <w:rPr>
          <w:bCs/>
          <w:i/>
          <w:iCs/>
        </w:rPr>
        <w:t xml:space="preserve">Muchenje </w:t>
      </w:r>
      <w:r w:rsidR="00C114FD" w:rsidRPr="00D9384D">
        <w:rPr>
          <w:bCs/>
        </w:rPr>
        <w:t>v</w:t>
      </w:r>
      <w:r w:rsidR="00C114FD" w:rsidRPr="00C37692">
        <w:rPr>
          <w:bCs/>
          <w:i/>
          <w:iCs/>
        </w:rPr>
        <w:t xml:space="preserve"> Mutangadura and Ors</w:t>
      </w:r>
      <w:r w:rsidR="00C114FD">
        <w:rPr>
          <w:bCs/>
          <w:i/>
          <w:iCs/>
        </w:rPr>
        <w:t xml:space="preserve"> supra.</w:t>
      </w:r>
      <w:r w:rsidR="00392793">
        <w:rPr>
          <w:bCs/>
        </w:rPr>
        <w:t xml:space="preserve"> When it was argued that the applicant (Muchenje) was seeking an interdict which only the High Court could grant, </w:t>
      </w:r>
      <w:r w:rsidR="00392793" w:rsidRPr="00D9384D">
        <w:rPr>
          <w:bCs/>
          <w:smallCaps/>
        </w:rPr>
        <w:t>M</w:t>
      </w:r>
      <w:r w:rsidR="00D9384D" w:rsidRPr="00D9384D">
        <w:rPr>
          <w:bCs/>
          <w:smallCaps/>
        </w:rPr>
        <w:t>uremba</w:t>
      </w:r>
      <w:r w:rsidR="00392793" w:rsidRPr="00D9384D">
        <w:rPr>
          <w:bCs/>
          <w:smallCaps/>
        </w:rPr>
        <w:t xml:space="preserve"> J</w:t>
      </w:r>
      <w:r w:rsidR="00392793">
        <w:rPr>
          <w:bCs/>
        </w:rPr>
        <w:t xml:space="preserve"> had no hesitation in disposing of that submission thus:</w:t>
      </w:r>
    </w:p>
    <w:p w14:paraId="4303A760" w14:textId="77777777" w:rsidR="00087031" w:rsidRDefault="00095A14" w:rsidP="00087031">
      <w:pPr>
        <w:pBdr>
          <w:top w:val="nil"/>
          <w:left w:val="nil"/>
          <w:bottom w:val="nil"/>
          <w:right w:val="nil"/>
          <w:between w:val="nil"/>
        </w:pBdr>
        <w:spacing w:before="280" w:after="360"/>
        <w:ind w:left="720"/>
        <w:jc w:val="both"/>
        <w:rPr>
          <w:color w:val="000000"/>
          <w:sz w:val="22"/>
          <w:szCs w:val="22"/>
        </w:rPr>
      </w:pPr>
      <w:r w:rsidRPr="00087031">
        <w:rPr>
          <w:bCs/>
          <w:sz w:val="22"/>
          <w:szCs w:val="22"/>
        </w:rPr>
        <w:t>“</w:t>
      </w:r>
      <w:r w:rsidR="003557D0" w:rsidRPr="00087031">
        <w:rPr>
          <w:bCs/>
          <w:sz w:val="22"/>
          <w:szCs w:val="22"/>
        </w:rPr>
        <w:t>The fact that the applicant is seeking a particular relief is not itself decisive. In other words, what is important</w:t>
      </w:r>
      <w:r w:rsidR="00473616" w:rsidRPr="00087031">
        <w:rPr>
          <w:bCs/>
          <w:sz w:val="22"/>
          <w:szCs w:val="22"/>
        </w:rPr>
        <w:t xml:space="preserve"> or what matters are the grounds on which the application is based</w:t>
      </w:r>
      <w:r w:rsidR="008C32BB" w:rsidRPr="00087031">
        <w:rPr>
          <w:bCs/>
          <w:sz w:val="22"/>
          <w:szCs w:val="22"/>
        </w:rPr>
        <w:t xml:space="preserve"> rather than the order or the relief that is being sought</w:t>
      </w:r>
      <w:r w:rsidR="00AE796A" w:rsidRPr="00087031">
        <w:rPr>
          <w:bCs/>
          <w:sz w:val="22"/>
          <w:szCs w:val="22"/>
        </w:rPr>
        <w:t xml:space="preserve">. Regard should be made to the substance </w:t>
      </w:r>
      <w:r w:rsidR="00FB3FE3" w:rsidRPr="00087031">
        <w:rPr>
          <w:bCs/>
          <w:sz w:val="22"/>
          <w:szCs w:val="22"/>
        </w:rPr>
        <w:t xml:space="preserve">of the application and the averments contained therein </w:t>
      </w:r>
      <w:r w:rsidR="00AA64CE" w:rsidRPr="00087031">
        <w:rPr>
          <w:bCs/>
          <w:sz w:val="22"/>
          <w:szCs w:val="22"/>
        </w:rPr>
        <w:t>instead of the relief that is being sought</w:t>
      </w:r>
      <w:r w:rsidR="00007B56" w:rsidRPr="00087031">
        <w:rPr>
          <w:bCs/>
          <w:sz w:val="22"/>
          <w:szCs w:val="22"/>
        </w:rPr>
        <w:t>. The relief being sought cannot be the sole decider of whether or not a matter is properly before the court”.</w:t>
      </w:r>
    </w:p>
    <w:p w14:paraId="5C51B8BE" w14:textId="597336EA" w:rsidR="00332697" w:rsidRPr="00087031" w:rsidRDefault="00A25985" w:rsidP="00D9384D">
      <w:pPr>
        <w:pBdr>
          <w:top w:val="nil"/>
          <w:left w:val="nil"/>
          <w:bottom w:val="nil"/>
          <w:right w:val="nil"/>
          <w:between w:val="nil"/>
        </w:pBdr>
        <w:spacing w:before="280" w:after="280" w:line="360" w:lineRule="auto"/>
        <w:ind w:firstLine="720"/>
        <w:jc w:val="both"/>
        <w:rPr>
          <w:color w:val="000000"/>
          <w:sz w:val="22"/>
          <w:szCs w:val="22"/>
        </w:rPr>
      </w:pPr>
      <w:r>
        <w:rPr>
          <w:color w:val="000000"/>
        </w:rPr>
        <w:lastRenderedPageBreak/>
        <w:t xml:space="preserve">In light of the above case law, I am satisfied </w:t>
      </w:r>
      <w:r w:rsidR="00471E65">
        <w:rPr>
          <w:color w:val="000000"/>
        </w:rPr>
        <w:t>that th</w:t>
      </w:r>
      <w:r>
        <w:rPr>
          <w:color w:val="000000"/>
        </w:rPr>
        <w:t>is court</w:t>
      </w:r>
      <w:r w:rsidR="00471E65">
        <w:rPr>
          <w:color w:val="000000"/>
        </w:rPr>
        <w:t xml:space="preserve"> has no jurisdiction in the first instance to hear </w:t>
      </w:r>
      <w:r>
        <w:rPr>
          <w:color w:val="000000"/>
        </w:rPr>
        <w:t xml:space="preserve">this matter as it is essentially a </w:t>
      </w:r>
      <w:r w:rsidR="00471E65">
        <w:rPr>
          <w:color w:val="000000"/>
        </w:rPr>
        <w:t xml:space="preserve">labour </w:t>
      </w:r>
      <w:r>
        <w:rPr>
          <w:color w:val="000000"/>
        </w:rPr>
        <w:t>dispute</w:t>
      </w:r>
      <w:r w:rsidR="00471E65">
        <w:rPr>
          <w:color w:val="000000"/>
        </w:rPr>
        <w:t>.</w:t>
      </w:r>
      <w:r>
        <w:rPr>
          <w:color w:val="000000"/>
        </w:rPr>
        <w:t xml:space="preserve"> </w:t>
      </w:r>
      <w:r w:rsidR="00471E65">
        <w:rPr>
          <w:color w:val="000000"/>
        </w:rPr>
        <w:t xml:space="preserve">It was for this reasons that I withheld the jurisdiction of this court and </w:t>
      </w:r>
      <w:r w:rsidR="00C44EF4">
        <w:rPr>
          <w:color w:val="000000"/>
        </w:rPr>
        <w:t>granted the following order:</w:t>
      </w:r>
    </w:p>
    <w:p w14:paraId="46292671" w14:textId="77777777" w:rsidR="00332697" w:rsidRDefault="00471E65">
      <w:pPr>
        <w:numPr>
          <w:ilvl w:val="0"/>
          <w:numId w:val="1"/>
        </w:numPr>
        <w:pBdr>
          <w:top w:val="nil"/>
          <w:left w:val="nil"/>
          <w:bottom w:val="nil"/>
          <w:right w:val="nil"/>
          <w:between w:val="nil"/>
        </w:pBdr>
        <w:spacing w:before="280" w:line="360" w:lineRule="auto"/>
        <w:jc w:val="both"/>
        <w:rPr>
          <w:color w:val="000000"/>
        </w:rPr>
      </w:pPr>
      <w:r>
        <w:rPr>
          <w:color w:val="000000"/>
        </w:rPr>
        <w:t xml:space="preserve">The point </w:t>
      </w:r>
      <w:r w:rsidRPr="00F55813">
        <w:rPr>
          <w:i/>
          <w:iCs/>
          <w:color w:val="000000"/>
        </w:rPr>
        <w:t>in l</w:t>
      </w:r>
      <w:r w:rsidRPr="00B401FA">
        <w:rPr>
          <w:i/>
          <w:iCs/>
          <w:color w:val="000000"/>
        </w:rPr>
        <w:t>imine</w:t>
      </w:r>
      <w:r>
        <w:rPr>
          <w:color w:val="000000"/>
        </w:rPr>
        <w:t xml:space="preserve"> raised by the respondent on lack of jurisdiction be and is hereby upheld</w:t>
      </w:r>
    </w:p>
    <w:p w14:paraId="33B49997" w14:textId="3B205C12" w:rsidR="00332697" w:rsidRDefault="00471E65">
      <w:pPr>
        <w:numPr>
          <w:ilvl w:val="0"/>
          <w:numId w:val="1"/>
        </w:numPr>
        <w:pBdr>
          <w:top w:val="nil"/>
          <w:left w:val="nil"/>
          <w:bottom w:val="nil"/>
          <w:right w:val="nil"/>
          <w:between w:val="nil"/>
        </w:pBdr>
        <w:spacing w:line="360" w:lineRule="auto"/>
        <w:jc w:val="both"/>
        <w:rPr>
          <w:color w:val="000000"/>
        </w:rPr>
      </w:pPr>
      <w:r>
        <w:rPr>
          <w:color w:val="000000"/>
        </w:rPr>
        <w:t>The matter is struck off the roll</w:t>
      </w:r>
      <w:r w:rsidR="00D9384D">
        <w:rPr>
          <w:color w:val="000000"/>
        </w:rPr>
        <w:t>.</w:t>
      </w:r>
    </w:p>
    <w:p w14:paraId="3274F5D8" w14:textId="0332980D" w:rsidR="00332697" w:rsidRDefault="00471E65">
      <w:pPr>
        <w:numPr>
          <w:ilvl w:val="0"/>
          <w:numId w:val="1"/>
        </w:numPr>
        <w:pBdr>
          <w:top w:val="nil"/>
          <w:left w:val="nil"/>
          <w:bottom w:val="nil"/>
          <w:right w:val="nil"/>
          <w:between w:val="nil"/>
        </w:pBdr>
        <w:spacing w:after="280" w:line="360" w:lineRule="auto"/>
        <w:jc w:val="both"/>
        <w:rPr>
          <w:color w:val="000000"/>
        </w:rPr>
      </w:pPr>
      <w:r>
        <w:rPr>
          <w:color w:val="000000"/>
        </w:rPr>
        <w:t>The applicant shall bear the cost</w:t>
      </w:r>
      <w:r w:rsidR="00F04F9D">
        <w:rPr>
          <w:color w:val="000000"/>
        </w:rPr>
        <w:t>s</w:t>
      </w:r>
      <w:r>
        <w:rPr>
          <w:color w:val="000000"/>
        </w:rPr>
        <w:t xml:space="preserve"> of suit.</w:t>
      </w:r>
    </w:p>
    <w:p w14:paraId="4C083DF4" w14:textId="77777777" w:rsidR="00332697" w:rsidRDefault="00332697">
      <w:pPr>
        <w:jc w:val="both"/>
      </w:pPr>
    </w:p>
    <w:p w14:paraId="733D955A" w14:textId="77777777" w:rsidR="00332697" w:rsidRDefault="00332697">
      <w:pPr>
        <w:jc w:val="both"/>
      </w:pPr>
    </w:p>
    <w:p w14:paraId="080C5ED8" w14:textId="77777777" w:rsidR="00887E6A" w:rsidRDefault="00887E6A">
      <w:pPr>
        <w:jc w:val="both"/>
        <w:rPr>
          <w:i/>
        </w:rPr>
      </w:pPr>
    </w:p>
    <w:p w14:paraId="42F530C6" w14:textId="77777777" w:rsidR="00887E6A" w:rsidRDefault="00887E6A">
      <w:pPr>
        <w:jc w:val="both"/>
        <w:rPr>
          <w:i/>
        </w:rPr>
      </w:pPr>
    </w:p>
    <w:p w14:paraId="2DC97535" w14:textId="77777777" w:rsidR="00887E6A" w:rsidRDefault="00887E6A">
      <w:pPr>
        <w:jc w:val="both"/>
        <w:rPr>
          <w:i/>
        </w:rPr>
      </w:pPr>
    </w:p>
    <w:p w14:paraId="1C978420" w14:textId="535CE4FC" w:rsidR="00332697" w:rsidRDefault="00471E65">
      <w:pPr>
        <w:jc w:val="both"/>
      </w:pPr>
      <w:r>
        <w:rPr>
          <w:i/>
        </w:rPr>
        <w:t>Mugiya and Muvhami</w:t>
      </w:r>
      <w:r>
        <w:t>, applicant’s legal practitioners</w:t>
      </w:r>
    </w:p>
    <w:p w14:paraId="7BB47EC9" w14:textId="23E89F02" w:rsidR="00332697" w:rsidRDefault="00471E65">
      <w:pPr>
        <w:jc w:val="both"/>
      </w:pPr>
      <w:r>
        <w:rPr>
          <w:i/>
        </w:rPr>
        <w:t>Gill, Godlonton and Gerrans</w:t>
      </w:r>
      <w:r>
        <w:t>, respondent</w:t>
      </w:r>
      <w:r w:rsidR="00887E6A">
        <w:t>’s</w:t>
      </w:r>
      <w:r>
        <w:t xml:space="preserve"> legal practitioners</w:t>
      </w:r>
    </w:p>
    <w:p w14:paraId="5670E9F1" w14:textId="77777777" w:rsidR="00332697" w:rsidRDefault="00471E65">
      <w:pPr>
        <w:spacing w:line="360" w:lineRule="auto"/>
        <w:jc w:val="both"/>
      </w:pPr>
      <w:r>
        <w:tab/>
      </w:r>
    </w:p>
    <w:sectPr w:rsidR="0033269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11E3C" w14:textId="77777777" w:rsidR="00543E37" w:rsidRDefault="00543E37">
      <w:r>
        <w:separator/>
      </w:r>
    </w:p>
  </w:endnote>
  <w:endnote w:type="continuationSeparator" w:id="0">
    <w:p w14:paraId="14009F2F" w14:textId="77777777" w:rsidR="00543E37" w:rsidRDefault="0054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6F495" w14:textId="77777777" w:rsidR="00543E37" w:rsidRDefault="00543E37">
      <w:r>
        <w:separator/>
      </w:r>
    </w:p>
  </w:footnote>
  <w:footnote w:type="continuationSeparator" w:id="0">
    <w:p w14:paraId="12C22C52" w14:textId="77777777" w:rsidR="00543E37" w:rsidRDefault="00543E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90AFC" w14:textId="0006E319" w:rsidR="00332697" w:rsidRDefault="00471E6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120CD">
      <w:rPr>
        <w:noProof/>
        <w:color w:val="000000"/>
      </w:rPr>
      <w:t>1</w:t>
    </w:r>
    <w:r>
      <w:rPr>
        <w:color w:val="000000"/>
      </w:rPr>
      <w:fldChar w:fldCharType="end"/>
    </w:r>
  </w:p>
  <w:p w14:paraId="47574AB3" w14:textId="2106A8B9" w:rsidR="00332697" w:rsidRDefault="00471E65">
    <w:pPr>
      <w:pBdr>
        <w:top w:val="nil"/>
        <w:left w:val="nil"/>
        <w:bottom w:val="nil"/>
        <w:right w:val="nil"/>
        <w:between w:val="nil"/>
      </w:pBdr>
      <w:tabs>
        <w:tab w:val="center" w:pos="4680"/>
        <w:tab w:val="right" w:pos="9360"/>
      </w:tabs>
      <w:jc w:val="right"/>
      <w:rPr>
        <w:color w:val="000000"/>
      </w:rPr>
    </w:pPr>
    <w:r>
      <w:rPr>
        <w:color w:val="000000"/>
      </w:rPr>
      <w:t xml:space="preserve">HH </w:t>
    </w:r>
    <w:r w:rsidR="00A82776">
      <w:rPr>
        <w:color w:val="000000"/>
      </w:rPr>
      <w:t>187</w:t>
    </w:r>
    <w:r w:rsidR="00D9384D">
      <w:rPr>
        <w:color w:val="000000"/>
      </w:rPr>
      <w:t>-23</w:t>
    </w:r>
  </w:p>
  <w:p w14:paraId="0886DE19" w14:textId="17837B0E" w:rsidR="00332697" w:rsidRDefault="00471E65" w:rsidP="00A82776">
    <w:pPr>
      <w:pBdr>
        <w:top w:val="nil"/>
        <w:left w:val="nil"/>
        <w:bottom w:val="nil"/>
        <w:right w:val="nil"/>
        <w:between w:val="nil"/>
      </w:pBdr>
      <w:tabs>
        <w:tab w:val="center" w:pos="4680"/>
        <w:tab w:val="right" w:pos="9360"/>
      </w:tabs>
      <w:jc w:val="right"/>
      <w:rPr>
        <w:color w:val="000000"/>
      </w:rPr>
    </w:pPr>
    <w:r>
      <w:rPr>
        <w:color w:val="000000"/>
      </w:rPr>
      <w:t xml:space="preserve">HC </w:t>
    </w:r>
    <w:r w:rsidR="007467DD">
      <w:rPr>
        <w:color w:val="000000"/>
      </w:rPr>
      <w:t>6445/21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36A72"/>
    <w:multiLevelType w:val="multilevel"/>
    <w:tmpl w:val="F168B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7"/>
    <w:rsid w:val="00007B56"/>
    <w:rsid w:val="000120CD"/>
    <w:rsid w:val="00013957"/>
    <w:rsid w:val="00033197"/>
    <w:rsid w:val="00087031"/>
    <w:rsid w:val="00091868"/>
    <w:rsid w:val="00095A14"/>
    <w:rsid w:val="000A4587"/>
    <w:rsid w:val="000B5DC3"/>
    <w:rsid w:val="000D7732"/>
    <w:rsid w:val="001053F1"/>
    <w:rsid w:val="001468F4"/>
    <w:rsid w:val="001A05AD"/>
    <w:rsid w:val="001A5387"/>
    <w:rsid w:val="00213E24"/>
    <w:rsid w:val="00215A1D"/>
    <w:rsid w:val="0023439A"/>
    <w:rsid w:val="002669D7"/>
    <w:rsid w:val="00294D18"/>
    <w:rsid w:val="002C3A74"/>
    <w:rsid w:val="0030087D"/>
    <w:rsid w:val="00300EAE"/>
    <w:rsid w:val="00327354"/>
    <w:rsid w:val="00332697"/>
    <w:rsid w:val="003557D0"/>
    <w:rsid w:val="003602FC"/>
    <w:rsid w:val="00360573"/>
    <w:rsid w:val="00377E1E"/>
    <w:rsid w:val="00392793"/>
    <w:rsid w:val="00436723"/>
    <w:rsid w:val="00471E65"/>
    <w:rsid w:val="00473616"/>
    <w:rsid w:val="00481C6D"/>
    <w:rsid w:val="00496178"/>
    <w:rsid w:val="004C5D33"/>
    <w:rsid w:val="004D0486"/>
    <w:rsid w:val="00505D68"/>
    <w:rsid w:val="00512F8B"/>
    <w:rsid w:val="00536465"/>
    <w:rsid w:val="00543E37"/>
    <w:rsid w:val="00561D36"/>
    <w:rsid w:val="00576173"/>
    <w:rsid w:val="005E4B35"/>
    <w:rsid w:val="005F19DE"/>
    <w:rsid w:val="005F2694"/>
    <w:rsid w:val="0063440C"/>
    <w:rsid w:val="00645614"/>
    <w:rsid w:val="00694B70"/>
    <w:rsid w:val="006C1D57"/>
    <w:rsid w:val="0070628F"/>
    <w:rsid w:val="00745122"/>
    <w:rsid w:val="007467DD"/>
    <w:rsid w:val="007473D9"/>
    <w:rsid w:val="00766292"/>
    <w:rsid w:val="00772AAB"/>
    <w:rsid w:val="00774DC5"/>
    <w:rsid w:val="007904A4"/>
    <w:rsid w:val="007B19AA"/>
    <w:rsid w:val="007B75D7"/>
    <w:rsid w:val="007C1284"/>
    <w:rsid w:val="0081631F"/>
    <w:rsid w:val="00827CF0"/>
    <w:rsid w:val="00832847"/>
    <w:rsid w:val="00862901"/>
    <w:rsid w:val="00887E6A"/>
    <w:rsid w:val="00893CB4"/>
    <w:rsid w:val="008C32BB"/>
    <w:rsid w:val="008E11B4"/>
    <w:rsid w:val="00900F60"/>
    <w:rsid w:val="00906C01"/>
    <w:rsid w:val="00933B9C"/>
    <w:rsid w:val="00943CC0"/>
    <w:rsid w:val="00975985"/>
    <w:rsid w:val="00980CF5"/>
    <w:rsid w:val="009A02F9"/>
    <w:rsid w:val="009B0114"/>
    <w:rsid w:val="009D40D3"/>
    <w:rsid w:val="00A07C1D"/>
    <w:rsid w:val="00A14CF1"/>
    <w:rsid w:val="00A16139"/>
    <w:rsid w:val="00A25985"/>
    <w:rsid w:val="00A43951"/>
    <w:rsid w:val="00A82776"/>
    <w:rsid w:val="00AA64CE"/>
    <w:rsid w:val="00AB2AB5"/>
    <w:rsid w:val="00AE796A"/>
    <w:rsid w:val="00B06167"/>
    <w:rsid w:val="00B11AB6"/>
    <w:rsid w:val="00B354D3"/>
    <w:rsid w:val="00B401FA"/>
    <w:rsid w:val="00B62117"/>
    <w:rsid w:val="00BB0184"/>
    <w:rsid w:val="00BC10F7"/>
    <w:rsid w:val="00BC7679"/>
    <w:rsid w:val="00C05CE8"/>
    <w:rsid w:val="00C114FD"/>
    <w:rsid w:val="00C127EB"/>
    <w:rsid w:val="00C3394F"/>
    <w:rsid w:val="00C34BFD"/>
    <w:rsid w:val="00C37692"/>
    <w:rsid w:val="00C44EF4"/>
    <w:rsid w:val="00C65778"/>
    <w:rsid w:val="00C84A1B"/>
    <w:rsid w:val="00C85CFA"/>
    <w:rsid w:val="00CA6323"/>
    <w:rsid w:val="00CA7406"/>
    <w:rsid w:val="00CD0C41"/>
    <w:rsid w:val="00CE6F47"/>
    <w:rsid w:val="00D17372"/>
    <w:rsid w:val="00D37B7C"/>
    <w:rsid w:val="00D9384D"/>
    <w:rsid w:val="00DD5415"/>
    <w:rsid w:val="00DD576B"/>
    <w:rsid w:val="00DF626A"/>
    <w:rsid w:val="00DF62D8"/>
    <w:rsid w:val="00E2546B"/>
    <w:rsid w:val="00E46687"/>
    <w:rsid w:val="00E95F88"/>
    <w:rsid w:val="00EA0DAB"/>
    <w:rsid w:val="00EB4449"/>
    <w:rsid w:val="00EB78D8"/>
    <w:rsid w:val="00ED1A11"/>
    <w:rsid w:val="00ED1CD6"/>
    <w:rsid w:val="00ED4669"/>
    <w:rsid w:val="00EF099C"/>
    <w:rsid w:val="00F0422F"/>
    <w:rsid w:val="00F04F9D"/>
    <w:rsid w:val="00F50363"/>
    <w:rsid w:val="00F53894"/>
    <w:rsid w:val="00F55813"/>
    <w:rsid w:val="00F81D18"/>
    <w:rsid w:val="00FA5EBB"/>
    <w:rsid w:val="00FB3F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003C"/>
  <w15:docId w15:val="{700419EE-3B6E-476F-8DD1-E91B7682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467DD"/>
    <w:pPr>
      <w:tabs>
        <w:tab w:val="center" w:pos="4513"/>
        <w:tab w:val="right" w:pos="9026"/>
      </w:tabs>
    </w:pPr>
  </w:style>
  <w:style w:type="character" w:customStyle="1" w:styleId="HeaderChar">
    <w:name w:val="Header Char"/>
    <w:basedOn w:val="DefaultParagraphFont"/>
    <w:link w:val="Header"/>
    <w:uiPriority w:val="99"/>
    <w:rsid w:val="007467DD"/>
  </w:style>
  <w:style w:type="paragraph" w:styleId="Footer">
    <w:name w:val="footer"/>
    <w:basedOn w:val="Normal"/>
    <w:link w:val="FooterChar"/>
    <w:uiPriority w:val="99"/>
    <w:unhideWhenUsed/>
    <w:rsid w:val="007467DD"/>
    <w:pPr>
      <w:tabs>
        <w:tab w:val="center" w:pos="4513"/>
        <w:tab w:val="right" w:pos="9026"/>
      </w:tabs>
    </w:pPr>
  </w:style>
  <w:style w:type="character" w:customStyle="1" w:styleId="FooterChar">
    <w:name w:val="Footer Char"/>
    <w:basedOn w:val="DefaultParagraphFont"/>
    <w:link w:val="Footer"/>
    <w:uiPriority w:val="99"/>
    <w:rsid w:val="0074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 chinamora</dc:creator>
  <cp:lastModifiedBy>JSC</cp:lastModifiedBy>
  <cp:revision>2</cp:revision>
  <dcterms:created xsi:type="dcterms:W3CDTF">2023-03-17T09:49:00Z</dcterms:created>
  <dcterms:modified xsi:type="dcterms:W3CDTF">2023-03-17T09:49:00Z</dcterms:modified>
</cp:coreProperties>
</file>