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F108D3"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MOREBLESSING MASARIRAMBI</w:t>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5E0FA4">
        <w:rPr>
          <w:rFonts w:ascii="Times New Roman" w:hAnsi="Times New Roman" w:cs="Times New Roman"/>
          <w:sz w:val="24"/>
          <w:szCs w:val="24"/>
        </w:rPr>
        <w:tab/>
      </w:r>
      <w:r>
        <w:rPr>
          <w:rFonts w:ascii="Times New Roman" w:hAnsi="Times New Roman" w:cs="Times New Roman"/>
          <w:sz w:val="24"/>
          <w:szCs w:val="24"/>
        </w:rPr>
        <w:tab/>
      </w:r>
      <w:r w:rsidR="004C7664">
        <w:rPr>
          <w:rFonts w:ascii="Times New Roman" w:hAnsi="Times New Roman" w:cs="Times New Roman"/>
          <w:sz w:val="24"/>
          <w:szCs w:val="24"/>
        </w:rPr>
        <w:t xml:space="preserve">APPLICANT </w:t>
      </w:r>
    </w:p>
    <w:p w:rsidR="00EE78D1" w:rsidRPr="00B017EC" w:rsidRDefault="004E7244"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sidR="005A7DFB">
        <w:rPr>
          <w:rFonts w:ascii="Times New Roman" w:hAnsi="Times New Roman" w:cs="Times New Roman"/>
          <w:sz w:val="24"/>
          <w:szCs w:val="24"/>
        </w:rPr>
        <w:t xml:space="preserve"> </w:t>
      </w:r>
      <w:r w:rsidR="00504D59">
        <w:rPr>
          <w:rFonts w:ascii="Times New Roman" w:hAnsi="Times New Roman" w:cs="Times New Roman"/>
          <w:sz w:val="24"/>
          <w:szCs w:val="24"/>
        </w:rPr>
        <w:t xml:space="preserve"> </w:t>
      </w:r>
      <w:r w:rsidR="0095548B">
        <w:rPr>
          <w:rFonts w:ascii="Times New Roman" w:hAnsi="Times New Roman" w:cs="Times New Roman"/>
          <w:sz w:val="24"/>
          <w:szCs w:val="24"/>
        </w:rPr>
        <w:t xml:space="preserve"> </w:t>
      </w:r>
    </w:p>
    <w:p w:rsidR="00F108D3"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GABRIEL MUKAMBACHAZA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sidRPr="004E72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4C7664">
        <w:rPr>
          <w:rFonts w:ascii="Times New Roman" w:hAnsi="Times New Roman" w:cs="Times New Roman"/>
          <w:sz w:val="24"/>
          <w:szCs w:val="24"/>
        </w:rPr>
        <w:t xml:space="preserve"> </w:t>
      </w:r>
    </w:p>
    <w:p w:rsidR="004C7664" w:rsidRDefault="004E7244"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C7664"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ALOIS MUGUZA</w:t>
      </w:r>
      <w:r w:rsidR="004C7664">
        <w:rPr>
          <w:rFonts w:ascii="Times New Roman" w:hAnsi="Times New Roman" w:cs="Times New Roman"/>
          <w:sz w:val="24"/>
          <w:szCs w:val="24"/>
        </w:rPr>
        <w:t xml:space="preserve"> </w:t>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Pr>
          <w:rFonts w:ascii="Times New Roman" w:hAnsi="Times New Roman" w:cs="Times New Roman"/>
          <w:sz w:val="24"/>
          <w:szCs w:val="24"/>
        </w:rPr>
        <w:t>2</w:t>
      </w:r>
      <w:r w:rsidRPr="004E724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C7664">
        <w:rPr>
          <w:rFonts w:ascii="Times New Roman" w:hAnsi="Times New Roman" w:cs="Times New Roman"/>
          <w:sz w:val="24"/>
          <w:szCs w:val="24"/>
        </w:rPr>
        <w:t xml:space="preserve">RESPONDENT </w:t>
      </w:r>
    </w:p>
    <w:p w:rsidR="004E7244" w:rsidRDefault="004E7244"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E7244"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MUTARE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4E724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4E7244" w:rsidRDefault="004E7244"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E7244" w:rsidRDefault="004E724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SHERIFF OF ZIMBABWE </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5A7DFB">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4E7244">
        <w:rPr>
          <w:rFonts w:ascii="Times New Roman" w:hAnsi="Times New Roman" w:cs="Times New Roman"/>
          <w:sz w:val="24"/>
          <w:szCs w:val="24"/>
        </w:rPr>
        <w:t>20</w:t>
      </w:r>
      <w:r w:rsidR="00851271">
        <w:rPr>
          <w:rFonts w:ascii="Times New Roman" w:hAnsi="Times New Roman" w:cs="Times New Roman"/>
          <w:sz w:val="24"/>
          <w:szCs w:val="24"/>
        </w:rPr>
        <w:t xml:space="preserve"> January</w:t>
      </w:r>
      <w:r w:rsidR="00F108D3">
        <w:rPr>
          <w:rFonts w:ascii="Times New Roman" w:hAnsi="Times New Roman" w:cs="Times New Roman"/>
          <w:sz w:val="24"/>
          <w:szCs w:val="24"/>
        </w:rPr>
        <w:t xml:space="preserve"> </w:t>
      </w:r>
      <w:r w:rsidR="002F0F7A">
        <w:rPr>
          <w:rFonts w:ascii="Times New Roman" w:hAnsi="Times New Roman" w:cs="Times New Roman"/>
          <w:sz w:val="24"/>
          <w:szCs w:val="24"/>
        </w:rPr>
        <w:t>and 3 February</w:t>
      </w:r>
      <w:r w:rsidR="004E7244">
        <w:rPr>
          <w:rFonts w:ascii="Times New Roman" w:hAnsi="Times New Roman" w:cs="Times New Roman"/>
          <w:sz w:val="24"/>
          <w:szCs w:val="24"/>
        </w:rPr>
        <w:t xml:space="preserve"> 2022</w:t>
      </w:r>
    </w:p>
    <w:p w:rsidR="00C40160" w:rsidRPr="00B017EC" w:rsidRDefault="00C40160" w:rsidP="003A689C">
      <w:pPr>
        <w:spacing w:after="0" w:line="240" w:lineRule="auto"/>
        <w:jc w:val="both"/>
        <w:rPr>
          <w:rFonts w:ascii="Times New Roman" w:hAnsi="Times New Roman" w:cs="Times New Roman"/>
          <w:sz w:val="24"/>
          <w:szCs w:val="24"/>
        </w:rPr>
      </w:pPr>
    </w:p>
    <w:p w:rsidR="00A803F4" w:rsidRDefault="00A803F4" w:rsidP="003A689C">
      <w:pPr>
        <w:spacing w:after="0" w:line="240" w:lineRule="auto"/>
        <w:jc w:val="both"/>
        <w:rPr>
          <w:rFonts w:ascii="Times New Roman" w:hAnsi="Times New Roman" w:cs="Times New Roman"/>
          <w:sz w:val="24"/>
          <w:szCs w:val="24"/>
        </w:rPr>
      </w:pPr>
    </w:p>
    <w:p w:rsidR="00F108D3" w:rsidRPr="00C24CA3" w:rsidRDefault="004E7244"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851271" w:rsidRDefault="00851271" w:rsidP="003A689C">
      <w:pPr>
        <w:spacing w:after="0" w:line="240" w:lineRule="auto"/>
        <w:jc w:val="both"/>
        <w:rPr>
          <w:rFonts w:ascii="Times New Roman" w:hAnsi="Times New Roman" w:cs="Times New Roman"/>
          <w:sz w:val="24"/>
          <w:szCs w:val="24"/>
        </w:rPr>
      </w:pPr>
    </w:p>
    <w:p w:rsidR="003016C9" w:rsidRPr="00B017EC" w:rsidRDefault="003016C9" w:rsidP="003A689C">
      <w:pPr>
        <w:spacing w:after="0" w:line="240" w:lineRule="auto"/>
        <w:jc w:val="both"/>
        <w:rPr>
          <w:rFonts w:ascii="Times New Roman" w:hAnsi="Times New Roman" w:cs="Times New Roman"/>
          <w:sz w:val="24"/>
          <w:szCs w:val="24"/>
        </w:rPr>
      </w:pPr>
    </w:p>
    <w:p w:rsidR="00F108D3" w:rsidRDefault="002F0F7A"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B. R. </w:t>
      </w:r>
      <w:proofErr w:type="spellStart"/>
      <w:r>
        <w:rPr>
          <w:rFonts w:ascii="Times New Roman" w:hAnsi="Times New Roman" w:cs="Times New Roman"/>
          <w:i/>
          <w:sz w:val="24"/>
          <w:szCs w:val="24"/>
        </w:rPr>
        <w:t>Tanaya</w:t>
      </w:r>
      <w:proofErr w:type="spellEnd"/>
      <w:r w:rsidR="004C7664">
        <w:rPr>
          <w:rFonts w:ascii="Times New Roman" w:hAnsi="Times New Roman" w:cs="Times New Roman"/>
          <w:sz w:val="24"/>
          <w:szCs w:val="24"/>
        </w:rPr>
        <w:t>, for the Applicants</w:t>
      </w:r>
      <w:r w:rsidR="00F108D3">
        <w:rPr>
          <w:rFonts w:ascii="Times New Roman" w:hAnsi="Times New Roman" w:cs="Times New Roman"/>
          <w:sz w:val="24"/>
          <w:szCs w:val="24"/>
        </w:rPr>
        <w:t>.</w:t>
      </w:r>
    </w:p>
    <w:p w:rsidR="00CD0AE3" w:rsidRDefault="00060888"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6088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r w:rsidR="00851271">
        <w:rPr>
          <w:rFonts w:ascii="Times New Roman" w:hAnsi="Times New Roman" w:cs="Times New Roman"/>
          <w:sz w:val="24"/>
          <w:szCs w:val="24"/>
        </w:rPr>
        <w:t>.</w:t>
      </w:r>
      <w:r w:rsidR="0095548B">
        <w:rPr>
          <w:rFonts w:ascii="Times New Roman" w:hAnsi="Times New Roman" w:cs="Times New Roman"/>
          <w:sz w:val="24"/>
          <w:szCs w:val="24"/>
        </w:rPr>
        <w:t xml:space="preserve"> </w:t>
      </w:r>
      <w:r w:rsidR="00CD0AE3">
        <w:rPr>
          <w:rFonts w:ascii="Times New Roman" w:hAnsi="Times New Roman" w:cs="Times New Roman"/>
          <w:sz w:val="24"/>
          <w:szCs w:val="24"/>
        </w:rPr>
        <w:t xml:space="preserve"> </w:t>
      </w:r>
    </w:p>
    <w:p w:rsidR="006919BD" w:rsidRPr="00B017EC" w:rsidRDefault="006919BD" w:rsidP="003A689C">
      <w:pPr>
        <w:spacing w:after="0" w:line="240" w:lineRule="auto"/>
        <w:jc w:val="both"/>
        <w:rPr>
          <w:rFonts w:ascii="Times New Roman" w:hAnsi="Times New Roman" w:cs="Times New Roman"/>
          <w:b/>
          <w:sz w:val="24"/>
          <w:szCs w:val="24"/>
        </w:rPr>
      </w:pPr>
    </w:p>
    <w:p w:rsidR="003016C9" w:rsidRDefault="003016C9" w:rsidP="00060888">
      <w:pPr>
        <w:spacing w:after="0" w:line="360" w:lineRule="auto"/>
        <w:jc w:val="both"/>
        <w:rPr>
          <w:rFonts w:ascii="Times New Roman" w:hAnsi="Times New Roman" w:cs="Times New Roman"/>
          <w:sz w:val="24"/>
          <w:szCs w:val="24"/>
        </w:rPr>
      </w:pPr>
    </w:p>
    <w:p w:rsidR="005E0FA4" w:rsidRDefault="00AD6211" w:rsidP="00060888">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A80985">
        <w:rPr>
          <w:rFonts w:ascii="Times New Roman" w:hAnsi="Times New Roman" w:cs="Times New Roman"/>
          <w:sz w:val="24"/>
          <w:szCs w:val="24"/>
        </w:rPr>
        <w:t>MUZENDA J</w:t>
      </w:r>
      <w:r w:rsidRPr="00B017EC">
        <w:rPr>
          <w:rFonts w:ascii="Times New Roman" w:hAnsi="Times New Roman" w:cs="Times New Roman"/>
          <w:sz w:val="24"/>
          <w:szCs w:val="24"/>
        </w:rPr>
        <w:t xml:space="preserve">: </w:t>
      </w:r>
      <w:r w:rsidR="00060888">
        <w:rPr>
          <w:rFonts w:ascii="Times New Roman" w:hAnsi="Times New Roman" w:cs="Times New Roman"/>
          <w:sz w:val="24"/>
          <w:szCs w:val="24"/>
        </w:rPr>
        <w:t xml:space="preserve">This is </w:t>
      </w:r>
      <w:r w:rsidR="003016C9">
        <w:rPr>
          <w:rFonts w:ascii="Times New Roman" w:hAnsi="Times New Roman" w:cs="Times New Roman"/>
          <w:sz w:val="24"/>
          <w:szCs w:val="24"/>
        </w:rPr>
        <w:t xml:space="preserve">an application for a </w:t>
      </w:r>
      <w:proofErr w:type="spellStart"/>
      <w:r w:rsidR="003016C9" w:rsidRPr="004B527C">
        <w:rPr>
          <w:rFonts w:ascii="Times New Roman" w:hAnsi="Times New Roman" w:cs="Times New Roman"/>
          <w:b/>
          <w:i/>
          <w:sz w:val="24"/>
          <w:szCs w:val="24"/>
        </w:rPr>
        <w:t>Declaratur</w:t>
      </w:r>
      <w:proofErr w:type="spellEnd"/>
      <w:r w:rsidR="00060888">
        <w:rPr>
          <w:rFonts w:ascii="Times New Roman" w:hAnsi="Times New Roman" w:cs="Times New Roman"/>
          <w:sz w:val="24"/>
          <w:szCs w:val="24"/>
        </w:rPr>
        <w:t xml:space="preserve"> </w:t>
      </w:r>
      <w:r w:rsidR="004B527C">
        <w:rPr>
          <w:rFonts w:ascii="Times New Roman" w:hAnsi="Times New Roman" w:cs="Times New Roman"/>
          <w:sz w:val="24"/>
          <w:szCs w:val="24"/>
        </w:rPr>
        <w:t>s</w:t>
      </w:r>
      <w:r w:rsidR="00060888">
        <w:rPr>
          <w:rFonts w:ascii="Times New Roman" w:hAnsi="Times New Roman" w:cs="Times New Roman"/>
          <w:sz w:val="24"/>
          <w:szCs w:val="24"/>
        </w:rPr>
        <w:t>ought in terms of s14 of the High Court Act, [</w:t>
      </w:r>
      <w:r w:rsidR="00060888">
        <w:rPr>
          <w:rFonts w:ascii="Times New Roman" w:hAnsi="Times New Roman" w:cs="Times New Roman"/>
          <w:i/>
          <w:sz w:val="24"/>
          <w:szCs w:val="24"/>
        </w:rPr>
        <w:t>Chapter 7:06</w:t>
      </w:r>
      <w:r w:rsidR="00060888">
        <w:rPr>
          <w:rFonts w:ascii="Times New Roman" w:hAnsi="Times New Roman" w:cs="Times New Roman"/>
          <w:sz w:val="24"/>
          <w:szCs w:val="24"/>
        </w:rPr>
        <w:t>] where the applicant seeks the following order:</w:t>
      </w:r>
    </w:p>
    <w:p w:rsidR="00060888" w:rsidRDefault="00060888" w:rsidP="00060888">
      <w:pPr>
        <w:spacing w:after="0" w:line="360" w:lineRule="auto"/>
        <w:jc w:val="both"/>
        <w:rPr>
          <w:rFonts w:ascii="Times New Roman" w:hAnsi="Times New Roman" w:cs="Times New Roman"/>
          <w:sz w:val="24"/>
          <w:szCs w:val="24"/>
        </w:rPr>
      </w:pPr>
    </w:p>
    <w:p w:rsidR="00132167" w:rsidRPr="003A6693" w:rsidRDefault="00060888" w:rsidP="00132167">
      <w:pPr>
        <w:spacing w:after="0" w:line="240" w:lineRule="auto"/>
        <w:ind w:firstLine="360"/>
        <w:jc w:val="both"/>
        <w:rPr>
          <w:rFonts w:ascii="Times New Roman" w:hAnsi="Times New Roman" w:cs="Times New Roman"/>
        </w:rPr>
      </w:pPr>
      <w:r>
        <w:rPr>
          <w:rFonts w:ascii="Times New Roman" w:hAnsi="Times New Roman" w:cs="Times New Roman"/>
          <w:sz w:val="24"/>
          <w:szCs w:val="24"/>
        </w:rPr>
        <w:t>“</w:t>
      </w:r>
      <w:r w:rsidRPr="003A6693">
        <w:rPr>
          <w:rFonts w:ascii="Times New Roman" w:hAnsi="Times New Roman" w:cs="Times New Roman"/>
        </w:rPr>
        <w:t>IT IS HEREBY ORDERED THAT:</w:t>
      </w:r>
    </w:p>
    <w:p w:rsidR="00060888" w:rsidRPr="004B527C" w:rsidRDefault="00060888" w:rsidP="003A6693">
      <w:pPr>
        <w:pStyle w:val="ListParagraph"/>
        <w:numPr>
          <w:ilvl w:val="0"/>
          <w:numId w:val="18"/>
        </w:numPr>
        <w:spacing w:after="0" w:line="240" w:lineRule="auto"/>
        <w:jc w:val="both"/>
        <w:rPr>
          <w:rFonts w:ascii="Times New Roman" w:hAnsi="Times New Roman" w:cs="Times New Roman"/>
          <w:b/>
          <w:i/>
        </w:rPr>
      </w:pPr>
      <w:r w:rsidRPr="004B527C">
        <w:rPr>
          <w:rFonts w:ascii="Times New Roman" w:hAnsi="Times New Roman" w:cs="Times New Roman"/>
          <w:b/>
          <w:i/>
        </w:rPr>
        <w:t xml:space="preserve">First respondent’s rights, title and interest in certain piece of land situated in the District of </w:t>
      </w:r>
      <w:proofErr w:type="spellStart"/>
      <w:r w:rsidRPr="004B527C">
        <w:rPr>
          <w:rFonts w:ascii="Times New Roman" w:hAnsi="Times New Roman" w:cs="Times New Roman"/>
          <w:b/>
          <w:i/>
        </w:rPr>
        <w:t>Umtali</w:t>
      </w:r>
      <w:proofErr w:type="spellEnd"/>
      <w:r w:rsidRPr="004B527C">
        <w:rPr>
          <w:rFonts w:ascii="Times New Roman" w:hAnsi="Times New Roman" w:cs="Times New Roman"/>
          <w:b/>
          <w:i/>
        </w:rPr>
        <w:t xml:space="preserve"> called stand 1815 </w:t>
      </w:r>
      <w:proofErr w:type="spellStart"/>
      <w:r w:rsidRPr="004B527C">
        <w:rPr>
          <w:rFonts w:ascii="Times New Roman" w:hAnsi="Times New Roman" w:cs="Times New Roman"/>
          <w:b/>
          <w:i/>
        </w:rPr>
        <w:t>Chikanga</w:t>
      </w:r>
      <w:proofErr w:type="spellEnd"/>
      <w:r w:rsidRPr="004B527C">
        <w:rPr>
          <w:rFonts w:ascii="Times New Roman" w:hAnsi="Times New Roman" w:cs="Times New Roman"/>
          <w:b/>
          <w:i/>
        </w:rPr>
        <w:t xml:space="preserve"> Township of </w:t>
      </w:r>
      <w:proofErr w:type="spellStart"/>
      <w:r w:rsidRPr="004B527C">
        <w:rPr>
          <w:rFonts w:ascii="Times New Roman" w:hAnsi="Times New Roman" w:cs="Times New Roman"/>
          <w:b/>
          <w:i/>
        </w:rPr>
        <w:t>Umtali</w:t>
      </w:r>
      <w:proofErr w:type="spellEnd"/>
      <w:r w:rsidRPr="004B527C">
        <w:rPr>
          <w:rFonts w:ascii="Times New Roman" w:hAnsi="Times New Roman" w:cs="Times New Roman"/>
          <w:b/>
          <w:i/>
        </w:rPr>
        <w:t xml:space="preserve"> Township Lands measuring 300 square metres be and are hereby declared executable in satisfaction of the judgment, in favour of the Applicant, in case No. HC 145/20.</w:t>
      </w:r>
    </w:p>
    <w:p w:rsidR="00060888" w:rsidRPr="004B527C" w:rsidRDefault="00060888" w:rsidP="003A6693">
      <w:pPr>
        <w:pStyle w:val="ListParagraph"/>
        <w:numPr>
          <w:ilvl w:val="0"/>
          <w:numId w:val="18"/>
        </w:numPr>
        <w:spacing w:after="0" w:line="240" w:lineRule="auto"/>
        <w:jc w:val="both"/>
        <w:rPr>
          <w:rFonts w:ascii="Times New Roman" w:hAnsi="Times New Roman" w:cs="Times New Roman"/>
          <w:b/>
          <w:i/>
        </w:rPr>
      </w:pPr>
      <w:r w:rsidRPr="004B527C">
        <w:rPr>
          <w:rFonts w:ascii="Times New Roman" w:hAnsi="Times New Roman" w:cs="Times New Roman"/>
          <w:b/>
          <w:i/>
        </w:rPr>
        <w:t>The first, second and third respondents be and are hereby ordered to sign the necessary cession forms (City Of Mutare Memorandum of Assignment) in respect of the immovable property withi</w:t>
      </w:r>
      <w:r w:rsidR="00FA1A88" w:rsidRPr="004B527C">
        <w:rPr>
          <w:rFonts w:ascii="Times New Roman" w:hAnsi="Times New Roman" w:cs="Times New Roman"/>
          <w:b/>
          <w:i/>
        </w:rPr>
        <w:t>n seven working days of payment</w:t>
      </w:r>
      <w:r w:rsidRPr="004B527C">
        <w:rPr>
          <w:rFonts w:ascii="Times New Roman" w:hAnsi="Times New Roman" w:cs="Times New Roman"/>
          <w:b/>
          <w:i/>
        </w:rPr>
        <w:t xml:space="preserve"> of cession fees and </w:t>
      </w:r>
      <w:r w:rsidR="002F0F7A">
        <w:rPr>
          <w:rFonts w:ascii="Times New Roman" w:hAnsi="Times New Roman" w:cs="Times New Roman"/>
          <w:b/>
          <w:i/>
        </w:rPr>
        <w:t>rat</w:t>
      </w:r>
      <w:r w:rsidR="004B527C">
        <w:rPr>
          <w:rFonts w:ascii="Times New Roman" w:hAnsi="Times New Roman" w:cs="Times New Roman"/>
          <w:b/>
          <w:i/>
        </w:rPr>
        <w:t xml:space="preserve">es </w:t>
      </w:r>
      <w:r w:rsidR="00DF40DB" w:rsidRPr="004B527C">
        <w:rPr>
          <w:rFonts w:ascii="Times New Roman" w:hAnsi="Times New Roman" w:cs="Times New Roman"/>
          <w:b/>
          <w:i/>
        </w:rPr>
        <w:t>clearance, if a</w:t>
      </w:r>
      <w:r w:rsidR="003A7D1C">
        <w:rPr>
          <w:rFonts w:ascii="Times New Roman" w:hAnsi="Times New Roman" w:cs="Times New Roman"/>
          <w:b/>
          <w:i/>
        </w:rPr>
        <w:t>ny by applicant, to enable the fourth</w:t>
      </w:r>
      <w:r w:rsidR="00DF40DB" w:rsidRPr="004B527C">
        <w:rPr>
          <w:rFonts w:ascii="Times New Roman" w:hAnsi="Times New Roman" w:cs="Times New Roman"/>
          <w:b/>
          <w:i/>
        </w:rPr>
        <w:t xml:space="preserve"> respondent to proceed with the sale in execution under case numbe</w:t>
      </w:r>
      <w:r w:rsidR="003A7D1C">
        <w:rPr>
          <w:rFonts w:ascii="Times New Roman" w:hAnsi="Times New Roman" w:cs="Times New Roman"/>
          <w:b/>
          <w:i/>
        </w:rPr>
        <w:t>r HC 145/20, failing which the fourth</w:t>
      </w:r>
      <w:r w:rsidR="00DF40DB" w:rsidRPr="004B527C">
        <w:rPr>
          <w:rFonts w:ascii="Times New Roman" w:hAnsi="Times New Roman" w:cs="Times New Roman"/>
          <w:b/>
          <w:i/>
        </w:rPr>
        <w:t xml:space="preserve"> respondent shall sign the cession forms on behalf and in the st</w:t>
      </w:r>
      <w:r w:rsidR="00C952F6" w:rsidRPr="004B527C">
        <w:rPr>
          <w:rFonts w:ascii="Times New Roman" w:hAnsi="Times New Roman" w:cs="Times New Roman"/>
          <w:b/>
          <w:i/>
        </w:rPr>
        <w:t>ead of the first and second respondents.</w:t>
      </w:r>
    </w:p>
    <w:p w:rsidR="00C952F6" w:rsidRPr="004B527C" w:rsidRDefault="00C952F6" w:rsidP="003A6693">
      <w:pPr>
        <w:pStyle w:val="ListParagraph"/>
        <w:numPr>
          <w:ilvl w:val="0"/>
          <w:numId w:val="18"/>
        </w:numPr>
        <w:spacing w:after="0" w:line="240" w:lineRule="auto"/>
        <w:jc w:val="both"/>
        <w:rPr>
          <w:rFonts w:ascii="Times New Roman" w:hAnsi="Times New Roman" w:cs="Times New Roman"/>
          <w:b/>
          <w:i/>
        </w:rPr>
      </w:pPr>
      <w:r w:rsidRPr="004B527C">
        <w:rPr>
          <w:rFonts w:ascii="Times New Roman" w:hAnsi="Times New Roman" w:cs="Times New Roman"/>
          <w:b/>
          <w:i/>
        </w:rPr>
        <w:t>The third respondent shall furnish fourth respondent with copies of duly executed cession documents together with all documents relating to the immovable property and may be required by the fourth respondent to enable the sale in execution and session of the first respondent’s rights</w:t>
      </w:r>
      <w:r w:rsidR="00FA1A88" w:rsidRPr="004B527C">
        <w:rPr>
          <w:rFonts w:ascii="Times New Roman" w:hAnsi="Times New Roman" w:cs="Times New Roman"/>
          <w:b/>
          <w:i/>
        </w:rPr>
        <w:t>,</w:t>
      </w:r>
      <w:r w:rsidRPr="004B527C">
        <w:rPr>
          <w:rFonts w:ascii="Times New Roman" w:hAnsi="Times New Roman" w:cs="Times New Roman"/>
          <w:b/>
          <w:i/>
        </w:rPr>
        <w:t xml:space="preserve"> title and interest in the property, within seven days after execution of the cession documents in terms of paragraph 2 above.</w:t>
      </w:r>
    </w:p>
    <w:p w:rsidR="00C952F6" w:rsidRPr="004B527C" w:rsidRDefault="00C952F6" w:rsidP="003A6693">
      <w:pPr>
        <w:pStyle w:val="ListParagraph"/>
        <w:numPr>
          <w:ilvl w:val="0"/>
          <w:numId w:val="18"/>
        </w:numPr>
        <w:spacing w:after="0" w:line="240" w:lineRule="auto"/>
        <w:jc w:val="both"/>
        <w:rPr>
          <w:rFonts w:ascii="Times New Roman" w:hAnsi="Times New Roman" w:cs="Times New Roman"/>
          <w:b/>
          <w:i/>
        </w:rPr>
      </w:pPr>
      <w:r w:rsidRPr="004B527C">
        <w:rPr>
          <w:rFonts w:ascii="Times New Roman" w:hAnsi="Times New Roman" w:cs="Times New Roman"/>
          <w:b/>
          <w:i/>
        </w:rPr>
        <w:t xml:space="preserve">Any payment by applicant to the third respondent </w:t>
      </w:r>
      <w:r w:rsidR="00FA1A88" w:rsidRPr="004B527C">
        <w:rPr>
          <w:rFonts w:ascii="Times New Roman" w:hAnsi="Times New Roman" w:cs="Times New Roman"/>
          <w:b/>
          <w:i/>
        </w:rPr>
        <w:t xml:space="preserve">in terms of paragraph </w:t>
      </w:r>
      <w:r w:rsidRPr="004B527C">
        <w:rPr>
          <w:rFonts w:ascii="Times New Roman" w:hAnsi="Times New Roman" w:cs="Times New Roman"/>
          <w:b/>
          <w:i/>
        </w:rPr>
        <w:t xml:space="preserve">2 above shall be deducted from the proceeds of the sale of the immovable property in execution in Case Number HC 145/20, and refunded </w:t>
      </w:r>
      <w:r w:rsidR="00FA1A88" w:rsidRPr="004B527C">
        <w:rPr>
          <w:rFonts w:ascii="Times New Roman" w:hAnsi="Times New Roman" w:cs="Times New Roman"/>
          <w:b/>
          <w:i/>
        </w:rPr>
        <w:t xml:space="preserve">to the applicant in higher rank </w:t>
      </w:r>
      <w:r w:rsidRPr="004B527C">
        <w:rPr>
          <w:rFonts w:ascii="Times New Roman" w:hAnsi="Times New Roman" w:cs="Times New Roman"/>
          <w:b/>
          <w:i/>
        </w:rPr>
        <w:t>to the judgment debt amounts in the main matter.</w:t>
      </w:r>
    </w:p>
    <w:p w:rsidR="0025380A" w:rsidRPr="003A6693" w:rsidRDefault="00C952F6" w:rsidP="003A6693">
      <w:pPr>
        <w:pStyle w:val="ListParagraph"/>
        <w:numPr>
          <w:ilvl w:val="0"/>
          <w:numId w:val="18"/>
        </w:numPr>
        <w:spacing w:after="0" w:line="240" w:lineRule="auto"/>
        <w:jc w:val="both"/>
        <w:rPr>
          <w:rFonts w:ascii="Times New Roman" w:hAnsi="Times New Roman" w:cs="Times New Roman"/>
        </w:rPr>
      </w:pPr>
      <w:r w:rsidRPr="004B527C">
        <w:rPr>
          <w:rFonts w:ascii="Times New Roman" w:hAnsi="Times New Roman" w:cs="Times New Roman"/>
          <w:b/>
          <w:i/>
        </w:rPr>
        <w:t>Respondents shall, if the matter is opposed, pay costs of suit on attorney client scale.”</w:t>
      </w:r>
    </w:p>
    <w:p w:rsidR="004B527C" w:rsidRDefault="004B527C" w:rsidP="003A6693">
      <w:pPr>
        <w:spacing w:after="0" w:line="240" w:lineRule="auto"/>
        <w:ind w:left="360" w:firstLine="360"/>
        <w:jc w:val="both"/>
        <w:rPr>
          <w:rFonts w:ascii="Times New Roman" w:hAnsi="Times New Roman" w:cs="Times New Roman"/>
        </w:rPr>
      </w:pPr>
    </w:p>
    <w:p w:rsidR="0025380A" w:rsidRPr="003A6693" w:rsidRDefault="0025380A" w:rsidP="003A6693">
      <w:pPr>
        <w:spacing w:after="0" w:line="240" w:lineRule="auto"/>
        <w:ind w:left="360" w:firstLine="360"/>
        <w:jc w:val="both"/>
        <w:rPr>
          <w:rFonts w:ascii="Times New Roman" w:hAnsi="Times New Roman" w:cs="Times New Roman"/>
        </w:rPr>
      </w:pPr>
      <w:r w:rsidRPr="003A6693">
        <w:rPr>
          <w:rFonts w:ascii="Times New Roman" w:hAnsi="Times New Roman" w:cs="Times New Roman"/>
        </w:rPr>
        <w:lastRenderedPageBreak/>
        <w:t>The application is opposed by the first respondent.</w:t>
      </w:r>
    </w:p>
    <w:p w:rsidR="0025380A" w:rsidRDefault="0025380A" w:rsidP="0025380A">
      <w:pPr>
        <w:spacing w:after="0" w:line="360" w:lineRule="auto"/>
        <w:jc w:val="both"/>
        <w:rPr>
          <w:rFonts w:ascii="Times New Roman" w:hAnsi="Times New Roman" w:cs="Times New Roman"/>
          <w:sz w:val="24"/>
          <w:szCs w:val="24"/>
        </w:rPr>
      </w:pPr>
    </w:p>
    <w:p w:rsidR="0025380A" w:rsidRPr="003A6693" w:rsidRDefault="0025380A" w:rsidP="0025380A">
      <w:pPr>
        <w:spacing w:after="0" w:line="360" w:lineRule="auto"/>
        <w:jc w:val="both"/>
        <w:rPr>
          <w:rFonts w:ascii="Times New Roman" w:hAnsi="Times New Roman" w:cs="Times New Roman"/>
          <w:sz w:val="24"/>
          <w:szCs w:val="24"/>
        </w:rPr>
      </w:pPr>
      <w:bookmarkStart w:id="0" w:name="_GoBack"/>
      <w:r w:rsidRPr="003A6693">
        <w:rPr>
          <w:rFonts w:ascii="Times New Roman" w:hAnsi="Times New Roman" w:cs="Times New Roman"/>
          <w:sz w:val="24"/>
          <w:szCs w:val="24"/>
        </w:rPr>
        <w:t>Background Facts.</w:t>
      </w:r>
    </w:p>
    <w:bookmarkEnd w:id="0"/>
    <w:p w:rsidR="0025380A" w:rsidRDefault="0025380A" w:rsidP="002538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application’s cause of action emanates from a conviction </w:t>
      </w:r>
      <w:r w:rsidR="004B527C">
        <w:rPr>
          <w:rFonts w:ascii="Times New Roman" w:hAnsi="Times New Roman" w:cs="Times New Roman"/>
          <w:sz w:val="24"/>
          <w:szCs w:val="24"/>
        </w:rPr>
        <w:t xml:space="preserve">of </w:t>
      </w:r>
      <w:r>
        <w:rPr>
          <w:rFonts w:ascii="Times New Roman" w:hAnsi="Times New Roman" w:cs="Times New Roman"/>
          <w:sz w:val="24"/>
          <w:szCs w:val="24"/>
        </w:rPr>
        <w:t>robbery involving three suspects, first respondent being one of them. Mutare Regional Magistrate’s Court sentenced first respondent  and his two accomplices to a total of 12 years imprisonment, 3 years imprisonment was suspended on condition of future good behaviour, a further 2 years imprisonment was suspended on condition each o</w:t>
      </w:r>
      <w:r w:rsidR="00FA1A88">
        <w:rPr>
          <w:rFonts w:ascii="Times New Roman" w:hAnsi="Times New Roman" w:cs="Times New Roman"/>
          <w:sz w:val="24"/>
          <w:szCs w:val="24"/>
        </w:rPr>
        <w:t xml:space="preserve">f the three convicts was to </w:t>
      </w:r>
      <w:proofErr w:type="spellStart"/>
      <w:r w:rsidR="00FA1A88">
        <w:rPr>
          <w:rFonts w:ascii="Times New Roman" w:hAnsi="Times New Roman" w:cs="Times New Roman"/>
          <w:sz w:val="24"/>
          <w:szCs w:val="24"/>
        </w:rPr>
        <w:t>res</w:t>
      </w:r>
      <w:r>
        <w:rPr>
          <w:rFonts w:ascii="Times New Roman" w:hAnsi="Times New Roman" w:cs="Times New Roman"/>
          <w:sz w:val="24"/>
          <w:szCs w:val="24"/>
        </w:rPr>
        <w:t>t</w:t>
      </w:r>
      <w:r w:rsidR="00FA1A88">
        <w:rPr>
          <w:rFonts w:ascii="Times New Roman" w:hAnsi="Times New Roman" w:cs="Times New Roman"/>
          <w:sz w:val="24"/>
          <w:szCs w:val="24"/>
        </w:rPr>
        <w:t>it</w:t>
      </w:r>
      <w:r>
        <w:rPr>
          <w:rFonts w:ascii="Times New Roman" w:hAnsi="Times New Roman" w:cs="Times New Roman"/>
          <w:sz w:val="24"/>
          <w:szCs w:val="24"/>
        </w:rPr>
        <w:t>ute</w:t>
      </w:r>
      <w:proofErr w:type="spellEnd"/>
      <w:r>
        <w:rPr>
          <w:rFonts w:ascii="Times New Roman" w:hAnsi="Times New Roman" w:cs="Times New Roman"/>
          <w:sz w:val="24"/>
          <w:szCs w:val="24"/>
        </w:rPr>
        <w:t xml:space="preserve"> complainant US$3 </w:t>
      </w:r>
      <w:r w:rsidR="00FA1A88">
        <w:rPr>
          <w:rFonts w:ascii="Times New Roman" w:hAnsi="Times New Roman" w:cs="Times New Roman"/>
          <w:sz w:val="24"/>
          <w:szCs w:val="24"/>
        </w:rPr>
        <w:t>601. The amount of prejudice</w:t>
      </w:r>
      <w:r>
        <w:rPr>
          <w:rFonts w:ascii="Times New Roman" w:hAnsi="Times New Roman" w:cs="Times New Roman"/>
          <w:sz w:val="24"/>
          <w:szCs w:val="24"/>
        </w:rPr>
        <w:t xml:space="preserve"> in the criminal matter for robbery was US$ 10 803.</w:t>
      </w:r>
    </w:p>
    <w:p w:rsidR="004A6B2B" w:rsidRDefault="004A6B2B" w:rsidP="002538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went on to issue summons against all the three convicts under HC 145/20 and on </w:t>
      </w:r>
      <w:r w:rsidR="003016C9">
        <w:rPr>
          <w:rFonts w:ascii="Times New Roman" w:hAnsi="Times New Roman" w:cs="Times New Roman"/>
          <w:sz w:val="24"/>
          <w:szCs w:val="24"/>
        </w:rPr>
        <w:t>3</w:t>
      </w:r>
      <w:r>
        <w:rPr>
          <w:rFonts w:ascii="Times New Roman" w:hAnsi="Times New Roman" w:cs="Times New Roman"/>
          <w:sz w:val="24"/>
          <w:szCs w:val="24"/>
        </w:rPr>
        <w:t xml:space="preserve"> September 2020 he obtained a default judgment f</w:t>
      </w:r>
      <w:r w:rsidR="00FA1A88">
        <w:rPr>
          <w:rFonts w:ascii="Times New Roman" w:hAnsi="Times New Roman" w:cs="Times New Roman"/>
          <w:sz w:val="24"/>
          <w:szCs w:val="24"/>
        </w:rPr>
        <w:t>or US$ 36 700. Applicant also go</w:t>
      </w:r>
      <w:r>
        <w:rPr>
          <w:rFonts w:ascii="Times New Roman" w:hAnsi="Times New Roman" w:cs="Times New Roman"/>
          <w:sz w:val="24"/>
          <w:szCs w:val="24"/>
        </w:rPr>
        <w:t xml:space="preserve">t a writ of execution and tried to attach house number 1815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Mutare registered under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Muguza</w:t>
      </w:r>
      <w:proofErr w:type="spellEnd"/>
      <w:r>
        <w:rPr>
          <w:rFonts w:ascii="Times New Roman" w:hAnsi="Times New Roman" w:cs="Times New Roman"/>
          <w:sz w:val="24"/>
          <w:szCs w:val="24"/>
        </w:rPr>
        <w:t>, second respondent. The property has no title and cession papers were not com</w:t>
      </w:r>
      <w:r w:rsidR="00FA1A88">
        <w:rPr>
          <w:rFonts w:ascii="Times New Roman" w:hAnsi="Times New Roman" w:cs="Times New Roman"/>
          <w:sz w:val="24"/>
          <w:szCs w:val="24"/>
        </w:rPr>
        <w:t>pleted at the city of Mutare hous</w:t>
      </w:r>
      <w:r>
        <w:rPr>
          <w:rFonts w:ascii="Times New Roman" w:hAnsi="Times New Roman" w:cs="Times New Roman"/>
          <w:sz w:val="24"/>
          <w:szCs w:val="24"/>
        </w:rPr>
        <w:t>ing department. Only a Zimbabwe Revenue Authority (“</w:t>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cession clearance certificate intending to cede rights of the house from second respondent to the first respondent was processed. No Agreement of sale entered between first and second respondent to the first respondent was attached by the applicant. In principle </w:t>
      </w:r>
      <w:r w:rsidR="00CF12EE">
        <w:rPr>
          <w:rFonts w:ascii="Times New Roman" w:hAnsi="Times New Roman" w:cs="Times New Roman"/>
          <w:sz w:val="24"/>
          <w:szCs w:val="24"/>
        </w:rPr>
        <w:t>the court is not privy to the terms and conditions of sale and it</w:t>
      </w:r>
      <w:r w:rsidR="003016C9">
        <w:rPr>
          <w:rFonts w:ascii="Times New Roman" w:hAnsi="Times New Roman" w:cs="Times New Roman"/>
          <w:sz w:val="24"/>
          <w:szCs w:val="24"/>
        </w:rPr>
        <w:t xml:space="preserve"> i</w:t>
      </w:r>
      <w:r w:rsidR="00CF12EE">
        <w:rPr>
          <w:rFonts w:ascii="Times New Roman" w:hAnsi="Times New Roman" w:cs="Times New Roman"/>
          <w:sz w:val="24"/>
          <w:szCs w:val="24"/>
        </w:rPr>
        <w:t>s not clear whether first respondent fully paid the purchase price.</w:t>
      </w:r>
    </w:p>
    <w:p w:rsidR="00CF12EE" w:rsidRDefault="00CF12EE" w:rsidP="002538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in his papers contends that second respondent has sold his rights to the first respondent. To the applicant what is outstanding is payment of cession fees ad rates clearance certificate, applicant offers to effe</w:t>
      </w:r>
      <w:r w:rsidR="004B527C">
        <w:rPr>
          <w:rFonts w:ascii="Times New Roman" w:hAnsi="Times New Roman" w:cs="Times New Roman"/>
          <w:sz w:val="24"/>
          <w:szCs w:val="24"/>
        </w:rPr>
        <w:t>ct those payments, subject to</w:t>
      </w:r>
      <w:r>
        <w:rPr>
          <w:rFonts w:ascii="Times New Roman" w:hAnsi="Times New Roman" w:cs="Times New Roman"/>
          <w:sz w:val="24"/>
          <w:szCs w:val="24"/>
        </w:rPr>
        <w:t xml:space="preserve"> him being reimbur</w:t>
      </w:r>
      <w:r w:rsidR="00FA1A88">
        <w:rPr>
          <w:rFonts w:ascii="Times New Roman" w:hAnsi="Times New Roman" w:cs="Times New Roman"/>
          <w:sz w:val="24"/>
          <w:szCs w:val="24"/>
        </w:rPr>
        <w:t>sed out of the proceeds of the s</w:t>
      </w:r>
      <w:r>
        <w:rPr>
          <w:rFonts w:ascii="Times New Roman" w:hAnsi="Times New Roman" w:cs="Times New Roman"/>
          <w:sz w:val="24"/>
          <w:szCs w:val="24"/>
        </w:rPr>
        <w:t xml:space="preserve">ale of the house by the Sheriff. The </w:t>
      </w:r>
      <w:r w:rsidR="003016C9">
        <w:rPr>
          <w:rFonts w:ascii="Times New Roman" w:hAnsi="Times New Roman" w:cs="Times New Roman"/>
          <w:sz w:val="24"/>
          <w:szCs w:val="24"/>
        </w:rPr>
        <w:t>S</w:t>
      </w:r>
      <w:r>
        <w:rPr>
          <w:rFonts w:ascii="Times New Roman" w:hAnsi="Times New Roman" w:cs="Times New Roman"/>
          <w:sz w:val="24"/>
          <w:szCs w:val="24"/>
        </w:rPr>
        <w:t>heriff tried to place a caveat on the property and informed the applicant’s lawyers of the complexity of disposing of the house registered in a third party’s name. The challenge prompted applicant to file the current application.</w:t>
      </w:r>
    </w:p>
    <w:p w:rsidR="00CF12EE" w:rsidRDefault="00CF12EE" w:rsidP="002538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filed a document which he purports to be an opposing affidavit. In that document first respondent among other grounds criticises proceedings under HC 145/20 alleging that he was not properly served. He acknowledges the Regional </w:t>
      </w:r>
      <w:r w:rsidR="003016C9">
        <w:rPr>
          <w:rFonts w:ascii="Times New Roman" w:hAnsi="Times New Roman" w:cs="Times New Roman"/>
          <w:sz w:val="24"/>
          <w:szCs w:val="24"/>
        </w:rPr>
        <w:t>C</w:t>
      </w:r>
      <w:r>
        <w:rPr>
          <w:rFonts w:ascii="Times New Roman" w:hAnsi="Times New Roman" w:cs="Times New Roman"/>
          <w:sz w:val="24"/>
          <w:szCs w:val="24"/>
        </w:rPr>
        <w:t>ourt’s order for restitution for US$3601 and queries why applicant now claims US$ 36 700 against him. First appl</w:t>
      </w:r>
      <w:r w:rsidR="00590DEB">
        <w:rPr>
          <w:rFonts w:ascii="Times New Roman" w:hAnsi="Times New Roman" w:cs="Times New Roman"/>
          <w:sz w:val="24"/>
          <w:szCs w:val="24"/>
        </w:rPr>
        <w:t xml:space="preserve">icant insists that he is going </w:t>
      </w:r>
      <w:r>
        <w:rPr>
          <w:rFonts w:ascii="Times New Roman" w:hAnsi="Times New Roman" w:cs="Times New Roman"/>
          <w:sz w:val="24"/>
          <w:szCs w:val="24"/>
        </w:rPr>
        <w:t>to</w:t>
      </w:r>
      <w:r w:rsidR="00FA1A88">
        <w:rPr>
          <w:rFonts w:ascii="Times New Roman" w:hAnsi="Times New Roman" w:cs="Times New Roman"/>
          <w:sz w:val="24"/>
          <w:szCs w:val="24"/>
        </w:rPr>
        <w:t xml:space="preserve"> pay</w:t>
      </w:r>
      <w:r>
        <w:rPr>
          <w:rFonts w:ascii="Times New Roman" w:hAnsi="Times New Roman" w:cs="Times New Roman"/>
          <w:sz w:val="24"/>
          <w:szCs w:val="24"/>
        </w:rPr>
        <w:t xml:space="preserve"> part of his restitution as ordered</w:t>
      </w:r>
      <w:r w:rsidR="00590DEB">
        <w:rPr>
          <w:rFonts w:ascii="Times New Roman" w:hAnsi="Times New Roman" w:cs="Times New Roman"/>
          <w:sz w:val="24"/>
          <w:szCs w:val="24"/>
        </w:rPr>
        <w:t xml:space="preserve"> by the Regional </w:t>
      </w:r>
      <w:r w:rsidR="003016C9">
        <w:rPr>
          <w:rFonts w:ascii="Times New Roman" w:hAnsi="Times New Roman" w:cs="Times New Roman"/>
          <w:sz w:val="24"/>
          <w:szCs w:val="24"/>
        </w:rPr>
        <w:t>C</w:t>
      </w:r>
      <w:r w:rsidR="00590DEB">
        <w:rPr>
          <w:rFonts w:ascii="Times New Roman" w:hAnsi="Times New Roman" w:cs="Times New Roman"/>
          <w:sz w:val="24"/>
          <w:szCs w:val="24"/>
        </w:rPr>
        <w:t xml:space="preserve">ourt. It should be noted that first respondent is still in prison. He reiterates that he has no title over </w:t>
      </w:r>
      <w:r w:rsidR="00590DEB">
        <w:rPr>
          <w:rFonts w:ascii="Times New Roman" w:hAnsi="Times New Roman" w:cs="Times New Roman"/>
          <w:sz w:val="24"/>
          <w:szCs w:val="24"/>
        </w:rPr>
        <w:lastRenderedPageBreak/>
        <w:t xml:space="preserve">1815 </w:t>
      </w:r>
      <w:proofErr w:type="spellStart"/>
      <w:r w:rsidR="00590DEB">
        <w:rPr>
          <w:rFonts w:ascii="Times New Roman" w:hAnsi="Times New Roman" w:cs="Times New Roman"/>
          <w:sz w:val="24"/>
          <w:szCs w:val="24"/>
        </w:rPr>
        <w:t>Chikanga</w:t>
      </w:r>
      <w:proofErr w:type="spellEnd"/>
      <w:r w:rsidR="00590DEB">
        <w:rPr>
          <w:rFonts w:ascii="Times New Roman" w:hAnsi="Times New Roman" w:cs="Times New Roman"/>
          <w:sz w:val="24"/>
          <w:szCs w:val="24"/>
        </w:rPr>
        <w:t>, Mutare and that cession is still work in progress and he is “still wishing to purchase” the house.</w:t>
      </w:r>
    </w:p>
    <w:p w:rsidR="00590DEB" w:rsidRPr="0025380A" w:rsidRDefault="00590DEB" w:rsidP="002538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for decision by the court is whether applicant has placed facts before the court to establish f</w:t>
      </w:r>
      <w:r w:rsidR="004B527C">
        <w:rPr>
          <w:rFonts w:ascii="Times New Roman" w:hAnsi="Times New Roman" w:cs="Times New Roman"/>
          <w:sz w:val="24"/>
          <w:szCs w:val="24"/>
        </w:rPr>
        <w:t xml:space="preserve">ertile grounds for a </w:t>
      </w:r>
      <w:proofErr w:type="spellStart"/>
      <w:r w:rsidR="004B527C" w:rsidRPr="004B527C">
        <w:rPr>
          <w:rFonts w:ascii="Times New Roman" w:hAnsi="Times New Roman" w:cs="Times New Roman"/>
          <w:i/>
          <w:sz w:val="24"/>
          <w:szCs w:val="24"/>
        </w:rPr>
        <w:t>declaratur</w:t>
      </w:r>
      <w:proofErr w:type="spellEnd"/>
      <w:r>
        <w:rPr>
          <w:rFonts w:ascii="Times New Roman" w:hAnsi="Times New Roman" w:cs="Times New Roman"/>
          <w:sz w:val="24"/>
          <w:szCs w:val="24"/>
        </w:rPr>
        <w:t xml:space="preserve"> as per the draft order?</w:t>
      </w:r>
    </w:p>
    <w:p w:rsidR="00590DEB" w:rsidRDefault="00590DEB" w:rsidP="00EE29D2">
      <w:pPr>
        <w:spacing w:after="0" w:line="360" w:lineRule="auto"/>
        <w:jc w:val="both"/>
        <w:rPr>
          <w:rFonts w:ascii="Times New Roman" w:hAnsi="Times New Roman" w:cs="Times New Roman"/>
          <w:sz w:val="24"/>
          <w:szCs w:val="24"/>
        </w:rPr>
      </w:pPr>
    </w:p>
    <w:p w:rsidR="00590DEB" w:rsidRDefault="00590DEB" w:rsidP="00EE2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w:t>
      </w:r>
    </w:p>
    <w:p w:rsidR="001F6637" w:rsidRDefault="00590DEB" w:rsidP="00EE2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sidR="002120C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defines a declaratory or</w:t>
      </w:r>
      <w:r w:rsidR="003A6693">
        <w:rPr>
          <w:rFonts w:ascii="Times New Roman" w:hAnsi="Times New Roman" w:cs="Times New Roman"/>
          <w:sz w:val="24"/>
          <w:szCs w:val="24"/>
        </w:rPr>
        <w:t>der as follows:</w:t>
      </w:r>
    </w:p>
    <w:p w:rsidR="003A6693" w:rsidRDefault="003A6693" w:rsidP="008315B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8315B4" w:rsidRPr="004B527C">
        <w:rPr>
          <w:rFonts w:ascii="Times New Roman" w:hAnsi="Times New Roman" w:cs="Times New Roman"/>
          <w:i/>
        </w:rPr>
        <w:t>A</w:t>
      </w:r>
      <w:r w:rsidRPr="004B527C">
        <w:rPr>
          <w:rFonts w:ascii="Times New Roman" w:hAnsi="Times New Roman" w:cs="Times New Roman"/>
          <w:i/>
        </w:rPr>
        <w:t xml:space="preserve"> declaratory order is an order by which a dispute over the existence of some legal right or obligation is resolve</w:t>
      </w:r>
      <w:r w:rsidR="00FA1A88" w:rsidRPr="004B527C">
        <w:rPr>
          <w:rFonts w:ascii="Times New Roman" w:hAnsi="Times New Roman" w:cs="Times New Roman"/>
          <w:i/>
        </w:rPr>
        <w:t>d. The right or obligation can b</w:t>
      </w:r>
      <w:r w:rsidRPr="004B527C">
        <w:rPr>
          <w:rFonts w:ascii="Times New Roman" w:hAnsi="Times New Roman" w:cs="Times New Roman"/>
          <w:i/>
        </w:rPr>
        <w:t>e existing, prospective or contingent and no specific consequential relief need be claimed</w:t>
      </w:r>
      <w:r w:rsidRPr="008315B4">
        <w:rPr>
          <w:rFonts w:ascii="Times New Roman" w:hAnsi="Times New Roman" w:cs="Times New Roman"/>
        </w:rPr>
        <w:t>.”</w:t>
      </w:r>
    </w:p>
    <w:p w:rsidR="00132167" w:rsidRPr="008315B4" w:rsidRDefault="00132167" w:rsidP="008315B4">
      <w:pPr>
        <w:spacing w:after="0" w:line="240" w:lineRule="auto"/>
        <w:ind w:left="720"/>
        <w:jc w:val="both"/>
        <w:rPr>
          <w:rFonts w:ascii="Times New Roman" w:hAnsi="Times New Roman" w:cs="Times New Roman"/>
        </w:rPr>
      </w:pPr>
    </w:p>
    <w:p w:rsidR="00231AF9" w:rsidRDefault="008315B4" w:rsidP="0061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w:t>
      </w:r>
      <w:r w:rsidR="00FA1A88">
        <w:rPr>
          <w:rFonts w:ascii="Times New Roman" w:hAnsi="Times New Roman" w:cs="Times New Roman"/>
          <w:sz w:val="24"/>
          <w:szCs w:val="24"/>
        </w:rPr>
        <w:t>rs further clarified the matter</w:t>
      </w:r>
      <w:r>
        <w:rPr>
          <w:rFonts w:ascii="Times New Roman" w:hAnsi="Times New Roman" w:cs="Times New Roman"/>
          <w:sz w:val="24"/>
          <w:szCs w:val="24"/>
        </w:rPr>
        <w:t xml:space="preserve"> as follows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ab/>
      </w:r>
    </w:p>
    <w:p w:rsidR="00231AF9" w:rsidRDefault="00231AF9" w:rsidP="00231AF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527C">
        <w:rPr>
          <w:rFonts w:ascii="Times New Roman" w:hAnsi="Times New Roman" w:cs="Times New Roman"/>
          <w:i/>
        </w:rPr>
        <w:t>It</w:t>
      </w:r>
      <w:proofErr w:type="gramEnd"/>
      <w:r w:rsidRPr="004B527C">
        <w:rPr>
          <w:rFonts w:ascii="Times New Roman" w:hAnsi="Times New Roman" w:cs="Times New Roman"/>
          <w:i/>
        </w:rPr>
        <w:t xml:space="preserve"> has been consistently been held that there is a two-stage approach to the question whether a declaratory order should be made in terms of this section. During the first leg of the enquiry the court must be satisfied that the application has an interest in an ‘existing future or contingent right or obligation’. At this stage the focus is only upon establishing that the necessary conditions precedent for the exercise of the court is satisfied that the existence of such conditions has been proved, it has to exercise the discretion by deciding either to refuse or grant the order sought. The consideration of whether or not to grant the order constitutes the second leg of enquiry</w:t>
      </w:r>
      <w:r>
        <w:rPr>
          <w:rFonts w:ascii="Times New Roman" w:hAnsi="Times New Roman" w:cs="Times New Roman"/>
          <w:sz w:val="24"/>
          <w:szCs w:val="24"/>
        </w:rPr>
        <w:t>”.</w:t>
      </w:r>
    </w:p>
    <w:p w:rsidR="00231AF9" w:rsidRDefault="00231AF9" w:rsidP="0061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 1434 the learned authors went further to explain the rights: </w:t>
      </w:r>
    </w:p>
    <w:p w:rsidR="006E2F9E" w:rsidRDefault="00231AF9" w:rsidP="0061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6E2F9E">
        <w:rPr>
          <w:rFonts w:ascii="Times New Roman" w:hAnsi="Times New Roman" w:cs="Times New Roman"/>
          <w:i/>
          <w:sz w:val="24"/>
          <w:szCs w:val="24"/>
        </w:rPr>
        <w:t>Family Benefit Friendly Society Matter</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Gijkhorst</w:t>
      </w:r>
      <w:proofErr w:type="spellEnd"/>
      <w:r>
        <w:rPr>
          <w:rFonts w:ascii="Times New Roman" w:hAnsi="Times New Roman" w:cs="Times New Roman"/>
          <w:sz w:val="24"/>
          <w:szCs w:val="24"/>
        </w:rPr>
        <w:t xml:space="preserve"> J also stated that:</w:t>
      </w:r>
    </w:p>
    <w:p w:rsidR="001E5838" w:rsidRDefault="006E2F9E" w:rsidP="001E583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4B527C">
        <w:rPr>
          <w:rFonts w:ascii="Times New Roman" w:hAnsi="Times New Roman" w:cs="Times New Roman"/>
        </w:rPr>
        <w:t>There must be a r</w:t>
      </w:r>
      <w:r w:rsidRPr="001E5838">
        <w:rPr>
          <w:rFonts w:ascii="Times New Roman" w:hAnsi="Times New Roman" w:cs="Times New Roman"/>
        </w:rPr>
        <w:t xml:space="preserve">ight which becomes the object of enquiry. It may be </w:t>
      </w:r>
      <w:r w:rsidR="001E5838" w:rsidRPr="001E5838">
        <w:rPr>
          <w:rFonts w:ascii="Times New Roman" w:hAnsi="Times New Roman" w:cs="Times New Roman"/>
        </w:rPr>
        <w:t>existing</w:t>
      </w:r>
      <w:r w:rsidRPr="001E5838">
        <w:rPr>
          <w:rFonts w:ascii="Times New Roman" w:hAnsi="Times New Roman" w:cs="Times New Roman"/>
        </w:rPr>
        <w:t>, future or contingent but it must be more tangible than the mere hope of a right or mere anxiety about a possible obligation. The word “contingent is not used in a broad and vague sense but in the narrow sense of “conditional”</w:t>
      </w:r>
      <w:r w:rsidR="001E5838" w:rsidRPr="001E5838">
        <w:rPr>
          <w:rFonts w:ascii="Times New Roman" w:hAnsi="Times New Roman" w:cs="Times New Roman"/>
        </w:rPr>
        <w:t>. The word “contingent” is used as opposed to “vested”. The rights and obligations to be enquired into are either vested (present and future) or conditional (contingent)”</w:t>
      </w:r>
    </w:p>
    <w:p w:rsidR="00BD2E19" w:rsidRDefault="00BD2E19" w:rsidP="006115D1">
      <w:pPr>
        <w:spacing w:after="0" w:line="360" w:lineRule="auto"/>
        <w:jc w:val="both"/>
        <w:rPr>
          <w:rFonts w:ascii="Times New Roman" w:hAnsi="Times New Roman" w:cs="Times New Roman"/>
          <w:sz w:val="24"/>
          <w:szCs w:val="24"/>
        </w:rPr>
      </w:pPr>
    </w:p>
    <w:p w:rsidR="006115D1" w:rsidRDefault="006115D1" w:rsidP="00611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rights in issue must attach to the applicant or the plaintiff not someone else. In the matter of </w:t>
      </w:r>
      <w:r w:rsidRPr="00567966">
        <w:rPr>
          <w:rFonts w:ascii="Times New Roman" w:hAnsi="Times New Roman" w:cs="Times New Roman"/>
          <w:i/>
          <w:sz w:val="24"/>
          <w:szCs w:val="24"/>
        </w:rPr>
        <w:t>Ross</w:t>
      </w:r>
      <w:r>
        <w:rPr>
          <w:rFonts w:ascii="Times New Roman" w:hAnsi="Times New Roman" w:cs="Times New Roman"/>
          <w:sz w:val="24"/>
          <w:szCs w:val="24"/>
        </w:rPr>
        <w:t xml:space="preserve"> v </w:t>
      </w:r>
      <w:proofErr w:type="spellStart"/>
      <w:r w:rsidRPr="00567966">
        <w:rPr>
          <w:rFonts w:ascii="Times New Roman" w:hAnsi="Times New Roman" w:cs="Times New Roman"/>
          <w:i/>
          <w:sz w:val="24"/>
          <w:szCs w:val="24"/>
        </w:rPr>
        <w:t>Siberman</w:t>
      </w:r>
      <w:proofErr w:type="spellEnd"/>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court referring to a statement in an earlier case to the effect that “if and when the contingency happens, the right will be created”, dismissed the application with costs,</w:t>
      </w:r>
      <w:r w:rsidR="004B527C">
        <w:rPr>
          <w:rFonts w:ascii="Times New Roman" w:hAnsi="Times New Roman" w:cs="Times New Roman"/>
          <w:sz w:val="24"/>
          <w:szCs w:val="24"/>
        </w:rPr>
        <w:t xml:space="preserve"> holding that the petitioner</w:t>
      </w:r>
      <w:r>
        <w:rPr>
          <w:rFonts w:ascii="Times New Roman" w:hAnsi="Times New Roman" w:cs="Times New Roman"/>
          <w:sz w:val="24"/>
          <w:szCs w:val="24"/>
        </w:rPr>
        <w:t>s</w:t>
      </w:r>
      <w:r w:rsidR="004B527C">
        <w:rPr>
          <w:rFonts w:ascii="Times New Roman" w:hAnsi="Times New Roman" w:cs="Times New Roman"/>
          <w:sz w:val="24"/>
          <w:szCs w:val="24"/>
        </w:rPr>
        <w:t>’</w:t>
      </w:r>
      <w:r>
        <w:rPr>
          <w:rFonts w:ascii="Times New Roman" w:hAnsi="Times New Roman" w:cs="Times New Roman"/>
          <w:sz w:val="24"/>
          <w:szCs w:val="24"/>
        </w:rPr>
        <w:t xml:space="preserve"> equally</w:t>
      </w:r>
      <w:r w:rsidR="004B527C">
        <w:rPr>
          <w:rFonts w:ascii="Times New Roman" w:hAnsi="Times New Roman" w:cs="Times New Roman"/>
          <w:sz w:val="24"/>
          <w:szCs w:val="24"/>
        </w:rPr>
        <w:t xml:space="preserve"> had</w:t>
      </w:r>
      <w:r>
        <w:rPr>
          <w:rFonts w:ascii="Times New Roman" w:hAnsi="Times New Roman" w:cs="Times New Roman"/>
          <w:sz w:val="24"/>
          <w:szCs w:val="24"/>
        </w:rPr>
        <w:t xml:space="preserve"> no such right at present which can be determined.</w:t>
      </w:r>
    </w:p>
    <w:p w:rsidR="006115D1" w:rsidRDefault="006115D1" w:rsidP="00611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32167">
        <w:rPr>
          <w:rFonts w:ascii="Times New Roman" w:hAnsi="Times New Roman" w:cs="Times New Roman"/>
          <w:i/>
          <w:sz w:val="24"/>
          <w:szCs w:val="24"/>
        </w:rPr>
        <w:t>the</w:t>
      </w:r>
      <w:r>
        <w:rPr>
          <w:rFonts w:ascii="Times New Roman" w:hAnsi="Times New Roman" w:cs="Times New Roman"/>
          <w:sz w:val="24"/>
          <w:szCs w:val="24"/>
        </w:rPr>
        <w:t xml:space="preserve"> matter of </w:t>
      </w:r>
      <w:proofErr w:type="spellStart"/>
      <w:r w:rsidR="00567966" w:rsidRPr="00567966">
        <w:rPr>
          <w:rFonts w:ascii="Times New Roman" w:hAnsi="Times New Roman" w:cs="Times New Roman"/>
          <w:i/>
          <w:sz w:val="24"/>
          <w:szCs w:val="24"/>
        </w:rPr>
        <w:t>Johnsent</w:t>
      </w:r>
      <w:proofErr w:type="spellEnd"/>
      <w:r w:rsidR="00567966">
        <w:rPr>
          <w:rFonts w:ascii="Times New Roman" w:hAnsi="Times New Roman" w:cs="Times New Roman"/>
          <w:sz w:val="24"/>
          <w:szCs w:val="24"/>
        </w:rPr>
        <w:t xml:space="preserve"> v </w:t>
      </w:r>
      <w:r w:rsidR="00567966" w:rsidRPr="00567966">
        <w:rPr>
          <w:rFonts w:ascii="Times New Roman" w:hAnsi="Times New Roman" w:cs="Times New Roman"/>
          <w:i/>
          <w:sz w:val="24"/>
          <w:szCs w:val="24"/>
        </w:rPr>
        <w:t>A</w:t>
      </w:r>
      <w:r w:rsidR="00567966">
        <w:rPr>
          <w:rFonts w:ascii="Times New Roman" w:hAnsi="Times New Roman" w:cs="Times New Roman"/>
          <w:i/>
          <w:sz w:val="24"/>
          <w:szCs w:val="24"/>
        </w:rPr>
        <w:t>gricultur</w:t>
      </w:r>
      <w:r w:rsidR="00567966" w:rsidRPr="00567966">
        <w:rPr>
          <w:rFonts w:ascii="Times New Roman" w:hAnsi="Times New Roman" w:cs="Times New Roman"/>
          <w:i/>
          <w:sz w:val="24"/>
          <w:szCs w:val="24"/>
        </w:rPr>
        <w:t>al Finance Corporation</w:t>
      </w:r>
      <w:r w:rsidR="00567966">
        <w:rPr>
          <w:rStyle w:val="FootnoteReference"/>
          <w:rFonts w:ascii="Times New Roman" w:hAnsi="Times New Roman" w:cs="Times New Roman"/>
          <w:sz w:val="24"/>
          <w:szCs w:val="24"/>
        </w:rPr>
        <w:footnoteReference w:id="4"/>
      </w:r>
      <w:r w:rsidR="00567966">
        <w:rPr>
          <w:rFonts w:ascii="Times New Roman" w:hAnsi="Times New Roman" w:cs="Times New Roman"/>
          <w:i/>
          <w:sz w:val="24"/>
          <w:szCs w:val="24"/>
        </w:rPr>
        <w:t xml:space="preserve"> </w:t>
      </w:r>
      <w:r w:rsidR="00567966" w:rsidRPr="00567966">
        <w:rPr>
          <w:rFonts w:ascii="Times New Roman" w:hAnsi="Times New Roman" w:cs="Times New Roman"/>
          <w:sz w:val="24"/>
          <w:szCs w:val="24"/>
        </w:rPr>
        <w:t>the court</w:t>
      </w:r>
      <w:r w:rsidR="00567966">
        <w:rPr>
          <w:rFonts w:ascii="Times New Roman" w:hAnsi="Times New Roman" w:cs="Times New Roman"/>
          <w:i/>
          <w:sz w:val="24"/>
          <w:szCs w:val="24"/>
        </w:rPr>
        <w:t xml:space="preserve"> </w:t>
      </w:r>
      <w:r w:rsidR="00567966">
        <w:rPr>
          <w:rFonts w:ascii="Times New Roman" w:hAnsi="Times New Roman" w:cs="Times New Roman"/>
          <w:sz w:val="24"/>
          <w:szCs w:val="24"/>
        </w:rPr>
        <w:t>held that</w:t>
      </w:r>
    </w:p>
    <w:p w:rsidR="00567966" w:rsidRPr="004B527C" w:rsidRDefault="003016C9" w:rsidP="004B527C">
      <w:pPr>
        <w:spacing w:after="0" w:line="240" w:lineRule="auto"/>
        <w:ind w:firstLine="360"/>
        <w:jc w:val="both"/>
        <w:rPr>
          <w:rFonts w:ascii="Times New Roman" w:hAnsi="Times New Roman" w:cs="Times New Roman"/>
          <w:i/>
        </w:rPr>
      </w:pPr>
      <w:r>
        <w:rPr>
          <w:rFonts w:ascii="Times New Roman" w:hAnsi="Times New Roman" w:cs="Times New Roman"/>
          <w:sz w:val="24"/>
          <w:szCs w:val="24"/>
        </w:rPr>
        <w:t>“</w:t>
      </w:r>
      <w:r w:rsidRPr="004B527C">
        <w:rPr>
          <w:rFonts w:ascii="Times New Roman" w:hAnsi="Times New Roman" w:cs="Times New Roman"/>
          <w:i/>
        </w:rPr>
        <w:t>A declaratory order under s</w:t>
      </w:r>
      <w:r w:rsidR="00567966" w:rsidRPr="004B527C">
        <w:rPr>
          <w:rFonts w:ascii="Times New Roman" w:hAnsi="Times New Roman" w:cs="Times New Roman"/>
          <w:i/>
        </w:rPr>
        <w:t xml:space="preserve"> 14 of the High Court of Zimbabwe Act required a two-stage </w:t>
      </w:r>
      <w:r w:rsidR="0095273B" w:rsidRPr="004B527C">
        <w:rPr>
          <w:rFonts w:ascii="Times New Roman" w:hAnsi="Times New Roman" w:cs="Times New Roman"/>
          <w:i/>
        </w:rPr>
        <w:t>enquiry</w:t>
      </w:r>
      <w:r w:rsidR="00567966" w:rsidRPr="004B527C">
        <w:rPr>
          <w:rFonts w:ascii="Times New Roman" w:hAnsi="Times New Roman" w:cs="Times New Roman"/>
          <w:i/>
        </w:rPr>
        <w:t>:</w:t>
      </w:r>
    </w:p>
    <w:p w:rsidR="00567966" w:rsidRPr="004B527C" w:rsidRDefault="0095273B" w:rsidP="004B527C">
      <w:pPr>
        <w:pStyle w:val="ListParagraph"/>
        <w:numPr>
          <w:ilvl w:val="0"/>
          <w:numId w:val="20"/>
        </w:numPr>
        <w:spacing w:after="0" w:line="240" w:lineRule="auto"/>
        <w:jc w:val="both"/>
        <w:rPr>
          <w:rFonts w:ascii="Times New Roman" w:hAnsi="Times New Roman" w:cs="Times New Roman"/>
          <w:i/>
        </w:rPr>
      </w:pPr>
      <w:proofErr w:type="gramStart"/>
      <w:r w:rsidRPr="004B527C">
        <w:rPr>
          <w:rFonts w:ascii="Times New Roman" w:hAnsi="Times New Roman" w:cs="Times New Roman"/>
          <w:i/>
        </w:rPr>
        <w:t>is</w:t>
      </w:r>
      <w:proofErr w:type="gramEnd"/>
      <w:r w:rsidRPr="004B527C">
        <w:rPr>
          <w:rFonts w:ascii="Times New Roman" w:hAnsi="Times New Roman" w:cs="Times New Roman"/>
          <w:i/>
        </w:rPr>
        <w:t xml:space="preserve"> applicant an interested party?</w:t>
      </w:r>
    </w:p>
    <w:p w:rsidR="0095273B" w:rsidRDefault="0095273B" w:rsidP="004B527C">
      <w:pPr>
        <w:pStyle w:val="ListParagraph"/>
        <w:numPr>
          <w:ilvl w:val="0"/>
          <w:numId w:val="20"/>
        </w:numPr>
        <w:spacing w:after="0" w:line="240" w:lineRule="auto"/>
        <w:jc w:val="both"/>
        <w:rPr>
          <w:rFonts w:ascii="Times New Roman" w:hAnsi="Times New Roman" w:cs="Times New Roman"/>
          <w:sz w:val="24"/>
          <w:szCs w:val="24"/>
        </w:rPr>
      </w:pPr>
      <w:r w:rsidRPr="004B527C">
        <w:rPr>
          <w:rFonts w:ascii="Times New Roman" w:hAnsi="Times New Roman" w:cs="Times New Roman"/>
          <w:i/>
        </w:rPr>
        <w:lastRenderedPageBreak/>
        <w:t>Is this a proper case for the exercise of the courts discretion</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4B527C" w:rsidRDefault="004B527C" w:rsidP="003016C9">
      <w:pPr>
        <w:spacing w:after="0" w:line="360" w:lineRule="auto"/>
        <w:ind w:firstLine="360"/>
        <w:jc w:val="both"/>
        <w:rPr>
          <w:rFonts w:ascii="Times New Roman" w:hAnsi="Times New Roman" w:cs="Times New Roman"/>
          <w:sz w:val="24"/>
          <w:szCs w:val="24"/>
        </w:rPr>
      </w:pPr>
    </w:p>
    <w:p w:rsidR="0095273B" w:rsidRDefault="003016C9" w:rsidP="003016C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p</w:t>
      </w:r>
      <w:r w:rsidR="0095273B">
        <w:rPr>
          <w:rFonts w:ascii="Times New Roman" w:hAnsi="Times New Roman" w:cs="Times New Roman"/>
          <w:sz w:val="24"/>
          <w:szCs w:val="24"/>
        </w:rPr>
        <w:t xml:space="preserve"> 14 of the cyclostyled judgment the learned CHIEF JUSTICE added the following:</w:t>
      </w:r>
    </w:p>
    <w:p w:rsidR="0095273B" w:rsidRPr="004B527C" w:rsidRDefault="0095273B" w:rsidP="00AB3D56">
      <w:pPr>
        <w:spacing w:after="0" w:line="240" w:lineRule="auto"/>
        <w:ind w:left="720"/>
        <w:jc w:val="both"/>
        <w:rPr>
          <w:rFonts w:ascii="Times New Roman" w:hAnsi="Times New Roman" w:cs="Times New Roman"/>
          <w:i/>
        </w:rPr>
      </w:pPr>
      <w:r>
        <w:rPr>
          <w:rFonts w:ascii="Times New Roman" w:hAnsi="Times New Roman" w:cs="Times New Roman"/>
          <w:sz w:val="24"/>
          <w:szCs w:val="24"/>
        </w:rPr>
        <w:t>“</w:t>
      </w:r>
      <w:r w:rsidRPr="004B527C">
        <w:rPr>
          <w:rFonts w:ascii="Times New Roman" w:hAnsi="Times New Roman" w:cs="Times New Roman"/>
          <w:i/>
        </w:rPr>
        <w:t xml:space="preserve">The authorities emphasize the conception of a cession as a bilateral agreement to transfer rights from one person to another. It cannot be a unilateral act. IN </w:t>
      </w:r>
      <w:r w:rsidR="00032990" w:rsidRPr="004B527C">
        <w:rPr>
          <w:rFonts w:ascii="Times New Roman" w:hAnsi="Times New Roman" w:cs="Times New Roman"/>
          <w:i/>
        </w:rPr>
        <w:t>LTA</w:t>
      </w:r>
      <w:r w:rsidRPr="004B527C">
        <w:rPr>
          <w:rFonts w:ascii="Times New Roman" w:hAnsi="Times New Roman" w:cs="Times New Roman"/>
          <w:i/>
        </w:rPr>
        <w:t xml:space="preserve"> Engineering co. LTD v </w:t>
      </w:r>
      <w:proofErr w:type="spellStart"/>
      <w:r w:rsidRPr="004B527C">
        <w:rPr>
          <w:rFonts w:ascii="Times New Roman" w:hAnsi="Times New Roman" w:cs="Times New Roman"/>
          <w:i/>
        </w:rPr>
        <w:t>Seacat</w:t>
      </w:r>
      <w:proofErr w:type="spellEnd"/>
      <w:r w:rsidRPr="004B527C">
        <w:rPr>
          <w:rFonts w:ascii="Times New Roman" w:hAnsi="Times New Roman" w:cs="Times New Roman"/>
          <w:i/>
        </w:rPr>
        <w:t xml:space="preserve"> Investment (Poly) LTD</w:t>
      </w:r>
      <w:r w:rsidRPr="004B527C">
        <w:rPr>
          <w:rStyle w:val="FootnoteReference"/>
          <w:rFonts w:ascii="Times New Roman" w:hAnsi="Times New Roman" w:cs="Times New Roman"/>
          <w:i/>
        </w:rPr>
        <w:footnoteReference w:id="5"/>
      </w:r>
    </w:p>
    <w:p w:rsidR="006D7C94" w:rsidRDefault="0095273B" w:rsidP="006D7C94">
      <w:pPr>
        <w:spacing w:after="0" w:line="240" w:lineRule="auto"/>
        <w:ind w:left="1440"/>
        <w:jc w:val="both"/>
        <w:rPr>
          <w:rFonts w:ascii="Times New Roman" w:hAnsi="Times New Roman" w:cs="Times New Roman"/>
          <w:sz w:val="24"/>
          <w:szCs w:val="24"/>
        </w:rPr>
      </w:pPr>
      <w:r w:rsidRPr="004B527C">
        <w:rPr>
          <w:rFonts w:ascii="Times New Roman" w:hAnsi="Times New Roman" w:cs="Times New Roman"/>
          <w:i/>
        </w:rPr>
        <w:t xml:space="preserve">‘A cession is now considered to be a bilateral juristic act (agreement) whereby the </w:t>
      </w:r>
      <w:proofErr w:type="spellStart"/>
      <w:r w:rsidRPr="004B527C">
        <w:rPr>
          <w:rFonts w:ascii="Times New Roman" w:hAnsi="Times New Roman" w:cs="Times New Roman"/>
          <w:i/>
        </w:rPr>
        <w:t>cedent</w:t>
      </w:r>
      <w:proofErr w:type="spellEnd"/>
      <w:r w:rsidRPr="004B527C">
        <w:rPr>
          <w:rFonts w:ascii="Times New Roman" w:hAnsi="Times New Roman" w:cs="Times New Roman"/>
          <w:i/>
        </w:rPr>
        <w:t xml:space="preserve"> transfers his right of action to the ces</w:t>
      </w:r>
      <w:r w:rsidR="00032990" w:rsidRPr="004B527C">
        <w:rPr>
          <w:rFonts w:ascii="Times New Roman" w:hAnsi="Times New Roman" w:cs="Times New Roman"/>
          <w:i/>
        </w:rPr>
        <w:t>sionary the latter taking the pl</w:t>
      </w:r>
      <w:r w:rsidRPr="004B527C">
        <w:rPr>
          <w:rFonts w:ascii="Times New Roman" w:hAnsi="Times New Roman" w:cs="Times New Roman"/>
          <w:i/>
        </w:rPr>
        <w:t>a</w:t>
      </w:r>
      <w:r w:rsidR="00032990" w:rsidRPr="004B527C">
        <w:rPr>
          <w:rFonts w:ascii="Times New Roman" w:hAnsi="Times New Roman" w:cs="Times New Roman"/>
          <w:i/>
        </w:rPr>
        <w:t>c</w:t>
      </w:r>
      <w:r w:rsidRPr="004B527C">
        <w:rPr>
          <w:rFonts w:ascii="Times New Roman" w:hAnsi="Times New Roman" w:cs="Times New Roman"/>
          <w:i/>
        </w:rPr>
        <w:t>e of the former as creditor’</w:t>
      </w:r>
      <w:r>
        <w:rPr>
          <w:rFonts w:ascii="Times New Roman" w:hAnsi="Times New Roman" w:cs="Times New Roman"/>
          <w:sz w:val="24"/>
          <w:szCs w:val="24"/>
        </w:rPr>
        <w:t>”</w:t>
      </w:r>
    </w:p>
    <w:p w:rsidR="006D7C94" w:rsidRDefault="00032990" w:rsidP="006D7C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Hippo Quarries (TVL) (Pty) LTD v </w:t>
      </w:r>
      <w:proofErr w:type="spellStart"/>
      <w:r>
        <w:rPr>
          <w:rFonts w:ascii="Times New Roman" w:hAnsi="Times New Roman" w:cs="Times New Roman"/>
          <w:sz w:val="24"/>
          <w:szCs w:val="24"/>
        </w:rPr>
        <w:t>Eardley</w:t>
      </w:r>
      <w:proofErr w:type="spellEnd"/>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roofErr w:type="spellStart"/>
      <w:r w:rsidR="003016C9" w:rsidRPr="003016C9">
        <w:rPr>
          <w:rFonts w:ascii="Times New Roman" w:hAnsi="Times New Roman" w:cs="Times New Roman"/>
          <w:smallCaps/>
          <w:sz w:val="24"/>
          <w:szCs w:val="24"/>
        </w:rPr>
        <w:t>N</w:t>
      </w:r>
      <w:r w:rsidRPr="003016C9">
        <w:rPr>
          <w:rFonts w:ascii="Times New Roman" w:hAnsi="Times New Roman" w:cs="Times New Roman"/>
          <w:smallCaps/>
          <w:sz w:val="24"/>
          <w:szCs w:val="24"/>
        </w:rPr>
        <w:t>ienaber</w:t>
      </w:r>
      <w:proofErr w:type="spellEnd"/>
      <w:r>
        <w:rPr>
          <w:rFonts w:ascii="Times New Roman" w:hAnsi="Times New Roman" w:cs="Times New Roman"/>
          <w:sz w:val="24"/>
          <w:szCs w:val="24"/>
        </w:rPr>
        <w:t xml:space="preserve"> JA said:</w:t>
      </w:r>
    </w:p>
    <w:p w:rsidR="00093F6E" w:rsidRPr="004B527C" w:rsidRDefault="00032990" w:rsidP="003016C9">
      <w:pPr>
        <w:spacing w:after="0" w:line="240" w:lineRule="auto"/>
        <w:ind w:left="1440"/>
        <w:jc w:val="both"/>
        <w:rPr>
          <w:rFonts w:ascii="Times New Roman" w:hAnsi="Times New Roman" w:cs="Times New Roman"/>
          <w:i/>
        </w:rPr>
      </w:pPr>
      <w:r w:rsidRPr="004B527C">
        <w:rPr>
          <w:rFonts w:ascii="Times New Roman" w:hAnsi="Times New Roman" w:cs="Times New Roman"/>
          <w:i/>
        </w:rPr>
        <w:t xml:space="preserve">“Cession it is trite, is a particular method of transferring a right. The transfer is effected by means of agreement. The agreement consists of a concurrence between the </w:t>
      </w:r>
      <w:proofErr w:type="spellStart"/>
      <w:r w:rsidRPr="004B527C">
        <w:rPr>
          <w:rFonts w:ascii="Times New Roman" w:hAnsi="Times New Roman" w:cs="Times New Roman"/>
          <w:i/>
        </w:rPr>
        <w:t>cedent’s</w:t>
      </w:r>
      <w:proofErr w:type="spellEnd"/>
      <w:r w:rsidRPr="004B527C">
        <w:rPr>
          <w:rFonts w:ascii="Times New Roman" w:hAnsi="Times New Roman" w:cs="Times New Roman"/>
          <w:i/>
        </w:rPr>
        <w:t xml:space="preserve"> </w:t>
      </w:r>
      <w:r w:rsidR="00FA1A88" w:rsidRPr="004B527C">
        <w:rPr>
          <w:rFonts w:ascii="Times New Roman" w:hAnsi="Times New Roman" w:cs="Times New Roman"/>
          <w:i/>
        </w:rPr>
        <w:t>a</w:t>
      </w:r>
      <w:r w:rsidRPr="004B527C">
        <w:rPr>
          <w:rFonts w:ascii="Times New Roman" w:hAnsi="Times New Roman" w:cs="Times New Roman"/>
          <w:i/>
        </w:rPr>
        <w:t xml:space="preserve">nimus </w:t>
      </w:r>
      <w:proofErr w:type="spellStart"/>
      <w:r w:rsidRPr="004B527C">
        <w:rPr>
          <w:rFonts w:ascii="Times New Roman" w:hAnsi="Times New Roman" w:cs="Times New Roman"/>
          <w:i/>
        </w:rPr>
        <w:t>transferendi</w:t>
      </w:r>
      <w:proofErr w:type="spellEnd"/>
      <w:r w:rsidRPr="004B527C">
        <w:rPr>
          <w:rFonts w:ascii="Times New Roman" w:hAnsi="Times New Roman" w:cs="Times New Roman"/>
          <w:i/>
        </w:rPr>
        <w:t xml:space="preserve"> of the right and the </w:t>
      </w:r>
      <w:proofErr w:type="spellStart"/>
      <w:r w:rsidRPr="004B527C">
        <w:rPr>
          <w:rFonts w:ascii="Times New Roman" w:hAnsi="Times New Roman" w:cs="Times New Roman"/>
          <w:i/>
        </w:rPr>
        <w:t>cessionary’s</w:t>
      </w:r>
      <w:proofErr w:type="spellEnd"/>
      <w:r w:rsidRPr="004B527C">
        <w:rPr>
          <w:rFonts w:ascii="Times New Roman" w:hAnsi="Times New Roman" w:cs="Times New Roman"/>
          <w:i/>
        </w:rPr>
        <w:t xml:space="preserve"> corresponding </w:t>
      </w:r>
      <w:proofErr w:type="spellStart"/>
      <w:r w:rsidRPr="004B527C">
        <w:rPr>
          <w:rFonts w:ascii="Times New Roman" w:hAnsi="Times New Roman" w:cs="Times New Roman"/>
          <w:i/>
        </w:rPr>
        <w:t>anumus</w:t>
      </w:r>
      <w:proofErr w:type="spellEnd"/>
      <w:r w:rsidR="00093F6E" w:rsidRPr="004B527C">
        <w:rPr>
          <w:rFonts w:ascii="Times New Roman" w:hAnsi="Times New Roman" w:cs="Times New Roman"/>
          <w:i/>
        </w:rPr>
        <w:t xml:space="preserve"> </w:t>
      </w:r>
      <w:proofErr w:type="spellStart"/>
      <w:r w:rsidR="00093F6E" w:rsidRPr="004B527C">
        <w:rPr>
          <w:rFonts w:ascii="Times New Roman" w:hAnsi="Times New Roman" w:cs="Times New Roman"/>
          <w:i/>
        </w:rPr>
        <w:t>acquerandi</w:t>
      </w:r>
      <w:proofErr w:type="spellEnd"/>
      <w:r w:rsidR="00093F6E" w:rsidRPr="004B527C">
        <w:rPr>
          <w:rFonts w:ascii="Times New Roman" w:hAnsi="Times New Roman" w:cs="Times New Roman"/>
          <w:i/>
        </w:rPr>
        <w:t>. If a complete surrender of the right is not intended the transact</w:t>
      </w:r>
      <w:r w:rsidR="00FA1A88" w:rsidRPr="004B527C">
        <w:rPr>
          <w:rFonts w:ascii="Times New Roman" w:hAnsi="Times New Roman" w:cs="Times New Roman"/>
          <w:i/>
        </w:rPr>
        <w:t>ion, however it is dressed up, i</w:t>
      </w:r>
      <w:r w:rsidR="00093F6E" w:rsidRPr="004B527C">
        <w:rPr>
          <w:rFonts w:ascii="Times New Roman" w:hAnsi="Times New Roman" w:cs="Times New Roman"/>
          <w:i/>
        </w:rPr>
        <w:t xml:space="preserve">s not an out and out cession.” </w:t>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ab/>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Applying Law to the Facts</w:t>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ab/>
        <w:t>Applicant was a complainant in a criminal matter where he obtained an order for restitution. The Regional</w:t>
      </w:r>
      <w:r w:rsidR="004B527C">
        <w:rPr>
          <w:rFonts w:ascii="Times New Roman" w:hAnsi="Times New Roman" w:cs="Times New Roman"/>
          <w:sz w:val="24"/>
          <w:szCs w:val="24"/>
        </w:rPr>
        <w:t xml:space="preserve"> Magistrates</w:t>
      </w:r>
      <w:r w:rsidRPr="00093F6E">
        <w:rPr>
          <w:rFonts w:ascii="Times New Roman" w:hAnsi="Times New Roman" w:cs="Times New Roman"/>
          <w:sz w:val="24"/>
          <w:szCs w:val="24"/>
        </w:rPr>
        <w:t xml:space="preserve"> Court exercised its jurisdiction</w:t>
      </w:r>
      <w:r w:rsidR="00FA1A88">
        <w:rPr>
          <w:rFonts w:ascii="Times New Roman" w:hAnsi="Times New Roman" w:cs="Times New Roman"/>
          <w:sz w:val="24"/>
          <w:szCs w:val="24"/>
        </w:rPr>
        <w:t>al</w:t>
      </w:r>
      <w:r w:rsidRPr="00093F6E">
        <w:rPr>
          <w:rFonts w:ascii="Times New Roman" w:hAnsi="Times New Roman" w:cs="Times New Roman"/>
          <w:sz w:val="24"/>
          <w:szCs w:val="24"/>
        </w:rPr>
        <w:t xml:space="preserve"> rights in terms of Part XIX of the Criminal Procedure and Evidence Act. The applicant did not abandon the </w:t>
      </w:r>
      <w:r w:rsidR="004B527C">
        <w:rPr>
          <w:rFonts w:ascii="Times New Roman" w:hAnsi="Times New Roman" w:cs="Times New Roman"/>
          <w:sz w:val="24"/>
          <w:szCs w:val="24"/>
        </w:rPr>
        <w:t xml:space="preserve">restitution </w:t>
      </w:r>
      <w:r w:rsidRPr="00093F6E">
        <w:rPr>
          <w:rFonts w:ascii="Times New Roman" w:hAnsi="Times New Roman" w:cs="Times New Roman"/>
          <w:sz w:val="24"/>
          <w:szCs w:val="24"/>
        </w:rPr>
        <w:t>order, it is still extant. The order specifically provided</w:t>
      </w:r>
      <w:r w:rsidR="00471D5E">
        <w:rPr>
          <w:rFonts w:ascii="Times New Roman" w:hAnsi="Times New Roman" w:cs="Times New Roman"/>
          <w:sz w:val="24"/>
          <w:szCs w:val="24"/>
        </w:rPr>
        <w:t xml:space="preserve"> that</w:t>
      </w:r>
      <w:r w:rsidRPr="00093F6E">
        <w:rPr>
          <w:rFonts w:ascii="Times New Roman" w:hAnsi="Times New Roman" w:cs="Times New Roman"/>
          <w:sz w:val="24"/>
          <w:szCs w:val="24"/>
        </w:rPr>
        <w:t xml:space="preserve"> first respondent should </w:t>
      </w:r>
      <w:proofErr w:type="spellStart"/>
      <w:r w:rsidRPr="00093F6E">
        <w:rPr>
          <w:rFonts w:ascii="Times New Roman" w:hAnsi="Times New Roman" w:cs="Times New Roman"/>
          <w:sz w:val="24"/>
          <w:szCs w:val="24"/>
        </w:rPr>
        <w:t>restitute</w:t>
      </w:r>
      <w:proofErr w:type="spellEnd"/>
      <w:r w:rsidRPr="00093F6E">
        <w:rPr>
          <w:rFonts w:ascii="Times New Roman" w:hAnsi="Times New Roman" w:cs="Times New Roman"/>
          <w:sz w:val="24"/>
          <w:szCs w:val="24"/>
        </w:rPr>
        <w:t xml:space="preserve"> applicant an amount of US$3 601. First respondent in his response to appellant’s application is willing to compensate or </w:t>
      </w:r>
      <w:proofErr w:type="spellStart"/>
      <w:r w:rsidRPr="00093F6E">
        <w:rPr>
          <w:rFonts w:ascii="Times New Roman" w:hAnsi="Times New Roman" w:cs="Times New Roman"/>
          <w:sz w:val="24"/>
          <w:szCs w:val="24"/>
        </w:rPr>
        <w:t>restitute</w:t>
      </w:r>
      <w:proofErr w:type="spellEnd"/>
      <w:r w:rsidRPr="00093F6E">
        <w:rPr>
          <w:rFonts w:ascii="Times New Roman" w:hAnsi="Times New Roman" w:cs="Times New Roman"/>
          <w:sz w:val="24"/>
          <w:szCs w:val="24"/>
        </w:rPr>
        <w:t xml:space="preserve"> applicant the amount so ordered. </w:t>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ab/>
        <w:t xml:space="preserve">Section 374 of the Criminal Procedure and Evidence Act </w:t>
      </w:r>
      <w:r w:rsidRPr="00093F6E">
        <w:rPr>
          <w:rFonts w:ascii="Times New Roman" w:hAnsi="Times New Roman" w:cs="Times New Roman"/>
          <w:sz w:val="24"/>
          <w:szCs w:val="24"/>
          <w:vertAlign w:val="superscript"/>
        </w:rPr>
        <w:footnoteReference w:id="7"/>
      </w:r>
      <w:r w:rsidRPr="00093F6E">
        <w:rPr>
          <w:rFonts w:ascii="Times New Roman" w:hAnsi="Times New Roman" w:cs="Times New Roman"/>
          <w:sz w:val="24"/>
          <w:szCs w:val="24"/>
        </w:rPr>
        <w:t xml:space="preserve"> provides as follows:</w:t>
      </w:r>
    </w:p>
    <w:p w:rsidR="00093F6E" w:rsidRPr="00471D5E" w:rsidRDefault="00093F6E" w:rsidP="00093F6E">
      <w:pPr>
        <w:spacing w:after="0" w:line="240" w:lineRule="auto"/>
        <w:ind w:left="720"/>
        <w:jc w:val="both"/>
        <w:rPr>
          <w:rFonts w:ascii="Times New Roman" w:hAnsi="Times New Roman" w:cs="Times New Roman"/>
          <w:i/>
          <w:szCs w:val="24"/>
        </w:rPr>
      </w:pPr>
      <w:r w:rsidRPr="00093F6E">
        <w:rPr>
          <w:rFonts w:ascii="Times New Roman" w:hAnsi="Times New Roman" w:cs="Times New Roman"/>
          <w:szCs w:val="24"/>
        </w:rPr>
        <w:t>“</w:t>
      </w:r>
      <w:r w:rsidR="00471D5E">
        <w:rPr>
          <w:rFonts w:ascii="Times New Roman" w:hAnsi="Times New Roman" w:cs="Times New Roman"/>
          <w:i/>
          <w:szCs w:val="24"/>
        </w:rPr>
        <w:t>A convicted against whom</w:t>
      </w:r>
      <w:r w:rsidRPr="00471D5E">
        <w:rPr>
          <w:rFonts w:ascii="Times New Roman" w:hAnsi="Times New Roman" w:cs="Times New Roman"/>
          <w:i/>
          <w:szCs w:val="24"/>
        </w:rPr>
        <w:t xml:space="preserve"> an award or order has been made in terms of this Part shall not be liable at the s</w:t>
      </w:r>
      <w:r w:rsidR="00471D5E">
        <w:rPr>
          <w:rFonts w:ascii="Times New Roman" w:hAnsi="Times New Roman" w:cs="Times New Roman"/>
          <w:i/>
          <w:szCs w:val="24"/>
        </w:rPr>
        <w:t>u</w:t>
      </w:r>
      <w:r w:rsidRPr="00471D5E">
        <w:rPr>
          <w:rFonts w:ascii="Times New Roman" w:hAnsi="Times New Roman" w:cs="Times New Roman"/>
          <w:i/>
          <w:szCs w:val="24"/>
        </w:rPr>
        <w:t>it of the injured party  in whose favour the award or order was made to any other civil proceedings other  than proceedings for the enforcement of the award or order in respect of:</w:t>
      </w:r>
    </w:p>
    <w:p w:rsidR="00093F6E" w:rsidRPr="00471D5E" w:rsidRDefault="00093F6E" w:rsidP="00093F6E">
      <w:pPr>
        <w:spacing w:after="0" w:line="240" w:lineRule="auto"/>
        <w:ind w:left="720"/>
        <w:jc w:val="both"/>
        <w:rPr>
          <w:rFonts w:ascii="Times New Roman" w:hAnsi="Times New Roman" w:cs="Times New Roman"/>
          <w:i/>
          <w:szCs w:val="24"/>
        </w:rPr>
      </w:pPr>
    </w:p>
    <w:p w:rsidR="00093F6E" w:rsidRPr="00471D5E" w:rsidRDefault="00093F6E" w:rsidP="00093F6E">
      <w:pPr>
        <w:numPr>
          <w:ilvl w:val="0"/>
          <w:numId w:val="21"/>
        </w:numPr>
        <w:spacing w:after="0" w:line="240" w:lineRule="auto"/>
        <w:contextualSpacing/>
        <w:jc w:val="both"/>
        <w:rPr>
          <w:rFonts w:ascii="Times New Roman" w:hAnsi="Times New Roman" w:cs="Times New Roman"/>
          <w:i/>
          <w:szCs w:val="24"/>
        </w:rPr>
      </w:pPr>
      <w:r w:rsidRPr="00471D5E">
        <w:rPr>
          <w:rFonts w:ascii="Times New Roman" w:hAnsi="Times New Roman" w:cs="Times New Roman"/>
          <w:i/>
          <w:szCs w:val="24"/>
        </w:rPr>
        <w:t>the loss or diminution of the right or the personal injury in respect of which the award of compensation was made, or</w:t>
      </w:r>
    </w:p>
    <w:p w:rsidR="00093F6E" w:rsidRPr="00471D5E" w:rsidRDefault="00093F6E" w:rsidP="00093F6E">
      <w:pPr>
        <w:numPr>
          <w:ilvl w:val="0"/>
          <w:numId w:val="21"/>
        </w:numPr>
        <w:spacing w:after="0" w:line="240" w:lineRule="auto"/>
        <w:contextualSpacing/>
        <w:jc w:val="both"/>
        <w:rPr>
          <w:rFonts w:ascii="Times New Roman" w:hAnsi="Times New Roman" w:cs="Times New Roman"/>
          <w:i/>
          <w:szCs w:val="24"/>
        </w:rPr>
      </w:pPr>
      <w:proofErr w:type="gramStart"/>
      <w:r w:rsidRPr="00471D5E">
        <w:rPr>
          <w:rFonts w:ascii="Times New Roman" w:hAnsi="Times New Roman" w:cs="Times New Roman"/>
          <w:i/>
          <w:szCs w:val="24"/>
        </w:rPr>
        <w:t>the</w:t>
      </w:r>
      <w:proofErr w:type="gramEnd"/>
      <w:r w:rsidRPr="00471D5E">
        <w:rPr>
          <w:rFonts w:ascii="Times New Roman" w:hAnsi="Times New Roman" w:cs="Times New Roman"/>
          <w:i/>
          <w:szCs w:val="24"/>
        </w:rPr>
        <w:t xml:space="preserve"> restitution of the  property in respect of which the order was made as the case may be.” </w:t>
      </w:r>
    </w:p>
    <w:p w:rsidR="00093F6E" w:rsidRPr="00093F6E" w:rsidRDefault="00093F6E" w:rsidP="00093F6E">
      <w:pPr>
        <w:spacing w:after="0" w:line="240" w:lineRule="auto"/>
        <w:jc w:val="both"/>
        <w:rPr>
          <w:rFonts w:ascii="Times New Roman" w:hAnsi="Times New Roman" w:cs="Times New Roman"/>
          <w:szCs w:val="24"/>
        </w:rPr>
      </w:pPr>
    </w:p>
    <w:p w:rsidR="00093F6E" w:rsidRPr="00093F6E" w:rsidRDefault="00093F6E" w:rsidP="00093F6E">
      <w:pPr>
        <w:spacing w:after="0" w:line="360" w:lineRule="auto"/>
        <w:ind w:firstLine="720"/>
        <w:jc w:val="both"/>
        <w:rPr>
          <w:rFonts w:ascii="Times New Roman" w:hAnsi="Times New Roman" w:cs="Times New Roman"/>
          <w:szCs w:val="24"/>
        </w:rPr>
      </w:pPr>
      <w:r w:rsidRPr="00093F6E">
        <w:rPr>
          <w:rFonts w:ascii="Times New Roman" w:hAnsi="Times New Roman" w:cs="Times New Roman"/>
          <w:sz w:val="24"/>
          <w:szCs w:val="24"/>
        </w:rPr>
        <w:t xml:space="preserve">It necessarily follows therefore that the judgment under HC 145/20 was not properly sought for by the applicant. His recourse lies in the restitution order awarded to him by the Regional Court. Applicant was legally barred from instituting a civil action in the High Court and in my view took advantage of first respondent’s incarceration. The cause of action of the </w:t>
      </w:r>
      <w:r w:rsidRPr="00093F6E">
        <w:rPr>
          <w:rFonts w:ascii="Times New Roman" w:hAnsi="Times New Roman" w:cs="Times New Roman"/>
          <w:sz w:val="24"/>
          <w:szCs w:val="24"/>
        </w:rPr>
        <w:lastRenderedPageBreak/>
        <w:t xml:space="preserve">applicant lies in the Criminal Court where first respondent was convicted and applicant’s relief equally lies in s 372 of the Criminal Procedure and Evidence Act which deals with enforcement of awards and orders. </w:t>
      </w:r>
      <w:r w:rsidRPr="00093F6E">
        <w:rPr>
          <w:rFonts w:ascii="Times New Roman" w:hAnsi="Times New Roman" w:cs="Times New Roman"/>
          <w:szCs w:val="24"/>
        </w:rPr>
        <w:t xml:space="preserve"> </w:t>
      </w:r>
    </w:p>
    <w:p w:rsidR="00093F6E" w:rsidRPr="00093F6E" w:rsidRDefault="00093F6E" w:rsidP="00093F6E">
      <w:pPr>
        <w:spacing w:after="0" w:line="360" w:lineRule="auto"/>
        <w:ind w:firstLine="720"/>
        <w:jc w:val="both"/>
        <w:rPr>
          <w:rFonts w:ascii="Times New Roman" w:hAnsi="Times New Roman" w:cs="Times New Roman"/>
          <w:sz w:val="24"/>
          <w:szCs w:val="24"/>
        </w:rPr>
      </w:pPr>
      <w:r w:rsidRPr="00093F6E">
        <w:rPr>
          <w:rFonts w:ascii="Times New Roman" w:hAnsi="Times New Roman" w:cs="Times New Roman"/>
          <w:sz w:val="24"/>
          <w:szCs w:val="24"/>
        </w:rPr>
        <w:t>Applicant suffers another insurmountable harbinger. He is seeking an order seeking literally, first for this court to declare validity nor enforceability of a contract of sale between firs</w:t>
      </w:r>
      <w:r w:rsidR="00FA1A88">
        <w:rPr>
          <w:rFonts w:ascii="Times New Roman" w:hAnsi="Times New Roman" w:cs="Times New Roman"/>
          <w:sz w:val="24"/>
          <w:szCs w:val="24"/>
        </w:rPr>
        <w:t xml:space="preserve">t and second applicant. The </w:t>
      </w:r>
      <w:r w:rsidRPr="00093F6E">
        <w:rPr>
          <w:rFonts w:ascii="Times New Roman" w:hAnsi="Times New Roman" w:cs="Times New Roman"/>
          <w:sz w:val="24"/>
          <w:szCs w:val="24"/>
        </w:rPr>
        <w:t>te</w:t>
      </w:r>
      <w:r w:rsidR="00FB49E6">
        <w:rPr>
          <w:rFonts w:ascii="Times New Roman" w:hAnsi="Times New Roman" w:cs="Times New Roman"/>
          <w:sz w:val="24"/>
          <w:szCs w:val="24"/>
        </w:rPr>
        <w:t>r</w:t>
      </w:r>
      <w:r w:rsidRPr="00093F6E">
        <w:rPr>
          <w:rFonts w:ascii="Times New Roman" w:hAnsi="Times New Roman" w:cs="Times New Roman"/>
          <w:sz w:val="24"/>
          <w:szCs w:val="24"/>
        </w:rPr>
        <w:t>ms of that agreement are not before the cou</w:t>
      </w:r>
      <w:r w:rsidR="00471D5E">
        <w:rPr>
          <w:rFonts w:ascii="Times New Roman" w:hAnsi="Times New Roman" w:cs="Times New Roman"/>
          <w:sz w:val="24"/>
          <w:szCs w:val="24"/>
        </w:rPr>
        <w:t xml:space="preserve">rt. First respondent speaks </w:t>
      </w:r>
      <w:r w:rsidR="00DC6389">
        <w:rPr>
          <w:rFonts w:ascii="Times New Roman" w:hAnsi="Times New Roman" w:cs="Times New Roman"/>
          <w:sz w:val="24"/>
          <w:szCs w:val="24"/>
        </w:rPr>
        <w:t xml:space="preserve">of </w:t>
      </w:r>
      <w:r w:rsidR="00DC6389" w:rsidRPr="00093F6E">
        <w:rPr>
          <w:rFonts w:ascii="Times New Roman" w:hAnsi="Times New Roman" w:cs="Times New Roman"/>
          <w:sz w:val="24"/>
          <w:szCs w:val="24"/>
        </w:rPr>
        <w:t>“</w:t>
      </w:r>
      <w:r w:rsidRPr="00093F6E">
        <w:rPr>
          <w:rFonts w:ascii="Times New Roman" w:hAnsi="Times New Roman" w:cs="Times New Roman"/>
          <w:sz w:val="24"/>
          <w:szCs w:val="24"/>
        </w:rPr>
        <w:t>wishing” to buy second respondent’s house. Put it differently applicant wants second respondent to cede his right to</w:t>
      </w:r>
      <w:r w:rsidR="00FA1A88">
        <w:rPr>
          <w:rFonts w:ascii="Times New Roman" w:hAnsi="Times New Roman" w:cs="Times New Roman"/>
          <w:sz w:val="24"/>
          <w:szCs w:val="24"/>
        </w:rPr>
        <w:t xml:space="preserve"> first respondent and then seek</w:t>
      </w:r>
      <w:r w:rsidRPr="00093F6E">
        <w:rPr>
          <w:rFonts w:ascii="Times New Roman" w:hAnsi="Times New Roman" w:cs="Times New Roman"/>
          <w:sz w:val="24"/>
          <w:szCs w:val="24"/>
        </w:rPr>
        <w:t xml:space="preserve"> an order of the court to declare those ceded rights executable. Second respondent has no contract with applicant. Second respondent still holds rights over the property. Before cession is effected second respondent may opt out for any reason unbeknown to this court. Maybe there are some outstanding payments and the second respondent owes no legal obligation towards applicant. In my view no declaration </w:t>
      </w:r>
      <w:r w:rsidR="00FA1A88">
        <w:rPr>
          <w:rFonts w:ascii="Times New Roman" w:hAnsi="Times New Roman" w:cs="Times New Roman"/>
          <w:sz w:val="24"/>
          <w:szCs w:val="24"/>
        </w:rPr>
        <w:t xml:space="preserve">of </w:t>
      </w:r>
      <w:r w:rsidRPr="00093F6E">
        <w:rPr>
          <w:rFonts w:ascii="Times New Roman" w:hAnsi="Times New Roman" w:cs="Times New Roman"/>
          <w:sz w:val="24"/>
          <w:szCs w:val="24"/>
        </w:rPr>
        <w:t>rights arise from a</w:t>
      </w:r>
      <w:r w:rsidR="00FA1A88">
        <w:rPr>
          <w:rFonts w:ascii="Times New Roman" w:hAnsi="Times New Roman" w:cs="Times New Roman"/>
          <w:sz w:val="24"/>
          <w:szCs w:val="24"/>
        </w:rPr>
        <w:t xml:space="preserve">n incomplete sale. No rights </w:t>
      </w:r>
      <w:r w:rsidRPr="00093F6E">
        <w:rPr>
          <w:rFonts w:ascii="Times New Roman" w:hAnsi="Times New Roman" w:cs="Times New Roman"/>
          <w:sz w:val="24"/>
          <w:szCs w:val="24"/>
        </w:rPr>
        <w:t>are legally invested in first respondent as yet. No party can seek a declaration in regard to rights and duties flowing from a contract to which he was not a party. In any case the issue of restitution has already been decided by a competent court. Applicant by issuing</w:t>
      </w:r>
      <w:r w:rsidR="00FA1A88">
        <w:rPr>
          <w:rFonts w:ascii="Times New Roman" w:hAnsi="Times New Roman" w:cs="Times New Roman"/>
          <w:sz w:val="24"/>
          <w:szCs w:val="24"/>
        </w:rPr>
        <w:t xml:space="preserve"> summons claiming US$36 700 was declaring</w:t>
      </w:r>
      <w:r w:rsidRPr="00093F6E">
        <w:rPr>
          <w:rFonts w:ascii="Times New Roman" w:hAnsi="Times New Roman" w:cs="Times New Roman"/>
          <w:sz w:val="24"/>
          <w:szCs w:val="24"/>
        </w:rPr>
        <w:t xml:space="preserve"> that he was not happy with the award of $10 803 and yet no appeal against that award was made by the prosecution. It is common cause that the applicant obtained a default judgment under HC 145/20. I am not privy to the pleadings filed in that matter but I cannot ignore at all the provisions of s 374 of the Criminal Procedure and Evidence Act as discussed hereinabove. That default judgment was sought by the applicant totally oblivious </w:t>
      </w:r>
      <w:r w:rsidR="00471D5E">
        <w:rPr>
          <w:rFonts w:ascii="Times New Roman" w:hAnsi="Times New Roman" w:cs="Times New Roman"/>
          <w:sz w:val="24"/>
          <w:szCs w:val="24"/>
        </w:rPr>
        <w:t xml:space="preserve">of </w:t>
      </w:r>
      <w:r w:rsidRPr="00093F6E">
        <w:rPr>
          <w:rFonts w:ascii="Times New Roman" w:hAnsi="Times New Roman" w:cs="Times New Roman"/>
          <w:sz w:val="24"/>
          <w:szCs w:val="24"/>
        </w:rPr>
        <w:t xml:space="preserve">s 374 and for the purpose of the current application for a </w:t>
      </w:r>
      <w:proofErr w:type="spellStart"/>
      <w:r w:rsidRPr="00471D5E">
        <w:rPr>
          <w:rFonts w:ascii="Times New Roman" w:hAnsi="Times New Roman" w:cs="Times New Roman"/>
          <w:i/>
          <w:sz w:val="24"/>
          <w:szCs w:val="24"/>
        </w:rPr>
        <w:t>declaratur</w:t>
      </w:r>
      <w:proofErr w:type="spellEnd"/>
      <w:r w:rsidRPr="00093F6E">
        <w:rPr>
          <w:rFonts w:ascii="Times New Roman" w:hAnsi="Times New Roman" w:cs="Times New Roman"/>
          <w:sz w:val="24"/>
          <w:szCs w:val="24"/>
        </w:rPr>
        <w:t xml:space="preserve"> the judgment is of</w:t>
      </w:r>
      <w:r w:rsidR="00471D5E">
        <w:rPr>
          <w:rFonts w:ascii="Times New Roman" w:hAnsi="Times New Roman" w:cs="Times New Roman"/>
          <w:sz w:val="24"/>
          <w:szCs w:val="24"/>
        </w:rPr>
        <w:t xml:space="preserve"> no</w:t>
      </w:r>
      <w:r w:rsidRPr="00093F6E">
        <w:rPr>
          <w:rFonts w:ascii="Times New Roman" w:hAnsi="Times New Roman" w:cs="Times New Roman"/>
          <w:sz w:val="24"/>
          <w:szCs w:val="24"/>
        </w:rPr>
        <w:t xml:space="preserve"> use to the applicant. Applicant is obliged to place facts before the court to bolster his case and motivate the court to grant the relief sought. Public policy should favour the issuance of the </w:t>
      </w:r>
      <w:proofErr w:type="spellStart"/>
      <w:r w:rsidRPr="00471D5E">
        <w:rPr>
          <w:rFonts w:ascii="Times New Roman" w:hAnsi="Times New Roman" w:cs="Times New Roman"/>
          <w:i/>
          <w:sz w:val="24"/>
          <w:szCs w:val="24"/>
        </w:rPr>
        <w:t>declaratur</w:t>
      </w:r>
      <w:proofErr w:type="spellEnd"/>
      <w:r w:rsidRPr="00093F6E">
        <w:rPr>
          <w:rFonts w:ascii="Times New Roman" w:hAnsi="Times New Roman" w:cs="Times New Roman"/>
          <w:sz w:val="24"/>
          <w:szCs w:val="24"/>
        </w:rPr>
        <w:t xml:space="preserve"> sought. Where the </w:t>
      </w:r>
      <w:proofErr w:type="spellStart"/>
      <w:r w:rsidRPr="00471D5E">
        <w:rPr>
          <w:rFonts w:ascii="Times New Roman" w:hAnsi="Times New Roman" w:cs="Times New Roman"/>
          <w:i/>
          <w:sz w:val="24"/>
          <w:szCs w:val="24"/>
        </w:rPr>
        <w:t>declaratur</w:t>
      </w:r>
      <w:proofErr w:type="spellEnd"/>
      <w:r w:rsidRPr="00093F6E">
        <w:rPr>
          <w:rFonts w:ascii="Times New Roman" w:hAnsi="Times New Roman" w:cs="Times New Roman"/>
          <w:sz w:val="24"/>
          <w:szCs w:val="24"/>
        </w:rPr>
        <w:t xml:space="preserve"> sought is in pursuance of a judgment obtained </w:t>
      </w:r>
      <w:r w:rsidR="00471D5E">
        <w:rPr>
          <w:rFonts w:ascii="Times New Roman" w:hAnsi="Times New Roman" w:cs="Times New Roman"/>
          <w:sz w:val="24"/>
          <w:szCs w:val="24"/>
        </w:rPr>
        <w:t>against</w:t>
      </w:r>
      <w:r w:rsidRPr="00093F6E">
        <w:rPr>
          <w:rFonts w:ascii="Times New Roman" w:hAnsi="Times New Roman" w:cs="Times New Roman"/>
          <w:sz w:val="24"/>
          <w:szCs w:val="24"/>
        </w:rPr>
        <w:t xml:space="preserve"> statutory provision my interpretation of the law would be that such a </w:t>
      </w:r>
      <w:proofErr w:type="spellStart"/>
      <w:r w:rsidRPr="00471D5E">
        <w:rPr>
          <w:rFonts w:ascii="Times New Roman" w:hAnsi="Times New Roman" w:cs="Times New Roman"/>
          <w:i/>
          <w:sz w:val="24"/>
          <w:szCs w:val="24"/>
        </w:rPr>
        <w:t>declaratur</w:t>
      </w:r>
      <w:proofErr w:type="spellEnd"/>
      <w:r w:rsidRPr="00093F6E">
        <w:rPr>
          <w:rFonts w:ascii="Times New Roman" w:hAnsi="Times New Roman" w:cs="Times New Roman"/>
          <w:sz w:val="24"/>
          <w:szCs w:val="24"/>
        </w:rPr>
        <w:t xml:space="preserve"> will be contrary and averse to public policy. In essence the judgment under HC 145/20 obtained by applicant was a result of non-disclosure of law to the court, had applicant dutifully appraised the court of the provisions of s 374 cited above, the default judgment  would not have been granted. Any attempt by applicant to cling to the default judgment granted in error remains a futile attempt.</w:t>
      </w:r>
    </w:p>
    <w:p w:rsidR="00093F6E" w:rsidRPr="00093F6E" w:rsidRDefault="00093F6E" w:rsidP="00093F6E">
      <w:pPr>
        <w:spacing w:after="0" w:line="360" w:lineRule="auto"/>
        <w:ind w:firstLine="720"/>
        <w:jc w:val="both"/>
        <w:rPr>
          <w:rFonts w:ascii="Times New Roman" w:hAnsi="Times New Roman" w:cs="Times New Roman"/>
          <w:sz w:val="24"/>
          <w:szCs w:val="24"/>
        </w:rPr>
      </w:pPr>
      <w:r w:rsidRPr="00093F6E">
        <w:rPr>
          <w:rFonts w:ascii="Times New Roman" w:hAnsi="Times New Roman" w:cs="Times New Roman"/>
          <w:sz w:val="24"/>
          <w:szCs w:val="24"/>
        </w:rPr>
        <w:t xml:space="preserve">A litigant in an application for a </w:t>
      </w:r>
      <w:proofErr w:type="spellStart"/>
      <w:r w:rsidRPr="00DC6389">
        <w:rPr>
          <w:rFonts w:ascii="Times New Roman" w:hAnsi="Times New Roman" w:cs="Times New Roman"/>
          <w:i/>
          <w:sz w:val="24"/>
          <w:szCs w:val="24"/>
        </w:rPr>
        <w:t>declaratur</w:t>
      </w:r>
      <w:proofErr w:type="spellEnd"/>
      <w:r w:rsidRPr="00093F6E">
        <w:rPr>
          <w:rFonts w:ascii="Times New Roman" w:hAnsi="Times New Roman" w:cs="Times New Roman"/>
          <w:sz w:val="24"/>
          <w:szCs w:val="24"/>
        </w:rPr>
        <w:t xml:space="preserve"> must meet both the statutory and legal requirements for such a relief. These prerequisites must be met and accepted by the court before even looking at the opposing papers filed by the affected party. In his answering affidavit as </w:t>
      </w:r>
      <w:r w:rsidRPr="00093F6E">
        <w:rPr>
          <w:rFonts w:ascii="Times New Roman" w:hAnsi="Times New Roman" w:cs="Times New Roman"/>
          <w:sz w:val="24"/>
          <w:szCs w:val="24"/>
        </w:rPr>
        <w:lastRenderedPageBreak/>
        <w:t>well as heads of argument the applicant urged the court to treat the opposing papers as short of meeting the threshold of opposing papers. Indeed it is apparent from the perusal of first respond</w:t>
      </w:r>
      <w:r w:rsidR="00FA1A88">
        <w:rPr>
          <w:rFonts w:ascii="Times New Roman" w:hAnsi="Times New Roman" w:cs="Times New Roman"/>
          <w:sz w:val="24"/>
          <w:szCs w:val="24"/>
        </w:rPr>
        <w:t>ent’s papers that he is a self-</w:t>
      </w:r>
      <w:r w:rsidRPr="00093F6E">
        <w:rPr>
          <w:rFonts w:ascii="Times New Roman" w:hAnsi="Times New Roman" w:cs="Times New Roman"/>
          <w:sz w:val="24"/>
          <w:szCs w:val="24"/>
        </w:rPr>
        <w:t xml:space="preserve">actor not armed with the expertise of one accustomed to rules of procedure in superior courts. However the court cannot treat the application as opposed and ignore the shortcomings of applicant’s own papers. I will use my discretion to condone first respondent’s non-compliance with rules purely on the fundamental tenets of natural justice. I must be satisfied that applicant has met the requests expected of him for a relief for a </w:t>
      </w:r>
      <w:proofErr w:type="spellStart"/>
      <w:r w:rsidRPr="00471D5E">
        <w:rPr>
          <w:rFonts w:ascii="Times New Roman" w:hAnsi="Times New Roman" w:cs="Times New Roman"/>
          <w:i/>
          <w:sz w:val="24"/>
          <w:szCs w:val="24"/>
        </w:rPr>
        <w:t>declaratur</w:t>
      </w:r>
      <w:proofErr w:type="spellEnd"/>
      <w:r w:rsidRPr="00471D5E">
        <w:rPr>
          <w:rFonts w:ascii="Times New Roman" w:hAnsi="Times New Roman" w:cs="Times New Roman"/>
          <w:i/>
          <w:sz w:val="24"/>
          <w:szCs w:val="24"/>
        </w:rPr>
        <w:t>.</w:t>
      </w:r>
      <w:r w:rsidRPr="00093F6E">
        <w:rPr>
          <w:rFonts w:ascii="Times New Roman" w:hAnsi="Times New Roman" w:cs="Times New Roman"/>
          <w:sz w:val="24"/>
          <w:szCs w:val="24"/>
        </w:rPr>
        <w:t xml:space="preserve"> He has come short of that. He could not comprehensively and satisfactorily justify the nature of rights he seeks to get a </w:t>
      </w:r>
      <w:proofErr w:type="spellStart"/>
      <w:r w:rsidRPr="00471D5E">
        <w:rPr>
          <w:rFonts w:ascii="Times New Roman" w:hAnsi="Times New Roman" w:cs="Times New Roman"/>
          <w:i/>
          <w:sz w:val="24"/>
          <w:szCs w:val="24"/>
        </w:rPr>
        <w:t>declatatur</w:t>
      </w:r>
      <w:proofErr w:type="spellEnd"/>
      <w:r w:rsidRPr="00093F6E">
        <w:rPr>
          <w:rFonts w:ascii="Times New Roman" w:hAnsi="Times New Roman" w:cs="Times New Roman"/>
          <w:sz w:val="24"/>
          <w:szCs w:val="24"/>
        </w:rPr>
        <w:t xml:space="preserve"> and more importantly the legal basis for his default judgment under HC 145/20. The putative agreement of sale between first and second respondents may or may not be fulfilled in the future given its current docile state. I am therefore contented that applicant failed to pass the first hurdle and I withhold my discretion to grant the </w:t>
      </w:r>
      <w:proofErr w:type="spellStart"/>
      <w:r w:rsidRPr="00DC6389">
        <w:rPr>
          <w:rFonts w:ascii="Times New Roman" w:hAnsi="Times New Roman" w:cs="Times New Roman"/>
          <w:i/>
          <w:sz w:val="24"/>
          <w:szCs w:val="24"/>
        </w:rPr>
        <w:t>declaratur</w:t>
      </w:r>
      <w:proofErr w:type="spellEnd"/>
      <w:r w:rsidRPr="00DC6389">
        <w:rPr>
          <w:rFonts w:ascii="Times New Roman" w:hAnsi="Times New Roman" w:cs="Times New Roman"/>
          <w:i/>
          <w:sz w:val="24"/>
          <w:szCs w:val="24"/>
        </w:rPr>
        <w:t>.</w:t>
      </w:r>
      <w:r w:rsidRPr="00093F6E">
        <w:rPr>
          <w:rFonts w:ascii="Times New Roman" w:hAnsi="Times New Roman" w:cs="Times New Roman"/>
          <w:sz w:val="24"/>
          <w:szCs w:val="24"/>
        </w:rPr>
        <w:t xml:space="preserve"> </w:t>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 xml:space="preserve">Disposition </w:t>
      </w:r>
    </w:p>
    <w:p w:rsidR="00093F6E" w:rsidRPr="00093F6E" w:rsidRDefault="00093F6E" w:rsidP="00093F6E">
      <w:pPr>
        <w:spacing w:after="0" w:line="360" w:lineRule="auto"/>
        <w:jc w:val="both"/>
        <w:rPr>
          <w:rFonts w:ascii="Times New Roman" w:hAnsi="Times New Roman" w:cs="Times New Roman"/>
          <w:sz w:val="24"/>
          <w:szCs w:val="24"/>
        </w:rPr>
      </w:pPr>
      <w:r w:rsidRPr="00093F6E">
        <w:rPr>
          <w:rFonts w:ascii="Times New Roman" w:hAnsi="Times New Roman" w:cs="Times New Roman"/>
          <w:sz w:val="24"/>
          <w:szCs w:val="24"/>
        </w:rPr>
        <w:tab/>
        <w:t>In the premise</w:t>
      </w:r>
      <w:r w:rsidR="00DC6389">
        <w:rPr>
          <w:rFonts w:ascii="Times New Roman" w:hAnsi="Times New Roman" w:cs="Times New Roman"/>
          <w:sz w:val="24"/>
          <w:szCs w:val="24"/>
        </w:rPr>
        <w:t>s</w:t>
      </w:r>
      <w:r w:rsidRPr="00093F6E">
        <w:rPr>
          <w:rFonts w:ascii="Times New Roman" w:hAnsi="Times New Roman" w:cs="Times New Roman"/>
          <w:sz w:val="24"/>
          <w:szCs w:val="24"/>
        </w:rPr>
        <w:t xml:space="preserve">, it is ordered that: </w:t>
      </w:r>
    </w:p>
    <w:p w:rsidR="00093F6E" w:rsidRPr="00DC6389" w:rsidRDefault="00093F6E" w:rsidP="00093F6E">
      <w:pPr>
        <w:spacing w:after="0" w:line="360" w:lineRule="auto"/>
        <w:jc w:val="both"/>
        <w:rPr>
          <w:rFonts w:ascii="Times New Roman" w:hAnsi="Times New Roman" w:cs="Times New Roman"/>
          <w:b/>
          <w:i/>
          <w:sz w:val="24"/>
          <w:szCs w:val="24"/>
        </w:rPr>
      </w:pPr>
      <w:r w:rsidRPr="00093F6E">
        <w:rPr>
          <w:rFonts w:ascii="Times New Roman" w:hAnsi="Times New Roman" w:cs="Times New Roman"/>
          <w:sz w:val="24"/>
          <w:szCs w:val="24"/>
        </w:rPr>
        <w:tab/>
      </w:r>
      <w:r w:rsidRPr="00DC6389">
        <w:rPr>
          <w:rFonts w:ascii="Times New Roman" w:hAnsi="Times New Roman" w:cs="Times New Roman"/>
          <w:b/>
          <w:i/>
          <w:sz w:val="24"/>
          <w:szCs w:val="24"/>
        </w:rPr>
        <w:t>The application is dismissed with costs.</w:t>
      </w: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jc w:val="both"/>
        <w:rPr>
          <w:rFonts w:ascii="Times New Roman" w:hAnsi="Times New Roman" w:cs="Times New Roman"/>
          <w:sz w:val="24"/>
          <w:szCs w:val="24"/>
        </w:rPr>
      </w:pPr>
      <w:proofErr w:type="spellStart"/>
      <w:r w:rsidRPr="00093F6E">
        <w:rPr>
          <w:rFonts w:ascii="Times New Roman" w:hAnsi="Times New Roman" w:cs="Times New Roman"/>
          <w:i/>
          <w:sz w:val="24"/>
          <w:szCs w:val="24"/>
        </w:rPr>
        <w:t>Tanaya</w:t>
      </w:r>
      <w:proofErr w:type="spellEnd"/>
      <w:r w:rsidRPr="00093F6E">
        <w:rPr>
          <w:rFonts w:ascii="Times New Roman" w:hAnsi="Times New Roman" w:cs="Times New Roman"/>
          <w:i/>
          <w:sz w:val="24"/>
          <w:szCs w:val="24"/>
        </w:rPr>
        <w:t xml:space="preserve"> Law Firm</w:t>
      </w:r>
      <w:r w:rsidRPr="00093F6E">
        <w:rPr>
          <w:rFonts w:ascii="Times New Roman" w:hAnsi="Times New Roman" w:cs="Times New Roman"/>
          <w:sz w:val="24"/>
          <w:szCs w:val="24"/>
        </w:rPr>
        <w:t xml:space="preserve">, applicant’s legal practitioners </w:t>
      </w: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jc w:val="both"/>
        <w:rPr>
          <w:rFonts w:ascii="Times New Roman" w:hAnsi="Times New Roman" w:cs="Times New Roman"/>
          <w:sz w:val="24"/>
          <w:szCs w:val="24"/>
        </w:rPr>
      </w:pPr>
    </w:p>
    <w:p w:rsidR="00093F6E" w:rsidRPr="00093F6E" w:rsidRDefault="00093F6E" w:rsidP="00093F6E">
      <w:pPr>
        <w:spacing w:after="0" w:line="360" w:lineRule="auto"/>
        <w:ind w:firstLine="720"/>
        <w:jc w:val="both"/>
        <w:rPr>
          <w:rFonts w:ascii="Times New Roman" w:hAnsi="Times New Roman" w:cs="Times New Roman"/>
          <w:sz w:val="24"/>
          <w:szCs w:val="24"/>
        </w:rPr>
      </w:pPr>
    </w:p>
    <w:p w:rsidR="00093F6E" w:rsidRPr="00093F6E" w:rsidRDefault="00093F6E" w:rsidP="00093F6E">
      <w:pPr>
        <w:spacing w:after="0" w:line="240" w:lineRule="auto"/>
        <w:jc w:val="both"/>
        <w:rPr>
          <w:rFonts w:ascii="Times New Roman" w:hAnsi="Times New Roman" w:cs="Times New Roman"/>
          <w:sz w:val="24"/>
          <w:szCs w:val="24"/>
        </w:rPr>
      </w:pPr>
    </w:p>
    <w:p w:rsidR="00093F6E" w:rsidRPr="00093F6E" w:rsidRDefault="00093F6E" w:rsidP="00093F6E">
      <w:pPr>
        <w:jc w:val="center"/>
        <w:rPr>
          <w:rFonts w:ascii="Times New Roman" w:hAnsi="Times New Roman" w:cs="Times New Roman"/>
          <w:sz w:val="24"/>
          <w:szCs w:val="24"/>
        </w:rPr>
      </w:pPr>
      <w:r w:rsidRPr="00093F6E">
        <w:rPr>
          <w:rFonts w:ascii="Times New Roman" w:hAnsi="Times New Roman" w:cs="Times New Roman"/>
          <w:sz w:val="24"/>
          <w:szCs w:val="24"/>
        </w:rPr>
        <w:t xml:space="preserve"> </w:t>
      </w:r>
    </w:p>
    <w:p w:rsidR="00032990" w:rsidRPr="0095273B" w:rsidRDefault="00032990" w:rsidP="006D7C94">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0638AF" w:rsidRDefault="000638AF" w:rsidP="00F03FB6">
      <w:pPr>
        <w:spacing w:after="0" w:line="360" w:lineRule="auto"/>
        <w:ind w:firstLine="720"/>
        <w:jc w:val="both"/>
        <w:rPr>
          <w:rFonts w:ascii="Times New Roman" w:hAnsi="Times New Roman" w:cs="Times New Roman"/>
          <w:sz w:val="24"/>
          <w:szCs w:val="24"/>
        </w:rPr>
      </w:pPr>
    </w:p>
    <w:p w:rsidR="000A5D2B" w:rsidRPr="00010507" w:rsidRDefault="00540CF4" w:rsidP="00F03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369F1">
        <w:rPr>
          <w:rFonts w:ascii="Times New Roman" w:hAnsi="Times New Roman" w:cs="Times New Roman"/>
          <w:sz w:val="24"/>
          <w:szCs w:val="24"/>
        </w:rPr>
        <w:t xml:space="preserve"> </w:t>
      </w:r>
    </w:p>
    <w:p w:rsidR="00F03FB6" w:rsidRPr="00F03FB6" w:rsidRDefault="00F03FB6" w:rsidP="00F03FB6">
      <w:pPr>
        <w:spacing w:after="0" w:line="360" w:lineRule="auto"/>
        <w:ind w:left="720"/>
        <w:jc w:val="both"/>
        <w:rPr>
          <w:rFonts w:ascii="Times New Roman" w:hAnsi="Times New Roman" w:cs="Times New Roman"/>
          <w:sz w:val="24"/>
          <w:szCs w:val="24"/>
        </w:rPr>
      </w:pPr>
    </w:p>
    <w:p w:rsidR="00CF0C1A" w:rsidRDefault="00CF0C1A" w:rsidP="00705005">
      <w:pPr>
        <w:tabs>
          <w:tab w:val="left" w:pos="709"/>
        </w:tabs>
        <w:spacing w:after="0" w:line="360" w:lineRule="auto"/>
        <w:jc w:val="both"/>
        <w:rPr>
          <w:rFonts w:ascii="Times New Roman" w:hAnsi="Times New Roman" w:cs="Times New Roman"/>
          <w:sz w:val="24"/>
          <w:szCs w:val="24"/>
        </w:rPr>
      </w:pP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926" w:rsidRDefault="00287926" w:rsidP="003E5395">
      <w:pPr>
        <w:spacing w:after="0" w:line="240" w:lineRule="auto"/>
      </w:pPr>
      <w:r>
        <w:separator/>
      </w:r>
    </w:p>
  </w:endnote>
  <w:endnote w:type="continuationSeparator" w:id="0">
    <w:p w:rsidR="00287926" w:rsidRDefault="00287926"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926" w:rsidRDefault="00287926" w:rsidP="003E5395">
      <w:pPr>
        <w:spacing w:after="0" w:line="240" w:lineRule="auto"/>
      </w:pPr>
      <w:r>
        <w:separator/>
      </w:r>
    </w:p>
  </w:footnote>
  <w:footnote w:type="continuationSeparator" w:id="0">
    <w:p w:rsidR="00287926" w:rsidRDefault="00287926" w:rsidP="003E5395">
      <w:pPr>
        <w:spacing w:after="0" w:line="240" w:lineRule="auto"/>
      </w:pPr>
      <w:r>
        <w:continuationSeparator/>
      </w:r>
    </w:p>
  </w:footnote>
  <w:footnote w:id="1">
    <w:p w:rsidR="002120C0" w:rsidRDefault="002120C0">
      <w:pPr>
        <w:pStyle w:val="FootnoteText"/>
      </w:pPr>
      <w:r>
        <w:rPr>
          <w:rStyle w:val="FootnoteReference"/>
        </w:rPr>
        <w:footnoteRef/>
      </w:r>
      <w:r>
        <w:t xml:space="preserve"> The Civil Practice of the High Courts and the Supreme Court of Appeal of South Africa 5</w:t>
      </w:r>
      <w:r w:rsidRPr="002120C0">
        <w:rPr>
          <w:vertAlign w:val="superscript"/>
        </w:rPr>
        <w:t>th</w:t>
      </w:r>
      <w:r>
        <w:t xml:space="preserve"> </w:t>
      </w:r>
      <w:proofErr w:type="spellStart"/>
      <w:r>
        <w:t>ed</w:t>
      </w:r>
      <w:proofErr w:type="spellEnd"/>
      <w:r>
        <w:t xml:space="preserve"> Volume 2 at 1428</w:t>
      </w:r>
    </w:p>
  </w:footnote>
  <w:footnote w:id="2">
    <w:p w:rsidR="008315B4" w:rsidRDefault="008315B4">
      <w:pPr>
        <w:pStyle w:val="FootnoteText"/>
      </w:pPr>
      <w:r>
        <w:rPr>
          <w:rStyle w:val="FootnoteReference"/>
        </w:rPr>
        <w:footnoteRef/>
      </w:r>
      <w:r>
        <w:t xml:space="preserve"> L bed, on p 1430</w:t>
      </w:r>
    </w:p>
  </w:footnote>
  <w:footnote w:id="3">
    <w:p w:rsidR="006115D1" w:rsidRDefault="006115D1">
      <w:pPr>
        <w:pStyle w:val="FootnoteText"/>
      </w:pPr>
      <w:r>
        <w:rPr>
          <w:rStyle w:val="FootnoteReference"/>
        </w:rPr>
        <w:footnoteRef/>
      </w:r>
      <w:r>
        <w:t xml:space="preserve"> 1963 (2) SA 296 (w) at 297 G-H</w:t>
      </w:r>
    </w:p>
  </w:footnote>
  <w:footnote w:id="4">
    <w:p w:rsidR="00567966" w:rsidRDefault="00567966">
      <w:pPr>
        <w:pStyle w:val="FootnoteText"/>
      </w:pPr>
      <w:r>
        <w:rPr>
          <w:rStyle w:val="FootnoteReference"/>
        </w:rPr>
        <w:footnoteRef/>
      </w:r>
      <w:r>
        <w:t xml:space="preserve"> SC 17/95 per </w:t>
      </w:r>
      <w:proofErr w:type="spellStart"/>
      <w:r w:rsidRPr="00567966">
        <w:rPr>
          <w:smallCaps/>
        </w:rPr>
        <w:t>Gubbay</w:t>
      </w:r>
      <w:proofErr w:type="spellEnd"/>
      <w:r>
        <w:t xml:space="preserve"> CJ</w:t>
      </w:r>
    </w:p>
  </w:footnote>
  <w:footnote w:id="5">
    <w:p w:rsidR="0095273B" w:rsidRDefault="0095273B">
      <w:pPr>
        <w:pStyle w:val="FootnoteText"/>
      </w:pPr>
      <w:r>
        <w:rPr>
          <w:rStyle w:val="FootnoteReference"/>
        </w:rPr>
        <w:footnoteRef/>
      </w:r>
      <w:r>
        <w:t xml:space="preserve"> 1974 (1) SA 747 (a) at 762 A Per </w:t>
      </w:r>
      <w:r w:rsidRPr="0095273B">
        <w:rPr>
          <w:smallCaps/>
        </w:rPr>
        <w:t>Jansen</w:t>
      </w:r>
      <w:r>
        <w:t xml:space="preserve"> JA</w:t>
      </w:r>
    </w:p>
  </w:footnote>
  <w:footnote w:id="6">
    <w:p w:rsidR="00032990" w:rsidRDefault="00032990">
      <w:pPr>
        <w:pStyle w:val="FootnoteText"/>
      </w:pPr>
      <w:r>
        <w:rPr>
          <w:rStyle w:val="FootnoteReference"/>
        </w:rPr>
        <w:footnoteRef/>
      </w:r>
      <w:r>
        <w:t xml:space="preserve"> 1992 (1) SA 867(a)at 873 E-F</w:t>
      </w:r>
    </w:p>
  </w:footnote>
  <w:footnote w:id="7">
    <w:p w:rsidR="00093F6E" w:rsidRDefault="00093F6E" w:rsidP="00093F6E">
      <w:pPr>
        <w:pStyle w:val="FootnoteText"/>
      </w:pPr>
      <w:r>
        <w:rPr>
          <w:rStyle w:val="FootnoteReference"/>
        </w:rPr>
        <w:footnoteRef/>
      </w:r>
      <w:r>
        <w:t xml:space="preserve"> Cap 9:07 p 108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904FE0">
          <w:rPr>
            <w:noProof/>
          </w:rPr>
          <w:t>7</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0C47DE">
          <w:rPr>
            <w:noProof/>
          </w:rPr>
          <w:t xml:space="preserve"> </w:t>
        </w:r>
        <w:r w:rsidR="00904FE0">
          <w:rPr>
            <w:noProof/>
          </w:rPr>
          <w:t>3</w:t>
        </w:r>
        <w:r w:rsidR="00D5307B">
          <w:rPr>
            <w:noProof/>
          </w:rPr>
          <w:t>-</w:t>
        </w:r>
        <w:r w:rsidR="00851271">
          <w:rPr>
            <w:noProof/>
          </w:rPr>
          <w:t>22</w:t>
        </w:r>
      </w:p>
      <w:p w:rsidR="00ED62DC" w:rsidRDefault="004E7244">
        <w:pPr>
          <w:pStyle w:val="Header"/>
          <w:jc w:val="right"/>
        </w:pPr>
        <w:r>
          <w:rPr>
            <w:noProof/>
          </w:rPr>
          <w:t>HC 217</w:t>
        </w:r>
        <w:r w:rsidR="0095548B">
          <w:rPr>
            <w:noProof/>
          </w:rPr>
          <w:t>/21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293783"/>
    <w:multiLevelType w:val="hybridMultilevel"/>
    <w:tmpl w:val="A1282A46"/>
    <w:lvl w:ilvl="0" w:tplc="3F2CDD3A">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2FA4303"/>
    <w:multiLevelType w:val="hybridMultilevel"/>
    <w:tmpl w:val="FA16B8E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14913F69"/>
    <w:multiLevelType w:val="hybridMultilevel"/>
    <w:tmpl w:val="7B26D75A"/>
    <w:lvl w:ilvl="0" w:tplc="1E60C4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16046F2"/>
    <w:multiLevelType w:val="hybridMultilevel"/>
    <w:tmpl w:val="B136F146"/>
    <w:lvl w:ilvl="0" w:tplc="FBE64B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6CF09F0"/>
    <w:multiLevelType w:val="hybridMultilevel"/>
    <w:tmpl w:val="B00A0D34"/>
    <w:lvl w:ilvl="0" w:tplc="852C91E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A4A5C20"/>
    <w:multiLevelType w:val="hybridMultilevel"/>
    <w:tmpl w:val="31D8A756"/>
    <w:lvl w:ilvl="0" w:tplc="F8F69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69035F2"/>
    <w:multiLevelType w:val="hybridMultilevel"/>
    <w:tmpl w:val="9CD89B3A"/>
    <w:lvl w:ilvl="0" w:tplc="DA1AC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EEF5955"/>
    <w:multiLevelType w:val="hybridMultilevel"/>
    <w:tmpl w:val="7BC470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8"/>
  </w:num>
  <w:num w:numId="2">
    <w:abstractNumId w:val="14"/>
  </w:num>
  <w:num w:numId="3">
    <w:abstractNumId w:val="11"/>
  </w:num>
  <w:num w:numId="4">
    <w:abstractNumId w:val="20"/>
  </w:num>
  <w:num w:numId="5">
    <w:abstractNumId w:val="0"/>
  </w:num>
  <w:num w:numId="6">
    <w:abstractNumId w:val="5"/>
  </w:num>
  <w:num w:numId="7">
    <w:abstractNumId w:val="6"/>
  </w:num>
  <w:num w:numId="8">
    <w:abstractNumId w:val="7"/>
  </w:num>
  <w:num w:numId="9">
    <w:abstractNumId w:val="17"/>
  </w:num>
  <w:num w:numId="10">
    <w:abstractNumId w:val="15"/>
  </w:num>
  <w:num w:numId="11">
    <w:abstractNumId w:val="10"/>
  </w:num>
  <w:num w:numId="12">
    <w:abstractNumId w:val="12"/>
  </w:num>
  <w:num w:numId="13">
    <w:abstractNumId w:val="1"/>
  </w:num>
  <w:num w:numId="14">
    <w:abstractNumId w:val="4"/>
  </w:num>
  <w:num w:numId="15">
    <w:abstractNumId w:val="16"/>
  </w:num>
  <w:num w:numId="16">
    <w:abstractNumId w:val="9"/>
  </w:num>
  <w:num w:numId="17">
    <w:abstractNumId w:val="2"/>
  </w:num>
  <w:num w:numId="18">
    <w:abstractNumId w:val="19"/>
  </w:num>
  <w:num w:numId="19">
    <w:abstractNumId w:val="13"/>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0507"/>
    <w:rsid w:val="00015B3F"/>
    <w:rsid w:val="0001654B"/>
    <w:rsid w:val="00032068"/>
    <w:rsid w:val="00032990"/>
    <w:rsid w:val="00040AA9"/>
    <w:rsid w:val="00060888"/>
    <w:rsid w:val="000638AF"/>
    <w:rsid w:val="00070E72"/>
    <w:rsid w:val="00075172"/>
    <w:rsid w:val="00087474"/>
    <w:rsid w:val="00093F6E"/>
    <w:rsid w:val="000A5D2B"/>
    <w:rsid w:val="000B6666"/>
    <w:rsid w:val="000C0432"/>
    <w:rsid w:val="000C47DE"/>
    <w:rsid w:val="000C6489"/>
    <w:rsid w:val="000E19AD"/>
    <w:rsid w:val="000E4BD2"/>
    <w:rsid w:val="000F4D02"/>
    <w:rsid w:val="000F552B"/>
    <w:rsid w:val="000F7DC3"/>
    <w:rsid w:val="00104802"/>
    <w:rsid w:val="0010488F"/>
    <w:rsid w:val="00113CDB"/>
    <w:rsid w:val="00114297"/>
    <w:rsid w:val="00115148"/>
    <w:rsid w:val="0012359E"/>
    <w:rsid w:val="00132167"/>
    <w:rsid w:val="0013250A"/>
    <w:rsid w:val="001346D4"/>
    <w:rsid w:val="001401A7"/>
    <w:rsid w:val="00142AE6"/>
    <w:rsid w:val="00144471"/>
    <w:rsid w:val="0014684C"/>
    <w:rsid w:val="00146D70"/>
    <w:rsid w:val="00154188"/>
    <w:rsid w:val="00157298"/>
    <w:rsid w:val="00185C4B"/>
    <w:rsid w:val="001869FA"/>
    <w:rsid w:val="0018710C"/>
    <w:rsid w:val="001905B9"/>
    <w:rsid w:val="00193336"/>
    <w:rsid w:val="001B5F0A"/>
    <w:rsid w:val="001B6FF8"/>
    <w:rsid w:val="001D4EA3"/>
    <w:rsid w:val="001D6B8A"/>
    <w:rsid w:val="001E5838"/>
    <w:rsid w:val="001F0D4B"/>
    <w:rsid w:val="001F6637"/>
    <w:rsid w:val="001F7490"/>
    <w:rsid w:val="0020764B"/>
    <w:rsid w:val="00210185"/>
    <w:rsid w:val="0021102A"/>
    <w:rsid w:val="002120C0"/>
    <w:rsid w:val="00212CE8"/>
    <w:rsid w:val="00215261"/>
    <w:rsid w:val="0021639B"/>
    <w:rsid w:val="00216ACB"/>
    <w:rsid w:val="00221FCA"/>
    <w:rsid w:val="00231AF9"/>
    <w:rsid w:val="00232E74"/>
    <w:rsid w:val="00232F04"/>
    <w:rsid w:val="00252F44"/>
    <w:rsid w:val="0025380A"/>
    <w:rsid w:val="00263CC0"/>
    <w:rsid w:val="002651F1"/>
    <w:rsid w:val="0026554D"/>
    <w:rsid w:val="00287926"/>
    <w:rsid w:val="00290B36"/>
    <w:rsid w:val="00293DDA"/>
    <w:rsid w:val="002A22DE"/>
    <w:rsid w:val="002A22E0"/>
    <w:rsid w:val="002B0E8C"/>
    <w:rsid w:val="002B4DFB"/>
    <w:rsid w:val="002C66E9"/>
    <w:rsid w:val="002D0498"/>
    <w:rsid w:val="002D0861"/>
    <w:rsid w:val="002E192C"/>
    <w:rsid w:val="002F0F7A"/>
    <w:rsid w:val="003016C9"/>
    <w:rsid w:val="00321A76"/>
    <w:rsid w:val="00326FB2"/>
    <w:rsid w:val="00330E73"/>
    <w:rsid w:val="00331A0F"/>
    <w:rsid w:val="003364C8"/>
    <w:rsid w:val="00346764"/>
    <w:rsid w:val="003501AA"/>
    <w:rsid w:val="00350DEB"/>
    <w:rsid w:val="00354153"/>
    <w:rsid w:val="003543E8"/>
    <w:rsid w:val="00363487"/>
    <w:rsid w:val="00364128"/>
    <w:rsid w:val="003646BB"/>
    <w:rsid w:val="0037425C"/>
    <w:rsid w:val="003744AE"/>
    <w:rsid w:val="003812B7"/>
    <w:rsid w:val="00385C46"/>
    <w:rsid w:val="00385FBF"/>
    <w:rsid w:val="00390475"/>
    <w:rsid w:val="00391514"/>
    <w:rsid w:val="003A03EE"/>
    <w:rsid w:val="003A6693"/>
    <w:rsid w:val="003A689C"/>
    <w:rsid w:val="003A7D1C"/>
    <w:rsid w:val="003A7E8F"/>
    <w:rsid w:val="003E4B54"/>
    <w:rsid w:val="003E5395"/>
    <w:rsid w:val="00402576"/>
    <w:rsid w:val="00412DB0"/>
    <w:rsid w:val="0042341D"/>
    <w:rsid w:val="004317B4"/>
    <w:rsid w:val="00433E81"/>
    <w:rsid w:val="00437482"/>
    <w:rsid w:val="004410A9"/>
    <w:rsid w:val="00442404"/>
    <w:rsid w:val="004531A1"/>
    <w:rsid w:val="00453E5C"/>
    <w:rsid w:val="004657C4"/>
    <w:rsid w:val="00471D5E"/>
    <w:rsid w:val="00473BB8"/>
    <w:rsid w:val="00476BBC"/>
    <w:rsid w:val="00482DDB"/>
    <w:rsid w:val="004A6B2B"/>
    <w:rsid w:val="004B527C"/>
    <w:rsid w:val="004C20E4"/>
    <w:rsid w:val="004C7664"/>
    <w:rsid w:val="004C7797"/>
    <w:rsid w:val="004E379D"/>
    <w:rsid w:val="004E5E8F"/>
    <w:rsid w:val="004E7244"/>
    <w:rsid w:val="00501507"/>
    <w:rsid w:val="005017E3"/>
    <w:rsid w:val="00504D59"/>
    <w:rsid w:val="00505DD6"/>
    <w:rsid w:val="00507AC3"/>
    <w:rsid w:val="005161F5"/>
    <w:rsid w:val="0051683D"/>
    <w:rsid w:val="00517B3D"/>
    <w:rsid w:val="0052397F"/>
    <w:rsid w:val="005322CE"/>
    <w:rsid w:val="00534A69"/>
    <w:rsid w:val="00535E3D"/>
    <w:rsid w:val="00540CF4"/>
    <w:rsid w:val="00542EE0"/>
    <w:rsid w:val="00567966"/>
    <w:rsid w:val="0057725B"/>
    <w:rsid w:val="0058164A"/>
    <w:rsid w:val="00581891"/>
    <w:rsid w:val="00590DEB"/>
    <w:rsid w:val="005A7DFB"/>
    <w:rsid w:val="005A7E4B"/>
    <w:rsid w:val="005B25C7"/>
    <w:rsid w:val="005B7780"/>
    <w:rsid w:val="005C402E"/>
    <w:rsid w:val="005C4D89"/>
    <w:rsid w:val="005C78D9"/>
    <w:rsid w:val="005D49BC"/>
    <w:rsid w:val="005E0FA4"/>
    <w:rsid w:val="005F2196"/>
    <w:rsid w:val="005F4B9F"/>
    <w:rsid w:val="005F58C1"/>
    <w:rsid w:val="005F593A"/>
    <w:rsid w:val="00604B40"/>
    <w:rsid w:val="00605225"/>
    <w:rsid w:val="00606615"/>
    <w:rsid w:val="006115D1"/>
    <w:rsid w:val="006148A8"/>
    <w:rsid w:val="00620C31"/>
    <w:rsid w:val="00622D3C"/>
    <w:rsid w:val="00630461"/>
    <w:rsid w:val="0063322F"/>
    <w:rsid w:val="006363C8"/>
    <w:rsid w:val="006369F1"/>
    <w:rsid w:val="00641E2D"/>
    <w:rsid w:val="006449F4"/>
    <w:rsid w:val="00657959"/>
    <w:rsid w:val="006650CC"/>
    <w:rsid w:val="00673EA2"/>
    <w:rsid w:val="006919BD"/>
    <w:rsid w:val="00692CDE"/>
    <w:rsid w:val="006B3EB8"/>
    <w:rsid w:val="006C0175"/>
    <w:rsid w:val="006C0EB7"/>
    <w:rsid w:val="006C1A1B"/>
    <w:rsid w:val="006D02F0"/>
    <w:rsid w:val="006D1676"/>
    <w:rsid w:val="006D6669"/>
    <w:rsid w:val="006D7C94"/>
    <w:rsid w:val="006E2BA9"/>
    <w:rsid w:val="006E2F9E"/>
    <w:rsid w:val="006F0C8B"/>
    <w:rsid w:val="00705005"/>
    <w:rsid w:val="00707AF7"/>
    <w:rsid w:val="00731E2A"/>
    <w:rsid w:val="007415FF"/>
    <w:rsid w:val="00741DEC"/>
    <w:rsid w:val="00750A6D"/>
    <w:rsid w:val="0075634C"/>
    <w:rsid w:val="00757054"/>
    <w:rsid w:val="00761CA3"/>
    <w:rsid w:val="00764B32"/>
    <w:rsid w:val="00781292"/>
    <w:rsid w:val="00781613"/>
    <w:rsid w:val="007909D0"/>
    <w:rsid w:val="00791502"/>
    <w:rsid w:val="00795B61"/>
    <w:rsid w:val="00796FD2"/>
    <w:rsid w:val="007A0DFC"/>
    <w:rsid w:val="007E4C33"/>
    <w:rsid w:val="007E52BC"/>
    <w:rsid w:val="0080542A"/>
    <w:rsid w:val="008060D2"/>
    <w:rsid w:val="0081189A"/>
    <w:rsid w:val="00816002"/>
    <w:rsid w:val="00816166"/>
    <w:rsid w:val="00821B45"/>
    <w:rsid w:val="008273FD"/>
    <w:rsid w:val="00830B4E"/>
    <w:rsid w:val="008315B4"/>
    <w:rsid w:val="00836936"/>
    <w:rsid w:val="00837D2B"/>
    <w:rsid w:val="00840687"/>
    <w:rsid w:val="00843203"/>
    <w:rsid w:val="00845816"/>
    <w:rsid w:val="00851271"/>
    <w:rsid w:val="008512ED"/>
    <w:rsid w:val="0085408D"/>
    <w:rsid w:val="00855787"/>
    <w:rsid w:val="00867A47"/>
    <w:rsid w:val="00870133"/>
    <w:rsid w:val="008902ED"/>
    <w:rsid w:val="0089426E"/>
    <w:rsid w:val="008A1AA0"/>
    <w:rsid w:val="008A1B42"/>
    <w:rsid w:val="008D53D8"/>
    <w:rsid w:val="008E4C7C"/>
    <w:rsid w:val="008F5CA2"/>
    <w:rsid w:val="00904FE0"/>
    <w:rsid w:val="00915BF6"/>
    <w:rsid w:val="00930673"/>
    <w:rsid w:val="0093203F"/>
    <w:rsid w:val="0095273B"/>
    <w:rsid w:val="00953288"/>
    <w:rsid w:val="0095548B"/>
    <w:rsid w:val="009567BC"/>
    <w:rsid w:val="0096091F"/>
    <w:rsid w:val="009616E8"/>
    <w:rsid w:val="009649B0"/>
    <w:rsid w:val="00966FB7"/>
    <w:rsid w:val="00970FAD"/>
    <w:rsid w:val="00973D9E"/>
    <w:rsid w:val="00975813"/>
    <w:rsid w:val="00977FEA"/>
    <w:rsid w:val="00982D2A"/>
    <w:rsid w:val="009846C9"/>
    <w:rsid w:val="009A4A95"/>
    <w:rsid w:val="009B473A"/>
    <w:rsid w:val="009B4DC7"/>
    <w:rsid w:val="009C25C3"/>
    <w:rsid w:val="009C4273"/>
    <w:rsid w:val="009C4425"/>
    <w:rsid w:val="009D06D8"/>
    <w:rsid w:val="009D4440"/>
    <w:rsid w:val="009E0F4F"/>
    <w:rsid w:val="009E3A63"/>
    <w:rsid w:val="009E46DD"/>
    <w:rsid w:val="009E5892"/>
    <w:rsid w:val="009F33A9"/>
    <w:rsid w:val="00A064D1"/>
    <w:rsid w:val="00A0694C"/>
    <w:rsid w:val="00A203AA"/>
    <w:rsid w:val="00A246EA"/>
    <w:rsid w:val="00A25E88"/>
    <w:rsid w:val="00A26DE8"/>
    <w:rsid w:val="00A26EE4"/>
    <w:rsid w:val="00A3612B"/>
    <w:rsid w:val="00A41DDC"/>
    <w:rsid w:val="00A4284B"/>
    <w:rsid w:val="00A6501D"/>
    <w:rsid w:val="00A669C3"/>
    <w:rsid w:val="00A76DE9"/>
    <w:rsid w:val="00A777C6"/>
    <w:rsid w:val="00A77FD6"/>
    <w:rsid w:val="00A803F4"/>
    <w:rsid w:val="00A80985"/>
    <w:rsid w:val="00A87B99"/>
    <w:rsid w:val="00AB1FC1"/>
    <w:rsid w:val="00AB372F"/>
    <w:rsid w:val="00AB3C70"/>
    <w:rsid w:val="00AB3D56"/>
    <w:rsid w:val="00AB61CA"/>
    <w:rsid w:val="00AD214D"/>
    <w:rsid w:val="00AD6211"/>
    <w:rsid w:val="00AD7F6D"/>
    <w:rsid w:val="00AE0B32"/>
    <w:rsid w:val="00AF5344"/>
    <w:rsid w:val="00B017EC"/>
    <w:rsid w:val="00B02738"/>
    <w:rsid w:val="00B03D14"/>
    <w:rsid w:val="00B06B10"/>
    <w:rsid w:val="00B13338"/>
    <w:rsid w:val="00B53B5C"/>
    <w:rsid w:val="00B556FE"/>
    <w:rsid w:val="00B57151"/>
    <w:rsid w:val="00B61079"/>
    <w:rsid w:val="00B75F82"/>
    <w:rsid w:val="00B87F63"/>
    <w:rsid w:val="00B9277A"/>
    <w:rsid w:val="00B9300F"/>
    <w:rsid w:val="00B9387A"/>
    <w:rsid w:val="00BA0049"/>
    <w:rsid w:val="00BA167A"/>
    <w:rsid w:val="00BA392C"/>
    <w:rsid w:val="00BC37C9"/>
    <w:rsid w:val="00BC3827"/>
    <w:rsid w:val="00BC3CF7"/>
    <w:rsid w:val="00BC3FA0"/>
    <w:rsid w:val="00BD2E19"/>
    <w:rsid w:val="00BE3F52"/>
    <w:rsid w:val="00BF6720"/>
    <w:rsid w:val="00C00C1C"/>
    <w:rsid w:val="00C02A4E"/>
    <w:rsid w:val="00C0408D"/>
    <w:rsid w:val="00C128C3"/>
    <w:rsid w:val="00C13EA2"/>
    <w:rsid w:val="00C2159D"/>
    <w:rsid w:val="00C24CA3"/>
    <w:rsid w:val="00C26757"/>
    <w:rsid w:val="00C27F07"/>
    <w:rsid w:val="00C328F2"/>
    <w:rsid w:val="00C32BE1"/>
    <w:rsid w:val="00C37FDA"/>
    <w:rsid w:val="00C40160"/>
    <w:rsid w:val="00C452B1"/>
    <w:rsid w:val="00C45A43"/>
    <w:rsid w:val="00C569DB"/>
    <w:rsid w:val="00C60622"/>
    <w:rsid w:val="00C66C23"/>
    <w:rsid w:val="00C7029D"/>
    <w:rsid w:val="00C836E2"/>
    <w:rsid w:val="00C87814"/>
    <w:rsid w:val="00C952F6"/>
    <w:rsid w:val="00CA2375"/>
    <w:rsid w:val="00CA307F"/>
    <w:rsid w:val="00CB17FE"/>
    <w:rsid w:val="00CB4795"/>
    <w:rsid w:val="00CB5917"/>
    <w:rsid w:val="00CC3C3C"/>
    <w:rsid w:val="00CD0187"/>
    <w:rsid w:val="00CD0AE3"/>
    <w:rsid w:val="00CD474E"/>
    <w:rsid w:val="00CF0C1A"/>
    <w:rsid w:val="00CF12EE"/>
    <w:rsid w:val="00CF16F2"/>
    <w:rsid w:val="00CF7133"/>
    <w:rsid w:val="00D045DA"/>
    <w:rsid w:val="00D0731E"/>
    <w:rsid w:val="00D13C32"/>
    <w:rsid w:val="00D36A3C"/>
    <w:rsid w:val="00D420AA"/>
    <w:rsid w:val="00D47BF5"/>
    <w:rsid w:val="00D5301E"/>
    <w:rsid w:val="00D5307B"/>
    <w:rsid w:val="00D56C6B"/>
    <w:rsid w:val="00D64A97"/>
    <w:rsid w:val="00D74042"/>
    <w:rsid w:val="00D75E50"/>
    <w:rsid w:val="00D76C2E"/>
    <w:rsid w:val="00DA45E5"/>
    <w:rsid w:val="00DC2361"/>
    <w:rsid w:val="00DC35A4"/>
    <w:rsid w:val="00DC6389"/>
    <w:rsid w:val="00DD4D1C"/>
    <w:rsid w:val="00DE436F"/>
    <w:rsid w:val="00DE4DDC"/>
    <w:rsid w:val="00DE7227"/>
    <w:rsid w:val="00DF028C"/>
    <w:rsid w:val="00DF173C"/>
    <w:rsid w:val="00DF40DB"/>
    <w:rsid w:val="00E10353"/>
    <w:rsid w:val="00E12E1D"/>
    <w:rsid w:val="00E15381"/>
    <w:rsid w:val="00E23D1C"/>
    <w:rsid w:val="00E52DE5"/>
    <w:rsid w:val="00E549E3"/>
    <w:rsid w:val="00E572B9"/>
    <w:rsid w:val="00E6071D"/>
    <w:rsid w:val="00E623EF"/>
    <w:rsid w:val="00E6299C"/>
    <w:rsid w:val="00E6790A"/>
    <w:rsid w:val="00E76D40"/>
    <w:rsid w:val="00E77125"/>
    <w:rsid w:val="00E83CCE"/>
    <w:rsid w:val="00E8411A"/>
    <w:rsid w:val="00E873C4"/>
    <w:rsid w:val="00E87F63"/>
    <w:rsid w:val="00E93320"/>
    <w:rsid w:val="00E96B09"/>
    <w:rsid w:val="00E970A9"/>
    <w:rsid w:val="00E971E7"/>
    <w:rsid w:val="00EA1EF1"/>
    <w:rsid w:val="00EA4024"/>
    <w:rsid w:val="00EA6A1E"/>
    <w:rsid w:val="00EB5E89"/>
    <w:rsid w:val="00EC37AB"/>
    <w:rsid w:val="00EC486F"/>
    <w:rsid w:val="00ED62DC"/>
    <w:rsid w:val="00EE29D2"/>
    <w:rsid w:val="00EE60B7"/>
    <w:rsid w:val="00EE76F4"/>
    <w:rsid w:val="00EE78D1"/>
    <w:rsid w:val="00EF03A1"/>
    <w:rsid w:val="00EF05BC"/>
    <w:rsid w:val="00EF066E"/>
    <w:rsid w:val="00EF1166"/>
    <w:rsid w:val="00F03FB6"/>
    <w:rsid w:val="00F108D3"/>
    <w:rsid w:val="00F12ECC"/>
    <w:rsid w:val="00F20763"/>
    <w:rsid w:val="00F22EC1"/>
    <w:rsid w:val="00F255F1"/>
    <w:rsid w:val="00F57624"/>
    <w:rsid w:val="00F65722"/>
    <w:rsid w:val="00F76C89"/>
    <w:rsid w:val="00F8304D"/>
    <w:rsid w:val="00F8313C"/>
    <w:rsid w:val="00F9038C"/>
    <w:rsid w:val="00F96775"/>
    <w:rsid w:val="00FA1A88"/>
    <w:rsid w:val="00FB3435"/>
    <w:rsid w:val="00FB44B9"/>
    <w:rsid w:val="00FB49E6"/>
    <w:rsid w:val="00FD0426"/>
    <w:rsid w:val="00FE3057"/>
    <w:rsid w:val="00FE47CA"/>
    <w:rsid w:val="00FF5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561B-BE61-46E8-9C23-C52AF6F6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14</cp:revision>
  <cp:lastPrinted>2022-02-03T08:20:00Z</cp:lastPrinted>
  <dcterms:created xsi:type="dcterms:W3CDTF">2022-01-25T10:20:00Z</dcterms:created>
  <dcterms:modified xsi:type="dcterms:W3CDTF">2022-02-03T08:24:00Z</dcterms:modified>
</cp:coreProperties>
</file>