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5F23C" w14:textId="77777777" w:rsidR="00035A88" w:rsidRDefault="00035A88" w:rsidP="00035A88">
      <w:pPr>
        <w:pStyle w:val="Heading1"/>
      </w:pPr>
      <w:bookmarkStart w:id="0" w:name="_GoBack"/>
      <w:bookmarkEnd w:id="0"/>
      <w:r>
        <w:rPr>
          <w:rFonts w:ascii="Times New Roman" w:hAnsi="Times New Roman" w:cs="Times New Roman"/>
          <w:b w:val="0"/>
          <w:bCs w:val="0"/>
          <w:sz w:val="24"/>
          <w:szCs w:val="24"/>
        </w:rPr>
        <w:t>MONACHROME (PVT) LTD</w:t>
      </w:r>
      <w:r>
        <w:t xml:space="preserve"> </w:t>
      </w:r>
      <w:r>
        <w:br/>
      </w:r>
      <w:r>
        <w:rPr>
          <w:rFonts w:ascii="Times New Roman" w:hAnsi="Times New Roman" w:cs="Times New Roman"/>
          <w:b w:val="0"/>
          <w:bCs w:val="0"/>
          <w:sz w:val="24"/>
          <w:szCs w:val="24"/>
        </w:rPr>
        <w:t>versus</w:t>
      </w:r>
    </w:p>
    <w:p w14:paraId="5BFAE048" w14:textId="77777777" w:rsidR="00035A88" w:rsidRDefault="00035A88" w:rsidP="00035A88">
      <w:r>
        <w:t xml:space="preserve">KEHRAI INVESTMENTS (PVT) LTD </w:t>
      </w:r>
    </w:p>
    <w:p w14:paraId="427B06FE" w14:textId="77777777" w:rsidR="00035A88" w:rsidRDefault="00035A88" w:rsidP="00035A88">
      <w:r>
        <w:t xml:space="preserve">and </w:t>
      </w:r>
    </w:p>
    <w:p w14:paraId="04C81A24" w14:textId="77777777" w:rsidR="00035A88" w:rsidRDefault="00035A88" w:rsidP="00035A88">
      <w:r>
        <w:t>LABENMON INVESTMENTS (PRIVATE) LIMITED</w:t>
      </w:r>
    </w:p>
    <w:p w14:paraId="0B9F7EB8" w14:textId="77777777" w:rsidR="00035A88" w:rsidRDefault="00035A88" w:rsidP="00035A88"/>
    <w:p w14:paraId="00CD0FB2" w14:textId="77777777" w:rsidR="00035A88" w:rsidRDefault="00035A88" w:rsidP="00035A88">
      <w:pPr>
        <w:rPr>
          <w:sz w:val="8"/>
          <w:szCs w:val="8"/>
        </w:rPr>
      </w:pPr>
    </w:p>
    <w:p w14:paraId="55DFD1A4" w14:textId="77777777" w:rsidR="00035A88" w:rsidRPr="00FC1E41" w:rsidRDefault="00035A88" w:rsidP="00035A88">
      <w:pPr>
        <w:rPr>
          <w:sz w:val="8"/>
          <w:szCs w:val="8"/>
        </w:rPr>
      </w:pPr>
    </w:p>
    <w:p w14:paraId="4E62E877" w14:textId="77777777" w:rsidR="00DC1CE2" w:rsidRPr="0090742F" w:rsidRDefault="00DC1CE2" w:rsidP="00035A88">
      <w:pPr>
        <w:rPr>
          <w:sz w:val="2"/>
          <w:szCs w:val="2"/>
        </w:rPr>
      </w:pPr>
    </w:p>
    <w:p w14:paraId="067A6057" w14:textId="675081DF" w:rsidR="00035A88" w:rsidRDefault="00035A88" w:rsidP="00035A88">
      <w:r>
        <w:t>HIGH COURT OF ZIMBABWE</w:t>
      </w:r>
      <w:r>
        <w:br/>
        <w:t>CHINAMORA J</w:t>
      </w:r>
      <w:r>
        <w:br/>
        <w:t xml:space="preserve">HARARE, </w:t>
      </w:r>
      <w:r w:rsidR="008379EE">
        <w:t xml:space="preserve">3 </w:t>
      </w:r>
      <w:r w:rsidR="00386A9A">
        <w:t xml:space="preserve">&amp; </w:t>
      </w:r>
      <w:r w:rsidR="00353DC0">
        <w:t>30 March 2020</w:t>
      </w:r>
      <w:r w:rsidR="00EC2DF8">
        <w:t xml:space="preserve">, 22 July 2022 </w:t>
      </w:r>
      <w:r w:rsidR="00353DC0">
        <w:t xml:space="preserve">and </w:t>
      </w:r>
      <w:r w:rsidR="00C752AD">
        <w:t>7</w:t>
      </w:r>
      <w:r w:rsidR="0015597B">
        <w:t xml:space="preserve"> </w:t>
      </w:r>
      <w:r w:rsidR="00545EC3">
        <w:t>August</w:t>
      </w:r>
      <w:r w:rsidR="008B57F3">
        <w:t xml:space="preserve"> </w:t>
      </w:r>
      <w:r w:rsidR="00D935C8">
        <w:t>2023</w:t>
      </w:r>
    </w:p>
    <w:p w14:paraId="1FCEADCB" w14:textId="77777777" w:rsidR="00035A88" w:rsidRDefault="00035A88" w:rsidP="00035A88">
      <w:pPr>
        <w:rPr>
          <w:b/>
        </w:rPr>
      </w:pPr>
    </w:p>
    <w:p w14:paraId="2B2DCA13" w14:textId="77777777" w:rsidR="00DC1CE2" w:rsidRPr="00FC1E41" w:rsidRDefault="00DC1CE2" w:rsidP="00035A88">
      <w:pPr>
        <w:rPr>
          <w:b/>
          <w:sz w:val="8"/>
          <w:szCs w:val="8"/>
        </w:rPr>
      </w:pPr>
    </w:p>
    <w:p w14:paraId="7ACC1461" w14:textId="77777777" w:rsidR="009E1481" w:rsidRPr="009E1481" w:rsidRDefault="009E1481" w:rsidP="00035A88">
      <w:pPr>
        <w:rPr>
          <w:b/>
          <w:sz w:val="6"/>
          <w:szCs w:val="6"/>
        </w:rPr>
      </w:pPr>
    </w:p>
    <w:p w14:paraId="56EE0376" w14:textId="5CFD41A4" w:rsidR="00035A88" w:rsidRDefault="00035A88" w:rsidP="00035A88">
      <w:pPr>
        <w:rPr>
          <w:b/>
        </w:rPr>
      </w:pPr>
      <w:r>
        <w:rPr>
          <w:b/>
        </w:rPr>
        <w:t xml:space="preserve">Civil trial </w:t>
      </w:r>
    </w:p>
    <w:p w14:paraId="3D500215" w14:textId="77777777" w:rsidR="00DC1CE2" w:rsidRDefault="00DC1CE2" w:rsidP="00035A88">
      <w:pPr>
        <w:rPr>
          <w:b/>
        </w:rPr>
      </w:pPr>
    </w:p>
    <w:p w14:paraId="049530F1" w14:textId="77777777" w:rsidR="00DC1CE2" w:rsidRPr="00FC1E41" w:rsidRDefault="00DC1CE2" w:rsidP="00035A88">
      <w:pPr>
        <w:rPr>
          <w:b/>
          <w:sz w:val="8"/>
          <w:szCs w:val="8"/>
        </w:rPr>
      </w:pPr>
    </w:p>
    <w:p w14:paraId="0407A0FC" w14:textId="77777777" w:rsidR="00035A88" w:rsidRPr="009E1481" w:rsidRDefault="00035A88" w:rsidP="00035A88">
      <w:pPr>
        <w:rPr>
          <w:i/>
          <w:sz w:val="8"/>
          <w:szCs w:val="8"/>
        </w:rPr>
      </w:pPr>
    </w:p>
    <w:p w14:paraId="33B7923A" w14:textId="77777777" w:rsidR="00035A88" w:rsidRDefault="00035A88" w:rsidP="00035A88">
      <w:r w:rsidRPr="00386A9A">
        <w:t>Ms</w:t>
      </w:r>
      <w:r>
        <w:rPr>
          <w:i/>
        </w:rPr>
        <w:t xml:space="preserve"> S Dizwani with </w:t>
      </w:r>
      <w:r w:rsidRPr="00386A9A">
        <w:t xml:space="preserve">Mr </w:t>
      </w:r>
      <w:r>
        <w:rPr>
          <w:i/>
        </w:rPr>
        <w:t>S Murondoti</w:t>
      </w:r>
      <w:r>
        <w:t>, for the plaintiff</w:t>
      </w:r>
    </w:p>
    <w:p w14:paraId="24719B21" w14:textId="77777777" w:rsidR="00035A88" w:rsidRDefault="00035A88" w:rsidP="00035A88">
      <w:r>
        <w:rPr>
          <w:i/>
        </w:rPr>
        <w:t>No appearance</w:t>
      </w:r>
      <w:r>
        <w:t xml:space="preserve"> for the 1</w:t>
      </w:r>
      <w:r>
        <w:rPr>
          <w:vertAlign w:val="superscript"/>
        </w:rPr>
        <w:t>st</w:t>
      </w:r>
      <w:r>
        <w:t xml:space="preserve"> defendant</w:t>
      </w:r>
    </w:p>
    <w:p w14:paraId="35591595" w14:textId="1D863462" w:rsidR="00035A88" w:rsidRDefault="00035A88" w:rsidP="00035A88">
      <w:r w:rsidRPr="00386A9A">
        <w:t>Mr</w:t>
      </w:r>
      <w:r>
        <w:rPr>
          <w:i/>
        </w:rPr>
        <w:t xml:space="preserve"> M Kuwana</w:t>
      </w:r>
      <w:r>
        <w:t>, for the 2</w:t>
      </w:r>
      <w:r>
        <w:rPr>
          <w:vertAlign w:val="superscript"/>
        </w:rPr>
        <w:t>nd</w:t>
      </w:r>
      <w:r>
        <w:t xml:space="preserve"> defendant</w:t>
      </w:r>
    </w:p>
    <w:p w14:paraId="40945EFB" w14:textId="77777777" w:rsidR="00386A9A" w:rsidRDefault="00386A9A" w:rsidP="00035A88"/>
    <w:p w14:paraId="359DD1BE" w14:textId="77777777" w:rsidR="00035A88" w:rsidRDefault="00035A88" w:rsidP="00035A88"/>
    <w:p w14:paraId="02842CFC" w14:textId="77777777" w:rsidR="00035A88" w:rsidRDefault="00035A88" w:rsidP="00035A88">
      <w:pPr>
        <w:spacing w:line="360" w:lineRule="auto"/>
        <w:jc w:val="both"/>
        <w:rPr>
          <w:sz w:val="10"/>
          <w:szCs w:val="10"/>
        </w:rPr>
      </w:pPr>
    </w:p>
    <w:p w14:paraId="40AACA4C" w14:textId="1FA85DC0" w:rsidR="002C6D68" w:rsidRPr="00EB54D5" w:rsidRDefault="00EB54D5" w:rsidP="00EB54D5">
      <w:pPr>
        <w:spacing w:line="360" w:lineRule="auto"/>
        <w:jc w:val="both"/>
        <w:rPr>
          <w:b/>
          <w:bCs/>
        </w:rPr>
      </w:pPr>
      <w:r w:rsidRPr="00EB54D5">
        <w:rPr>
          <w:b/>
          <w:bCs/>
        </w:rPr>
        <w:t>CHINAMORA J</w:t>
      </w:r>
    </w:p>
    <w:p w14:paraId="23BE738D" w14:textId="77777777" w:rsidR="00035A88" w:rsidRDefault="00035A88" w:rsidP="00035A88">
      <w:pPr>
        <w:spacing w:line="360" w:lineRule="auto"/>
        <w:jc w:val="both"/>
        <w:rPr>
          <w:b/>
        </w:rPr>
      </w:pPr>
      <w:r>
        <w:rPr>
          <w:b/>
        </w:rPr>
        <w:t xml:space="preserve">Factual Background </w:t>
      </w:r>
    </w:p>
    <w:p w14:paraId="74AF46D2" w14:textId="17060238" w:rsidR="00035A88" w:rsidRDefault="00035A88" w:rsidP="0027077B">
      <w:pPr>
        <w:spacing w:line="360" w:lineRule="auto"/>
        <w:ind w:firstLine="720"/>
        <w:jc w:val="both"/>
      </w:pPr>
      <w:r>
        <w:t xml:space="preserve">This is a </w:t>
      </w:r>
      <w:r w:rsidR="00370ABD">
        <w:t xml:space="preserve">trial </w:t>
      </w:r>
      <w:proofErr w:type="gramStart"/>
      <w:r w:rsidR="00370ABD">
        <w:t>cause</w:t>
      </w:r>
      <w:proofErr w:type="gramEnd"/>
      <w:r w:rsidR="00370ABD">
        <w:t xml:space="preserve"> </w:t>
      </w:r>
      <w:r>
        <w:t>w</w:t>
      </w:r>
      <w:r w:rsidR="000F6236">
        <w:t>h</w:t>
      </w:r>
      <w:r w:rsidR="00370ABD">
        <w:t>ich opened before me on 30 March 2023. T</w:t>
      </w:r>
      <w:r>
        <w:t>he plaintiff claim</w:t>
      </w:r>
      <w:r w:rsidR="00D17E01">
        <w:t>s</w:t>
      </w:r>
      <w:r>
        <w:t xml:space="preserve"> delictual damages in the sum of </w:t>
      </w:r>
      <w:r w:rsidR="00804AFC">
        <w:t>US</w:t>
      </w:r>
      <w:r>
        <w:t>$8</w:t>
      </w:r>
      <w:r w:rsidR="00804AFC">
        <w:t xml:space="preserve"> </w:t>
      </w:r>
      <w:r>
        <w:t>173 188</w:t>
      </w:r>
      <w:r w:rsidR="002F0E27">
        <w:t>.</w:t>
      </w:r>
      <w:r>
        <w:t>00 against the defendants. The plaintiff’s case is that</w:t>
      </w:r>
      <w:r w:rsidR="00732E35">
        <w:t>,</w:t>
      </w:r>
      <w:r>
        <w:t xml:space="preserve"> for an extended period of time the defendants illegally extracted approximate</w:t>
      </w:r>
      <w:r w:rsidR="00732E35">
        <w:t xml:space="preserve">ly </w:t>
      </w:r>
      <w:r>
        <w:t>88.839 tonnes of saleable alluvial chrome from the plaintiff’s mining claims</w:t>
      </w:r>
      <w:r w:rsidR="001A51A5">
        <w:t xml:space="preserve">. The </w:t>
      </w:r>
      <w:r>
        <w:t>claims</w:t>
      </w:r>
      <w:r w:rsidR="003F00BD">
        <w:t xml:space="preserve"> are numbers</w:t>
      </w:r>
      <w:r>
        <w:t xml:space="preserve"> 122 to 127 located in Guruve North Dyke.</w:t>
      </w:r>
      <w:r w:rsidR="00BB27B2">
        <w:t xml:space="preserve"> </w:t>
      </w:r>
      <w:r>
        <w:t>As a result of the</w:t>
      </w:r>
      <w:r w:rsidR="004403E5">
        <w:t xml:space="preserve"> defendants</w:t>
      </w:r>
      <w:r w:rsidR="0070108C">
        <w:t>’</w:t>
      </w:r>
      <w:r>
        <w:t xml:space="preserve"> mining activities</w:t>
      </w:r>
      <w:r w:rsidR="004403E5">
        <w:t xml:space="preserve">, </w:t>
      </w:r>
      <w:r>
        <w:t xml:space="preserve">the plaintiff argues that </w:t>
      </w:r>
      <w:r w:rsidR="0070108C">
        <w:t>it</w:t>
      </w:r>
      <w:r>
        <w:t xml:space="preserve"> suffered loss amounting to $8 173 188.00.</w:t>
      </w:r>
      <w:r w:rsidR="0027077B">
        <w:t xml:space="preserve"> </w:t>
      </w:r>
      <w:r w:rsidR="00386A9A">
        <w:t xml:space="preserve"> </w:t>
      </w:r>
      <w:r w:rsidR="004403E5">
        <w:t>It is evident that</w:t>
      </w:r>
      <w:r w:rsidR="00732E35">
        <w:t xml:space="preserve"> </w:t>
      </w:r>
      <w:r w:rsidR="0070108C">
        <w:t xml:space="preserve">what </w:t>
      </w:r>
      <w:r w:rsidR="00C805E5">
        <w:t>t</w:t>
      </w:r>
      <w:r>
        <w:t xml:space="preserve">he </w:t>
      </w:r>
      <w:r w:rsidR="00F92955">
        <w:t>p</w:t>
      </w:r>
      <w:r>
        <w:t>laintiff</w:t>
      </w:r>
      <w:r w:rsidR="00F92955">
        <w:t xml:space="preserve"> claims</w:t>
      </w:r>
      <w:r w:rsidR="0070108C">
        <w:t>,</w:t>
      </w:r>
      <w:r w:rsidR="00F92955">
        <w:t xml:space="preserve"> </w:t>
      </w:r>
      <w:r w:rsidR="00732E35">
        <w:t xml:space="preserve">is </w:t>
      </w:r>
      <w:r>
        <w:t xml:space="preserve">the amount </w:t>
      </w:r>
      <w:r w:rsidR="00732E35">
        <w:t>it</w:t>
      </w:r>
      <w:r>
        <w:t xml:space="preserve"> </w:t>
      </w:r>
      <w:r w:rsidR="00F92955">
        <w:t>perceive</w:t>
      </w:r>
      <w:r w:rsidR="00732E35">
        <w:t>s</w:t>
      </w:r>
      <w:r w:rsidR="00F92955">
        <w:t xml:space="preserve"> to be </w:t>
      </w:r>
      <w:r>
        <w:t>the profit t</w:t>
      </w:r>
      <w:r w:rsidR="0070108C">
        <w:t>hat</w:t>
      </w:r>
      <w:r>
        <w:t xml:space="preserve"> would have </w:t>
      </w:r>
      <w:r w:rsidR="0070108C">
        <w:t xml:space="preserve">been </w:t>
      </w:r>
      <w:r>
        <w:t>reali</w:t>
      </w:r>
      <w:r w:rsidR="0083535F">
        <w:t>z</w:t>
      </w:r>
      <w:r>
        <w:t xml:space="preserve">ed from the sale of the </w:t>
      </w:r>
      <w:r w:rsidR="0027077B">
        <w:t>c</w:t>
      </w:r>
      <w:r>
        <w:t>hrome.</w:t>
      </w:r>
      <w:r w:rsidR="0083535F">
        <w:t xml:space="preserve"> </w:t>
      </w:r>
      <w:r w:rsidR="0084572E">
        <w:t>Nevertheless</w:t>
      </w:r>
      <w:r w:rsidR="0083535F">
        <w:t>, the plaintiff does not state for how long these illegal activities went on.</w:t>
      </w:r>
    </w:p>
    <w:p w14:paraId="748E9BE5" w14:textId="641D18E2" w:rsidR="00035A88" w:rsidRDefault="000154C6" w:rsidP="00E55A74">
      <w:pPr>
        <w:spacing w:line="360" w:lineRule="auto"/>
        <w:ind w:firstLine="720"/>
        <w:jc w:val="both"/>
      </w:pPr>
      <w:r>
        <w:t xml:space="preserve">When </w:t>
      </w:r>
      <w:r w:rsidR="00035A88">
        <w:t xml:space="preserve">the parties appeared before me </w:t>
      </w:r>
      <w:r w:rsidR="00821E2C">
        <w:t>at the</w:t>
      </w:r>
      <w:r w:rsidR="00035A88">
        <w:t xml:space="preserve"> commencement </w:t>
      </w:r>
      <w:r w:rsidR="00821E2C">
        <w:t xml:space="preserve">of </w:t>
      </w:r>
      <w:r w:rsidR="007C3C60">
        <w:t xml:space="preserve">the </w:t>
      </w:r>
      <w:r w:rsidR="00821E2C">
        <w:t xml:space="preserve">trial, </w:t>
      </w:r>
      <w:r w:rsidR="00035A88">
        <w:t>the plaintiff obtained a default judgment against the first defendant who was not present at the hearing</w:t>
      </w:r>
      <w:r w:rsidR="00821E2C">
        <w:t>.</w:t>
      </w:r>
      <w:r w:rsidR="00035A88">
        <w:t xml:space="preserve"> </w:t>
      </w:r>
      <w:r w:rsidR="00B16965">
        <w:t>I was satisfied from t</w:t>
      </w:r>
      <w:r w:rsidR="00821E2C">
        <w:t xml:space="preserve">he Sheriff’s return of service that service had been </w:t>
      </w:r>
      <w:r w:rsidR="00035A88">
        <w:t>proper</w:t>
      </w:r>
      <w:r w:rsidR="00755468">
        <w:t>ly</w:t>
      </w:r>
      <w:r w:rsidR="00821E2C">
        <w:t xml:space="preserve"> effected. </w:t>
      </w:r>
      <w:r w:rsidR="00E32EAC">
        <w:t xml:space="preserve">The second defendant then remained as the only defendant in the matter. </w:t>
      </w:r>
      <w:r w:rsidR="00035A88">
        <w:t xml:space="preserve">The </w:t>
      </w:r>
      <w:r w:rsidR="00DB3079">
        <w:t>p</w:t>
      </w:r>
      <w:r w:rsidR="00035A88">
        <w:t>laintiff relied on two witnesses</w:t>
      </w:r>
      <w:r w:rsidR="00B16965">
        <w:t>, namely,</w:t>
      </w:r>
      <w:r w:rsidR="00035A88">
        <w:t xml:space="preserve"> Misheck Mufari </w:t>
      </w:r>
      <w:r w:rsidR="0012469B">
        <w:t xml:space="preserve">(“Mufari”) </w:t>
      </w:r>
      <w:r w:rsidR="00035A88">
        <w:t>and Priscilla Chikowero</w:t>
      </w:r>
      <w:r w:rsidR="0012469B">
        <w:t xml:space="preserve"> (“Chikowero”)</w:t>
      </w:r>
      <w:r w:rsidR="00B16965">
        <w:t>, while</w:t>
      </w:r>
      <w:r w:rsidR="00035A88">
        <w:t xml:space="preserve"> the </w:t>
      </w:r>
      <w:r w:rsidR="00B16965">
        <w:t xml:space="preserve">second </w:t>
      </w:r>
      <w:r w:rsidR="00035A88">
        <w:lastRenderedPageBreak/>
        <w:t>defendant relied on one witness,</w:t>
      </w:r>
      <w:r w:rsidR="00B16965">
        <w:t xml:space="preserve"> </w:t>
      </w:r>
      <w:r w:rsidR="00035A88">
        <w:t>Daniel Mlalazi</w:t>
      </w:r>
      <w:r w:rsidR="0042264F">
        <w:t xml:space="preserve"> “Mlalazi”)</w:t>
      </w:r>
      <w:r w:rsidR="00B16965">
        <w:t>,</w:t>
      </w:r>
      <w:r w:rsidR="00035A88">
        <w:t xml:space="preserve"> to </w:t>
      </w:r>
      <w:r w:rsidR="00B16965">
        <w:t>testify on its behalf.</w:t>
      </w:r>
      <w:r w:rsidR="008F76B0">
        <w:t xml:space="preserve"> I will begin by examining the plaintiff’s case.</w:t>
      </w:r>
      <w:r w:rsidR="00B16965">
        <w:t xml:space="preserve"> </w:t>
      </w:r>
    </w:p>
    <w:p w14:paraId="5DFC2274" w14:textId="77777777" w:rsidR="00516607" w:rsidRPr="00516607" w:rsidRDefault="00516607" w:rsidP="00035A88">
      <w:pPr>
        <w:spacing w:line="360" w:lineRule="auto"/>
        <w:jc w:val="both"/>
        <w:rPr>
          <w:b/>
          <w:sz w:val="16"/>
          <w:szCs w:val="16"/>
        </w:rPr>
      </w:pPr>
    </w:p>
    <w:p w14:paraId="1DFF95FB" w14:textId="4E318D07" w:rsidR="00035A88" w:rsidRDefault="00E55A74" w:rsidP="00035A88">
      <w:pPr>
        <w:spacing w:line="360" w:lineRule="auto"/>
        <w:jc w:val="both"/>
        <w:rPr>
          <w:b/>
        </w:rPr>
      </w:pPr>
      <w:r>
        <w:rPr>
          <w:b/>
        </w:rPr>
        <w:t>The p</w:t>
      </w:r>
      <w:r w:rsidR="00035A88">
        <w:rPr>
          <w:b/>
        </w:rPr>
        <w:t>laintiff’s case</w:t>
      </w:r>
    </w:p>
    <w:p w14:paraId="71298656" w14:textId="0129970B" w:rsidR="00035A88" w:rsidRDefault="00450381" w:rsidP="00450381">
      <w:pPr>
        <w:spacing w:line="360" w:lineRule="auto"/>
        <w:ind w:firstLine="720"/>
        <w:jc w:val="both"/>
      </w:pPr>
      <w:r>
        <w:t>The p</w:t>
      </w:r>
      <w:r w:rsidR="00035A88">
        <w:t xml:space="preserve">laintiff opened </w:t>
      </w:r>
      <w:r>
        <w:t>its</w:t>
      </w:r>
      <w:r w:rsidR="00035A88">
        <w:t xml:space="preserve"> case by leading evidence from Mufari</w:t>
      </w:r>
      <w:r w:rsidR="00BA58AD">
        <w:t xml:space="preserve">, </w:t>
      </w:r>
      <w:r w:rsidR="00035A88">
        <w:t>who testified in his capacity as a registered and approved prospector with the Ministry of Mines and Mining Development</w:t>
      </w:r>
      <w:r w:rsidR="00E61AAD">
        <w:t xml:space="preserve"> (“the Ministry”)</w:t>
      </w:r>
      <w:r w:rsidR="00035A88">
        <w:t xml:space="preserve">. </w:t>
      </w:r>
      <w:r w:rsidR="00386A9A">
        <w:t xml:space="preserve"> </w:t>
      </w:r>
      <w:r w:rsidR="00035A88">
        <w:t xml:space="preserve">His evidence was that he had worked with the plaintiff since 2009 by registering </w:t>
      </w:r>
      <w:r w:rsidR="00F32E55">
        <w:t>its</w:t>
      </w:r>
      <w:r w:rsidR="00035A88">
        <w:t xml:space="preserve"> claim</w:t>
      </w:r>
      <w:r w:rsidR="00D00542">
        <w:t>s, namely, Msasa 122-127.</w:t>
      </w:r>
      <w:r w:rsidR="00035A88">
        <w:t xml:space="preserve"> </w:t>
      </w:r>
      <w:r w:rsidR="00386A9A">
        <w:t xml:space="preserve"> </w:t>
      </w:r>
      <w:r w:rsidR="00F32E55">
        <w:t>Further,</w:t>
      </w:r>
      <w:r w:rsidR="00035A88">
        <w:t xml:space="preserve"> </w:t>
      </w:r>
      <w:r w:rsidR="00F32E55">
        <w:t xml:space="preserve">he testified </w:t>
      </w:r>
      <w:r w:rsidR="00035A88">
        <w:t>that</w:t>
      </w:r>
      <w:r w:rsidR="00F32E55">
        <w:t xml:space="preserve"> </w:t>
      </w:r>
      <w:r w:rsidR="00035A88">
        <w:t xml:space="preserve">sometime </w:t>
      </w:r>
      <w:r w:rsidR="00F32E55">
        <w:t xml:space="preserve">in </w:t>
      </w:r>
      <w:r w:rsidR="00035A88">
        <w:t xml:space="preserve">2013 he discovered that the defendants were illegally mining from the plaintiff’s claims and took pictures of </w:t>
      </w:r>
      <w:r w:rsidR="001804F9">
        <w:t xml:space="preserve">a </w:t>
      </w:r>
      <w:r w:rsidR="00035A88">
        <w:t>stockpile of ore deposits and the washing plant</w:t>
      </w:r>
      <w:r w:rsidR="00F32E55">
        <w:t xml:space="preserve">. Those </w:t>
      </w:r>
      <w:r w:rsidR="00035A88">
        <w:t xml:space="preserve">pictures </w:t>
      </w:r>
      <w:r w:rsidR="00AC5CA7">
        <w:t>were</w:t>
      </w:r>
      <w:r w:rsidR="00B82CC9">
        <w:t xml:space="preserve"> tendered into evidence and</w:t>
      </w:r>
      <w:r w:rsidR="00035A88">
        <w:t xml:space="preserve"> marked as </w:t>
      </w:r>
      <w:r w:rsidR="001804F9">
        <w:t>Ex</w:t>
      </w:r>
      <w:r w:rsidR="00035A88">
        <w:t>hibit 1.</w:t>
      </w:r>
      <w:r w:rsidR="00A055E0">
        <w:t xml:space="preserve"> </w:t>
      </w:r>
      <w:r w:rsidR="00035A88">
        <w:t xml:space="preserve">The witness </w:t>
      </w:r>
      <w:r w:rsidR="00597DE8">
        <w:t>told the court that he</w:t>
      </w:r>
      <w:r w:rsidR="00035A88">
        <w:t xml:space="preserve"> informed the owner</w:t>
      </w:r>
      <w:r w:rsidR="00597DE8">
        <w:t>,</w:t>
      </w:r>
      <w:r w:rsidR="00035A88">
        <w:t xml:space="preserve"> </w:t>
      </w:r>
      <w:r w:rsidR="008F3D36">
        <w:t xml:space="preserve">Nikolaus </w:t>
      </w:r>
      <w:r w:rsidR="00035A88">
        <w:t>Kleuters</w:t>
      </w:r>
      <w:r w:rsidR="00670751">
        <w:t xml:space="preserve"> (“Kleuters”)</w:t>
      </w:r>
      <w:r w:rsidR="00597DE8">
        <w:t xml:space="preserve">. His </w:t>
      </w:r>
      <w:r w:rsidR="00B82CC9">
        <w:t>additional</w:t>
      </w:r>
      <w:r w:rsidR="00597DE8">
        <w:t xml:space="preserve"> testimony was that he</w:t>
      </w:r>
      <w:r w:rsidR="00035A88">
        <w:t xml:space="preserve"> was</w:t>
      </w:r>
      <w:r w:rsidR="00597DE8">
        <w:t xml:space="preserve"> </w:t>
      </w:r>
      <w:r w:rsidR="00035A88">
        <w:t>engaged to do a geological survey of the chrome ore</w:t>
      </w:r>
      <w:r w:rsidR="00B82CC9">
        <w:t xml:space="preserve">, and </w:t>
      </w:r>
      <w:r w:rsidR="00035A88">
        <w:t xml:space="preserve">he compiled a chromite estimation report. </w:t>
      </w:r>
      <w:r w:rsidR="00386A9A">
        <w:t xml:space="preserve"> </w:t>
      </w:r>
      <w:r w:rsidR="00613B9F">
        <w:t xml:space="preserve">It was also </w:t>
      </w:r>
      <w:r w:rsidR="00597DE8">
        <w:t>Mufari</w:t>
      </w:r>
      <w:r w:rsidR="00613B9F">
        <w:t>’s evidence</w:t>
      </w:r>
      <w:r w:rsidR="00597DE8">
        <w:t xml:space="preserve"> that</w:t>
      </w:r>
      <w:r w:rsidR="00035A88">
        <w:t xml:space="preserve"> the same claims were erroneously forfeited by the Ministry</w:t>
      </w:r>
      <w:r w:rsidR="00A70BAD">
        <w:t xml:space="preserve">, </w:t>
      </w:r>
      <w:r w:rsidR="00035A88">
        <w:t xml:space="preserve">which forfeiture was later reversed. </w:t>
      </w:r>
      <w:r w:rsidR="00594AB5">
        <w:t>Additionally, he</w:t>
      </w:r>
      <w:r w:rsidR="00035A88">
        <w:t xml:space="preserve"> </w:t>
      </w:r>
      <w:r w:rsidR="00A70BAD">
        <w:t>told</w:t>
      </w:r>
      <w:r w:rsidR="00035A88">
        <w:t xml:space="preserve"> the court that it was part of the Ministry’s report that the defendants had conducted mining activities on ground which was not open to prospecting and pegging. </w:t>
      </w:r>
      <w:r w:rsidR="00386A9A">
        <w:t xml:space="preserve"> </w:t>
      </w:r>
      <w:r w:rsidR="00035A88">
        <w:t>The witness further stated that even though the defendants had certificates in respect of the same claims</w:t>
      </w:r>
      <w:r w:rsidR="00E205DF">
        <w:t>,</w:t>
      </w:r>
      <w:r w:rsidR="00035A88">
        <w:t xml:space="preserve"> they were liable </w:t>
      </w:r>
      <w:r w:rsidR="00E205DF">
        <w:t xml:space="preserve">to pay the plaintiff the amount claimed </w:t>
      </w:r>
      <w:r w:rsidR="00035A88">
        <w:t xml:space="preserve">because the </w:t>
      </w:r>
      <w:r w:rsidR="00E205DF">
        <w:t>plaint</w:t>
      </w:r>
      <w:r w:rsidR="000C729D">
        <w:t>iff</w:t>
      </w:r>
      <w:r w:rsidR="00E205DF">
        <w:t xml:space="preserve">’s </w:t>
      </w:r>
      <w:r w:rsidR="00035A88">
        <w:t>claims predated their</w:t>
      </w:r>
      <w:r w:rsidR="00E205DF">
        <w:t>s.</w:t>
      </w:r>
    </w:p>
    <w:p w14:paraId="3AD05F41" w14:textId="77A2FDA5" w:rsidR="00D057B4" w:rsidRPr="00815A09" w:rsidRDefault="00035A88" w:rsidP="00035A88">
      <w:pPr>
        <w:spacing w:line="360" w:lineRule="auto"/>
        <w:jc w:val="both"/>
      </w:pPr>
      <w:r>
        <w:t xml:space="preserve"> </w:t>
      </w:r>
      <w:r w:rsidR="00BD5008">
        <w:tab/>
      </w:r>
      <w:r>
        <w:t xml:space="preserve">The </w:t>
      </w:r>
      <w:r w:rsidR="00862C32">
        <w:t xml:space="preserve">plaintiff’s </w:t>
      </w:r>
      <w:r>
        <w:t xml:space="preserve">second witness </w:t>
      </w:r>
      <w:r w:rsidR="00862C32">
        <w:t xml:space="preserve">was Chikowero, </w:t>
      </w:r>
      <w:r w:rsidR="005D0B20">
        <w:t xml:space="preserve">who </w:t>
      </w:r>
      <w:r>
        <w:t>gave evidence in her capacity as the operations manager of the plaintiff since 2011.  She stated that when she became aware of the illegal extraction of ore from their claims</w:t>
      </w:r>
      <w:r w:rsidR="005D0B20">
        <w:t>,</w:t>
      </w:r>
      <w:r>
        <w:t xml:space="preserve"> she alerted Kleuters who was n</w:t>
      </w:r>
      <w:r w:rsidR="00F8440C">
        <w:t>ot in the country</w:t>
      </w:r>
      <w:r>
        <w:t xml:space="preserve"> most of the times. </w:t>
      </w:r>
      <w:r w:rsidR="00816F1C">
        <w:t>The witness told the court</w:t>
      </w:r>
      <w:r>
        <w:t xml:space="preserve"> that she physically visited the site in the company of two other </w:t>
      </w:r>
      <w:proofErr w:type="gramStart"/>
      <w:r>
        <w:t>gentleman</w:t>
      </w:r>
      <w:proofErr w:type="gramEnd"/>
      <w:r>
        <w:t xml:space="preserve"> who eye witnessed the site</w:t>
      </w:r>
      <w:r w:rsidR="008739C0">
        <w:t>.</w:t>
      </w:r>
      <w:r>
        <w:t xml:space="preserve"> </w:t>
      </w:r>
      <w:r w:rsidR="008739C0">
        <w:t xml:space="preserve">Those two gentlemen </w:t>
      </w:r>
      <w:r>
        <w:t>were not brought</w:t>
      </w:r>
      <w:r w:rsidR="008739C0">
        <w:t xml:space="preserve"> to court</w:t>
      </w:r>
      <w:r>
        <w:t xml:space="preserve"> to testify </w:t>
      </w:r>
      <w:r w:rsidR="008739C0">
        <w:t xml:space="preserve">on what they saw, since </w:t>
      </w:r>
      <w:r>
        <w:t xml:space="preserve">one of them </w:t>
      </w:r>
      <w:r w:rsidR="008739C0">
        <w:t>is</w:t>
      </w:r>
      <w:r>
        <w:t xml:space="preserve"> </w:t>
      </w:r>
      <w:r w:rsidR="008739C0">
        <w:t>deceased</w:t>
      </w:r>
      <w:r>
        <w:t xml:space="preserve">. </w:t>
      </w:r>
      <w:r w:rsidR="00386A9A">
        <w:t xml:space="preserve"> </w:t>
      </w:r>
      <w:r>
        <w:t xml:space="preserve">She </w:t>
      </w:r>
      <w:r w:rsidR="00360A81">
        <w:t>continued with her testimony by stating</w:t>
      </w:r>
      <w:r>
        <w:t xml:space="preserve"> that the</w:t>
      </w:r>
      <w:r w:rsidR="00F74E56">
        <w:t xml:space="preserve"> </w:t>
      </w:r>
      <w:r>
        <w:t>parties began to engage each other through letters</w:t>
      </w:r>
      <w:r w:rsidR="00F74E56">
        <w:t xml:space="preserve">. </w:t>
      </w:r>
      <w:r w:rsidR="00386A9A">
        <w:t xml:space="preserve"> </w:t>
      </w:r>
      <w:r w:rsidR="00F74E56">
        <w:t>Chikowero said that</w:t>
      </w:r>
      <w:r>
        <w:t xml:space="preserve"> in one of </w:t>
      </w:r>
      <w:r w:rsidR="00F74E56">
        <w:t>the letters,</w:t>
      </w:r>
      <w:r>
        <w:t xml:space="preserve"> the defendant admitted that </w:t>
      </w:r>
      <w:r w:rsidR="00F74E56">
        <w:t xml:space="preserve">it </w:t>
      </w:r>
      <w:r>
        <w:t xml:space="preserve">had indeed conducted mining activities. </w:t>
      </w:r>
      <w:r w:rsidR="00F8440C">
        <w:t>This w</w:t>
      </w:r>
      <w:r>
        <w:t xml:space="preserve">itness also </w:t>
      </w:r>
      <w:r w:rsidR="00F8440C">
        <w:t>testified</w:t>
      </w:r>
      <w:r>
        <w:t xml:space="preserve"> that th</w:t>
      </w:r>
      <w:r w:rsidR="00F74E56">
        <w:t xml:space="preserve">e plaintiff </w:t>
      </w:r>
      <w:r>
        <w:t xml:space="preserve">made a complaint </w:t>
      </w:r>
      <w:r w:rsidR="00D057B4">
        <w:t>to</w:t>
      </w:r>
      <w:r>
        <w:t xml:space="preserve"> the </w:t>
      </w:r>
      <w:r w:rsidR="00D057B4">
        <w:t>M</w:t>
      </w:r>
      <w:r>
        <w:t>inistry</w:t>
      </w:r>
      <w:r w:rsidR="00754D68">
        <w:t>,</w:t>
      </w:r>
      <w:r>
        <w:t xml:space="preserve"> which compiled a report marked as </w:t>
      </w:r>
      <w:r w:rsidR="00D057B4">
        <w:t>E</w:t>
      </w:r>
      <w:r>
        <w:t xml:space="preserve">xhibit 4. </w:t>
      </w:r>
      <w:r w:rsidR="00C65954">
        <w:t xml:space="preserve">In addition, she </w:t>
      </w:r>
      <w:r>
        <w:t xml:space="preserve">stated that the report highlighted that defendant’s claims encroached </w:t>
      </w:r>
      <w:r w:rsidR="003A63B7">
        <w:t>o</w:t>
      </w:r>
      <w:r>
        <w:t>nto the plaintiff’s claim</w:t>
      </w:r>
      <w:r w:rsidR="003A63B7">
        <w:t>, and that such encroachment o</w:t>
      </w:r>
      <w:r w:rsidR="00B4190F">
        <w:t>c</w:t>
      </w:r>
      <w:r w:rsidR="003A63B7">
        <w:t>curred</w:t>
      </w:r>
      <w:r>
        <w:t xml:space="preserve"> after the forfeiture had been reversed. </w:t>
      </w:r>
      <w:r w:rsidR="00D057B4">
        <w:t>The p</w:t>
      </w:r>
      <w:r>
        <w:t xml:space="preserve">laintiff closed </w:t>
      </w:r>
      <w:r w:rsidR="00D057B4">
        <w:t>its</w:t>
      </w:r>
      <w:r>
        <w:t xml:space="preserve"> case </w:t>
      </w:r>
      <w:r w:rsidR="003571E8">
        <w:t>after</w:t>
      </w:r>
      <w:r>
        <w:t xml:space="preserve"> Chikowero</w:t>
      </w:r>
      <w:r w:rsidR="003571E8">
        <w:t xml:space="preserve"> had given evidence.</w:t>
      </w:r>
      <w:r w:rsidR="00082785">
        <w:t xml:space="preserve"> </w:t>
      </w:r>
      <w:r w:rsidR="00386A9A">
        <w:t xml:space="preserve"> </w:t>
      </w:r>
      <w:r w:rsidR="00BC1D7C">
        <w:t>As I said, t</w:t>
      </w:r>
      <w:r w:rsidR="00082785">
        <w:t>he plaintiff did not call the two gentlemen who</w:t>
      </w:r>
      <w:r w:rsidR="00462E9C">
        <w:t xml:space="preserve">, according to </w:t>
      </w:r>
      <w:r w:rsidR="00082785">
        <w:t>Chikowero</w:t>
      </w:r>
      <w:r w:rsidR="00462E9C">
        <w:t>,</w:t>
      </w:r>
      <w:r w:rsidR="00082785">
        <w:t xml:space="preserve"> had accompanied her to the site. </w:t>
      </w:r>
      <w:r w:rsidR="00386A9A">
        <w:t xml:space="preserve"> </w:t>
      </w:r>
      <w:r w:rsidR="00BC1D7C">
        <w:t xml:space="preserve">She said one </w:t>
      </w:r>
      <w:r w:rsidR="00BC1D7C">
        <w:lastRenderedPageBreak/>
        <w:t xml:space="preserve">of them had passed on, but </w:t>
      </w:r>
      <w:r w:rsidR="00AE4024">
        <w:t>she did not proffer a</w:t>
      </w:r>
      <w:r w:rsidR="00BC1D7C">
        <w:t xml:space="preserve"> reason </w:t>
      </w:r>
      <w:r w:rsidR="00AE4024">
        <w:t>(or reasons)</w:t>
      </w:r>
      <w:r w:rsidR="00BC1D7C">
        <w:t xml:space="preserve"> for the failure to call the remaining gentleman</w:t>
      </w:r>
      <w:r w:rsidR="007B7507">
        <w:t>, who is still alive</w:t>
      </w:r>
      <w:r w:rsidR="00BC1D7C">
        <w:t>.</w:t>
      </w:r>
      <w:r w:rsidR="00386A9A">
        <w:t xml:space="preserve"> </w:t>
      </w:r>
      <w:r w:rsidR="004A7483">
        <w:t xml:space="preserve"> I move on to examine at the case of the second defendant.</w:t>
      </w:r>
    </w:p>
    <w:p w14:paraId="6B41F432" w14:textId="77777777" w:rsidR="00825AE3" w:rsidRPr="00825AE3" w:rsidRDefault="00825AE3" w:rsidP="00035A88">
      <w:pPr>
        <w:spacing w:line="360" w:lineRule="auto"/>
        <w:jc w:val="both"/>
        <w:rPr>
          <w:b/>
          <w:sz w:val="16"/>
          <w:szCs w:val="16"/>
        </w:rPr>
      </w:pPr>
    </w:p>
    <w:p w14:paraId="4649B98A" w14:textId="045FD383" w:rsidR="00035A88" w:rsidRDefault="00D057B4" w:rsidP="00035A88">
      <w:pPr>
        <w:spacing w:line="360" w:lineRule="auto"/>
        <w:jc w:val="both"/>
        <w:rPr>
          <w:b/>
        </w:rPr>
      </w:pPr>
      <w:r>
        <w:rPr>
          <w:b/>
        </w:rPr>
        <w:t xml:space="preserve">The </w:t>
      </w:r>
      <w:r w:rsidR="00BC1D7C">
        <w:rPr>
          <w:b/>
        </w:rPr>
        <w:t>s</w:t>
      </w:r>
      <w:r>
        <w:rPr>
          <w:b/>
        </w:rPr>
        <w:t>econd</w:t>
      </w:r>
      <w:r w:rsidR="00035A88">
        <w:rPr>
          <w:b/>
        </w:rPr>
        <w:t xml:space="preserve"> </w:t>
      </w:r>
      <w:r w:rsidR="00BC1D7C">
        <w:rPr>
          <w:b/>
        </w:rPr>
        <w:t>d</w:t>
      </w:r>
      <w:r w:rsidR="00035A88">
        <w:rPr>
          <w:b/>
        </w:rPr>
        <w:t>efendant’s case</w:t>
      </w:r>
    </w:p>
    <w:p w14:paraId="155FB39C" w14:textId="7F555918" w:rsidR="00035A88" w:rsidRDefault="00815A09" w:rsidP="00BC1D7C">
      <w:pPr>
        <w:spacing w:line="360" w:lineRule="auto"/>
        <w:ind w:firstLine="720"/>
        <w:jc w:val="both"/>
      </w:pPr>
      <w:r>
        <w:t>I have already observed that t</w:t>
      </w:r>
      <w:r w:rsidR="00BC1D7C">
        <w:t>he second d</w:t>
      </w:r>
      <w:r w:rsidR="00035A88">
        <w:t xml:space="preserve">efendant </w:t>
      </w:r>
      <w:r>
        <w:t xml:space="preserve">relied on the </w:t>
      </w:r>
      <w:r w:rsidR="00035A88">
        <w:t xml:space="preserve">evidence </w:t>
      </w:r>
      <w:r>
        <w:t>of</w:t>
      </w:r>
      <w:r w:rsidR="00035A88">
        <w:t xml:space="preserve"> </w:t>
      </w:r>
      <w:r w:rsidR="00BC1D7C">
        <w:t>its</w:t>
      </w:r>
      <w:r w:rsidR="00035A88">
        <w:t xml:space="preserve"> only witness</w:t>
      </w:r>
      <w:r w:rsidR="00BC1D7C">
        <w:t>,</w:t>
      </w:r>
      <w:r w:rsidR="00035A88">
        <w:t xml:space="preserve"> Mlalazi</w:t>
      </w:r>
      <w:r w:rsidR="00BC1D7C">
        <w:t>, who</w:t>
      </w:r>
      <w:r w:rsidR="00035A88">
        <w:t xml:space="preserve"> testified in his capacity as the </w:t>
      </w:r>
      <w:r w:rsidR="00BC1D7C">
        <w:t>h</w:t>
      </w:r>
      <w:r w:rsidR="00035A88">
        <w:t xml:space="preserve">uman </w:t>
      </w:r>
      <w:r w:rsidR="00BC1D7C">
        <w:t>r</w:t>
      </w:r>
      <w:r w:rsidR="00035A88">
        <w:t xml:space="preserve">esource and operations manager of the </w:t>
      </w:r>
      <w:r w:rsidR="00BC1D7C">
        <w:t>second</w:t>
      </w:r>
      <w:r w:rsidR="00035A88">
        <w:t xml:space="preserve"> </w:t>
      </w:r>
      <w:r w:rsidR="00BC1D7C">
        <w:t>d</w:t>
      </w:r>
      <w:r w:rsidR="00035A88">
        <w:t xml:space="preserve">efendant. It was his testimony that their company was incorporated in 2006. </w:t>
      </w:r>
      <w:r w:rsidR="00386A9A">
        <w:t xml:space="preserve"> </w:t>
      </w:r>
      <w:r w:rsidR="0019584D">
        <w:t>He then told</w:t>
      </w:r>
      <w:r w:rsidR="00FB2733">
        <w:t xml:space="preserve"> </w:t>
      </w:r>
      <w:r w:rsidR="0019584D">
        <w:t>the court that</w:t>
      </w:r>
      <w:r w:rsidR="00FB2733">
        <w:t>,</w:t>
      </w:r>
      <w:r w:rsidR="00035A88">
        <w:t xml:space="preserve"> sometime in 2017</w:t>
      </w:r>
      <w:r w:rsidR="00CE147F">
        <w:t>,</w:t>
      </w:r>
      <w:r w:rsidR="00035A88">
        <w:t xml:space="preserve"> the </w:t>
      </w:r>
      <w:r w:rsidR="00CE147F">
        <w:t>second</w:t>
      </w:r>
      <w:r w:rsidR="00035A88">
        <w:t xml:space="preserve"> defendant entered into a mining agreement with the</w:t>
      </w:r>
      <w:r w:rsidR="00CE147F">
        <w:t xml:space="preserve"> first</w:t>
      </w:r>
      <w:r w:rsidR="00035A88">
        <w:t xml:space="preserve"> defendant</w:t>
      </w:r>
      <w:r w:rsidR="00FB2733">
        <w:t xml:space="preserve">. </w:t>
      </w:r>
      <w:r w:rsidR="00386A9A">
        <w:t xml:space="preserve"> </w:t>
      </w:r>
      <w:r w:rsidR="001539E0">
        <w:t>A</w:t>
      </w:r>
      <w:r w:rsidR="00FB2733">
        <w:t xml:space="preserve"> </w:t>
      </w:r>
      <w:r w:rsidR="00CE147F">
        <w:t>term of</w:t>
      </w:r>
      <w:r w:rsidR="00FB2733">
        <w:t xml:space="preserve"> that agreement was that the second defendant</w:t>
      </w:r>
      <w:r w:rsidR="00035A88">
        <w:t xml:space="preserve"> would mine alluvial chrome from its mining claims</w:t>
      </w:r>
      <w:r w:rsidR="00FB2733">
        <w:t>,</w:t>
      </w:r>
      <w:r w:rsidR="00035A88">
        <w:t xml:space="preserve"> whilst the f</w:t>
      </w:r>
      <w:r w:rsidR="00FB2733">
        <w:t>irst defendant</w:t>
      </w:r>
      <w:r w:rsidR="00035A88">
        <w:t xml:space="preserve"> would mine </w:t>
      </w:r>
      <w:r w:rsidR="00CE147F">
        <w:t>n</w:t>
      </w:r>
      <w:r w:rsidR="00035A88">
        <w:t>ickel. It was the</w:t>
      </w:r>
      <w:r w:rsidR="00FB2733">
        <w:t xml:space="preserve"> witness’ evidence</w:t>
      </w:r>
      <w:r w:rsidR="00035A88">
        <w:t xml:space="preserve"> that</w:t>
      </w:r>
      <w:r w:rsidR="00FB2733">
        <w:t>,</w:t>
      </w:r>
      <w:r w:rsidR="00035A88">
        <w:t xml:space="preserve"> given that the </w:t>
      </w:r>
      <w:r w:rsidR="00FB2733">
        <w:t>first</w:t>
      </w:r>
      <w:r w:rsidR="00035A88">
        <w:t xml:space="preserve"> defendant was authorized to mine at the </w:t>
      </w:r>
      <w:r w:rsidR="00FB2733">
        <w:t>site of the second</w:t>
      </w:r>
      <w:r w:rsidR="00035A88">
        <w:t xml:space="preserve"> defendant’s claims</w:t>
      </w:r>
      <w:r w:rsidR="001539E0">
        <w:t>,</w:t>
      </w:r>
      <w:r w:rsidR="00035A88">
        <w:t xml:space="preserve"> the </w:t>
      </w:r>
      <w:r w:rsidR="003F1CAF">
        <w:t>second d</w:t>
      </w:r>
      <w:r w:rsidR="00035A88">
        <w:t>efend</w:t>
      </w:r>
      <w:r w:rsidR="004E755A">
        <w:t xml:space="preserve">ant </w:t>
      </w:r>
      <w:r w:rsidR="00035A88">
        <w:t xml:space="preserve">cannot be liable for the damages </w:t>
      </w:r>
      <w:r w:rsidR="000F2A2A">
        <w:t xml:space="preserve">which were </w:t>
      </w:r>
      <w:r w:rsidR="00035A88">
        <w:t>being claimed by the plaintiff or alternatively the quantities.</w:t>
      </w:r>
    </w:p>
    <w:p w14:paraId="027CF697" w14:textId="77777777" w:rsidR="000A34CF" w:rsidRPr="00C16590" w:rsidRDefault="000A34CF" w:rsidP="00035A88">
      <w:pPr>
        <w:spacing w:line="360" w:lineRule="auto"/>
        <w:jc w:val="both"/>
        <w:rPr>
          <w:b/>
          <w:sz w:val="14"/>
          <w:szCs w:val="14"/>
        </w:rPr>
      </w:pPr>
    </w:p>
    <w:p w14:paraId="137A1E4C" w14:textId="23475462" w:rsidR="00035A88" w:rsidRDefault="00035A88" w:rsidP="00035A88">
      <w:pPr>
        <w:spacing w:line="360" w:lineRule="auto"/>
        <w:jc w:val="both"/>
        <w:rPr>
          <w:b/>
        </w:rPr>
      </w:pPr>
      <w:r>
        <w:rPr>
          <w:b/>
        </w:rPr>
        <w:t>Applicable law</w:t>
      </w:r>
    </w:p>
    <w:p w14:paraId="4EE90D0B" w14:textId="1447874E" w:rsidR="00035A88" w:rsidRDefault="00035A88" w:rsidP="000F4EDB">
      <w:pPr>
        <w:spacing w:line="360" w:lineRule="auto"/>
        <w:ind w:firstLine="720"/>
        <w:jc w:val="both"/>
      </w:pPr>
      <w:r>
        <w:t xml:space="preserve">This claim is steeped in </w:t>
      </w:r>
      <w:r w:rsidR="00CE147F">
        <w:t>the</w:t>
      </w:r>
      <w:r>
        <w:t xml:space="preserve"> law</w:t>
      </w:r>
      <w:r w:rsidR="00CE147F">
        <w:t xml:space="preserve"> of delict</w:t>
      </w:r>
      <w:r w:rsidR="00FD66C3">
        <w:t xml:space="preserve">. In other words, it is an </w:t>
      </w:r>
      <w:r w:rsidR="00FD66C3" w:rsidRPr="00424D7F">
        <w:rPr>
          <w:i/>
          <w:iCs/>
        </w:rPr>
        <w:t xml:space="preserve">Aquilian </w:t>
      </w:r>
      <w:r w:rsidR="00FD66C3">
        <w:t xml:space="preserve">action. </w:t>
      </w:r>
      <w:r w:rsidR="00424D7F" w:rsidRPr="005F15C1">
        <w:t xml:space="preserve">The </w:t>
      </w:r>
      <w:r w:rsidR="00424D7F" w:rsidRPr="005F15C1">
        <w:rPr>
          <w:i/>
        </w:rPr>
        <w:t>lex Aquilia</w:t>
      </w:r>
      <w:r w:rsidR="00424D7F" w:rsidRPr="005F15C1">
        <w:t xml:space="preserve"> or </w:t>
      </w:r>
      <w:r w:rsidR="00424D7F" w:rsidRPr="005F15C1">
        <w:rPr>
          <w:i/>
        </w:rPr>
        <w:t>Aquilian</w:t>
      </w:r>
      <w:r w:rsidR="00424D7F" w:rsidRPr="005F15C1">
        <w:t xml:space="preserve"> action </w:t>
      </w:r>
      <w:r w:rsidR="00424D7F" w:rsidRPr="005F15C1">
        <w:rPr>
          <w:shd w:val="clear" w:color="auto" w:fill="FFFFFF"/>
        </w:rPr>
        <w:t>is a general delictual </w:t>
      </w:r>
      <w:r w:rsidR="00424D7F" w:rsidRPr="005F15C1">
        <w:rPr>
          <w:bCs/>
          <w:shd w:val="clear" w:color="auto" w:fill="FFFFFF"/>
        </w:rPr>
        <w:t>action</w:t>
      </w:r>
      <w:r w:rsidR="00424D7F" w:rsidRPr="005F15C1">
        <w:rPr>
          <w:shd w:val="clear" w:color="auto" w:fill="FFFFFF"/>
        </w:rPr>
        <w:t xml:space="preserve"> used to claim </w:t>
      </w:r>
      <w:r w:rsidR="00424D7F">
        <w:rPr>
          <w:shd w:val="clear" w:color="auto" w:fill="FFFFFF"/>
        </w:rPr>
        <w:t xml:space="preserve">damages </w:t>
      </w:r>
      <w:r w:rsidR="00424D7F" w:rsidRPr="005F15C1">
        <w:rPr>
          <w:shd w:val="clear" w:color="auto" w:fill="FFFFFF"/>
        </w:rPr>
        <w:t xml:space="preserve">for patrimonial or financial loss. </w:t>
      </w:r>
      <w:r w:rsidR="00FD66C3">
        <w:t xml:space="preserve">Therefore, it </w:t>
      </w:r>
      <w:r>
        <w:t xml:space="preserve">is imperative </w:t>
      </w:r>
      <w:r w:rsidR="00FD66C3">
        <w:t>for me to examine</w:t>
      </w:r>
      <w:r>
        <w:t xml:space="preserve"> the law</w:t>
      </w:r>
      <w:r w:rsidR="00FD66C3">
        <w:t xml:space="preserve"> relating to</w:t>
      </w:r>
      <w:r>
        <w:t xml:space="preserve"> Acqu</w:t>
      </w:r>
      <w:r w:rsidR="005074FA">
        <w:t>i</w:t>
      </w:r>
      <w:r>
        <w:t xml:space="preserve">lian </w:t>
      </w:r>
      <w:r w:rsidR="000F4EDB">
        <w:t>action</w:t>
      </w:r>
      <w:r>
        <w:t>.</w:t>
      </w:r>
      <w:r w:rsidR="00D11E97">
        <w:t xml:space="preserve"> </w:t>
      </w:r>
      <w:r>
        <w:t xml:space="preserve">In </w:t>
      </w:r>
      <w:r w:rsidR="00D11E97">
        <w:t xml:space="preserve">this </w:t>
      </w:r>
      <w:r w:rsidR="00095579">
        <w:t>j</w:t>
      </w:r>
      <w:r>
        <w:t xml:space="preserve">urisdiction the position of the </w:t>
      </w:r>
      <w:r w:rsidR="00D11E97" w:rsidRPr="00D11E97">
        <w:rPr>
          <w:i/>
          <w:iCs/>
        </w:rPr>
        <w:t>lex a</w:t>
      </w:r>
      <w:r w:rsidR="00D11E97">
        <w:rPr>
          <w:i/>
          <w:iCs/>
        </w:rPr>
        <w:t>q</w:t>
      </w:r>
      <w:r w:rsidR="00D11E97" w:rsidRPr="00D11E97">
        <w:rPr>
          <w:i/>
          <w:iCs/>
        </w:rPr>
        <w:t>uilia</w:t>
      </w:r>
      <w:r>
        <w:t xml:space="preserve"> is set</w:t>
      </w:r>
      <w:r w:rsidR="00BC1D7C">
        <w:t>tled.</w:t>
      </w:r>
      <w:r w:rsidR="00BF574A">
        <w:t xml:space="preserve"> </w:t>
      </w:r>
      <w:r w:rsidR="009E65ED">
        <w:t>The first observation that I make is that, i</w:t>
      </w:r>
      <w:r w:rsidR="00D54AE4">
        <w:t xml:space="preserve">t is trite that upon appropriate proof thereof, damages suffered by a party must be borne by the wrongdoer. </w:t>
      </w:r>
      <w:r w:rsidR="00BF574A">
        <w:t>In this respect, f</w:t>
      </w:r>
      <w:r>
        <w:t>or one to succeed in a claim of this nature</w:t>
      </w:r>
      <w:r w:rsidR="00BF574A">
        <w:t>, such a party</w:t>
      </w:r>
      <w:r>
        <w:t xml:space="preserve"> must show the following</w:t>
      </w:r>
      <w:r w:rsidR="000F4EDB">
        <w:t>:</w:t>
      </w:r>
    </w:p>
    <w:p w14:paraId="29CAE786" w14:textId="77777777" w:rsidR="000F4EDB" w:rsidRPr="00C16590" w:rsidRDefault="000F4EDB" w:rsidP="00FD66C3">
      <w:pPr>
        <w:spacing w:line="360" w:lineRule="auto"/>
        <w:ind w:firstLine="360"/>
        <w:jc w:val="both"/>
        <w:rPr>
          <w:sz w:val="10"/>
          <w:szCs w:val="10"/>
        </w:rPr>
      </w:pPr>
    </w:p>
    <w:p w14:paraId="5DA64B1E" w14:textId="222C9816" w:rsidR="00035A88" w:rsidRDefault="00035A88" w:rsidP="000C1B38">
      <w:pPr>
        <w:pStyle w:val="ListParagraph"/>
        <w:numPr>
          <w:ilvl w:val="0"/>
          <w:numId w:val="18"/>
        </w:numPr>
        <w:spacing w:line="360" w:lineRule="auto"/>
        <w:jc w:val="both"/>
      </w:pPr>
      <w:r>
        <w:t>The defendant committed a wrongful act</w:t>
      </w:r>
      <w:r w:rsidR="006D5817">
        <w:t>;</w:t>
      </w:r>
    </w:p>
    <w:p w14:paraId="4F9C9BDC" w14:textId="7E7029CC" w:rsidR="00035A88" w:rsidRDefault="00035A88" w:rsidP="00035A88">
      <w:pPr>
        <w:numPr>
          <w:ilvl w:val="0"/>
          <w:numId w:val="18"/>
        </w:numPr>
        <w:spacing w:line="360" w:lineRule="auto"/>
        <w:jc w:val="both"/>
      </w:pPr>
      <w:r>
        <w:t>There must be some quantifiable financial loss stemming from the defendant’s conduct</w:t>
      </w:r>
      <w:r w:rsidR="006D5817">
        <w:t>;</w:t>
      </w:r>
    </w:p>
    <w:p w14:paraId="709A1F44" w14:textId="5581AB63" w:rsidR="00F664B4" w:rsidRPr="001F46B2" w:rsidRDefault="00035A88" w:rsidP="006E46AA">
      <w:pPr>
        <w:numPr>
          <w:ilvl w:val="0"/>
          <w:numId w:val="18"/>
        </w:numPr>
        <w:spacing w:after="240" w:line="256" w:lineRule="auto"/>
      </w:pPr>
      <w:r>
        <w:t xml:space="preserve">There </w:t>
      </w:r>
      <w:r w:rsidR="006D5817">
        <w:t xml:space="preserve">should </w:t>
      </w:r>
      <w:r>
        <w:t>be a causal link between defendant’s conduct and the</w:t>
      </w:r>
      <w:r w:rsidR="006D5817">
        <w:t xml:space="preserve"> ensuing</w:t>
      </w:r>
      <w:r>
        <w:t xml:space="preserve"> loss</w:t>
      </w:r>
      <w:r w:rsidR="006D5817">
        <w:t>;</w:t>
      </w:r>
    </w:p>
    <w:p w14:paraId="7A4D3C6A" w14:textId="77777777" w:rsidR="00A50CE5" w:rsidRPr="00C16590" w:rsidRDefault="00A50CE5" w:rsidP="00A50CE5">
      <w:pPr>
        <w:spacing w:line="256" w:lineRule="auto"/>
        <w:rPr>
          <w:sz w:val="6"/>
          <w:szCs w:val="6"/>
        </w:rPr>
      </w:pPr>
    </w:p>
    <w:p w14:paraId="357096DD" w14:textId="7CC8546D" w:rsidR="00A50CE5" w:rsidRDefault="00A50CE5" w:rsidP="00386A9A">
      <w:pPr>
        <w:spacing w:after="120" w:line="360" w:lineRule="auto"/>
        <w:ind w:firstLine="360"/>
        <w:jc w:val="both"/>
      </w:pPr>
      <w:r>
        <w:t xml:space="preserve">In the South African case of </w:t>
      </w:r>
      <w:r w:rsidRPr="00A50CE5">
        <w:rPr>
          <w:i/>
          <w:iCs/>
        </w:rPr>
        <w:t xml:space="preserve">Minister of Police </w:t>
      </w:r>
      <w:r w:rsidRPr="00386A9A">
        <w:rPr>
          <w:iCs/>
        </w:rPr>
        <w:t>v</w:t>
      </w:r>
      <w:r w:rsidRPr="00A50CE5">
        <w:rPr>
          <w:i/>
          <w:iCs/>
        </w:rPr>
        <w:t xml:space="preserve"> Skosana </w:t>
      </w:r>
      <w:r>
        <w:t xml:space="preserve">1977 (1) SA 31 (A), </w:t>
      </w:r>
      <w:r w:rsidR="00386A9A" w:rsidRPr="00386A9A">
        <w:rPr>
          <w:smallCaps/>
        </w:rPr>
        <w:t>corbett</w:t>
      </w:r>
      <w:r w:rsidR="00386A9A">
        <w:t xml:space="preserve"> </w:t>
      </w:r>
      <w:r>
        <w:t>JA expressed the law as follows:</w:t>
      </w:r>
    </w:p>
    <w:p w14:paraId="0DB7F2BA" w14:textId="63A5D921" w:rsidR="00A50CE5" w:rsidRPr="00823952" w:rsidRDefault="0008730E" w:rsidP="00C16590">
      <w:pPr>
        <w:spacing w:after="360" w:line="256" w:lineRule="auto"/>
        <w:ind w:left="720"/>
        <w:jc w:val="both"/>
        <w:rPr>
          <w:sz w:val="22"/>
          <w:szCs w:val="22"/>
        </w:rPr>
      </w:pPr>
      <w:r w:rsidRPr="00823952">
        <w:rPr>
          <w:sz w:val="22"/>
          <w:szCs w:val="22"/>
        </w:rPr>
        <w:t>“Causation in the law of delict gives rise to two rather distinct problems. The first is a factual one and relates to the question as to whether the negligent act or omission in question caused or materially contributed to</w:t>
      </w:r>
      <w:r w:rsidR="003B69C1" w:rsidRPr="00823952">
        <w:rPr>
          <w:sz w:val="22"/>
          <w:szCs w:val="22"/>
        </w:rPr>
        <w:t xml:space="preserve"> … </w:t>
      </w:r>
      <w:r w:rsidRPr="00823952">
        <w:rPr>
          <w:sz w:val="22"/>
          <w:szCs w:val="22"/>
        </w:rPr>
        <w:t xml:space="preserve">the harm giving rise to the claim. If it did not, then no legal liability can arise and </w:t>
      </w:r>
      <w:r w:rsidRPr="00823952">
        <w:rPr>
          <w:i/>
          <w:sz w:val="22"/>
          <w:szCs w:val="22"/>
        </w:rPr>
        <w:t>cadit quaestio</w:t>
      </w:r>
      <w:r w:rsidRPr="00823952">
        <w:rPr>
          <w:sz w:val="22"/>
          <w:szCs w:val="22"/>
        </w:rPr>
        <w:t xml:space="preserve">. </w:t>
      </w:r>
      <w:r w:rsidR="00386A9A">
        <w:rPr>
          <w:sz w:val="22"/>
          <w:szCs w:val="22"/>
        </w:rPr>
        <w:t xml:space="preserve"> </w:t>
      </w:r>
      <w:r w:rsidRPr="00823952">
        <w:rPr>
          <w:sz w:val="22"/>
          <w:szCs w:val="22"/>
        </w:rPr>
        <w:t xml:space="preserve">If it did, then the second problem becomes relevant, viz. whether the </w:t>
      </w:r>
      <w:r w:rsidRPr="00823952">
        <w:rPr>
          <w:sz w:val="22"/>
          <w:szCs w:val="22"/>
        </w:rPr>
        <w:lastRenderedPageBreak/>
        <w:t>negligent act or omission is linked to the harm sufficiently closely or directly for legal liability to ensue, or whether, as it is said, the harm is too remote</w:t>
      </w:r>
      <w:r w:rsidR="003B69C1" w:rsidRPr="00823952">
        <w:rPr>
          <w:sz w:val="22"/>
          <w:szCs w:val="22"/>
        </w:rPr>
        <w:t>”</w:t>
      </w:r>
      <w:r w:rsidRPr="00823952">
        <w:rPr>
          <w:sz w:val="22"/>
          <w:szCs w:val="22"/>
        </w:rPr>
        <w:t>.</w:t>
      </w:r>
    </w:p>
    <w:p w14:paraId="638B6D83" w14:textId="694E96E1" w:rsidR="00A50CE5" w:rsidRDefault="00C16590" w:rsidP="00386A9A">
      <w:pPr>
        <w:spacing w:after="160" w:line="360" w:lineRule="auto"/>
        <w:ind w:firstLine="720"/>
      </w:pPr>
      <w:r>
        <w:t xml:space="preserve">This approach was </w:t>
      </w:r>
      <w:r w:rsidR="003203EA">
        <w:t>endorsed</w:t>
      </w:r>
      <w:r>
        <w:t xml:space="preserve"> by the Supreme Court in </w:t>
      </w:r>
      <w:r w:rsidRPr="00324A32">
        <w:rPr>
          <w:i/>
          <w:iCs/>
        </w:rPr>
        <w:t xml:space="preserve">Mapingure </w:t>
      </w:r>
      <w:r w:rsidRPr="00386A9A">
        <w:rPr>
          <w:iCs/>
        </w:rPr>
        <w:t xml:space="preserve">v </w:t>
      </w:r>
      <w:r w:rsidRPr="00324A32">
        <w:rPr>
          <w:i/>
          <w:iCs/>
        </w:rPr>
        <w:t>Minister of Home Affairs &amp; Ors</w:t>
      </w:r>
      <w:r>
        <w:t xml:space="preserve"> SC 22-14 </w:t>
      </w:r>
      <w:r w:rsidR="00324A32">
        <w:t xml:space="preserve">(per </w:t>
      </w:r>
      <w:r w:rsidR="00386A9A" w:rsidRPr="00386A9A">
        <w:rPr>
          <w:smallCaps/>
        </w:rPr>
        <w:t>patel</w:t>
      </w:r>
      <w:r w:rsidR="00386A9A">
        <w:t xml:space="preserve"> </w:t>
      </w:r>
      <w:r w:rsidR="00324A32">
        <w:t>JA).</w:t>
      </w:r>
      <w:r w:rsidR="003203EA">
        <w:t xml:space="preserve"> </w:t>
      </w:r>
      <w:r w:rsidR="00386A9A">
        <w:t xml:space="preserve"> </w:t>
      </w:r>
      <w:r w:rsidR="003203EA">
        <w:t>It is self-commending.</w:t>
      </w:r>
    </w:p>
    <w:p w14:paraId="0BF1F942" w14:textId="7FDA741B" w:rsidR="00035A88" w:rsidRDefault="00035A88" w:rsidP="00F664B4">
      <w:pPr>
        <w:spacing w:after="160" w:line="256" w:lineRule="auto"/>
        <w:ind w:left="720"/>
      </w:pPr>
      <w:r>
        <w:t>See</w:t>
      </w:r>
      <w:r w:rsidR="00582A84">
        <w:t xml:space="preserve"> also</w:t>
      </w:r>
      <w:r>
        <w:t xml:space="preserve"> </w:t>
      </w:r>
      <w:r>
        <w:rPr>
          <w:i/>
          <w:iCs/>
        </w:rPr>
        <w:t>Nyaguse </w:t>
      </w:r>
      <w:r w:rsidRPr="00386A9A">
        <w:rPr>
          <w:iCs/>
        </w:rPr>
        <w:t>v</w:t>
      </w:r>
      <w:r>
        <w:rPr>
          <w:i/>
          <w:iCs/>
        </w:rPr>
        <w:t xml:space="preserve"> Skinners Auto Body Specialists &amp; Anor </w:t>
      </w:r>
      <w:r>
        <w:t>2007 (1) ZLR 296 (H)</w:t>
      </w:r>
      <w:r w:rsidR="004B0357">
        <w:t xml:space="preserve">; </w:t>
      </w:r>
      <w:r>
        <w:rPr>
          <w:i/>
          <w:iCs/>
        </w:rPr>
        <w:t xml:space="preserve">Rinenote Printers (Pvt) Ltd </w:t>
      </w:r>
      <w:r w:rsidRPr="00386A9A">
        <w:rPr>
          <w:iCs/>
        </w:rPr>
        <w:t>v</w:t>
      </w:r>
      <w:r>
        <w:rPr>
          <w:i/>
          <w:iCs/>
        </w:rPr>
        <w:t xml:space="preserve"> A Adam &amp; Co (Pvt) Ltd</w:t>
      </w:r>
      <w:r w:rsidR="004B0357">
        <w:t xml:space="preserve"> </w:t>
      </w:r>
      <w:r>
        <w:t>2014 (2) ZLR 314 (H).</w:t>
      </w:r>
    </w:p>
    <w:p w14:paraId="35794A46" w14:textId="77777777" w:rsidR="00F664B4" w:rsidRPr="00346546" w:rsidRDefault="00F664B4" w:rsidP="00996F4B">
      <w:pPr>
        <w:spacing w:line="360" w:lineRule="auto"/>
        <w:jc w:val="both"/>
        <w:rPr>
          <w:sz w:val="10"/>
          <w:szCs w:val="10"/>
        </w:rPr>
      </w:pPr>
    </w:p>
    <w:p w14:paraId="1560BFDC" w14:textId="5A21BC50" w:rsidR="004B0357" w:rsidRPr="004B0357" w:rsidRDefault="004B0357" w:rsidP="00996F4B">
      <w:pPr>
        <w:spacing w:line="360" w:lineRule="auto"/>
        <w:jc w:val="both"/>
        <w:rPr>
          <w:b/>
          <w:bCs/>
        </w:rPr>
      </w:pPr>
      <w:r w:rsidRPr="004B0357">
        <w:rPr>
          <w:b/>
          <w:bCs/>
        </w:rPr>
        <w:t>Analysis of the case</w:t>
      </w:r>
    </w:p>
    <w:p w14:paraId="5CF41571" w14:textId="096D956E" w:rsidR="00035A88" w:rsidRDefault="00035A88" w:rsidP="00346546">
      <w:pPr>
        <w:spacing w:line="360" w:lineRule="auto"/>
        <w:ind w:firstLine="720"/>
        <w:jc w:val="both"/>
      </w:pPr>
      <w:r>
        <w:t xml:space="preserve">I will now proceed to analyse the evidence led before me and see if the requirements set out by the law have been met. The first requirement is to ascertain whether </w:t>
      </w:r>
      <w:r w:rsidR="003203EA">
        <w:t xml:space="preserve">or not </w:t>
      </w:r>
      <w:r>
        <w:t>there has been a wrongful act by the defendant</w:t>
      </w:r>
      <w:r w:rsidR="00D8164A">
        <w:t>s</w:t>
      </w:r>
      <w:r>
        <w:t xml:space="preserve">. </w:t>
      </w:r>
      <w:r w:rsidR="00386A9A">
        <w:t xml:space="preserve"> </w:t>
      </w:r>
      <w:r>
        <w:t xml:space="preserve">The </w:t>
      </w:r>
      <w:r w:rsidR="00D8164A">
        <w:t>p</w:t>
      </w:r>
      <w:r>
        <w:t xml:space="preserve">laintiff alleges that the </w:t>
      </w:r>
      <w:r w:rsidR="0094454B">
        <w:t>second</w:t>
      </w:r>
      <w:r>
        <w:t xml:space="preserve"> defendant illegally mined on </w:t>
      </w:r>
      <w:r w:rsidR="0031581B">
        <w:t xml:space="preserve">its </w:t>
      </w:r>
      <w:r>
        <w:t>claim</w:t>
      </w:r>
      <w:r w:rsidR="000D3F12">
        <w:t xml:space="preserve">s, Msasa 122 to 127, and </w:t>
      </w:r>
      <w:r>
        <w:t xml:space="preserve">produced certificates </w:t>
      </w:r>
      <w:r w:rsidR="000915FF">
        <w:t>which</w:t>
      </w:r>
      <w:r>
        <w:t xml:space="preserve"> show that </w:t>
      </w:r>
      <w:r w:rsidR="00340B76">
        <w:t>it</w:t>
      </w:r>
      <w:r>
        <w:t xml:space="preserve"> own</w:t>
      </w:r>
      <w:r w:rsidR="00340B76">
        <w:t xml:space="preserve">s those </w:t>
      </w:r>
      <w:r>
        <w:t>claims.</w:t>
      </w:r>
      <w:r w:rsidR="00386A9A">
        <w:t xml:space="preserve"> </w:t>
      </w:r>
      <w:r>
        <w:t xml:space="preserve"> </w:t>
      </w:r>
      <w:r w:rsidR="00554A87">
        <w:t xml:space="preserve">In addition, </w:t>
      </w:r>
      <w:r w:rsidR="007A3129">
        <w:t>the plaintiff</w:t>
      </w:r>
      <w:r>
        <w:t xml:space="preserve"> stated that the defendants started illegally mining at their claims at a period unknown to them. </w:t>
      </w:r>
      <w:r w:rsidR="00386A9A">
        <w:t xml:space="preserve"> </w:t>
      </w:r>
      <w:r w:rsidR="00CA3017">
        <w:t>T</w:t>
      </w:r>
      <w:r>
        <w:t xml:space="preserve">he </w:t>
      </w:r>
      <w:r w:rsidR="003D0F32">
        <w:t xml:space="preserve">plaintiff’s </w:t>
      </w:r>
      <w:r w:rsidR="00CA3017">
        <w:t xml:space="preserve">witness </w:t>
      </w:r>
      <w:r w:rsidR="003D0F32">
        <w:t xml:space="preserve">also </w:t>
      </w:r>
      <w:r w:rsidR="00CA3017">
        <w:t>gave</w:t>
      </w:r>
      <w:r>
        <w:t xml:space="preserve"> evidence that they became aware of the illegal mining in 2013. To prove this</w:t>
      </w:r>
      <w:r w:rsidR="003D0F32">
        <w:t>,</w:t>
      </w:r>
      <w:r>
        <w:t xml:space="preserve"> the</w:t>
      </w:r>
      <w:r w:rsidR="003D0F32">
        <w:t xml:space="preserve"> plaintiff </w:t>
      </w:r>
      <w:r>
        <w:t xml:space="preserve">produced pictures which </w:t>
      </w:r>
      <w:r w:rsidR="00763E09">
        <w:t>it said were</w:t>
      </w:r>
      <w:r>
        <w:t xml:space="preserve"> t</w:t>
      </w:r>
      <w:r w:rsidR="00763E09">
        <w:t>aken</w:t>
      </w:r>
      <w:r>
        <w:t xml:space="preserve"> during this time. </w:t>
      </w:r>
      <w:r w:rsidR="000E56BB">
        <w:t xml:space="preserve">I note that, despite saying that illegal mining started as </w:t>
      </w:r>
      <w:r w:rsidR="000C729D">
        <w:t xml:space="preserve">far </w:t>
      </w:r>
      <w:r w:rsidR="000E56BB">
        <w:t>back as 2013,</w:t>
      </w:r>
      <w:r>
        <w:t xml:space="preserve"> </w:t>
      </w:r>
      <w:r w:rsidR="007B7274">
        <w:t xml:space="preserve">the plaintiff only took </w:t>
      </w:r>
      <w:r>
        <w:t>action to address this</w:t>
      </w:r>
      <w:r w:rsidR="000E56BB">
        <w:t xml:space="preserve"> </w:t>
      </w:r>
      <w:r w:rsidR="007B7274">
        <w:t xml:space="preserve">in </w:t>
      </w:r>
      <w:r>
        <w:t xml:space="preserve">2019 when a report </w:t>
      </w:r>
      <w:r w:rsidR="007B7274">
        <w:t>w</w:t>
      </w:r>
      <w:r w:rsidR="000E56BB">
        <w:t xml:space="preserve">as made </w:t>
      </w:r>
      <w:r>
        <w:t xml:space="preserve">to the </w:t>
      </w:r>
      <w:r w:rsidR="00ED5F19">
        <w:t>M</w:t>
      </w:r>
      <w:r>
        <w:t xml:space="preserve">inistry. </w:t>
      </w:r>
      <w:r w:rsidR="00386A9A">
        <w:t xml:space="preserve"> </w:t>
      </w:r>
      <w:r>
        <w:t>I</w:t>
      </w:r>
      <w:r w:rsidR="005E2187">
        <w:t>t seems to me that, g</w:t>
      </w:r>
      <w:r>
        <w:t>iven the value</w:t>
      </w:r>
      <w:r w:rsidR="005B6F3B">
        <w:t xml:space="preserve"> placed by</w:t>
      </w:r>
      <w:r>
        <w:t xml:space="preserve"> the</w:t>
      </w:r>
      <w:r w:rsidR="005E2187">
        <w:t xml:space="preserve"> plaintiff</w:t>
      </w:r>
      <w:r>
        <w:t xml:space="preserve"> on the</w:t>
      </w:r>
      <w:r w:rsidR="005B6F3B">
        <w:t xml:space="preserve"> loss arising from the illegal mining</w:t>
      </w:r>
      <w:r w:rsidR="005E2187">
        <w:t>, it is inconceivable that no</w:t>
      </w:r>
      <w:r>
        <w:t xml:space="preserve"> </w:t>
      </w:r>
      <w:r w:rsidR="005E2187">
        <w:t>action was taken as soon as plaintiff</w:t>
      </w:r>
      <w:r>
        <w:t xml:space="preserve"> became aware of th</w:t>
      </w:r>
      <w:r w:rsidR="005E2187">
        <w:t>e</w:t>
      </w:r>
      <w:r>
        <w:t xml:space="preserve"> illegal mining activities. </w:t>
      </w:r>
    </w:p>
    <w:p w14:paraId="1AE7804C" w14:textId="378DB9A3" w:rsidR="00035A88" w:rsidRDefault="00386A9A" w:rsidP="004A759F">
      <w:pPr>
        <w:spacing w:line="360" w:lineRule="auto"/>
        <w:ind w:firstLine="360"/>
        <w:jc w:val="both"/>
      </w:pPr>
      <w:r>
        <w:t xml:space="preserve">  </w:t>
      </w:r>
      <w:r w:rsidR="00035A88">
        <w:t xml:space="preserve">The </w:t>
      </w:r>
      <w:r w:rsidR="003D013C">
        <w:t xml:space="preserve">second </w:t>
      </w:r>
      <w:r w:rsidR="00035A88">
        <w:t xml:space="preserve">defendant also </w:t>
      </w:r>
      <w:r w:rsidR="003D013C">
        <w:t>gave</w:t>
      </w:r>
      <w:r w:rsidR="00035A88">
        <w:t xml:space="preserve"> evidence that</w:t>
      </w:r>
      <w:r w:rsidR="003D013C">
        <w:t>,</w:t>
      </w:r>
      <w:r w:rsidR="00035A88">
        <w:t xml:space="preserve"> at some point</w:t>
      </w:r>
      <w:r w:rsidR="003D013C">
        <w:t>,</w:t>
      </w:r>
      <w:r w:rsidR="00035A88">
        <w:t xml:space="preserve"> the </w:t>
      </w:r>
      <w:r w:rsidR="003D013C">
        <w:t xml:space="preserve">plaintiff and second </w:t>
      </w:r>
      <w:r w:rsidR="00035A88">
        <w:t>defendant entered into an agreement in which the</w:t>
      </w:r>
      <w:r w:rsidR="003D013C">
        <w:t xml:space="preserve"> second </w:t>
      </w:r>
      <w:r w:rsidR="00035A88">
        <w:t>defendant was authori</w:t>
      </w:r>
      <w:r w:rsidR="00967ACD">
        <w:t>z</w:t>
      </w:r>
      <w:r w:rsidR="00035A88">
        <w:t xml:space="preserve">ed to mine alluvial chrome from the </w:t>
      </w:r>
      <w:r w:rsidR="003D013C">
        <w:t>p</w:t>
      </w:r>
      <w:r w:rsidR="00035A88">
        <w:t xml:space="preserve">laintiff’s claims. </w:t>
      </w:r>
      <w:r>
        <w:t xml:space="preserve"> </w:t>
      </w:r>
      <w:r w:rsidR="00035A88">
        <w:t>The</w:t>
      </w:r>
      <w:r w:rsidR="00ED5F19">
        <w:t xml:space="preserve"> second defendant’s witness (Mlalazi) further testified</w:t>
      </w:r>
      <w:r w:rsidR="00035A88">
        <w:t xml:space="preserve"> that</w:t>
      </w:r>
      <w:r w:rsidR="00ED5F19">
        <w:t>,</w:t>
      </w:r>
      <w:r w:rsidR="00035A88">
        <w:t xml:space="preserve"> sometime in 2016</w:t>
      </w:r>
      <w:r w:rsidR="00ED5F19">
        <w:t>,</w:t>
      </w:r>
      <w:r w:rsidR="00035A88">
        <w:t xml:space="preserve"> the same claims belonging to the plaintiff were wrongfully forfeited by the Ministry which forfeiture was later reversed. </w:t>
      </w:r>
      <w:r>
        <w:t xml:space="preserve"> </w:t>
      </w:r>
      <w:r w:rsidR="00035A88">
        <w:t>This raises more questions than answers</w:t>
      </w:r>
      <w:r w:rsidR="00064198">
        <w:t>.</w:t>
      </w:r>
      <w:r w:rsidR="00035A88">
        <w:t xml:space="preserve"> </w:t>
      </w:r>
      <w:r>
        <w:t xml:space="preserve"> </w:t>
      </w:r>
      <w:r w:rsidR="00064198">
        <w:t>I say this because</w:t>
      </w:r>
      <w:r w:rsidR="00202A7F">
        <w:t xml:space="preserve"> the period that the second defendant carried out mining activities on the claims is critical to the plaintiff’s cause of action. In other words, the question that requires an answer is whether mining was done during the time of forfeiture of the claims or outside that period. In my view, </w:t>
      </w:r>
      <w:r w:rsidR="00035A88">
        <w:t xml:space="preserve">it was </w:t>
      </w:r>
      <w:r w:rsidR="00064198">
        <w:t xml:space="preserve">incumbent upon </w:t>
      </w:r>
      <w:r w:rsidR="00035A88">
        <w:t>the plaintiff to</w:t>
      </w:r>
      <w:r w:rsidR="00064198">
        <w:t xml:space="preserve"> </w:t>
      </w:r>
      <w:r w:rsidR="00035A88">
        <w:t>prove that</w:t>
      </w:r>
      <w:r w:rsidR="00064198">
        <w:t xml:space="preserve">, </w:t>
      </w:r>
      <w:r w:rsidR="00035A88">
        <w:t>indeed</w:t>
      </w:r>
      <w:r w:rsidR="00064198">
        <w:t>,</w:t>
      </w:r>
      <w:r w:rsidR="00035A88">
        <w:t xml:space="preserve"> the</w:t>
      </w:r>
      <w:r w:rsidR="00064198">
        <w:t xml:space="preserve"> second </w:t>
      </w:r>
      <w:r w:rsidR="00035A88">
        <w:t>defendant illegally mine</w:t>
      </w:r>
      <w:r w:rsidR="00064198">
        <w:t>d</w:t>
      </w:r>
      <w:r w:rsidR="00035A88">
        <w:t xml:space="preserve"> at their claims.</w:t>
      </w:r>
      <w:r w:rsidR="00064198">
        <w:t xml:space="preserve"> </w:t>
      </w:r>
      <w:r>
        <w:t xml:space="preserve"> </w:t>
      </w:r>
      <w:r w:rsidR="00035A88">
        <w:t xml:space="preserve">Nowhere in the evidence led by </w:t>
      </w:r>
      <w:r w:rsidR="00064198">
        <w:t xml:space="preserve">both </w:t>
      </w:r>
      <w:r w:rsidR="00035A88">
        <w:t xml:space="preserve">the first and </w:t>
      </w:r>
      <w:r w:rsidR="00064198">
        <w:t xml:space="preserve">second </w:t>
      </w:r>
      <w:r w:rsidR="00035A88">
        <w:t>witness</w:t>
      </w:r>
      <w:r w:rsidR="00064198">
        <w:t>es</w:t>
      </w:r>
      <w:r w:rsidR="00035A88">
        <w:t xml:space="preserve"> of the plaintiff was it shown that the mining complained of occurred before 2016</w:t>
      </w:r>
      <w:r w:rsidR="00B35D5E">
        <w:t>, a period</w:t>
      </w:r>
      <w:r w:rsidR="00035A88">
        <w:t xml:space="preserve"> when the</w:t>
      </w:r>
      <w:r w:rsidR="00FB6E18">
        <w:t xml:space="preserve"> second</w:t>
      </w:r>
      <w:r w:rsidR="00035A88">
        <w:t xml:space="preserve"> </w:t>
      </w:r>
      <w:r w:rsidR="00035A88">
        <w:lastRenderedPageBreak/>
        <w:t>defendant did not have any authority to mine</w:t>
      </w:r>
      <w:r w:rsidR="00202A7F">
        <w:t xml:space="preserve"> at those claims</w:t>
      </w:r>
      <w:r w:rsidR="00035A88">
        <w:t xml:space="preserve">. </w:t>
      </w:r>
      <w:r>
        <w:t xml:space="preserve"> </w:t>
      </w:r>
      <w:r w:rsidR="00781371">
        <w:t>I observe that t</w:t>
      </w:r>
      <w:r w:rsidR="00035A88">
        <w:t xml:space="preserve">he pictures </w:t>
      </w:r>
      <w:r w:rsidR="00781371">
        <w:t xml:space="preserve">which were </w:t>
      </w:r>
      <w:r w:rsidR="00035A88">
        <w:t xml:space="preserve">produced </w:t>
      </w:r>
      <w:r w:rsidR="00C22C06">
        <w:t xml:space="preserve">by the plaintiff </w:t>
      </w:r>
      <w:r w:rsidR="00035A88">
        <w:t xml:space="preserve">were meant to </w:t>
      </w:r>
      <w:r w:rsidR="00781371">
        <w:t>prove</w:t>
      </w:r>
      <w:r w:rsidR="00035A88">
        <w:t xml:space="preserve"> that the mining activities began in 2013 instead of 2016</w:t>
      </w:r>
      <w:r w:rsidR="00035A88" w:rsidRPr="00386A9A">
        <w:rPr>
          <w:b/>
        </w:rPr>
        <w:t xml:space="preserve">. </w:t>
      </w:r>
      <w:r w:rsidRPr="00386A9A">
        <w:rPr>
          <w:b/>
        </w:rPr>
        <w:t xml:space="preserve"> </w:t>
      </w:r>
      <w:r w:rsidR="00A96B17" w:rsidRPr="000C729D">
        <w:t>Ho</w:t>
      </w:r>
      <w:r w:rsidR="000C729D" w:rsidRPr="000C729D">
        <w:t>we</w:t>
      </w:r>
      <w:r w:rsidR="00A96B17" w:rsidRPr="000C729D">
        <w:t>ver, under</w:t>
      </w:r>
      <w:r w:rsidR="00035A88" w:rsidRPr="000C729D">
        <w:t xml:space="preserve"> cross examination </w:t>
      </w:r>
      <w:r w:rsidR="00A96B17" w:rsidRPr="000C729D">
        <w:t xml:space="preserve">Counsel for </w:t>
      </w:r>
      <w:r w:rsidR="00035A88" w:rsidRPr="000C729D">
        <w:t>the</w:t>
      </w:r>
      <w:r w:rsidR="00A96B17" w:rsidRPr="000C729D">
        <w:t xml:space="preserve"> second</w:t>
      </w:r>
      <w:r w:rsidR="00035A88" w:rsidRPr="000C729D">
        <w:t xml:space="preserve"> defendant</w:t>
      </w:r>
      <w:r w:rsidR="00A96B17" w:rsidRPr="000C729D">
        <w:t>, the plaintiff’s witness said</w:t>
      </w:r>
      <w:r w:rsidR="00035A88" w:rsidRPr="000C729D">
        <w:t xml:space="preserve"> that the </w:t>
      </w:r>
      <w:r w:rsidR="00A96B17" w:rsidRPr="000C729D">
        <w:t xml:space="preserve">pictures </w:t>
      </w:r>
      <w:r w:rsidR="00035A88" w:rsidRPr="000C729D">
        <w:t>had been</w:t>
      </w:r>
      <w:r w:rsidR="00035A88">
        <w:t xml:space="preserve"> captured in 2011</w:t>
      </w:r>
      <w:r w:rsidR="00A96B17">
        <w:t>.</w:t>
      </w:r>
      <w:r w:rsidR="00035A88">
        <w:t xml:space="preserve"> </w:t>
      </w:r>
      <w:r>
        <w:t xml:space="preserve"> </w:t>
      </w:r>
      <w:r w:rsidR="00A96B17">
        <w:t>From this evidence, I do</w:t>
      </w:r>
      <w:r w:rsidR="007F4154">
        <w:t xml:space="preserve"> not</w:t>
      </w:r>
      <w:r w:rsidR="0046208B">
        <w:t xml:space="preserve"> </w:t>
      </w:r>
      <w:r w:rsidR="00A96B17">
        <w:t>see how pictures</w:t>
      </w:r>
      <w:r w:rsidR="00C457C7">
        <w:t xml:space="preserve"> that were</w:t>
      </w:r>
      <w:r w:rsidR="00A96B17">
        <w:t xml:space="preserve"> taken in 2011</w:t>
      </w:r>
      <w:r w:rsidR="00035A88">
        <w:t xml:space="preserve"> could be used to explain a state of affairs </w:t>
      </w:r>
      <w:r w:rsidR="00045826">
        <w:t xml:space="preserve">which </w:t>
      </w:r>
      <w:r w:rsidR="00035A88">
        <w:t>exist</w:t>
      </w:r>
      <w:r w:rsidR="00045826">
        <w:t>ed</w:t>
      </w:r>
      <w:r w:rsidR="00035A88">
        <w:t xml:space="preserve"> in 2013. Nothing convincing was said by the witness or their legal practitioner to explain th</w:t>
      </w:r>
      <w:r w:rsidR="004A49F1">
        <w:t>is</w:t>
      </w:r>
      <w:r w:rsidR="00035A88">
        <w:t xml:space="preserve"> disparity. </w:t>
      </w:r>
      <w:r w:rsidR="004A49F1">
        <w:t>Additionally, n</w:t>
      </w:r>
      <w:r w:rsidR="00035A88">
        <w:t xml:space="preserve">o plausible explanation was </w:t>
      </w:r>
      <w:r w:rsidR="002A06A3">
        <w:t>proffered on</w:t>
      </w:r>
      <w:r w:rsidR="00035A88">
        <w:t xml:space="preserve"> why there was a long delay in making a report or taking any action </w:t>
      </w:r>
      <w:r w:rsidR="00F07548">
        <w:t>to stop</w:t>
      </w:r>
      <w:r w:rsidR="00035A88">
        <w:t xml:space="preserve"> the illegal activities.</w:t>
      </w:r>
      <w:r w:rsidR="002376F5">
        <w:t xml:space="preserve"> </w:t>
      </w:r>
      <w:r>
        <w:t xml:space="preserve"> </w:t>
      </w:r>
      <w:r w:rsidR="002376F5">
        <w:t>My view is that t</w:t>
      </w:r>
      <w:r w:rsidR="00035A88">
        <w:t>he plaintiff placed no evidence to</w:t>
      </w:r>
      <w:r w:rsidR="002376F5">
        <w:t xml:space="preserve"> satisfy</w:t>
      </w:r>
      <w:r w:rsidR="00213E35">
        <w:t xml:space="preserve"> </w:t>
      </w:r>
      <w:r w:rsidR="002376F5">
        <w:t xml:space="preserve">the court </w:t>
      </w:r>
      <w:r w:rsidR="00035A88">
        <w:t xml:space="preserve">that indeed the </w:t>
      </w:r>
      <w:r w:rsidR="002376F5">
        <w:t>second d</w:t>
      </w:r>
      <w:r w:rsidR="00035A88">
        <w:t>efendant did not act lawfully</w:t>
      </w:r>
      <w:r w:rsidR="00A768ED">
        <w:t xml:space="preserve"> when it carried mining activities on the disputed claims</w:t>
      </w:r>
      <w:r w:rsidR="00035A88">
        <w:t>. In </w:t>
      </w:r>
      <w:r w:rsidR="000B630B">
        <w:t xml:space="preserve">this context, in </w:t>
      </w:r>
      <w:r w:rsidR="00035A88">
        <w:rPr>
          <w:i/>
          <w:iCs/>
        </w:rPr>
        <w:t>Rinenote Printers (Pvt) Ltd</w:t>
      </w:r>
      <w:r w:rsidR="00035A88" w:rsidRPr="00386A9A">
        <w:rPr>
          <w:iCs/>
        </w:rPr>
        <w:t xml:space="preserve"> v</w:t>
      </w:r>
      <w:r w:rsidR="00035A88">
        <w:rPr>
          <w:i/>
          <w:iCs/>
        </w:rPr>
        <w:t xml:space="preserve"> A Adam &amp; Co (Pvt) Ltd</w:t>
      </w:r>
      <w:r w:rsidR="000B630B">
        <w:t xml:space="preserve"> </w:t>
      </w:r>
      <w:r w:rsidR="00035A88">
        <w:t>2014 (2) ZLR 314 (H)</w:t>
      </w:r>
      <w:r w:rsidR="000B630B">
        <w:t>,</w:t>
      </w:r>
      <w:r w:rsidR="00035A88">
        <w:t xml:space="preserve"> th</w:t>
      </w:r>
      <w:r w:rsidR="000B630B">
        <w:t>is</w:t>
      </w:r>
      <w:r w:rsidR="00035A88">
        <w:t xml:space="preserve"> court stressed the need for proof of both wrongfulness and fault. </w:t>
      </w:r>
    </w:p>
    <w:p w14:paraId="2E31FDD6" w14:textId="44325758" w:rsidR="00746F55" w:rsidRDefault="00035A88" w:rsidP="00967ACD">
      <w:pPr>
        <w:spacing w:line="360" w:lineRule="auto"/>
        <w:ind w:firstLine="720"/>
        <w:jc w:val="both"/>
      </w:pPr>
      <w:r>
        <w:t xml:space="preserve">The next fundamental requirement for an </w:t>
      </w:r>
      <w:r w:rsidR="00967ACD">
        <w:t>A</w:t>
      </w:r>
      <w:r>
        <w:t>cqulian action to succeed is that</w:t>
      </w:r>
      <w:r w:rsidR="00DA78C9">
        <w:t>,</w:t>
      </w:r>
      <w:r>
        <w:t xml:space="preserve"> there must be a quantifiable financial loss stemming from the defendant’s actions. </w:t>
      </w:r>
      <w:r w:rsidR="00386A9A">
        <w:t xml:space="preserve"> </w:t>
      </w:r>
      <w:r>
        <w:t xml:space="preserve">The plaintiff </w:t>
      </w:r>
      <w:r w:rsidR="003B7C04">
        <w:t xml:space="preserve">testified that </w:t>
      </w:r>
      <w:r>
        <w:t xml:space="preserve">their loss </w:t>
      </w:r>
      <w:r w:rsidR="003B7C04">
        <w:t>was</w:t>
      </w:r>
      <w:r>
        <w:t xml:space="preserve"> in the sum of $8 173 188.00 inclusive of </w:t>
      </w:r>
      <w:r w:rsidR="00D861E9">
        <w:t>VAT</w:t>
      </w:r>
      <w:r>
        <w:t xml:space="preserve">. </w:t>
      </w:r>
      <w:r w:rsidR="00386A9A">
        <w:t xml:space="preserve"> </w:t>
      </w:r>
      <w:r w:rsidR="00F10F1B">
        <w:t>Nevertheless, t</w:t>
      </w:r>
      <w:r>
        <w:t xml:space="preserve">he plaintiff </w:t>
      </w:r>
      <w:r w:rsidR="00927A29">
        <w:t>did</w:t>
      </w:r>
      <w:r>
        <w:t xml:space="preserve"> not show</w:t>
      </w:r>
      <w:r w:rsidR="00927A29">
        <w:t xml:space="preserve"> the court</w:t>
      </w:r>
      <w:r>
        <w:t xml:space="preserve"> how t</w:t>
      </w:r>
      <w:r w:rsidR="00927A29">
        <w:t>hat figure was</w:t>
      </w:r>
      <w:r>
        <w:t xml:space="preserve"> arrived at</w:t>
      </w:r>
      <w:r w:rsidR="00927A29">
        <w:t xml:space="preserve">. </w:t>
      </w:r>
      <w:r w:rsidR="00F10F1B">
        <w:t xml:space="preserve"> In respect of </w:t>
      </w:r>
      <w:r>
        <w:t>this figure</w:t>
      </w:r>
      <w:r w:rsidR="00F10F1B">
        <w:t>, Mufara told the court</w:t>
      </w:r>
      <w:r>
        <w:t xml:space="preserve"> that</w:t>
      </w:r>
      <w:r w:rsidR="00F10F1B">
        <w:t xml:space="preserve"> he was engaged by the plaintiff</w:t>
      </w:r>
      <w:r>
        <w:t xml:space="preserve"> </w:t>
      </w:r>
      <w:r w:rsidR="00F10F1B">
        <w:t xml:space="preserve">to conduct a geological survey of the mined chrome in order to ascertain the value of the mined ore, and he compiled a </w:t>
      </w:r>
      <w:r w:rsidR="00A403B5">
        <w:t>c</w:t>
      </w:r>
      <w:r w:rsidR="00F10F1B">
        <w:t xml:space="preserve">hromite estimation report. </w:t>
      </w:r>
      <w:r w:rsidR="00386A9A">
        <w:t xml:space="preserve"> </w:t>
      </w:r>
      <w:r>
        <w:t xml:space="preserve">No further evidence </w:t>
      </w:r>
      <w:r w:rsidR="00351A72">
        <w:t>was</w:t>
      </w:r>
      <w:r>
        <w:t xml:space="preserve"> given as to </w:t>
      </w:r>
      <w:r w:rsidR="00351A72">
        <w:t xml:space="preserve">demonstrate </w:t>
      </w:r>
      <w:r>
        <w:t>how th</w:t>
      </w:r>
      <w:r w:rsidR="00356961">
        <w:t>e</w:t>
      </w:r>
      <w:r>
        <w:t xml:space="preserve"> figure</w:t>
      </w:r>
      <w:r w:rsidR="00356961">
        <w:t xml:space="preserve"> of US$8 173 188.00 was computed</w:t>
      </w:r>
      <w:r>
        <w:t>.</w:t>
      </w:r>
      <w:r w:rsidR="00D67A0A">
        <w:t xml:space="preserve"> </w:t>
      </w:r>
      <w:r>
        <w:t>The plaintiff</w:t>
      </w:r>
      <w:r w:rsidR="00351A72">
        <w:t>’s</w:t>
      </w:r>
      <w:r>
        <w:t xml:space="preserve"> argu</w:t>
      </w:r>
      <w:r w:rsidR="004E6775">
        <w:t>ment is</w:t>
      </w:r>
      <w:r>
        <w:t xml:space="preserve"> that the report gives an estimate of the value of ore that could have been mined by the</w:t>
      </w:r>
      <w:r w:rsidR="00967ACD">
        <w:t xml:space="preserve"> second</w:t>
      </w:r>
      <w:r>
        <w:t xml:space="preserve"> defendant</w:t>
      </w:r>
      <w:r w:rsidR="00967ACD">
        <w:t>.</w:t>
      </w:r>
      <w:r w:rsidR="004E6775">
        <w:t xml:space="preserve"> The court is unable to find that the plaintiff’s claim has been established. </w:t>
      </w:r>
      <w:r w:rsidR="00BD4952">
        <w:t>In this respect, t</w:t>
      </w:r>
      <w:r>
        <w:t xml:space="preserve">he case of </w:t>
      </w:r>
      <w:r>
        <w:rPr>
          <w:i/>
          <w:iCs/>
        </w:rPr>
        <w:t xml:space="preserve">Mbundire </w:t>
      </w:r>
      <w:r w:rsidRPr="00386A9A">
        <w:rPr>
          <w:iCs/>
        </w:rPr>
        <w:t>v</w:t>
      </w:r>
      <w:r>
        <w:rPr>
          <w:i/>
          <w:iCs/>
        </w:rPr>
        <w:t xml:space="preserve"> Buttress </w:t>
      </w:r>
      <w:r>
        <w:t xml:space="preserve">2011 (1) ZLR 501 (S) is </w:t>
      </w:r>
      <w:r w:rsidR="00967ACD">
        <w:t>instructive</w:t>
      </w:r>
      <w:r w:rsidR="00BD4952">
        <w:t xml:space="preserve">. </w:t>
      </w:r>
      <w:r>
        <w:t xml:space="preserve">It </w:t>
      </w:r>
      <w:r w:rsidR="00BD4952">
        <w:t xml:space="preserve">was </w:t>
      </w:r>
      <w:r>
        <w:t>state</w:t>
      </w:r>
      <w:r w:rsidR="00BD4952">
        <w:t>d</w:t>
      </w:r>
      <w:r>
        <w:t xml:space="preserve"> that in</w:t>
      </w:r>
      <w:r w:rsidR="00BD4952">
        <w:t xml:space="preserve"> a case</w:t>
      </w:r>
      <w:r>
        <w:t xml:space="preserve"> where damages can be assessed with exact mathematical precision, a plaintiff is expected to adduce sufficient evidence to meet this requirement. </w:t>
      </w:r>
      <w:r w:rsidR="00A078CB">
        <w:t>The Supreme Court also said that, w</w:t>
      </w:r>
      <w:r>
        <w:t xml:space="preserve">here this cannot be done, the plaintiff must lead such evidence as is available to it </w:t>
      </w:r>
      <w:r w:rsidR="00A078CB">
        <w:t>that</w:t>
      </w:r>
      <w:r>
        <w:t xml:space="preserve"> enable</w:t>
      </w:r>
      <w:r w:rsidR="00A078CB">
        <w:t>s</w:t>
      </w:r>
      <w:r>
        <w:t xml:space="preserve"> the court to quantify</w:t>
      </w:r>
      <w:r w:rsidR="00F82628">
        <w:t xml:space="preserve"> the</w:t>
      </w:r>
      <w:r>
        <w:t xml:space="preserve"> damage</w:t>
      </w:r>
      <w:r w:rsidR="008764AF">
        <w:t>s that</w:t>
      </w:r>
      <w:r w:rsidR="00F82628">
        <w:t xml:space="preserve"> it can</w:t>
      </w:r>
      <w:r>
        <w:t xml:space="preserve"> award. </w:t>
      </w:r>
    </w:p>
    <w:p w14:paraId="3E319AD5" w14:textId="18536475" w:rsidR="00035A88" w:rsidRDefault="00746F55" w:rsidP="00967ACD">
      <w:pPr>
        <w:spacing w:line="360" w:lineRule="auto"/>
        <w:ind w:firstLine="720"/>
        <w:jc w:val="both"/>
      </w:pPr>
      <w:r>
        <w:t>Let me make the pertinent comment that t</w:t>
      </w:r>
      <w:r w:rsidR="00035A88">
        <w:t xml:space="preserve">he </w:t>
      </w:r>
      <w:r>
        <w:t>underlying</w:t>
      </w:r>
      <w:r w:rsidR="00035A88">
        <w:t xml:space="preserve"> principle </w:t>
      </w:r>
      <w:r>
        <w:t xml:space="preserve">for </w:t>
      </w:r>
      <w:r w:rsidR="00035A88">
        <w:t>award</w:t>
      </w:r>
      <w:r>
        <w:t xml:space="preserve">ing </w:t>
      </w:r>
      <w:r w:rsidR="00035A88">
        <w:t xml:space="preserve">damages in </w:t>
      </w:r>
      <w:r>
        <w:t>an</w:t>
      </w:r>
      <w:r w:rsidR="00035A88">
        <w:t xml:space="preserve"> Aquilian action</w:t>
      </w:r>
      <w:r>
        <w:t xml:space="preserve">, is </w:t>
      </w:r>
      <w:r w:rsidR="00035A88">
        <w:t>t</w:t>
      </w:r>
      <w:r>
        <w:t>o compensate the plaintiff</w:t>
      </w:r>
      <w:r w:rsidR="00035A88">
        <w:t xml:space="preserve"> b</w:t>
      </w:r>
      <w:r>
        <w:t>y</w:t>
      </w:r>
      <w:r w:rsidR="00035A88">
        <w:t xml:space="preserve"> assess</w:t>
      </w:r>
      <w:r>
        <w:t>ing an amount that</w:t>
      </w:r>
      <w:r w:rsidR="00035A88">
        <w:t xml:space="preserve"> place</w:t>
      </w:r>
      <w:r>
        <w:t>s</w:t>
      </w:r>
      <w:r w:rsidR="00035A88">
        <w:t xml:space="preserve"> the plaintiff</w:t>
      </w:r>
      <w:r>
        <w:t xml:space="preserve"> </w:t>
      </w:r>
      <w:r w:rsidR="00035A88">
        <w:t>in the position they would have been</w:t>
      </w:r>
      <w:r>
        <w:t xml:space="preserve"> in</w:t>
      </w:r>
      <w:r w:rsidR="00035A88">
        <w:t xml:space="preserve"> had the wrongful act not been committed. </w:t>
      </w:r>
      <w:r w:rsidR="00386A9A">
        <w:t xml:space="preserve"> </w:t>
      </w:r>
      <w:r w:rsidR="008C7DBE">
        <w:t xml:space="preserve">A critical observation needs to be made. </w:t>
      </w:r>
      <w:r w:rsidR="00035A88">
        <w:t xml:space="preserve">The </w:t>
      </w:r>
      <w:r w:rsidR="008C7DBE">
        <w:t xml:space="preserve">plaintiff’s </w:t>
      </w:r>
      <w:r w:rsidR="00035A88">
        <w:t>first witness confirm</w:t>
      </w:r>
      <w:r w:rsidR="008C7DBE">
        <w:t>ed in his evidence</w:t>
      </w:r>
      <w:r w:rsidR="00035A88">
        <w:t xml:space="preserve"> that there </w:t>
      </w:r>
      <w:r w:rsidR="00035A88">
        <w:lastRenderedPageBreak/>
        <w:t>were no mining activities or developmental work ever conducted by the plaintiff at the claim</w:t>
      </w:r>
      <w:r w:rsidR="008C7DBE">
        <w:t>s in dispute.</w:t>
      </w:r>
      <w:r w:rsidR="00035A88">
        <w:t xml:space="preserve"> </w:t>
      </w:r>
      <w:r w:rsidR="00386A9A">
        <w:t xml:space="preserve"> </w:t>
      </w:r>
      <w:r w:rsidR="00082110">
        <w:t>T</w:t>
      </w:r>
      <w:r w:rsidR="00035A88">
        <w:t>herefore</w:t>
      </w:r>
      <w:r w:rsidR="00082110">
        <w:t>,</w:t>
      </w:r>
      <w:r w:rsidR="00035A88">
        <w:t xml:space="preserve"> it </w:t>
      </w:r>
      <w:r w:rsidR="00082110">
        <w:t>seems to me that no basis has been laid for the claim for US$8 173 188.00.</w:t>
      </w:r>
      <w:r w:rsidR="00DF56FD">
        <w:t xml:space="preserve"> In other words, there were no historical evidence placed before the court of any quantities previously mined on the claims and their value.</w:t>
      </w:r>
      <w:r w:rsidR="00386A9A">
        <w:t xml:space="preserve"> </w:t>
      </w:r>
      <w:r w:rsidR="00DF56FD">
        <w:t xml:space="preserve">I am therefore unable tell from the geological survey on its own how the plaintiff could </w:t>
      </w:r>
      <w:r w:rsidR="00035A88">
        <w:t xml:space="preserve">have reasonably made a possible profit of </w:t>
      </w:r>
      <w:r w:rsidR="00DF56FD">
        <w:t>that magnitude</w:t>
      </w:r>
      <w:r w:rsidR="00035A88">
        <w:t xml:space="preserve">. </w:t>
      </w:r>
    </w:p>
    <w:p w14:paraId="749167F3" w14:textId="76242F82" w:rsidR="009E2BCF" w:rsidRPr="00CE0C0F" w:rsidRDefault="003E6A2F" w:rsidP="00386A9A">
      <w:pPr>
        <w:spacing w:line="360" w:lineRule="auto"/>
        <w:ind w:firstLine="720"/>
        <w:jc w:val="both"/>
      </w:pPr>
      <w:r>
        <w:t>A</w:t>
      </w:r>
      <w:r w:rsidR="00035A88">
        <w:t xml:space="preserve">s I have already </w:t>
      </w:r>
      <w:r>
        <w:t>said, the plaintiff’s evidence did not show the period when the second defendant mined on the disputed claims. Put differently, the evidence before me does not prove that the second defendant carried out mining activities at a time that it had no authority to do so.</w:t>
      </w:r>
      <w:r w:rsidR="00035A88">
        <w:t xml:space="preserve"> </w:t>
      </w:r>
      <w:r w:rsidR="00200E3D">
        <w:t>Secondly, the plaintiff did not prove the amount of loss that it alleges to have suffered</w:t>
      </w:r>
      <w:r w:rsidR="00035A88">
        <w:t>.</w:t>
      </w:r>
      <w:r w:rsidR="00E92FD2">
        <w:t xml:space="preserve"> Since the plaintiff has failed to prove the quantum of damages, I cannot award damages against the first defendant despite its default in appearing for the trial.</w:t>
      </w:r>
      <w:r w:rsidR="00435F35">
        <w:t xml:space="preserve"> </w:t>
      </w:r>
      <w:r w:rsidR="00386A9A">
        <w:t xml:space="preserve"> </w:t>
      </w:r>
      <w:r w:rsidR="00035A88">
        <w:t>Consequently</w:t>
      </w:r>
      <w:r w:rsidR="00BA2F5D">
        <w:t>,</w:t>
      </w:r>
      <w:r w:rsidR="00035A88">
        <w:t xml:space="preserve"> </w:t>
      </w:r>
      <w:r w:rsidR="009832BF">
        <w:t xml:space="preserve">my conclusion is that </w:t>
      </w:r>
      <w:r w:rsidR="00035A88">
        <w:t xml:space="preserve">the plaintiff failed to </w:t>
      </w:r>
      <w:r w:rsidR="009832BF">
        <w:t xml:space="preserve">provide evidence to sustain its </w:t>
      </w:r>
      <w:r w:rsidR="00035A88">
        <w:t xml:space="preserve">cause of action </w:t>
      </w:r>
      <w:r w:rsidR="009832BF">
        <w:t>and, thereby, entitle it to an</w:t>
      </w:r>
      <w:r w:rsidR="00035A88">
        <w:t xml:space="preserve"> </w:t>
      </w:r>
      <w:r w:rsidR="00E30D76">
        <w:t>aw</w:t>
      </w:r>
      <w:r w:rsidR="00626FDC">
        <w:t>a</w:t>
      </w:r>
      <w:r w:rsidR="00E30D76">
        <w:t>rd</w:t>
      </w:r>
      <w:r w:rsidR="009832BF">
        <w:t xml:space="preserve"> of the </w:t>
      </w:r>
      <w:r w:rsidR="00035A88">
        <w:t>damages</w:t>
      </w:r>
      <w:r w:rsidR="009832BF">
        <w:t xml:space="preserve"> claimed</w:t>
      </w:r>
      <w:r w:rsidR="00035A88">
        <w:t>.</w:t>
      </w:r>
      <w:r w:rsidR="00386A9A">
        <w:t xml:space="preserve"> </w:t>
      </w:r>
      <w:r w:rsidR="005B47A7">
        <w:t xml:space="preserve"> </w:t>
      </w:r>
      <w:r w:rsidR="00626FDC">
        <w:t xml:space="preserve">I </w:t>
      </w:r>
      <w:r w:rsidR="00035A88">
        <w:t>a</w:t>
      </w:r>
      <w:r w:rsidR="00626FDC">
        <w:t xml:space="preserve">m inclined to </w:t>
      </w:r>
      <w:r w:rsidR="00035A88">
        <w:t>dismis</w:t>
      </w:r>
      <w:r w:rsidR="005B47A7">
        <w:t>s</w:t>
      </w:r>
      <w:r w:rsidR="00035A88">
        <w:t xml:space="preserve"> </w:t>
      </w:r>
      <w:r w:rsidR="00626FDC">
        <w:t xml:space="preserve">the </w:t>
      </w:r>
      <w:r w:rsidR="005B47A7">
        <w:t xml:space="preserve">plaintiff’s </w:t>
      </w:r>
      <w:r w:rsidR="00626FDC">
        <w:t>claim</w:t>
      </w:r>
      <w:r w:rsidR="00035A88">
        <w:t>.</w:t>
      </w:r>
      <w:r w:rsidR="002F36D7">
        <w:t xml:space="preserve"> There is no reason for departing from the traditional rule that costs follow the result. </w:t>
      </w:r>
      <w:r w:rsidR="00386A9A">
        <w:t xml:space="preserve"> </w:t>
      </w:r>
      <w:r w:rsidR="002F36D7">
        <w:t>I will award costs on the ordinary scale.</w:t>
      </w:r>
    </w:p>
    <w:p w14:paraId="02E3E0DF" w14:textId="44EEEE41" w:rsidR="00626FDC" w:rsidRDefault="00626FDC" w:rsidP="00626FDC">
      <w:pPr>
        <w:spacing w:line="360" w:lineRule="auto"/>
        <w:jc w:val="both"/>
      </w:pPr>
      <w:r>
        <w:tab/>
        <w:t>In the result, the plaintiff’s claim is dismissed with costs on the ordinary scale.</w:t>
      </w:r>
    </w:p>
    <w:p w14:paraId="7F38092A" w14:textId="77777777" w:rsidR="00035A88" w:rsidRDefault="00035A88" w:rsidP="00035A88">
      <w:pPr>
        <w:spacing w:line="360" w:lineRule="auto"/>
        <w:ind w:left="360"/>
      </w:pPr>
    </w:p>
    <w:p w14:paraId="472BCD83" w14:textId="77777777" w:rsidR="00035A88" w:rsidRDefault="00035A88" w:rsidP="00035A88">
      <w:pPr>
        <w:spacing w:line="360" w:lineRule="auto"/>
        <w:jc w:val="both"/>
        <w:rPr>
          <w:i/>
        </w:rPr>
      </w:pPr>
    </w:p>
    <w:p w14:paraId="7677E4C4" w14:textId="77777777" w:rsidR="00035A88" w:rsidRDefault="00035A88" w:rsidP="00035A88">
      <w:r>
        <w:rPr>
          <w:i/>
        </w:rPr>
        <w:t>Absolom Attorneys,</w:t>
      </w:r>
      <w:r>
        <w:t xml:space="preserve"> plaintiff’s legal practitioners</w:t>
      </w:r>
    </w:p>
    <w:p w14:paraId="394CFFE8" w14:textId="6800DD24" w:rsidR="00D17074" w:rsidRPr="005A4D7A" w:rsidRDefault="00035A88" w:rsidP="0010215F">
      <w:r>
        <w:rPr>
          <w:i/>
        </w:rPr>
        <w:t>Zimudzi and Partners,</w:t>
      </w:r>
      <w:r>
        <w:t xml:space="preserve"> defendant’s legal practitioners</w:t>
      </w:r>
      <w:r w:rsidR="00D17074">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B517D" w14:textId="77777777" w:rsidR="00082BB1" w:rsidRDefault="00082BB1" w:rsidP="005A4D7A">
      <w:r>
        <w:separator/>
      </w:r>
    </w:p>
  </w:endnote>
  <w:endnote w:type="continuationSeparator" w:id="0">
    <w:p w14:paraId="7641BE64" w14:textId="77777777" w:rsidR="00082BB1" w:rsidRDefault="00082BB1"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6DF8C" w14:textId="77777777" w:rsidR="00082BB1" w:rsidRDefault="00082BB1" w:rsidP="005A4D7A">
      <w:r>
        <w:separator/>
      </w:r>
    </w:p>
  </w:footnote>
  <w:footnote w:type="continuationSeparator" w:id="0">
    <w:p w14:paraId="1378A7F6" w14:textId="77777777" w:rsidR="00082BB1" w:rsidRDefault="00082BB1"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14:paraId="577AB7C8" w14:textId="16955B2B" w:rsidR="005A4D7A" w:rsidRDefault="005A4D7A" w:rsidP="00D27A4B">
        <w:pPr>
          <w:pStyle w:val="Header"/>
          <w:jc w:val="right"/>
          <w:rPr>
            <w:noProof/>
          </w:rPr>
        </w:pPr>
        <w:r>
          <w:fldChar w:fldCharType="begin"/>
        </w:r>
        <w:r>
          <w:instrText xml:space="preserve"> PAGE   \* MERGEFORMAT </w:instrText>
        </w:r>
        <w:r>
          <w:fldChar w:fldCharType="separate"/>
        </w:r>
        <w:r w:rsidR="007843E2">
          <w:rPr>
            <w:noProof/>
          </w:rPr>
          <w:t>1</w:t>
        </w:r>
        <w:r>
          <w:rPr>
            <w:noProof/>
          </w:rPr>
          <w:fldChar w:fldCharType="end"/>
        </w:r>
      </w:p>
      <w:p w14:paraId="19E96673" w14:textId="46E14C27" w:rsidR="00B1216B" w:rsidRDefault="003F702F" w:rsidP="00D27A4B">
        <w:pPr>
          <w:pStyle w:val="Header"/>
          <w:jc w:val="right"/>
          <w:rPr>
            <w:noProof/>
          </w:rPr>
        </w:pPr>
        <w:r>
          <w:rPr>
            <w:noProof/>
          </w:rPr>
          <w:t>HH</w:t>
        </w:r>
        <w:r w:rsidR="00BD6B11">
          <w:rPr>
            <w:noProof/>
          </w:rPr>
          <w:t xml:space="preserve"> 474-23</w:t>
        </w:r>
      </w:p>
      <w:p w14:paraId="2A0C07BF" w14:textId="3EDC4F80" w:rsidR="005A4D7A" w:rsidRDefault="003F702F" w:rsidP="00602A43">
        <w:pPr>
          <w:pStyle w:val="Header"/>
          <w:jc w:val="right"/>
          <w:rPr>
            <w:noProof/>
          </w:rPr>
        </w:pPr>
        <w:r>
          <w:rPr>
            <w:noProof/>
          </w:rPr>
          <w:t xml:space="preserve">HC </w:t>
        </w:r>
        <w:r w:rsidR="003F37CC">
          <w:rPr>
            <w:noProof/>
          </w:rPr>
          <w:t>5560/18</w:t>
        </w:r>
      </w:p>
    </w:sdtContent>
  </w:sdt>
  <w:p w14:paraId="2A91E62E" w14:textId="77777777"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379A5CF2"/>
    <w:multiLevelType w:val="hybridMultilevel"/>
    <w:tmpl w:val="F612D190"/>
    <w:lvl w:ilvl="0" w:tplc="18AE1684">
      <w:start w:val="1"/>
      <w:numFmt w:val="decimal"/>
      <w:lvlText w:val="%1."/>
      <w:lvlJc w:val="right"/>
      <w:pPr>
        <w:ind w:left="720" w:hanging="360"/>
      </w:pPr>
      <w:rPr>
        <w:rFonts w:ascii="Times New Roman" w:eastAsia="Times New Roman" w:hAnsi="Times New Roman" w:cs="Times New Roman"/>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8" w15:restartNumberingAfterBreak="0">
    <w:nsid w:val="38CC2C92"/>
    <w:multiLevelType w:val="hybridMultilevel"/>
    <w:tmpl w:val="AB12852E"/>
    <w:lvl w:ilvl="0" w:tplc="EB4A33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1"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3"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32312B8"/>
    <w:multiLevelType w:val="hybridMultilevel"/>
    <w:tmpl w:val="AE103524"/>
    <w:lvl w:ilvl="0" w:tplc="EBF24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4AF3910"/>
    <w:multiLevelType w:val="hybridMultilevel"/>
    <w:tmpl w:val="75444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1"/>
  </w:num>
  <w:num w:numId="3">
    <w:abstractNumId w:val="17"/>
  </w:num>
  <w:num w:numId="4">
    <w:abstractNumId w:val="12"/>
  </w:num>
  <w:num w:numId="5">
    <w:abstractNumId w:val="5"/>
  </w:num>
  <w:num w:numId="6">
    <w:abstractNumId w:val="10"/>
  </w:num>
  <w:num w:numId="7">
    <w:abstractNumId w:val="9"/>
  </w:num>
  <w:num w:numId="8">
    <w:abstractNumId w:val="6"/>
  </w:num>
  <w:num w:numId="9">
    <w:abstractNumId w:val="0"/>
  </w:num>
  <w:num w:numId="10">
    <w:abstractNumId w:val="3"/>
  </w:num>
  <w:num w:numId="11">
    <w:abstractNumId w:val="13"/>
  </w:num>
  <w:num w:numId="12">
    <w:abstractNumId w:val="2"/>
  </w:num>
  <w:num w:numId="13">
    <w:abstractNumId w:val="15"/>
  </w:num>
  <w:num w:numId="14">
    <w:abstractNumId w:val="4"/>
  </w:num>
  <w:num w:numId="15">
    <w:abstractNumId w:val="16"/>
  </w:num>
  <w:num w:numId="16">
    <w:abstractNumId w:val="8"/>
  </w:num>
  <w:num w:numId="17">
    <w:abstractNumId w:val="1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87D"/>
    <w:rsid w:val="00003953"/>
    <w:rsid w:val="00010ED1"/>
    <w:rsid w:val="000114AA"/>
    <w:rsid w:val="000154C6"/>
    <w:rsid w:val="00020014"/>
    <w:rsid w:val="0002003E"/>
    <w:rsid w:val="00035A88"/>
    <w:rsid w:val="00036F12"/>
    <w:rsid w:val="0003708D"/>
    <w:rsid w:val="00040C2D"/>
    <w:rsid w:val="000437A6"/>
    <w:rsid w:val="00045826"/>
    <w:rsid w:val="0005147B"/>
    <w:rsid w:val="00051BCE"/>
    <w:rsid w:val="000571B7"/>
    <w:rsid w:val="00060409"/>
    <w:rsid w:val="000611E9"/>
    <w:rsid w:val="0006233A"/>
    <w:rsid w:val="00064198"/>
    <w:rsid w:val="00066EA2"/>
    <w:rsid w:val="000672F9"/>
    <w:rsid w:val="00067D0D"/>
    <w:rsid w:val="00072608"/>
    <w:rsid w:val="000745B8"/>
    <w:rsid w:val="00080A17"/>
    <w:rsid w:val="00081C16"/>
    <w:rsid w:val="00082110"/>
    <w:rsid w:val="00082785"/>
    <w:rsid w:val="00082BB1"/>
    <w:rsid w:val="00085DCC"/>
    <w:rsid w:val="00085E59"/>
    <w:rsid w:val="000865EA"/>
    <w:rsid w:val="0008730E"/>
    <w:rsid w:val="000915FF"/>
    <w:rsid w:val="000952B7"/>
    <w:rsid w:val="00095579"/>
    <w:rsid w:val="000965BC"/>
    <w:rsid w:val="0009791D"/>
    <w:rsid w:val="000A34CF"/>
    <w:rsid w:val="000A542C"/>
    <w:rsid w:val="000A59D6"/>
    <w:rsid w:val="000A5B71"/>
    <w:rsid w:val="000A62CF"/>
    <w:rsid w:val="000A6E82"/>
    <w:rsid w:val="000B076C"/>
    <w:rsid w:val="000B630B"/>
    <w:rsid w:val="000B67D7"/>
    <w:rsid w:val="000B7869"/>
    <w:rsid w:val="000C1B38"/>
    <w:rsid w:val="000C729D"/>
    <w:rsid w:val="000D059C"/>
    <w:rsid w:val="000D0B80"/>
    <w:rsid w:val="000D3F12"/>
    <w:rsid w:val="000D534A"/>
    <w:rsid w:val="000D71D6"/>
    <w:rsid w:val="000E0734"/>
    <w:rsid w:val="000E158A"/>
    <w:rsid w:val="000E203B"/>
    <w:rsid w:val="000E2799"/>
    <w:rsid w:val="000E4218"/>
    <w:rsid w:val="000E4576"/>
    <w:rsid w:val="000E56BB"/>
    <w:rsid w:val="000F17BB"/>
    <w:rsid w:val="000F1D04"/>
    <w:rsid w:val="000F26B8"/>
    <w:rsid w:val="000F2A2A"/>
    <w:rsid w:val="000F3432"/>
    <w:rsid w:val="000F3663"/>
    <w:rsid w:val="000F4EDB"/>
    <w:rsid w:val="000F5F75"/>
    <w:rsid w:val="000F6236"/>
    <w:rsid w:val="0010215F"/>
    <w:rsid w:val="0010433B"/>
    <w:rsid w:val="00104513"/>
    <w:rsid w:val="00111321"/>
    <w:rsid w:val="00113A28"/>
    <w:rsid w:val="00116A7B"/>
    <w:rsid w:val="0011758F"/>
    <w:rsid w:val="001177C4"/>
    <w:rsid w:val="00122F4E"/>
    <w:rsid w:val="0012469B"/>
    <w:rsid w:val="001323F6"/>
    <w:rsid w:val="00136D44"/>
    <w:rsid w:val="00141FC5"/>
    <w:rsid w:val="0014298A"/>
    <w:rsid w:val="0014765A"/>
    <w:rsid w:val="0015010F"/>
    <w:rsid w:val="001528F8"/>
    <w:rsid w:val="001532D5"/>
    <w:rsid w:val="00153963"/>
    <w:rsid w:val="001539E0"/>
    <w:rsid w:val="001550E0"/>
    <w:rsid w:val="001554FB"/>
    <w:rsid w:val="0015597B"/>
    <w:rsid w:val="00155A31"/>
    <w:rsid w:val="0016302F"/>
    <w:rsid w:val="0016794A"/>
    <w:rsid w:val="00170DE8"/>
    <w:rsid w:val="001713E1"/>
    <w:rsid w:val="0017179F"/>
    <w:rsid w:val="00171E1D"/>
    <w:rsid w:val="001762BA"/>
    <w:rsid w:val="00176528"/>
    <w:rsid w:val="001804F9"/>
    <w:rsid w:val="00185D3B"/>
    <w:rsid w:val="00193712"/>
    <w:rsid w:val="0019584D"/>
    <w:rsid w:val="0019628C"/>
    <w:rsid w:val="00197BA6"/>
    <w:rsid w:val="001A0D8B"/>
    <w:rsid w:val="001A0DED"/>
    <w:rsid w:val="001A4C1C"/>
    <w:rsid w:val="001A51A5"/>
    <w:rsid w:val="001B40C2"/>
    <w:rsid w:val="001B5445"/>
    <w:rsid w:val="001B58AC"/>
    <w:rsid w:val="001C1FD5"/>
    <w:rsid w:val="001C2442"/>
    <w:rsid w:val="001C4F1F"/>
    <w:rsid w:val="001C5CAC"/>
    <w:rsid w:val="001C638C"/>
    <w:rsid w:val="001D0246"/>
    <w:rsid w:val="001D28B2"/>
    <w:rsid w:val="001D69CA"/>
    <w:rsid w:val="001E0BF4"/>
    <w:rsid w:val="001E2CB7"/>
    <w:rsid w:val="001E3A2E"/>
    <w:rsid w:val="001E3F92"/>
    <w:rsid w:val="001E4D55"/>
    <w:rsid w:val="001E626B"/>
    <w:rsid w:val="001E67D3"/>
    <w:rsid w:val="001F09AE"/>
    <w:rsid w:val="001F46B2"/>
    <w:rsid w:val="001F66F3"/>
    <w:rsid w:val="00200E3D"/>
    <w:rsid w:val="00202A7F"/>
    <w:rsid w:val="002044BB"/>
    <w:rsid w:val="0020718E"/>
    <w:rsid w:val="00210221"/>
    <w:rsid w:val="00210AA3"/>
    <w:rsid w:val="002135CB"/>
    <w:rsid w:val="00213E35"/>
    <w:rsid w:val="00214036"/>
    <w:rsid w:val="00216164"/>
    <w:rsid w:val="0021673D"/>
    <w:rsid w:val="00222C3C"/>
    <w:rsid w:val="0022768B"/>
    <w:rsid w:val="0023192B"/>
    <w:rsid w:val="002320CE"/>
    <w:rsid w:val="002327DD"/>
    <w:rsid w:val="00232A80"/>
    <w:rsid w:val="002376F5"/>
    <w:rsid w:val="00245C7E"/>
    <w:rsid w:val="00247BB6"/>
    <w:rsid w:val="0025303C"/>
    <w:rsid w:val="00254367"/>
    <w:rsid w:val="00256EB3"/>
    <w:rsid w:val="00260491"/>
    <w:rsid w:val="002610EF"/>
    <w:rsid w:val="00261F3E"/>
    <w:rsid w:val="00264E2F"/>
    <w:rsid w:val="00267E93"/>
    <w:rsid w:val="0027077B"/>
    <w:rsid w:val="00272EAD"/>
    <w:rsid w:val="002774CE"/>
    <w:rsid w:val="0028493F"/>
    <w:rsid w:val="002862F4"/>
    <w:rsid w:val="002912A6"/>
    <w:rsid w:val="002918E2"/>
    <w:rsid w:val="00293088"/>
    <w:rsid w:val="002A06A3"/>
    <w:rsid w:val="002A0A83"/>
    <w:rsid w:val="002A0AFE"/>
    <w:rsid w:val="002A3CB3"/>
    <w:rsid w:val="002A6F91"/>
    <w:rsid w:val="002B10C2"/>
    <w:rsid w:val="002C43BB"/>
    <w:rsid w:val="002C6D68"/>
    <w:rsid w:val="002D1758"/>
    <w:rsid w:val="002D2D9C"/>
    <w:rsid w:val="002D34A3"/>
    <w:rsid w:val="002E7C08"/>
    <w:rsid w:val="002F0E27"/>
    <w:rsid w:val="002F286B"/>
    <w:rsid w:val="002F36D7"/>
    <w:rsid w:val="0030244B"/>
    <w:rsid w:val="00302E9F"/>
    <w:rsid w:val="003039D9"/>
    <w:rsid w:val="00303D76"/>
    <w:rsid w:val="00306E52"/>
    <w:rsid w:val="0031037A"/>
    <w:rsid w:val="00310778"/>
    <w:rsid w:val="0031216D"/>
    <w:rsid w:val="003126EF"/>
    <w:rsid w:val="003128D2"/>
    <w:rsid w:val="00312EB5"/>
    <w:rsid w:val="0031581B"/>
    <w:rsid w:val="00316234"/>
    <w:rsid w:val="003203EA"/>
    <w:rsid w:val="003221DE"/>
    <w:rsid w:val="00324A32"/>
    <w:rsid w:val="003269B4"/>
    <w:rsid w:val="0032732D"/>
    <w:rsid w:val="00334249"/>
    <w:rsid w:val="003351EB"/>
    <w:rsid w:val="00337377"/>
    <w:rsid w:val="00337DAA"/>
    <w:rsid w:val="00340B76"/>
    <w:rsid w:val="003414FF"/>
    <w:rsid w:val="00345AEE"/>
    <w:rsid w:val="003463B3"/>
    <w:rsid w:val="0034645B"/>
    <w:rsid w:val="00346546"/>
    <w:rsid w:val="00350971"/>
    <w:rsid w:val="00350B7A"/>
    <w:rsid w:val="00351A72"/>
    <w:rsid w:val="00353DC0"/>
    <w:rsid w:val="00354DA6"/>
    <w:rsid w:val="00355D5A"/>
    <w:rsid w:val="00356459"/>
    <w:rsid w:val="00356961"/>
    <w:rsid w:val="003571E8"/>
    <w:rsid w:val="00360A81"/>
    <w:rsid w:val="003612A4"/>
    <w:rsid w:val="00363C81"/>
    <w:rsid w:val="003648FB"/>
    <w:rsid w:val="00366621"/>
    <w:rsid w:val="00370810"/>
    <w:rsid w:val="00370ABD"/>
    <w:rsid w:val="003713EA"/>
    <w:rsid w:val="003730EE"/>
    <w:rsid w:val="0037364A"/>
    <w:rsid w:val="00374ABB"/>
    <w:rsid w:val="00376C8F"/>
    <w:rsid w:val="00384ACD"/>
    <w:rsid w:val="00386A9A"/>
    <w:rsid w:val="003872E9"/>
    <w:rsid w:val="00391D01"/>
    <w:rsid w:val="003937C0"/>
    <w:rsid w:val="0039564B"/>
    <w:rsid w:val="00395ACD"/>
    <w:rsid w:val="003A0463"/>
    <w:rsid w:val="003A20F2"/>
    <w:rsid w:val="003A268F"/>
    <w:rsid w:val="003A3DB4"/>
    <w:rsid w:val="003A63B7"/>
    <w:rsid w:val="003B69C1"/>
    <w:rsid w:val="003B7670"/>
    <w:rsid w:val="003B7C04"/>
    <w:rsid w:val="003C00A5"/>
    <w:rsid w:val="003C4878"/>
    <w:rsid w:val="003C4CAF"/>
    <w:rsid w:val="003D013C"/>
    <w:rsid w:val="003D0F32"/>
    <w:rsid w:val="003D16C4"/>
    <w:rsid w:val="003D3FA3"/>
    <w:rsid w:val="003D712F"/>
    <w:rsid w:val="003E0585"/>
    <w:rsid w:val="003E2A69"/>
    <w:rsid w:val="003E3469"/>
    <w:rsid w:val="003E6A2F"/>
    <w:rsid w:val="003F00BD"/>
    <w:rsid w:val="003F16BA"/>
    <w:rsid w:val="003F1CAF"/>
    <w:rsid w:val="003F37CC"/>
    <w:rsid w:val="003F6A14"/>
    <w:rsid w:val="003F702F"/>
    <w:rsid w:val="003F72BA"/>
    <w:rsid w:val="003F7E0D"/>
    <w:rsid w:val="00400F8F"/>
    <w:rsid w:val="00401C12"/>
    <w:rsid w:val="00403340"/>
    <w:rsid w:val="00406705"/>
    <w:rsid w:val="0041406F"/>
    <w:rsid w:val="004169FF"/>
    <w:rsid w:val="00421154"/>
    <w:rsid w:val="0042264F"/>
    <w:rsid w:val="004233D1"/>
    <w:rsid w:val="00424D7F"/>
    <w:rsid w:val="00427E63"/>
    <w:rsid w:val="00430154"/>
    <w:rsid w:val="00434E83"/>
    <w:rsid w:val="00435F35"/>
    <w:rsid w:val="00437249"/>
    <w:rsid w:val="00440149"/>
    <w:rsid w:val="004403E5"/>
    <w:rsid w:val="00440FE6"/>
    <w:rsid w:val="0044147E"/>
    <w:rsid w:val="0044245D"/>
    <w:rsid w:val="00442BE2"/>
    <w:rsid w:val="00446C70"/>
    <w:rsid w:val="00447503"/>
    <w:rsid w:val="004478D8"/>
    <w:rsid w:val="0045012B"/>
    <w:rsid w:val="00450381"/>
    <w:rsid w:val="0045356E"/>
    <w:rsid w:val="004565B1"/>
    <w:rsid w:val="00461487"/>
    <w:rsid w:val="0046208B"/>
    <w:rsid w:val="0046215A"/>
    <w:rsid w:val="00462E9C"/>
    <w:rsid w:val="004632FD"/>
    <w:rsid w:val="004633DB"/>
    <w:rsid w:val="004655E0"/>
    <w:rsid w:val="0047026A"/>
    <w:rsid w:val="00472847"/>
    <w:rsid w:val="00473937"/>
    <w:rsid w:val="00474E92"/>
    <w:rsid w:val="00476F6B"/>
    <w:rsid w:val="00480ADB"/>
    <w:rsid w:val="00483E55"/>
    <w:rsid w:val="00486278"/>
    <w:rsid w:val="004906BC"/>
    <w:rsid w:val="0049394A"/>
    <w:rsid w:val="00494246"/>
    <w:rsid w:val="0049730D"/>
    <w:rsid w:val="004A3718"/>
    <w:rsid w:val="004A49F1"/>
    <w:rsid w:val="004A61A8"/>
    <w:rsid w:val="004A7483"/>
    <w:rsid w:val="004A759F"/>
    <w:rsid w:val="004B0357"/>
    <w:rsid w:val="004B10DD"/>
    <w:rsid w:val="004B317E"/>
    <w:rsid w:val="004B652A"/>
    <w:rsid w:val="004B682A"/>
    <w:rsid w:val="004B6F2C"/>
    <w:rsid w:val="004B73BD"/>
    <w:rsid w:val="004C01D6"/>
    <w:rsid w:val="004C3CD0"/>
    <w:rsid w:val="004C4290"/>
    <w:rsid w:val="004C6E2F"/>
    <w:rsid w:val="004D0E53"/>
    <w:rsid w:val="004D1081"/>
    <w:rsid w:val="004D1790"/>
    <w:rsid w:val="004D3C5A"/>
    <w:rsid w:val="004D529D"/>
    <w:rsid w:val="004E1CA6"/>
    <w:rsid w:val="004E2DB6"/>
    <w:rsid w:val="004E3D38"/>
    <w:rsid w:val="004E6230"/>
    <w:rsid w:val="004E6775"/>
    <w:rsid w:val="004E755A"/>
    <w:rsid w:val="004F10AC"/>
    <w:rsid w:val="004F231A"/>
    <w:rsid w:val="004F3423"/>
    <w:rsid w:val="004F6961"/>
    <w:rsid w:val="0050449E"/>
    <w:rsid w:val="005074FA"/>
    <w:rsid w:val="00510068"/>
    <w:rsid w:val="00516607"/>
    <w:rsid w:val="0052193D"/>
    <w:rsid w:val="005228FB"/>
    <w:rsid w:val="00522AE8"/>
    <w:rsid w:val="00530CAF"/>
    <w:rsid w:val="00536DD0"/>
    <w:rsid w:val="00541615"/>
    <w:rsid w:val="00545EC3"/>
    <w:rsid w:val="00550006"/>
    <w:rsid w:val="00551345"/>
    <w:rsid w:val="005542E0"/>
    <w:rsid w:val="00554A87"/>
    <w:rsid w:val="0055781E"/>
    <w:rsid w:val="00570DA7"/>
    <w:rsid w:val="00572285"/>
    <w:rsid w:val="0057520F"/>
    <w:rsid w:val="00576AB1"/>
    <w:rsid w:val="00582248"/>
    <w:rsid w:val="00582A84"/>
    <w:rsid w:val="0058439D"/>
    <w:rsid w:val="00585ADB"/>
    <w:rsid w:val="005863AB"/>
    <w:rsid w:val="005907B6"/>
    <w:rsid w:val="00594AB5"/>
    <w:rsid w:val="00597DE8"/>
    <w:rsid w:val="005A098C"/>
    <w:rsid w:val="005A3DBF"/>
    <w:rsid w:val="005A405B"/>
    <w:rsid w:val="005A4D7A"/>
    <w:rsid w:val="005A7777"/>
    <w:rsid w:val="005B0221"/>
    <w:rsid w:val="005B1138"/>
    <w:rsid w:val="005B47A7"/>
    <w:rsid w:val="005B6F3B"/>
    <w:rsid w:val="005C02C7"/>
    <w:rsid w:val="005C4004"/>
    <w:rsid w:val="005C4C0C"/>
    <w:rsid w:val="005C70F6"/>
    <w:rsid w:val="005D0B20"/>
    <w:rsid w:val="005D29EF"/>
    <w:rsid w:val="005D37E8"/>
    <w:rsid w:val="005D5403"/>
    <w:rsid w:val="005E2187"/>
    <w:rsid w:val="005E2B08"/>
    <w:rsid w:val="005E3DC3"/>
    <w:rsid w:val="005F3CDC"/>
    <w:rsid w:val="00600398"/>
    <w:rsid w:val="00602A43"/>
    <w:rsid w:val="00604557"/>
    <w:rsid w:val="006050C9"/>
    <w:rsid w:val="00613B9F"/>
    <w:rsid w:val="00617518"/>
    <w:rsid w:val="006212E7"/>
    <w:rsid w:val="00625475"/>
    <w:rsid w:val="00626FDC"/>
    <w:rsid w:val="006312A6"/>
    <w:rsid w:val="00635CC0"/>
    <w:rsid w:val="00643EFC"/>
    <w:rsid w:val="006448AF"/>
    <w:rsid w:val="00650456"/>
    <w:rsid w:val="00651661"/>
    <w:rsid w:val="00651C0C"/>
    <w:rsid w:val="006522CB"/>
    <w:rsid w:val="00654D61"/>
    <w:rsid w:val="0065777F"/>
    <w:rsid w:val="0065779D"/>
    <w:rsid w:val="006621C8"/>
    <w:rsid w:val="0066397C"/>
    <w:rsid w:val="00664246"/>
    <w:rsid w:val="00664375"/>
    <w:rsid w:val="0066460F"/>
    <w:rsid w:val="00666BA2"/>
    <w:rsid w:val="0066779B"/>
    <w:rsid w:val="00670751"/>
    <w:rsid w:val="00671F28"/>
    <w:rsid w:val="00672D79"/>
    <w:rsid w:val="0068294A"/>
    <w:rsid w:val="00684658"/>
    <w:rsid w:val="00684BCF"/>
    <w:rsid w:val="00686691"/>
    <w:rsid w:val="00690749"/>
    <w:rsid w:val="00691446"/>
    <w:rsid w:val="00692503"/>
    <w:rsid w:val="00693119"/>
    <w:rsid w:val="00693980"/>
    <w:rsid w:val="00694EE5"/>
    <w:rsid w:val="006967A1"/>
    <w:rsid w:val="006A530E"/>
    <w:rsid w:val="006A5CB3"/>
    <w:rsid w:val="006B0BE1"/>
    <w:rsid w:val="006B16ED"/>
    <w:rsid w:val="006B2068"/>
    <w:rsid w:val="006B30B6"/>
    <w:rsid w:val="006B73FF"/>
    <w:rsid w:val="006C40F6"/>
    <w:rsid w:val="006C4C49"/>
    <w:rsid w:val="006D5817"/>
    <w:rsid w:val="006D7289"/>
    <w:rsid w:val="006D7540"/>
    <w:rsid w:val="006D7B81"/>
    <w:rsid w:val="006E3078"/>
    <w:rsid w:val="006E365F"/>
    <w:rsid w:val="006E366E"/>
    <w:rsid w:val="006E3B9F"/>
    <w:rsid w:val="006E46AA"/>
    <w:rsid w:val="006E4F06"/>
    <w:rsid w:val="006E58AE"/>
    <w:rsid w:val="006E65FF"/>
    <w:rsid w:val="006F1478"/>
    <w:rsid w:val="006F1C05"/>
    <w:rsid w:val="006F23B6"/>
    <w:rsid w:val="006F4D38"/>
    <w:rsid w:val="006F623A"/>
    <w:rsid w:val="00700A24"/>
    <w:rsid w:val="0070108C"/>
    <w:rsid w:val="00707C19"/>
    <w:rsid w:val="00717EC6"/>
    <w:rsid w:val="00725659"/>
    <w:rsid w:val="00726400"/>
    <w:rsid w:val="00732E35"/>
    <w:rsid w:val="00735BC9"/>
    <w:rsid w:val="00735D94"/>
    <w:rsid w:val="00743437"/>
    <w:rsid w:val="00744F95"/>
    <w:rsid w:val="00745A88"/>
    <w:rsid w:val="00745DDE"/>
    <w:rsid w:val="00746F55"/>
    <w:rsid w:val="00750DCE"/>
    <w:rsid w:val="00751708"/>
    <w:rsid w:val="00751B16"/>
    <w:rsid w:val="00754D68"/>
    <w:rsid w:val="00755468"/>
    <w:rsid w:val="0075667E"/>
    <w:rsid w:val="007604BD"/>
    <w:rsid w:val="00763074"/>
    <w:rsid w:val="00763E09"/>
    <w:rsid w:val="007645BC"/>
    <w:rsid w:val="00771BAA"/>
    <w:rsid w:val="007732FE"/>
    <w:rsid w:val="00781371"/>
    <w:rsid w:val="00782208"/>
    <w:rsid w:val="007843E2"/>
    <w:rsid w:val="00785E16"/>
    <w:rsid w:val="0078604C"/>
    <w:rsid w:val="00795ACC"/>
    <w:rsid w:val="00797CDD"/>
    <w:rsid w:val="00797F0E"/>
    <w:rsid w:val="007A067A"/>
    <w:rsid w:val="007A3129"/>
    <w:rsid w:val="007A4D77"/>
    <w:rsid w:val="007A7354"/>
    <w:rsid w:val="007B2FED"/>
    <w:rsid w:val="007B5A52"/>
    <w:rsid w:val="007B7274"/>
    <w:rsid w:val="007B7507"/>
    <w:rsid w:val="007C3C60"/>
    <w:rsid w:val="007C5075"/>
    <w:rsid w:val="007C5FC8"/>
    <w:rsid w:val="007C6ADB"/>
    <w:rsid w:val="007C7407"/>
    <w:rsid w:val="007E2071"/>
    <w:rsid w:val="007E4A9B"/>
    <w:rsid w:val="007E531D"/>
    <w:rsid w:val="007E61CA"/>
    <w:rsid w:val="007F1212"/>
    <w:rsid w:val="007F13A7"/>
    <w:rsid w:val="007F23EC"/>
    <w:rsid w:val="007F4154"/>
    <w:rsid w:val="007F548B"/>
    <w:rsid w:val="007F6C87"/>
    <w:rsid w:val="00800AA5"/>
    <w:rsid w:val="00804AFC"/>
    <w:rsid w:val="00804E6A"/>
    <w:rsid w:val="008059A6"/>
    <w:rsid w:val="00805C0C"/>
    <w:rsid w:val="00806DA7"/>
    <w:rsid w:val="00812953"/>
    <w:rsid w:val="0081551A"/>
    <w:rsid w:val="00815A09"/>
    <w:rsid w:val="00816F1C"/>
    <w:rsid w:val="0082157B"/>
    <w:rsid w:val="00821E2C"/>
    <w:rsid w:val="00823952"/>
    <w:rsid w:val="00825AE3"/>
    <w:rsid w:val="008352B8"/>
    <w:rsid w:val="0083535F"/>
    <w:rsid w:val="008379EE"/>
    <w:rsid w:val="0084029F"/>
    <w:rsid w:val="008433B1"/>
    <w:rsid w:val="0084572E"/>
    <w:rsid w:val="00862C32"/>
    <w:rsid w:val="00865464"/>
    <w:rsid w:val="00865937"/>
    <w:rsid w:val="00866CC9"/>
    <w:rsid w:val="00867091"/>
    <w:rsid w:val="00870ED5"/>
    <w:rsid w:val="008720F3"/>
    <w:rsid w:val="008739C0"/>
    <w:rsid w:val="008764AF"/>
    <w:rsid w:val="00876579"/>
    <w:rsid w:val="00880747"/>
    <w:rsid w:val="00880BA5"/>
    <w:rsid w:val="00882359"/>
    <w:rsid w:val="00882E34"/>
    <w:rsid w:val="00892278"/>
    <w:rsid w:val="0089437C"/>
    <w:rsid w:val="008978E6"/>
    <w:rsid w:val="008A0B77"/>
    <w:rsid w:val="008A4817"/>
    <w:rsid w:val="008B57F3"/>
    <w:rsid w:val="008C1060"/>
    <w:rsid w:val="008C362C"/>
    <w:rsid w:val="008C76C1"/>
    <w:rsid w:val="008C7DBE"/>
    <w:rsid w:val="008E05A8"/>
    <w:rsid w:val="008E7622"/>
    <w:rsid w:val="008F1445"/>
    <w:rsid w:val="008F3D36"/>
    <w:rsid w:val="008F555E"/>
    <w:rsid w:val="008F76B0"/>
    <w:rsid w:val="009000AB"/>
    <w:rsid w:val="00903C03"/>
    <w:rsid w:val="0090407F"/>
    <w:rsid w:val="0090742F"/>
    <w:rsid w:val="00916390"/>
    <w:rsid w:val="009167B3"/>
    <w:rsid w:val="00916FBE"/>
    <w:rsid w:val="0091760F"/>
    <w:rsid w:val="00927A29"/>
    <w:rsid w:val="009371D8"/>
    <w:rsid w:val="0094454B"/>
    <w:rsid w:val="00944FD8"/>
    <w:rsid w:val="009537B3"/>
    <w:rsid w:val="00954029"/>
    <w:rsid w:val="00955031"/>
    <w:rsid w:val="00955404"/>
    <w:rsid w:val="00956603"/>
    <w:rsid w:val="00967ACD"/>
    <w:rsid w:val="00970CB3"/>
    <w:rsid w:val="00973A1A"/>
    <w:rsid w:val="00975505"/>
    <w:rsid w:val="009771F7"/>
    <w:rsid w:val="009832BF"/>
    <w:rsid w:val="009856EF"/>
    <w:rsid w:val="00994144"/>
    <w:rsid w:val="00996F4B"/>
    <w:rsid w:val="009A1CDD"/>
    <w:rsid w:val="009A304E"/>
    <w:rsid w:val="009A35C7"/>
    <w:rsid w:val="009A3715"/>
    <w:rsid w:val="009A3D40"/>
    <w:rsid w:val="009A3D95"/>
    <w:rsid w:val="009A5C43"/>
    <w:rsid w:val="009A5E66"/>
    <w:rsid w:val="009A7838"/>
    <w:rsid w:val="009B2188"/>
    <w:rsid w:val="009B2B6A"/>
    <w:rsid w:val="009B77C1"/>
    <w:rsid w:val="009C0AD8"/>
    <w:rsid w:val="009C18C8"/>
    <w:rsid w:val="009D4C6C"/>
    <w:rsid w:val="009D68D1"/>
    <w:rsid w:val="009E057B"/>
    <w:rsid w:val="009E0AB7"/>
    <w:rsid w:val="009E0ABA"/>
    <w:rsid w:val="009E136D"/>
    <w:rsid w:val="009E1481"/>
    <w:rsid w:val="009E2BCF"/>
    <w:rsid w:val="009E2C74"/>
    <w:rsid w:val="009E41AC"/>
    <w:rsid w:val="009E489B"/>
    <w:rsid w:val="009E65ED"/>
    <w:rsid w:val="009F1254"/>
    <w:rsid w:val="009F1EE6"/>
    <w:rsid w:val="009F5882"/>
    <w:rsid w:val="00A04594"/>
    <w:rsid w:val="00A04D19"/>
    <w:rsid w:val="00A055E0"/>
    <w:rsid w:val="00A078CB"/>
    <w:rsid w:val="00A113D8"/>
    <w:rsid w:val="00A11E84"/>
    <w:rsid w:val="00A13A56"/>
    <w:rsid w:val="00A15259"/>
    <w:rsid w:val="00A17652"/>
    <w:rsid w:val="00A264C8"/>
    <w:rsid w:val="00A34C5A"/>
    <w:rsid w:val="00A403B5"/>
    <w:rsid w:val="00A422B6"/>
    <w:rsid w:val="00A43366"/>
    <w:rsid w:val="00A50CE5"/>
    <w:rsid w:val="00A51299"/>
    <w:rsid w:val="00A55D96"/>
    <w:rsid w:val="00A62231"/>
    <w:rsid w:val="00A648DF"/>
    <w:rsid w:val="00A70BAD"/>
    <w:rsid w:val="00A72B47"/>
    <w:rsid w:val="00A73F5B"/>
    <w:rsid w:val="00A768ED"/>
    <w:rsid w:val="00A77D68"/>
    <w:rsid w:val="00A800BF"/>
    <w:rsid w:val="00A81FE3"/>
    <w:rsid w:val="00A831D8"/>
    <w:rsid w:val="00A83860"/>
    <w:rsid w:val="00A83ECD"/>
    <w:rsid w:val="00A8595C"/>
    <w:rsid w:val="00A87CA1"/>
    <w:rsid w:val="00A91562"/>
    <w:rsid w:val="00A96B17"/>
    <w:rsid w:val="00AA243F"/>
    <w:rsid w:val="00AA30A6"/>
    <w:rsid w:val="00AB2038"/>
    <w:rsid w:val="00AB66E0"/>
    <w:rsid w:val="00AB6AAC"/>
    <w:rsid w:val="00AB7C00"/>
    <w:rsid w:val="00AC1FE7"/>
    <w:rsid w:val="00AC5CA7"/>
    <w:rsid w:val="00AC6CF4"/>
    <w:rsid w:val="00AC7CFB"/>
    <w:rsid w:val="00AD233D"/>
    <w:rsid w:val="00AD2F06"/>
    <w:rsid w:val="00AD4C7B"/>
    <w:rsid w:val="00AD5601"/>
    <w:rsid w:val="00AD65B2"/>
    <w:rsid w:val="00AD681C"/>
    <w:rsid w:val="00AE1292"/>
    <w:rsid w:val="00AE2D98"/>
    <w:rsid w:val="00AE4024"/>
    <w:rsid w:val="00AE480F"/>
    <w:rsid w:val="00AE4B66"/>
    <w:rsid w:val="00AE7A15"/>
    <w:rsid w:val="00AF3D0A"/>
    <w:rsid w:val="00AF4DB5"/>
    <w:rsid w:val="00AF52DF"/>
    <w:rsid w:val="00B01F42"/>
    <w:rsid w:val="00B03919"/>
    <w:rsid w:val="00B1049C"/>
    <w:rsid w:val="00B11A35"/>
    <w:rsid w:val="00B11FF9"/>
    <w:rsid w:val="00B1216B"/>
    <w:rsid w:val="00B1390F"/>
    <w:rsid w:val="00B152FF"/>
    <w:rsid w:val="00B16965"/>
    <w:rsid w:val="00B223FE"/>
    <w:rsid w:val="00B22F3F"/>
    <w:rsid w:val="00B2319D"/>
    <w:rsid w:val="00B23941"/>
    <w:rsid w:val="00B257C1"/>
    <w:rsid w:val="00B35D5E"/>
    <w:rsid w:val="00B365C9"/>
    <w:rsid w:val="00B4190F"/>
    <w:rsid w:val="00B41DB3"/>
    <w:rsid w:val="00B43B15"/>
    <w:rsid w:val="00B44BAA"/>
    <w:rsid w:val="00B45F49"/>
    <w:rsid w:val="00B463E5"/>
    <w:rsid w:val="00B52494"/>
    <w:rsid w:val="00B57BE2"/>
    <w:rsid w:val="00B602F2"/>
    <w:rsid w:val="00B60661"/>
    <w:rsid w:val="00B61E1C"/>
    <w:rsid w:val="00B628A5"/>
    <w:rsid w:val="00B631EE"/>
    <w:rsid w:val="00B6330D"/>
    <w:rsid w:val="00B64590"/>
    <w:rsid w:val="00B65351"/>
    <w:rsid w:val="00B802E2"/>
    <w:rsid w:val="00B80E31"/>
    <w:rsid w:val="00B82CC9"/>
    <w:rsid w:val="00B84D1A"/>
    <w:rsid w:val="00B8536B"/>
    <w:rsid w:val="00B869D8"/>
    <w:rsid w:val="00B87B13"/>
    <w:rsid w:val="00B87EBA"/>
    <w:rsid w:val="00B90284"/>
    <w:rsid w:val="00BA2F5D"/>
    <w:rsid w:val="00BA58AD"/>
    <w:rsid w:val="00BA6F30"/>
    <w:rsid w:val="00BB1513"/>
    <w:rsid w:val="00BB27B2"/>
    <w:rsid w:val="00BB68AB"/>
    <w:rsid w:val="00BC1321"/>
    <w:rsid w:val="00BC1D7C"/>
    <w:rsid w:val="00BC4E92"/>
    <w:rsid w:val="00BC5352"/>
    <w:rsid w:val="00BC5970"/>
    <w:rsid w:val="00BD33EC"/>
    <w:rsid w:val="00BD4952"/>
    <w:rsid w:val="00BD5008"/>
    <w:rsid w:val="00BD51A4"/>
    <w:rsid w:val="00BD6B11"/>
    <w:rsid w:val="00BE36FF"/>
    <w:rsid w:val="00BE51B0"/>
    <w:rsid w:val="00BF2527"/>
    <w:rsid w:val="00BF43C2"/>
    <w:rsid w:val="00BF574A"/>
    <w:rsid w:val="00BF7893"/>
    <w:rsid w:val="00BF7BFC"/>
    <w:rsid w:val="00C03FF2"/>
    <w:rsid w:val="00C06CD9"/>
    <w:rsid w:val="00C06DF5"/>
    <w:rsid w:val="00C12361"/>
    <w:rsid w:val="00C1322C"/>
    <w:rsid w:val="00C13DF8"/>
    <w:rsid w:val="00C14F18"/>
    <w:rsid w:val="00C16590"/>
    <w:rsid w:val="00C16E9B"/>
    <w:rsid w:val="00C22C06"/>
    <w:rsid w:val="00C23360"/>
    <w:rsid w:val="00C301FD"/>
    <w:rsid w:val="00C360C9"/>
    <w:rsid w:val="00C457C7"/>
    <w:rsid w:val="00C45974"/>
    <w:rsid w:val="00C52238"/>
    <w:rsid w:val="00C52288"/>
    <w:rsid w:val="00C57737"/>
    <w:rsid w:val="00C62A45"/>
    <w:rsid w:val="00C63D1E"/>
    <w:rsid w:val="00C65954"/>
    <w:rsid w:val="00C659C4"/>
    <w:rsid w:val="00C704A0"/>
    <w:rsid w:val="00C731A2"/>
    <w:rsid w:val="00C752AD"/>
    <w:rsid w:val="00C77795"/>
    <w:rsid w:val="00C801CC"/>
    <w:rsid w:val="00C805E5"/>
    <w:rsid w:val="00C821E4"/>
    <w:rsid w:val="00C82738"/>
    <w:rsid w:val="00C83510"/>
    <w:rsid w:val="00C835A5"/>
    <w:rsid w:val="00C83773"/>
    <w:rsid w:val="00C87CDA"/>
    <w:rsid w:val="00C91487"/>
    <w:rsid w:val="00C9237D"/>
    <w:rsid w:val="00C9581B"/>
    <w:rsid w:val="00CA3017"/>
    <w:rsid w:val="00CA68DA"/>
    <w:rsid w:val="00CA7035"/>
    <w:rsid w:val="00CB0328"/>
    <w:rsid w:val="00CB39C1"/>
    <w:rsid w:val="00CC074F"/>
    <w:rsid w:val="00CC3CCE"/>
    <w:rsid w:val="00CD1DCF"/>
    <w:rsid w:val="00CD205D"/>
    <w:rsid w:val="00CD2266"/>
    <w:rsid w:val="00CD551B"/>
    <w:rsid w:val="00CD5EDB"/>
    <w:rsid w:val="00CD67B2"/>
    <w:rsid w:val="00CD6884"/>
    <w:rsid w:val="00CE0C0F"/>
    <w:rsid w:val="00CE147F"/>
    <w:rsid w:val="00CE1FAA"/>
    <w:rsid w:val="00CE37B8"/>
    <w:rsid w:val="00CE42F4"/>
    <w:rsid w:val="00CE71F7"/>
    <w:rsid w:val="00CE7E88"/>
    <w:rsid w:val="00CF03B8"/>
    <w:rsid w:val="00CF2C19"/>
    <w:rsid w:val="00CF3048"/>
    <w:rsid w:val="00CF31C5"/>
    <w:rsid w:val="00CF3683"/>
    <w:rsid w:val="00CF406F"/>
    <w:rsid w:val="00CF514A"/>
    <w:rsid w:val="00D00542"/>
    <w:rsid w:val="00D03DA6"/>
    <w:rsid w:val="00D0565E"/>
    <w:rsid w:val="00D057B4"/>
    <w:rsid w:val="00D11D6C"/>
    <w:rsid w:val="00D11E97"/>
    <w:rsid w:val="00D17074"/>
    <w:rsid w:val="00D17E01"/>
    <w:rsid w:val="00D221D5"/>
    <w:rsid w:val="00D229F7"/>
    <w:rsid w:val="00D233F5"/>
    <w:rsid w:val="00D24D60"/>
    <w:rsid w:val="00D27A4B"/>
    <w:rsid w:val="00D34EB7"/>
    <w:rsid w:val="00D3556F"/>
    <w:rsid w:val="00D375C6"/>
    <w:rsid w:val="00D37842"/>
    <w:rsid w:val="00D37BA5"/>
    <w:rsid w:val="00D442D8"/>
    <w:rsid w:val="00D4619C"/>
    <w:rsid w:val="00D47D22"/>
    <w:rsid w:val="00D50D83"/>
    <w:rsid w:val="00D54461"/>
    <w:rsid w:val="00D546E2"/>
    <w:rsid w:val="00D54AE4"/>
    <w:rsid w:val="00D5556E"/>
    <w:rsid w:val="00D561DE"/>
    <w:rsid w:val="00D57174"/>
    <w:rsid w:val="00D60E5B"/>
    <w:rsid w:val="00D610A0"/>
    <w:rsid w:val="00D67A0A"/>
    <w:rsid w:val="00D67CA0"/>
    <w:rsid w:val="00D7118C"/>
    <w:rsid w:val="00D8078C"/>
    <w:rsid w:val="00D810BE"/>
    <w:rsid w:val="00D8164A"/>
    <w:rsid w:val="00D8336B"/>
    <w:rsid w:val="00D85FA4"/>
    <w:rsid w:val="00D861E9"/>
    <w:rsid w:val="00D91253"/>
    <w:rsid w:val="00D935C8"/>
    <w:rsid w:val="00D94006"/>
    <w:rsid w:val="00D952FF"/>
    <w:rsid w:val="00D9603F"/>
    <w:rsid w:val="00D96C7F"/>
    <w:rsid w:val="00DA3D80"/>
    <w:rsid w:val="00DA5308"/>
    <w:rsid w:val="00DA67EF"/>
    <w:rsid w:val="00DA68EE"/>
    <w:rsid w:val="00DA78C9"/>
    <w:rsid w:val="00DB3079"/>
    <w:rsid w:val="00DB3F3F"/>
    <w:rsid w:val="00DC02B4"/>
    <w:rsid w:val="00DC1CE2"/>
    <w:rsid w:val="00DC31A1"/>
    <w:rsid w:val="00DC6124"/>
    <w:rsid w:val="00DC67DE"/>
    <w:rsid w:val="00DD5F5C"/>
    <w:rsid w:val="00DD6155"/>
    <w:rsid w:val="00DD6400"/>
    <w:rsid w:val="00DD7ABA"/>
    <w:rsid w:val="00DE07AE"/>
    <w:rsid w:val="00DE0E4F"/>
    <w:rsid w:val="00DE4B06"/>
    <w:rsid w:val="00DF0BEC"/>
    <w:rsid w:val="00DF10DC"/>
    <w:rsid w:val="00DF1C6B"/>
    <w:rsid w:val="00DF56FD"/>
    <w:rsid w:val="00DF71AE"/>
    <w:rsid w:val="00E00E80"/>
    <w:rsid w:val="00E0317A"/>
    <w:rsid w:val="00E120FB"/>
    <w:rsid w:val="00E13D2B"/>
    <w:rsid w:val="00E169E5"/>
    <w:rsid w:val="00E205DF"/>
    <w:rsid w:val="00E24791"/>
    <w:rsid w:val="00E24E67"/>
    <w:rsid w:val="00E265C2"/>
    <w:rsid w:val="00E27312"/>
    <w:rsid w:val="00E30D76"/>
    <w:rsid w:val="00E32EAC"/>
    <w:rsid w:val="00E43CF6"/>
    <w:rsid w:val="00E44C2B"/>
    <w:rsid w:val="00E468F7"/>
    <w:rsid w:val="00E51003"/>
    <w:rsid w:val="00E522CF"/>
    <w:rsid w:val="00E52EE3"/>
    <w:rsid w:val="00E55A74"/>
    <w:rsid w:val="00E56569"/>
    <w:rsid w:val="00E61AAD"/>
    <w:rsid w:val="00E63094"/>
    <w:rsid w:val="00E631D6"/>
    <w:rsid w:val="00E6468D"/>
    <w:rsid w:val="00E65670"/>
    <w:rsid w:val="00E65C65"/>
    <w:rsid w:val="00E65EAE"/>
    <w:rsid w:val="00E70D77"/>
    <w:rsid w:val="00E7504A"/>
    <w:rsid w:val="00E76A2A"/>
    <w:rsid w:val="00E7721E"/>
    <w:rsid w:val="00E809B8"/>
    <w:rsid w:val="00E8133B"/>
    <w:rsid w:val="00E8221E"/>
    <w:rsid w:val="00E84888"/>
    <w:rsid w:val="00E85328"/>
    <w:rsid w:val="00E85449"/>
    <w:rsid w:val="00E85474"/>
    <w:rsid w:val="00E86990"/>
    <w:rsid w:val="00E91E91"/>
    <w:rsid w:val="00E92FD2"/>
    <w:rsid w:val="00EA4301"/>
    <w:rsid w:val="00EA4B21"/>
    <w:rsid w:val="00EA54ED"/>
    <w:rsid w:val="00EA6B9F"/>
    <w:rsid w:val="00EB09DB"/>
    <w:rsid w:val="00EB17A0"/>
    <w:rsid w:val="00EB1F7C"/>
    <w:rsid w:val="00EB37C2"/>
    <w:rsid w:val="00EB54D5"/>
    <w:rsid w:val="00EB7F34"/>
    <w:rsid w:val="00EC0BD5"/>
    <w:rsid w:val="00EC2011"/>
    <w:rsid w:val="00EC2DF8"/>
    <w:rsid w:val="00EC650C"/>
    <w:rsid w:val="00EC704D"/>
    <w:rsid w:val="00ED1097"/>
    <w:rsid w:val="00ED46AD"/>
    <w:rsid w:val="00ED4F11"/>
    <w:rsid w:val="00ED5F19"/>
    <w:rsid w:val="00EE11FB"/>
    <w:rsid w:val="00EE4090"/>
    <w:rsid w:val="00EE7F03"/>
    <w:rsid w:val="00EF1459"/>
    <w:rsid w:val="00EF542B"/>
    <w:rsid w:val="00F05482"/>
    <w:rsid w:val="00F05724"/>
    <w:rsid w:val="00F07548"/>
    <w:rsid w:val="00F10F1B"/>
    <w:rsid w:val="00F116E5"/>
    <w:rsid w:val="00F118C4"/>
    <w:rsid w:val="00F12BF1"/>
    <w:rsid w:val="00F14FD6"/>
    <w:rsid w:val="00F155C6"/>
    <w:rsid w:val="00F217AD"/>
    <w:rsid w:val="00F218E9"/>
    <w:rsid w:val="00F32BA5"/>
    <w:rsid w:val="00F32E55"/>
    <w:rsid w:val="00F379E6"/>
    <w:rsid w:val="00F42E41"/>
    <w:rsid w:val="00F43344"/>
    <w:rsid w:val="00F4379E"/>
    <w:rsid w:val="00F43AF1"/>
    <w:rsid w:val="00F52F17"/>
    <w:rsid w:val="00F569B2"/>
    <w:rsid w:val="00F620AC"/>
    <w:rsid w:val="00F632E0"/>
    <w:rsid w:val="00F63E0F"/>
    <w:rsid w:val="00F664B4"/>
    <w:rsid w:val="00F707A7"/>
    <w:rsid w:val="00F731E6"/>
    <w:rsid w:val="00F7408D"/>
    <w:rsid w:val="00F74E56"/>
    <w:rsid w:val="00F82628"/>
    <w:rsid w:val="00F8440C"/>
    <w:rsid w:val="00F926A8"/>
    <w:rsid w:val="00F92955"/>
    <w:rsid w:val="00F96344"/>
    <w:rsid w:val="00F96366"/>
    <w:rsid w:val="00FB0B6C"/>
    <w:rsid w:val="00FB2733"/>
    <w:rsid w:val="00FB4552"/>
    <w:rsid w:val="00FB6E18"/>
    <w:rsid w:val="00FB762D"/>
    <w:rsid w:val="00FC1E41"/>
    <w:rsid w:val="00FC2AF6"/>
    <w:rsid w:val="00FC30B9"/>
    <w:rsid w:val="00FC3D61"/>
    <w:rsid w:val="00FC412A"/>
    <w:rsid w:val="00FC70A6"/>
    <w:rsid w:val="00FD00F3"/>
    <w:rsid w:val="00FD1BB0"/>
    <w:rsid w:val="00FD5E8E"/>
    <w:rsid w:val="00FD5FDC"/>
    <w:rsid w:val="00FD66C3"/>
    <w:rsid w:val="00FD6A82"/>
    <w:rsid w:val="00FE0D64"/>
    <w:rsid w:val="00FE1D51"/>
    <w:rsid w:val="00FE23F2"/>
    <w:rsid w:val="00FE2D6C"/>
    <w:rsid w:val="00FF17A2"/>
    <w:rsid w:val="00FF2DDE"/>
    <w:rsid w:val="00FF50D1"/>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BD15"/>
  <w15:docId w15:val="{0DDA2394-B39F-4C53-9223-A5EEC9C4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35A88"/>
    <w:pPr>
      <w:keepNext/>
      <w:spacing w:before="240" w:after="60" w:line="256" w:lineRule="auto"/>
      <w:outlineLvl w:val="0"/>
    </w:pPr>
    <w:rPr>
      <w:rFonts w:asciiTheme="majorHAnsi" w:eastAsiaTheme="majorEastAsia" w:hAnsiTheme="majorHAnsi" w:cstheme="majorBidi"/>
      <w:b/>
      <w:bCs/>
      <w:kern w:val="32"/>
      <w:sz w:val="32"/>
      <w:szCs w:val="3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styleId="NoSpacing">
    <w:name w:val="No Spacing"/>
    <w:uiPriority w:val="1"/>
    <w:qFormat/>
    <w:rsid w:val="00010ED1"/>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7289"/>
    <w:pPr>
      <w:spacing w:before="100" w:beforeAutospacing="1" w:after="100" w:afterAutospacing="1"/>
    </w:pPr>
    <w:rPr>
      <w:lang w:val="en-ZW" w:eastAsia="en-ZW"/>
    </w:rPr>
  </w:style>
  <w:style w:type="character" w:customStyle="1" w:styleId="Heading1Char">
    <w:name w:val="Heading 1 Char"/>
    <w:basedOn w:val="DefaultParagraphFont"/>
    <w:link w:val="Heading1"/>
    <w:uiPriority w:val="9"/>
    <w:rsid w:val="00035A88"/>
    <w:rPr>
      <w:rFonts w:asciiTheme="majorHAnsi" w:eastAsiaTheme="majorEastAsia" w:hAnsiTheme="majorHAnsi" w:cstheme="majorBidi"/>
      <w:b/>
      <w:bCs/>
      <w:kern w:val="32"/>
      <w:sz w:val="32"/>
      <w:szCs w:val="32"/>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20862">
      <w:bodyDiv w:val="1"/>
      <w:marLeft w:val="0"/>
      <w:marRight w:val="0"/>
      <w:marTop w:val="0"/>
      <w:marBottom w:val="0"/>
      <w:divBdr>
        <w:top w:val="none" w:sz="0" w:space="0" w:color="auto"/>
        <w:left w:val="none" w:sz="0" w:space="0" w:color="auto"/>
        <w:bottom w:val="none" w:sz="0" w:space="0" w:color="auto"/>
        <w:right w:val="none" w:sz="0" w:space="0" w:color="auto"/>
      </w:divBdr>
    </w:div>
    <w:div w:id="2040012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jsc-Mujuru</dc:creator>
  <cp:keywords/>
  <dc:description/>
  <cp:lastModifiedBy>JSC</cp:lastModifiedBy>
  <cp:revision>2</cp:revision>
  <cp:lastPrinted>2021-09-03T10:40:00Z</cp:lastPrinted>
  <dcterms:created xsi:type="dcterms:W3CDTF">2023-08-11T09:24:00Z</dcterms:created>
  <dcterms:modified xsi:type="dcterms:W3CDTF">2023-08-11T09:24:00Z</dcterms:modified>
</cp:coreProperties>
</file>