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F9D" w:rsidRDefault="00E87191" w:rsidP="00E662D6">
      <w:pPr>
        <w:pStyle w:val="NoSpacing"/>
        <w:jc w:val="both"/>
        <w:rPr>
          <w:b/>
          <w:lang w:val="en-US"/>
        </w:rPr>
      </w:pPr>
      <w:r>
        <w:rPr>
          <w:b/>
          <w:lang w:val="en-US"/>
        </w:rPr>
        <w:t>MLAUZI SYNDICATE</w:t>
      </w:r>
    </w:p>
    <w:p w:rsidR="00E87191" w:rsidRDefault="00E87191" w:rsidP="00E662D6">
      <w:pPr>
        <w:pStyle w:val="NoSpacing"/>
        <w:jc w:val="both"/>
        <w:rPr>
          <w:b/>
          <w:lang w:val="en-US"/>
        </w:rPr>
      </w:pPr>
    </w:p>
    <w:p w:rsidR="00E87191" w:rsidRDefault="00E87191" w:rsidP="00E662D6">
      <w:pPr>
        <w:pStyle w:val="NoSpacing"/>
        <w:jc w:val="both"/>
        <w:rPr>
          <w:b/>
          <w:lang w:val="en-US"/>
        </w:rPr>
      </w:pPr>
      <w:r>
        <w:rPr>
          <w:b/>
          <w:lang w:val="en-US"/>
        </w:rPr>
        <w:t>And</w:t>
      </w:r>
    </w:p>
    <w:p w:rsidR="00E87191" w:rsidRDefault="00E87191" w:rsidP="00E662D6">
      <w:pPr>
        <w:pStyle w:val="NoSpacing"/>
        <w:jc w:val="both"/>
        <w:rPr>
          <w:b/>
          <w:lang w:val="en-US"/>
        </w:rPr>
      </w:pPr>
    </w:p>
    <w:p w:rsidR="00E87191" w:rsidRDefault="00E87191" w:rsidP="00E662D6">
      <w:pPr>
        <w:pStyle w:val="NoSpacing"/>
        <w:jc w:val="both"/>
        <w:rPr>
          <w:b/>
          <w:lang w:val="en-US"/>
        </w:rPr>
      </w:pPr>
      <w:r>
        <w:rPr>
          <w:b/>
          <w:lang w:val="en-US"/>
        </w:rPr>
        <w:t>BILBOES HOLDINGS (PVT) LTD</w:t>
      </w:r>
    </w:p>
    <w:p w:rsidR="00E87191" w:rsidRDefault="00E87191" w:rsidP="00E662D6">
      <w:pPr>
        <w:pStyle w:val="NoSpacing"/>
        <w:jc w:val="both"/>
        <w:rPr>
          <w:b/>
          <w:lang w:val="en-US"/>
        </w:rPr>
      </w:pPr>
    </w:p>
    <w:p w:rsidR="00E87191" w:rsidRDefault="00E87191" w:rsidP="00E662D6">
      <w:pPr>
        <w:pStyle w:val="NoSpacing"/>
        <w:jc w:val="both"/>
        <w:rPr>
          <w:b/>
          <w:lang w:val="en-US"/>
        </w:rPr>
      </w:pPr>
      <w:r>
        <w:rPr>
          <w:b/>
          <w:lang w:val="en-US"/>
        </w:rPr>
        <w:t>And</w:t>
      </w:r>
    </w:p>
    <w:p w:rsidR="00E87191" w:rsidRDefault="00E87191" w:rsidP="00E662D6">
      <w:pPr>
        <w:pStyle w:val="NoSpacing"/>
        <w:jc w:val="both"/>
        <w:rPr>
          <w:b/>
          <w:lang w:val="en-US"/>
        </w:rPr>
      </w:pPr>
    </w:p>
    <w:p w:rsidR="00E87191" w:rsidRDefault="00E87191" w:rsidP="00E662D6">
      <w:pPr>
        <w:pStyle w:val="NoSpacing"/>
        <w:jc w:val="both"/>
        <w:rPr>
          <w:b/>
          <w:lang w:val="en-US"/>
        </w:rPr>
      </w:pPr>
      <w:r>
        <w:rPr>
          <w:b/>
          <w:lang w:val="en-US"/>
        </w:rPr>
        <w:t>THE MINING COMMISSIONER N.O.</w:t>
      </w:r>
    </w:p>
    <w:p w:rsidR="00E87191" w:rsidRDefault="00E87191" w:rsidP="00E662D6">
      <w:pPr>
        <w:pStyle w:val="NoSpacing"/>
        <w:jc w:val="both"/>
        <w:rPr>
          <w:b/>
          <w:lang w:val="en-US"/>
        </w:rPr>
      </w:pPr>
    </w:p>
    <w:p w:rsidR="00E87191" w:rsidRDefault="00E87191" w:rsidP="00E662D6">
      <w:pPr>
        <w:pStyle w:val="NoSpacing"/>
        <w:jc w:val="both"/>
        <w:rPr>
          <w:b/>
          <w:lang w:val="en-US"/>
        </w:rPr>
      </w:pPr>
      <w:r>
        <w:rPr>
          <w:b/>
          <w:lang w:val="en-US"/>
        </w:rPr>
        <w:t>And</w:t>
      </w:r>
    </w:p>
    <w:p w:rsidR="00E87191" w:rsidRDefault="00E87191" w:rsidP="00E662D6">
      <w:pPr>
        <w:pStyle w:val="NoSpacing"/>
        <w:jc w:val="both"/>
        <w:rPr>
          <w:b/>
          <w:lang w:val="en-US"/>
        </w:rPr>
      </w:pPr>
    </w:p>
    <w:p w:rsidR="00E87191" w:rsidRDefault="00E87191" w:rsidP="00E662D6">
      <w:pPr>
        <w:pStyle w:val="NoSpacing"/>
        <w:jc w:val="both"/>
        <w:rPr>
          <w:b/>
          <w:lang w:val="en-US"/>
        </w:rPr>
      </w:pPr>
      <w:r>
        <w:rPr>
          <w:b/>
          <w:lang w:val="en-US"/>
        </w:rPr>
        <w:t>OFFICER IN CHARGE, CRIMINAL</w:t>
      </w:r>
    </w:p>
    <w:p w:rsidR="00E87191" w:rsidRDefault="00E87191" w:rsidP="00E662D6">
      <w:pPr>
        <w:pStyle w:val="NoSpacing"/>
        <w:jc w:val="both"/>
        <w:rPr>
          <w:b/>
          <w:lang w:val="en-US"/>
        </w:rPr>
      </w:pPr>
      <w:r>
        <w:rPr>
          <w:b/>
          <w:lang w:val="en-US"/>
        </w:rPr>
        <w:t>INVESTIGATING DEPARTMENT</w:t>
      </w:r>
    </w:p>
    <w:p w:rsidR="00E87191" w:rsidRDefault="00E87191" w:rsidP="00E662D6">
      <w:pPr>
        <w:pStyle w:val="NoSpacing"/>
        <w:jc w:val="both"/>
        <w:rPr>
          <w:b/>
          <w:lang w:val="en-US"/>
        </w:rPr>
      </w:pPr>
      <w:r>
        <w:rPr>
          <w:b/>
          <w:lang w:val="en-US"/>
        </w:rPr>
        <w:t>MINERALS AND BORDER CONTROL,</w:t>
      </w:r>
    </w:p>
    <w:p w:rsidR="00E87191" w:rsidRDefault="00E87191" w:rsidP="00E662D6">
      <w:pPr>
        <w:pStyle w:val="NoSpacing"/>
        <w:jc w:val="both"/>
        <w:rPr>
          <w:b/>
          <w:lang w:val="en-US"/>
        </w:rPr>
      </w:pPr>
      <w:r>
        <w:rPr>
          <w:b/>
          <w:lang w:val="en-US"/>
        </w:rPr>
        <w:t>INYATHI POLICE STATION</w:t>
      </w:r>
    </w:p>
    <w:p w:rsidR="00E87191" w:rsidRDefault="00E87191" w:rsidP="00E662D6">
      <w:pPr>
        <w:pStyle w:val="NoSpacing"/>
        <w:jc w:val="both"/>
        <w:rPr>
          <w:b/>
          <w:lang w:val="en-US"/>
        </w:rPr>
      </w:pPr>
    </w:p>
    <w:p w:rsidR="00E87191" w:rsidRDefault="00E87191" w:rsidP="00E662D6">
      <w:pPr>
        <w:pStyle w:val="NoSpacing"/>
        <w:jc w:val="both"/>
        <w:rPr>
          <w:lang w:val="en-US"/>
        </w:rPr>
      </w:pPr>
      <w:r>
        <w:rPr>
          <w:lang w:val="en-US"/>
        </w:rPr>
        <w:t>IN THE HIGH COURT OF ZIMBABWE</w:t>
      </w:r>
    </w:p>
    <w:p w:rsidR="00E87191" w:rsidRDefault="00E87191" w:rsidP="00E662D6">
      <w:pPr>
        <w:pStyle w:val="NoSpacing"/>
        <w:jc w:val="both"/>
        <w:rPr>
          <w:lang w:val="en-US"/>
        </w:rPr>
      </w:pPr>
      <w:r>
        <w:rPr>
          <w:lang w:val="en-US"/>
        </w:rPr>
        <w:t>MOYO J</w:t>
      </w:r>
    </w:p>
    <w:p w:rsidR="00E87191" w:rsidRDefault="00E87191" w:rsidP="00E662D6">
      <w:pPr>
        <w:pStyle w:val="NoSpacing"/>
        <w:jc w:val="both"/>
        <w:rPr>
          <w:lang w:val="en-US"/>
        </w:rPr>
      </w:pPr>
      <w:r>
        <w:rPr>
          <w:lang w:val="en-US"/>
        </w:rPr>
        <w:t xml:space="preserve">BULAWAYO 10 FEBRUARY &amp; </w:t>
      </w:r>
      <w:r w:rsidR="00AD686F">
        <w:rPr>
          <w:lang w:val="en-US"/>
        </w:rPr>
        <w:t>17</w:t>
      </w:r>
      <w:r>
        <w:rPr>
          <w:lang w:val="en-US"/>
        </w:rPr>
        <w:t xml:space="preserve"> MARCH 2022</w:t>
      </w:r>
    </w:p>
    <w:p w:rsidR="00E87191" w:rsidRDefault="00E87191" w:rsidP="00E662D6">
      <w:pPr>
        <w:pStyle w:val="NoSpacing"/>
        <w:jc w:val="both"/>
        <w:rPr>
          <w:lang w:val="en-US"/>
        </w:rPr>
      </w:pPr>
    </w:p>
    <w:p w:rsidR="00E87191" w:rsidRDefault="00E87191" w:rsidP="00E662D6">
      <w:pPr>
        <w:pStyle w:val="NoSpacing"/>
        <w:jc w:val="both"/>
        <w:rPr>
          <w:b/>
          <w:lang w:val="en-US"/>
        </w:rPr>
      </w:pPr>
      <w:r>
        <w:rPr>
          <w:b/>
          <w:lang w:val="en-US"/>
        </w:rPr>
        <w:t>Civil Trial</w:t>
      </w:r>
    </w:p>
    <w:p w:rsidR="00E87191" w:rsidRDefault="00E87191" w:rsidP="00E662D6">
      <w:pPr>
        <w:pStyle w:val="NoSpacing"/>
        <w:jc w:val="both"/>
        <w:rPr>
          <w:b/>
          <w:lang w:val="en-US"/>
        </w:rPr>
      </w:pPr>
    </w:p>
    <w:p w:rsidR="00E87191" w:rsidRDefault="00667242" w:rsidP="00E662D6">
      <w:pPr>
        <w:pStyle w:val="NoSpacing"/>
        <w:jc w:val="both"/>
        <w:rPr>
          <w:lang w:val="en-US"/>
        </w:rPr>
      </w:pPr>
      <w:r w:rsidRPr="00667242">
        <w:rPr>
          <w:i/>
          <w:lang w:val="en-US"/>
        </w:rPr>
        <w:t xml:space="preserve">L. </w:t>
      </w:r>
      <w:proofErr w:type="spellStart"/>
      <w:r w:rsidRPr="00667242">
        <w:rPr>
          <w:i/>
          <w:lang w:val="en-US"/>
        </w:rPr>
        <w:t>Chimire</w:t>
      </w:r>
      <w:proofErr w:type="spellEnd"/>
      <w:r>
        <w:rPr>
          <w:lang w:val="en-US"/>
        </w:rPr>
        <w:t xml:space="preserve"> for the plaintiff</w:t>
      </w:r>
    </w:p>
    <w:p w:rsidR="00667242" w:rsidRDefault="00667242" w:rsidP="00E662D6">
      <w:pPr>
        <w:pStyle w:val="NoSpacing"/>
        <w:jc w:val="both"/>
        <w:rPr>
          <w:lang w:val="en-US"/>
        </w:rPr>
      </w:pPr>
      <w:r w:rsidRPr="00667242">
        <w:rPr>
          <w:i/>
          <w:lang w:val="en-US"/>
        </w:rPr>
        <w:t xml:space="preserve">J. </w:t>
      </w:r>
      <w:proofErr w:type="spellStart"/>
      <w:r w:rsidRPr="00667242">
        <w:rPr>
          <w:i/>
          <w:lang w:val="en-US"/>
        </w:rPr>
        <w:t>Tshuma</w:t>
      </w:r>
      <w:proofErr w:type="spellEnd"/>
      <w:r>
        <w:rPr>
          <w:lang w:val="en-US"/>
        </w:rPr>
        <w:t xml:space="preserve"> for 1</w:t>
      </w:r>
      <w:r w:rsidRPr="00667242">
        <w:rPr>
          <w:vertAlign w:val="superscript"/>
          <w:lang w:val="en-US"/>
        </w:rPr>
        <w:t>st</w:t>
      </w:r>
      <w:r>
        <w:rPr>
          <w:lang w:val="en-US"/>
        </w:rPr>
        <w:t xml:space="preserve"> defendant</w:t>
      </w:r>
    </w:p>
    <w:p w:rsidR="00667242" w:rsidRDefault="00667242" w:rsidP="00E662D6">
      <w:pPr>
        <w:pStyle w:val="NoSpacing"/>
        <w:jc w:val="both"/>
        <w:rPr>
          <w:lang w:val="en-US"/>
        </w:rPr>
      </w:pPr>
    </w:p>
    <w:p w:rsidR="00667242" w:rsidRDefault="00667242" w:rsidP="00E662D6">
      <w:pPr>
        <w:jc w:val="both"/>
        <w:rPr>
          <w:lang w:val="en-US"/>
        </w:rPr>
      </w:pPr>
      <w:r>
        <w:rPr>
          <w:lang w:val="en-US"/>
        </w:rPr>
        <w:tab/>
      </w:r>
      <w:r>
        <w:rPr>
          <w:b/>
          <w:lang w:val="en-US"/>
        </w:rPr>
        <w:t>MOYO J:</w:t>
      </w:r>
      <w:r>
        <w:rPr>
          <w:lang w:val="en-US"/>
        </w:rPr>
        <w:tab/>
        <w:t xml:space="preserve">This is a matter where plaintiff had issued summons against the defendant.  The defendant defended the proceedings and filed a counter claim to the plaintiff’s claim. </w:t>
      </w:r>
    </w:p>
    <w:p w:rsidR="00667242" w:rsidRDefault="00667242" w:rsidP="00E662D6">
      <w:pPr>
        <w:jc w:val="both"/>
        <w:rPr>
          <w:lang w:val="en-US"/>
        </w:rPr>
      </w:pPr>
      <w:r>
        <w:rPr>
          <w:lang w:val="en-US"/>
        </w:rPr>
        <w:tab/>
        <w:t>In the counter-claim the defendant claims the following</w:t>
      </w:r>
      <w:r w:rsidR="0068272C">
        <w:rPr>
          <w:lang w:val="en-US"/>
        </w:rPr>
        <w:t>:</w:t>
      </w:r>
    </w:p>
    <w:p w:rsidR="0068272C" w:rsidRDefault="0068272C" w:rsidP="00E662D6">
      <w:pPr>
        <w:pStyle w:val="NoSpacing"/>
        <w:ind w:left="1440" w:hanging="720"/>
        <w:jc w:val="both"/>
        <w:rPr>
          <w:lang w:val="en-US"/>
        </w:rPr>
      </w:pPr>
      <w:r>
        <w:rPr>
          <w:lang w:val="en-US"/>
        </w:rPr>
        <w:t>“(</w:t>
      </w:r>
      <w:proofErr w:type="gramStart"/>
      <w:r>
        <w:rPr>
          <w:lang w:val="en-US"/>
        </w:rPr>
        <w:t>a</w:t>
      </w:r>
      <w:proofErr w:type="gramEnd"/>
      <w:r>
        <w:rPr>
          <w:lang w:val="en-US"/>
        </w:rPr>
        <w:t>)</w:t>
      </w:r>
      <w:r>
        <w:rPr>
          <w:lang w:val="en-US"/>
        </w:rPr>
        <w:tab/>
        <w:t xml:space="preserve">that the plaintiff be ejected from Calcite Southern Mine, </w:t>
      </w:r>
      <w:proofErr w:type="spellStart"/>
      <w:r>
        <w:rPr>
          <w:lang w:val="en-US"/>
        </w:rPr>
        <w:t>Inyathi</w:t>
      </w:r>
      <w:proofErr w:type="spellEnd"/>
      <w:r>
        <w:rPr>
          <w:lang w:val="en-US"/>
        </w:rPr>
        <w:t xml:space="preserve"> Matabeleland North.</w:t>
      </w:r>
    </w:p>
    <w:p w:rsidR="0068272C" w:rsidRDefault="0068272C" w:rsidP="00E662D6">
      <w:pPr>
        <w:pStyle w:val="NoSpacing"/>
        <w:jc w:val="both"/>
        <w:rPr>
          <w:lang w:val="en-US"/>
        </w:rPr>
      </w:pPr>
      <w:r>
        <w:rPr>
          <w:lang w:val="en-US"/>
        </w:rPr>
        <w:tab/>
        <w:t>(b)</w:t>
      </w:r>
      <w:r>
        <w:rPr>
          <w:lang w:val="en-US"/>
        </w:rPr>
        <w:tab/>
        <w:t>The plaintiff pays costs of suit.”</w:t>
      </w:r>
    </w:p>
    <w:p w:rsidR="0068272C" w:rsidRDefault="0068272C" w:rsidP="00E662D6">
      <w:pPr>
        <w:jc w:val="both"/>
        <w:rPr>
          <w:lang w:val="en-US"/>
        </w:rPr>
      </w:pPr>
    </w:p>
    <w:p w:rsidR="0068272C" w:rsidRDefault="0068272C" w:rsidP="00E662D6">
      <w:pPr>
        <w:jc w:val="both"/>
        <w:rPr>
          <w:lang w:val="en-US"/>
        </w:rPr>
      </w:pPr>
      <w:r>
        <w:rPr>
          <w:lang w:val="en-US"/>
        </w:rPr>
        <w:lastRenderedPageBreak/>
        <w:tab/>
        <w:t xml:space="preserve">The basis of the defendant’s counter-claim is that plaintiffs’ </w:t>
      </w:r>
      <w:r w:rsidR="00AD686F">
        <w:rPr>
          <w:lang w:val="en-US"/>
        </w:rPr>
        <w:t xml:space="preserve">mining </w:t>
      </w:r>
      <w:r>
        <w:rPr>
          <w:lang w:val="en-US"/>
        </w:rPr>
        <w:t xml:space="preserve">claim was cancelled but that plaintiff continues to occupy Calcite South Mine and continues to mine without a valid permit yet defendant acquired the mining claims known as Calcite 22 to 28 </w:t>
      </w:r>
      <w:r w:rsidR="00AD686F">
        <w:rPr>
          <w:lang w:val="en-US"/>
        </w:rPr>
        <w:t>on</w:t>
      </w:r>
      <w:r>
        <w:rPr>
          <w:lang w:val="en-US"/>
        </w:rPr>
        <w:t xml:space="preserve"> the 7</w:t>
      </w:r>
      <w:r w:rsidRPr="0068272C">
        <w:rPr>
          <w:vertAlign w:val="superscript"/>
          <w:lang w:val="en-US"/>
        </w:rPr>
        <w:t>th</w:t>
      </w:r>
      <w:r>
        <w:rPr>
          <w:lang w:val="en-US"/>
        </w:rPr>
        <w:t xml:space="preserve"> of May 1986.</w:t>
      </w:r>
    </w:p>
    <w:p w:rsidR="0068272C" w:rsidRDefault="0068272C" w:rsidP="00E662D6">
      <w:pPr>
        <w:jc w:val="both"/>
        <w:rPr>
          <w:lang w:val="en-US"/>
        </w:rPr>
      </w:pPr>
      <w:r>
        <w:rPr>
          <w:lang w:val="en-US"/>
        </w:rPr>
        <w:tab/>
        <w:t xml:space="preserve">In </w:t>
      </w:r>
      <w:r w:rsidR="00430574">
        <w:rPr>
          <w:lang w:val="en-US"/>
        </w:rPr>
        <w:t>their plea to the defendant’s counter-claim, plaintiff avers that “the defendant has not been shown the said cancellation and that in fact they are challenging the said process</w:t>
      </w:r>
      <w:r w:rsidR="00AD686F">
        <w:rPr>
          <w:lang w:val="en-US"/>
        </w:rPr>
        <w:t>”</w:t>
      </w:r>
      <w:r w:rsidR="00430574">
        <w:rPr>
          <w:lang w:val="en-US"/>
        </w:rPr>
        <w:t>.  At a pre-trial conference held on 10 November 2020, the only issue referred for trial was whether the 1</w:t>
      </w:r>
      <w:r w:rsidR="00430574" w:rsidRPr="00430574">
        <w:rPr>
          <w:vertAlign w:val="superscript"/>
          <w:lang w:val="en-US"/>
        </w:rPr>
        <w:t>st</w:t>
      </w:r>
      <w:r w:rsidR="00430574">
        <w:rPr>
          <w:lang w:val="en-US"/>
        </w:rPr>
        <w:t xml:space="preserve"> defendant is entitled to evict the plaintiff from Calcite South Mine on </w:t>
      </w:r>
      <w:proofErr w:type="spellStart"/>
      <w:r w:rsidR="00430574">
        <w:rPr>
          <w:lang w:val="en-US"/>
        </w:rPr>
        <w:t>Eastner</w:t>
      </w:r>
      <w:proofErr w:type="spellEnd"/>
      <w:r w:rsidR="00430574">
        <w:rPr>
          <w:lang w:val="en-US"/>
        </w:rPr>
        <w:t xml:space="preserve"> Farm and that the onus would be on the 1</w:t>
      </w:r>
      <w:r w:rsidR="00430574" w:rsidRPr="00430574">
        <w:rPr>
          <w:vertAlign w:val="superscript"/>
          <w:lang w:val="en-US"/>
        </w:rPr>
        <w:t>st</w:t>
      </w:r>
      <w:r w:rsidR="00430574">
        <w:rPr>
          <w:lang w:val="en-US"/>
        </w:rPr>
        <w:t xml:space="preserve"> defendant.  The plaintiff</w:t>
      </w:r>
      <w:r w:rsidR="00AD686F">
        <w:rPr>
          <w:lang w:val="en-US"/>
        </w:rPr>
        <w:t>’s</w:t>
      </w:r>
      <w:r w:rsidR="00430574">
        <w:rPr>
          <w:lang w:val="en-US"/>
        </w:rPr>
        <w:t xml:space="preserve"> claims were thus dropped at the pre-trial conference stage and were thus never referred to trial.  What this court has to determine therefore is the 1`st defendant’s counter-claim.  The 1</w:t>
      </w:r>
      <w:r w:rsidR="00430574" w:rsidRPr="00430574">
        <w:rPr>
          <w:vertAlign w:val="superscript"/>
          <w:lang w:val="en-US"/>
        </w:rPr>
        <w:t>st</w:t>
      </w:r>
      <w:r w:rsidR="00430574">
        <w:rPr>
          <w:lang w:val="en-US"/>
        </w:rPr>
        <w:t xml:space="preserve"> defendant led evidence through S. </w:t>
      </w:r>
      <w:proofErr w:type="spellStart"/>
      <w:r w:rsidR="00430574">
        <w:rPr>
          <w:lang w:val="en-US"/>
        </w:rPr>
        <w:t>Chimwanda</w:t>
      </w:r>
      <w:proofErr w:type="spellEnd"/>
      <w:r w:rsidR="00430574">
        <w:rPr>
          <w:lang w:val="en-US"/>
        </w:rPr>
        <w:t xml:space="preserve"> who told the court that claim 22 is the cl</w:t>
      </w:r>
      <w:r w:rsidR="00E662D6">
        <w:rPr>
          <w:lang w:val="en-US"/>
        </w:rPr>
        <w:t>a</w:t>
      </w:r>
      <w:r w:rsidR="00430574">
        <w:rPr>
          <w:lang w:val="en-US"/>
        </w:rPr>
        <w:t>im in dispute and that a dispute arose relating to the co-exi</w:t>
      </w:r>
      <w:r w:rsidR="00E662D6">
        <w:rPr>
          <w:lang w:val="en-US"/>
        </w:rPr>
        <w:t>s</w:t>
      </w:r>
      <w:r w:rsidR="00430574">
        <w:rPr>
          <w:lang w:val="en-US"/>
        </w:rPr>
        <w:t xml:space="preserve">tence of the </w:t>
      </w:r>
      <w:proofErr w:type="gramStart"/>
      <w:r w:rsidR="00430574">
        <w:rPr>
          <w:lang w:val="en-US"/>
        </w:rPr>
        <w:t>parties</w:t>
      </w:r>
      <w:proofErr w:type="gramEnd"/>
      <w:r w:rsidR="00430574">
        <w:rPr>
          <w:lang w:val="en-US"/>
        </w:rPr>
        <w:t xml:space="preserve"> </w:t>
      </w:r>
      <w:r w:rsidR="00430574" w:rsidRPr="00E662D6">
        <w:rPr>
          <w:i/>
          <w:lang w:val="en-US"/>
        </w:rPr>
        <w:t>vis-à-vis</w:t>
      </w:r>
      <w:r w:rsidR="00430574">
        <w:rPr>
          <w:lang w:val="en-US"/>
        </w:rPr>
        <w:t xml:space="preserve"> that claim and the Mining Commissioner.  The result of the engagement and consultation with the Mining Commissioner was that a finding was subsequently made that plaintiff’s mining claim be cancelled as there is no gap/gr</w:t>
      </w:r>
      <w:r w:rsidR="00E662D6">
        <w:rPr>
          <w:lang w:val="en-US"/>
        </w:rPr>
        <w:t>o</w:t>
      </w:r>
      <w:r w:rsidR="00430574">
        <w:rPr>
          <w:lang w:val="en-US"/>
        </w:rPr>
        <w:t xml:space="preserve">und open for pegging on the survey map and that at the time of registration of Calcite South Mine (46920) the area was covered by Reserved Area 134/03.  Plaintiff’s </w:t>
      </w:r>
      <w:r w:rsidR="00AD686F">
        <w:rPr>
          <w:lang w:val="en-US"/>
        </w:rPr>
        <w:t xml:space="preserve">Violet </w:t>
      </w:r>
      <w:proofErr w:type="spellStart"/>
      <w:r w:rsidR="00AD686F">
        <w:rPr>
          <w:lang w:val="en-US"/>
        </w:rPr>
        <w:t>Mlauzi</w:t>
      </w:r>
      <w:proofErr w:type="spellEnd"/>
      <w:r w:rsidR="00AD686F">
        <w:rPr>
          <w:lang w:val="en-US"/>
        </w:rPr>
        <w:t xml:space="preserve"> </w:t>
      </w:r>
      <w:r w:rsidR="00430574">
        <w:rPr>
          <w:lang w:val="en-US"/>
        </w:rPr>
        <w:t>witness</w:t>
      </w:r>
      <w:r w:rsidR="00672B27">
        <w:rPr>
          <w:lang w:val="en-US"/>
        </w:rPr>
        <w:t xml:space="preserve"> a</w:t>
      </w:r>
      <w:r w:rsidR="00E662D6">
        <w:rPr>
          <w:lang w:val="en-US"/>
        </w:rPr>
        <w:t>l</w:t>
      </w:r>
      <w:r w:rsidR="00672B27">
        <w:rPr>
          <w:lang w:val="en-US"/>
        </w:rPr>
        <w:t xml:space="preserve">so testified that since the cancellation of the </w:t>
      </w:r>
      <w:r w:rsidR="00672B27">
        <w:rPr>
          <w:lang w:val="en-US"/>
        </w:rPr>
        <w:lastRenderedPageBreak/>
        <w:t>p</w:t>
      </w:r>
      <w:r w:rsidR="00E662D6">
        <w:rPr>
          <w:lang w:val="en-US"/>
        </w:rPr>
        <w:t>l</w:t>
      </w:r>
      <w:r w:rsidR="00672B27">
        <w:rPr>
          <w:lang w:val="en-US"/>
        </w:rPr>
        <w:t xml:space="preserve">aintiff’s certificate plaintiff has </w:t>
      </w:r>
      <w:r w:rsidR="00AD686F">
        <w:rPr>
          <w:lang w:val="en-US"/>
        </w:rPr>
        <w:t>continued</w:t>
      </w:r>
      <w:r w:rsidR="00672B27">
        <w:rPr>
          <w:lang w:val="en-US"/>
        </w:rPr>
        <w:t xml:space="preserve"> mining activities in breach of the Mines and Minerals Act.</w:t>
      </w:r>
    </w:p>
    <w:p w:rsidR="00672B27" w:rsidRDefault="00672B27" w:rsidP="00E662D6">
      <w:pPr>
        <w:jc w:val="both"/>
        <w:rPr>
          <w:lang w:val="en-US"/>
        </w:rPr>
      </w:pPr>
      <w:r>
        <w:rPr>
          <w:lang w:val="en-US"/>
        </w:rPr>
        <w:tab/>
        <w:t xml:space="preserve">In her testimony </w:t>
      </w:r>
      <w:proofErr w:type="spellStart"/>
      <w:r>
        <w:rPr>
          <w:lang w:val="en-US"/>
        </w:rPr>
        <w:t>Mr</w:t>
      </w:r>
      <w:r w:rsidR="00AD686F">
        <w:rPr>
          <w:lang w:val="en-US"/>
        </w:rPr>
        <w:t>s</w:t>
      </w:r>
      <w:proofErr w:type="spellEnd"/>
      <w:r>
        <w:rPr>
          <w:lang w:val="en-US"/>
        </w:rPr>
        <w:t xml:space="preserve"> </w:t>
      </w:r>
      <w:proofErr w:type="spellStart"/>
      <w:r>
        <w:rPr>
          <w:lang w:val="en-US"/>
        </w:rPr>
        <w:t>Mlauzi</w:t>
      </w:r>
      <w:proofErr w:type="spellEnd"/>
      <w:r>
        <w:rPr>
          <w:lang w:val="en-US"/>
        </w:rPr>
        <w:t xml:space="preserve"> for the plaintiff, conceded that </w:t>
      </w:r>
      <w:r w:rsidR="00AD686F">
        <w:rPr>
          <w:lang w:val="en-US"/>
        </w:rPr>
        <w:t>plaintiff</w:t>
      </w:r>
      <w:r>
        <w:rPr>
          <w:lang w:val="en-US"/>
        </w:rPr>
        <w:t xml:space="preserve"> currently does not hold any documents entitling her to mine in the area wherein 1</w:t>
      </w:r>
      <w:r w:rsidRPr="00672B27">
        <w:rPr>
          <w:vertAlign w:val="superscript"/>
          <w:lang w:val="en-US"/>
        </w:rPr>
        <w:t>st</w:t>
      </w:r>
      <w:r>
        <w:rPr>
          <w:lang w:val="en-US"/>
        </w:rPr>
        <w:t xml:space="preserve"> defendant seeks </w:t>
      </w:r>
      <w:r w:rsidR="00AD686F">
        <w:rPr>
          <w:lang w:val="en-US"/>
        </w:rPr>
        <w:t>plaintiff</w:t>
      </w:r>
      <w:r>
        <w:rPr>
          <w:lang w:val="en-US"/>
        </w:rPr>
        <w:t xml:space="preserve">’s eviction.  She confirmed that she did not review her registration certificate issued to her in 2012 for claim Calcite South registration number 46920.  She said it has never been renewed since 2013.  She confirmed that plaintiff is still mining on Calcite South 46920.  She confirmed that she received the </w:t>
      </w:r>
      <w:r w:rsidR="00E662D6">
        <w:rPr>
          <w:lang w:val="en-US"/>
        </w:rPr>
        <w:t>l</w:t>
      </w:r>
      <w:r>
        <w:rPr>
          <w:lang w:val="en-US"/>
        </w:rPr>
        <w:t>etter of cancellation.  Questioned under cross-examination that she was defying the Ministry of Mines.  She said she knew that.</w:t>
      </w:r>
    </w:p>
    <w:p w:rsidR="00672B27" w:rsidRDefault="00672B27" w:rsidP="00E662D6">
      <w:pPr>
        <w:jc w:val="both"/>
        <w:rPr>
          <w:lang w:val="en-US"/>
        </w:rPr>
      </w:pPr>
      <w:r>
        <w:rPr>
          <w:lang w:val="en-US"/>
        </w:rPr>
        <w:tab/>
        <w:t>Thus being a mining dispute, the only resolution lies with the information in the court record obtained from the Minist</w:t>
      </w:r>
      <w:r w:rsidR="00AD686F">
        <w:rPr>
          <w:lang w:val="en-US"/>
        </w:rPr>
        <w:t>ry</w:t>
      </w:r>
      <w:r>
        <w:rPr>
          <w:lang w:val="en-US"/>
        </w:rPr>
        <w:t xml:space="preserve"> of Mines.</w:t>
      </w:r>
    </w:p>
    <w:p w:rsidR="00672B27" w:rsidRDefault="00672B27" w:rsidP="00E662D6">
      <w:pPr>
        <w:jc w:val="both"/>
        <w:rPr>
          <w:lang w:val="en-US"/>
        </w:rPr>
      </w:pPr>
      <w:r>
        <w:rPr>
          <w:lang w:val="en-US"/>
        </w:rPr>
        <w:tab/>
        <w:t>Clearly, the Mines Ministry from the letter at page 43 of 1</w:t>
      </w:r>
      <w:r w:rsidRPr="00672B27">
        <w:rPr>
          <w:vertAlign w:val="superscript"/>
          <w:lang w:val="en-US"/>
        </w:rPr>
        <w:t>st</w:t>
      </w:r>
      <w:r>
        <w:rPr>
          <w:lang w:val="en-US"/>
        </w:rPr>
        <w:t xml:space="preserve"> defendant</w:t>
      </w:r>
      <w:r w:rsidR="00AD686F">
        <w:rPr>
          <w:lang w:val="en-US"/>
        </w:rPr>
        <w:t>’s</w:t>
      </w:r>
      <w:r>
        <w:rPr>
          <w:lang w:val="en-US"/>
        </w:rPr>
        <w:t xml:space="preserve"> bundle of documents cancelled the plaintiff’s Calcite South (46920) </w:t>
      </w:r>
      <w:proofErr w:type="spellStart"/>
      <w:r>
        <w:rPr>
          <w:lang w:val="en-US"/>
        </w:rPr>
        <w:t>Mlauzi</w:t>
      </w:r>
      <w:proofErr w:type="spellEnd"/>
      <w:r>
        <w:rPr>
          <w:lang w:val="en-US"/>
        </w:rPr>
        <w:t xml:space="preserve"> Syndicate claim.  Plaintiff was by virtue of that letter also ordered to cease all mining activities.  It is common cause from the documents in 1</w:t>
      </w:r>
      <w:r w:rsidRPr="00672B27">
        <w:rPr>
          <w:vertAlign w:val="superscript"/>
          <w:lang w:val="en-US"/>
        </w:rPr>
        <w:t>st</w:t>
      </w:r>
      <w:r>
        <w:rPr>
          <w:lang w:val="en-US"/>
        </w:rPr>
        <w:t xml:space="preserve"> defendant’s bundle that the cancellation was as a result of a dispute between plaintiff and 1</w:t>
      </w:r>
      <w:r w:rsidRPr="00672B27">
        <w:rPr>
          <w:vertAlign w:val="superscript"/>
          <w:lang w:val="en-US"/>
        </w:rPr>
        <w:t>st</w:t>
      </w:r>
      <w:r>
        <w:rPr>
          <w:lang w:val="en-US"/>
        </w:rPr>
        <w:t xml:space="preserve"> defendant.  It is also common cause, as per </w:t>
      </w:r>
      <w:proofErr w:type="spellStart"/>
      <w:r>
        <w:rPr>
          <w:lang w:val="en-US"/>
        </w:rPr>
        <w:t>Mrs</w:t>
      </w:r>
      <w:proofErr w:type="spellEnd"/>
      <w:r>
        <w:rPr>
          <w:lang w:val="en-US"/>
        </w:rPr>
        <w:t xml:space="preserve"> </w:t>
      </w:r>
      <w:proofErr w:type="spellStart"/>
      <w:r>
        <w:rPr>
          <w:lang w:val="en-US"/>
        </w:rPr>
        <w:t>Mlauzi’s</w:t>
      </w:r>
      <w:proofErr w:type="spellEnd"/>
      <w:r>
        <w:rPr>
          <w:lang w:val="en-US"/>
        </w:rPr>
        <w:t xml:space="preserve"> admission that the plaintiff still mines at the disputed site where its claim was</w:t>
      </w:r>
      <w:r w:rsidR="00BB47C7">
        <w:rPr>
          <w:lang w:val="en-US"/>
        </w:rPr>
        <w:t xml:space="preserve"> cancelled.</w:t>
      </w:r>
    </w:p>
    <w:p w:rsidR="0068272C" w:rsidRDefault="006E3E2B" w:rsidP="00E662D6">
      <w:pPr>
        <w:jc w:val="both"/>
        <w:rPr>
          <w:lang w:val="en-US"/>
        </w:rPr>
      </w:pPr>
      <w:r>
        <w:rPr>
          <w:lang w:val="en-US"/>
        </w:rPr>
        <w:lastRenderedPageBreak/>
        <w:tab/>
        <w:t xml:space="preserve">The view of this court in resolving the issue of whether </w:t>
      </w:r>
      <w:r w:rsidR="00AD686F">
        <w:rPr>
          <w:lang w:val="en-US"/>
        </w:rPr>
        <w:t xml:space="preserve">the </w:t>
      </w:r>
      <w:r>
        <w:rPr>
          <w:lang w:val="en-US"/>
        </w:rPr>
        <w:t xml:space="preserve">eviction should be granted or not is that, mining land is within the jurisdiction of the Mines Ministry.  They issue certificates of registration and also cancel same where appropriate.  Where the Mining Commissioner has taken a decision to cancel a certificate of registration and where the Mining Commissioner has found in </w:t>
      </w:r>
      <w:proofErr w:type="spellStart"/>
      <w:r>
        <w:rPr>
          <w:lang w:val="en-US"/>
        </w:rPr>
        <w:t>favour</w:t>
      </w:r>
      <w:proofErr w:type="spellEnd"/>
      <w:r>
        <w:rPr>
          <w:lang w:val="en-US"/>
        </w:rPr>
        <w:t xml:space="preserve"> of one party </w:t>
      </w:r>
      <w:r w:rsidR="00AD686F">
        <w:rPr>
          <w:lang w:val="en-US"/>
        </w:rPr>
        <w:t>in</w:t>
      </w:r>
      <w:r>
        <w:rPr>
          <w:lang w:val="en-US"/>
        </w:rPr>
        <w:t xml:space="preserve"> a mining dispute or encroachment, the court, in a matter like this one, cannot re-visit the appropriateness or </w:t>
      </w:r>
      <w:r w:rsidR="00E662D6">
        <w:rPr>
          <w:lang w:val="en-US"/>
        </w:rPr>
        <w:t>otherwise</w:t>
      </w:r>
      <w:r w:rsidR="00D8339C">
        <w:rPr>
          <w:lang w:val="en-US"/>
        </w:rPr>
        <w:t xml:space="preserve"> of the  Mining Commissioner</w:t>
      </w:r>
      <w:r w:rsidR="00AD686F">
        <w:rPr>
          <w:lang w:val="en-US"/>
        </w:rPr>
        <w:t xml:space="preserve">’s decision </w:t>
      </w:r>
      <w:r w:rsidR="00D8339C">
        <w:rPr>
          <w:lang w:val="en-US"/>
        </w:rPr>
        <w:t>since the purpose of these proceedings is</w:t>
      </w:r>
      <w:r w:rsidR="00E662D6">
        <w:rPr>
          <w:lang w:val="en-US"/>
        </w:rPr>
        <w:t xml:space="preserve"> </w:t>
      </w:r>
      <w:r w:rsidR="00D8339C">
        <w:rPr>
          <w:lang w:val="en-US"/>
        </w:rPr>
        <w:t>not to review</w:t>
      </w:r>
      <w:r w:rsidR="00AD686F">
        <w:rPr>
          <w:lang w:val="en-US"/>
        </w:rPr>
        <w:t xml:space="preserve"> them but </w:t>
      </w:r>
      <w:r w:rsidR="00D8339C">
        <w:rPr>
          <w:lang w:val="en-US"/>
        </w:rPr>
        <w:t>what the 1</w:t>
      </w:r>
      <w:r w:rsidR="00D8339C" w:rsidRPr="00D8339C">
        <w:rPr>
          <w:vertAlign w:val="superscript"/>
          <w:lang w:val="en-US"/>
        </w:rPr>
        <w:t>st</w:t>
      </w:r>
      <w:r w:rsidR="00D8339C">
        <w:rPr>
          <w:lang w:val="en-US"/>
        </w:rPr>
        <w:t xml:space="preserve"> defendant seeks in my view is to confirm its rights of ownership of a claim and to eject plaintiff from a claim where the Mining Commissioner has already found in its </w:t>
      </w:r>
      <w:proofErr w:type="spellStart"/>
      <w:r w:rsidR="00D8339C">
        <w:rPr>
          <w:lang w:val="en-US"/>
        </w:rPr>
        <w:t>favour</w:t>
      </w:r>
      <w:proofErr w:type="spellEnd"/>
      <w:r w:rsidR="00D8339C">
        <w:rPr>
          <w:lang w:val="en-US"/>
        </w:rPr>
        <w:t xml:space="preserve"> in a mining dispute involving the parties.  </w:t>
      </w:r>
      <w:r w:rsidR="00AD686F">
        <w:rPr>
          <w:lang w:val="en-US"/>
        </w:rPr>
        <w:t>1</w:t>
      </w:r>
      <w:r w:rsidR="00AD686F" w:rsidRPr="00AD686F">
        <w:rPr>
          <w:vertAlign w:val="superscript"/>
          <w:lang w:val="en-US"/>
        </w:rPr>
        <w:t>st</w:t>
      </w:r>
      <w:r w:rsidR="00AD686F">
        <w:rPr>
          <w:lang w:val="en-US"/>
        </w:rPr>
        <w:t xml:space="preserve"> defendant</w:t>
      </w:r>
      <w:r w:rsidR="00D8339C">
        <w:rPr>
          <w:lang w:val="en-US"/>
        </w:rPr>
        <w:t xml:space="preserve"> has tendered documentary proof of copies of registration certificates at pages 60 – 64 of 1</w:t>
      </w:r>
      <w:r w:rsidR="00D8339C" w:rsidRPr="00D8339C">
        <w:rPr>
          <w:vertAlign w:val="superscript"/>
          <w:lang w:val="en-US"/>
        </w:rPr>
        <w:t>st</w:t>
      </w:r>
      <w:r w:rsidR="00D8339C">
        <w:rPr>
          <w:lang w:val="en-US"/>
        </w:rPr>
        <w:t xml:space="preserve"> defendant’s bundle of documents.  On the other hand, plaintiff has confirmed that they have no registration to title and that they were ordered to ce</w:t>
      </w:r>
      <w:r w:rsidR="00E662D6">
        <w:rPr>
          <w:lang w:val="en-US"/>
        </w:rPr>
        <w:t>a</w:t>
      </w:r>
      <w:r w:rsidR="00D8339C">
        <w:rPr>
          <w:lang w:val="en-US"/>
        </w:rPr>
        <w:t>se mining operations by the Mines Ministry but that they did not heed that directive.</w:t>
      </w:r>
    </w:p>
    <w:p w:rsidR="00D8339C" w:rsidRDefault="00D8339C" w:rsidP="00E662D6">
      <w:pPr>
        <w:jc w:val="both"/>
        <w:rPr>
          <w:lang w:val="en-US"/>
        </w:rPr>
      </w:pPr>
      <w:r>
        <w:rPr>
          <w:lang w:val="en-US"/>
        </w:rPr>
        <w:tab/>
        <w:t xml:space="preserve">The case clearly should be resolved on the facts as </w:t>
      </w:r>
      <w:r w:rsidR="00AD686F">
        <w:rPr>
          <w:lang w:val="en-US"/>
        </w:rPr>
        <w:t xml:space="preserve">are </w:t>
      </w:r>
      <w:r>
        <w:rPr>
          <w:lang w:val="en-US"/>
        </w:rPr>
        <w:t xml:space="preserve">established by the documents emanating from </w:t>
      </w:r>
      <w:bookmarkStart w:id="0" w:name="_GoBack"/>
      <w:bookmarkEnd w:id="0"/>
      <w:r>
        <w:rPr>
          <w:lang w:val="en-US"/>
        </w:rPr>
        <w:t xml:space="preserve">the </w:t>
      </w:r>
      <w:r w:rsidR="00AD686F">
        <w:rPr>
          <w:lang w:val="en-US"/>
        </w:rPr>
        <w:t xml:space="preserve">Mines </w:t>
      </w:r>
      <w:r>
        <w:rPr>
          <w:lang w:val="en-US"/>
        </w:rPr>
        <w:t>Ministry which documents are proof of title or otherwise.  It is for these reasons that I find that 1</w:t>
      </w:r>
      <w:r w:rsidRPr="00D8339C">
        <w:rPr>
          <w:vertAlign w:val="superscript"/>
          <w:lang w:val="en-US"/>
        </w:rPr>
        <w:t>st</w:t>
      </w:r>
      <w:r>
        <w:rPr>
          <w:lang w:val="en-US"/>
        </w:rPr>
        <w:t xml:space="preserve"> defendant having proven its title, and 1</w:t>
      </w:r>
      <w:r w:rsidRPr="00D8339C">
        <w:rPr>
          <w:vertAlign w:val="superscript"/>
          <w:lang w:val="en-US"/>
        </w:rPr>
        <w:t>st</w:t>
      </w:r>
      <w:r>
        <w:rPr>
          <w:lang w:val="en-US"/>
        </w:rPr>
        <w:t xml:space="preserve"> defendant </w:t>
      </w:r>
      <w:r w:rsidR="00AD686F">
        <w:rPr>
          <w:lang w:val="en-US"/>
        </w:rPr>
        <w:t xml:space="preserve">having </w:t>
      </w:r>
      <w:r>
        <w:rPr>
          <w:lang w:val="en-US"/>
        </w:rPr>
        <w:t>tendered documents from the Mines Ministry which support its cause and plaintiff having failed to produce anything</w:t>
      </w:r>
      <w:r w:rsidR="00AD686F">
        <w:rPr>
          <w:lang w:val="en-US"/>
        </w:rPr>
        <w:t xml:space="preserve"> </w:t>
      </w:r>
      <w:r w:rsidR="00AD686F">
        <w:rPr>
          <w:lang w:val="en-US"/>
        </w:rPr>
        <w:lastRenderedPageBreak/>
        <w:t>in support of its presence on the ground,</w:t>
      </w:r>
      <w:r>
        <w:rPr>
          <w:lang w:val="en-US"/>
        </w:rPr>
        <w:t xml:space="preserve"> this court is bound by the documentary evi</w:t>
      </w:r>
      <w:r w:rsidR="00E662D6">
        <w:rPr>
          <w:lang w:val="en-US"/>
        </w:rPr>
        <w:t>d</w:t>
      </w:r>
      <w:r>
        <w:rPr>
          <w:lang w:val="en-US"/>
        </w:rPr>
        <w:t>ence before it and consequently I find that 1</w:t>
      </w:r>
      <w:r w:rsidRPr="00D8339C">
        <w:rPr>
          <w:vertAlign w:val="superscript"/>
          <w:lang w:val="en-US"/>
        </w:rPr>
        <w:t>st</w:t>
      </w:r>
      <w:r>
        <w:rPr>
          <w:lang w:val="en-US"/>
        </w:rPr>
        <w:t xml:space="preserve"> defendant has indeed made a case for the relief that it seeks.</w:t>
      </w:r>
    </w:p>
    <w:p w:rsidR="00D8339C" w:rsidRDefault="00D8339C" w:rsidP="00E662D6">
      <w:pPr>
        <w:jc w:val="both"/>
        <w:rPr>
          <w:lang w:val="en-US"/>
        </w:rPr>
      </w:pPr>
      <w:r>
        <w:rPr>
          <w:lang w:val="en-US"/>
        </w:rPr>
        <w:tab/>
        <w:t>I accordingly order as follows:</w:t>
      </w:r>
    </w:p>
    <w:p w:rsidR="00D8339C" w:rsidRDefault="00D8339C" w:rsidP="00E662D6">
      <w:pPr>
        <w:pStyle w:val="ListParagraph"/>
        <w:numPr>
          <w:ilvl w:val="0"/>
          <w:numId w:val="1"/>
        </w:numPr>
        <w:jc w:val="both"/>
        <w:rPr>
          <w:lang w:val="en-US"/>
        </w:rPr>
      </w:pPr>
      <w:r>
        <w:rPr>
          <w:lang w:val="en-US"/>
        </w:rPr>
        <w:t xml:space="preserve"> The counter claim succeeds.</w:t>
      </w:r>
    </w:p>
    <w:p w:rsidR="00D8339C" w:rsidRDefault="00D8339C" w:rsidP="00E662D6">
      <w:pPr>
        <w:pStyle w:val="ListParagraph"/>
        <w:numPr>
          <w:ilvl w:val="0"/>
          <w:numId w:val="1"/>
        </w:numPr>
        <w:jc w:val="both"/>
        <w:rPr>
          <w:lang w:val="en-US"/>
        </w:rPr>
      </w:pPr>
      <w:r>
        <w:rPr>
          <w:lang w:val="en-US"/>
        </w:rPr>
        <w:t xml:space="preserve">That the plaintiff be ejected from Calcite South Mine, </w:t>
      </w:r>
      <w:proofErr w:type="spellStart"/>
      <w:r>
        <w:rPr>
          <w:lang w:val="en-US"/>
        </w:rPr>
        <w:t>Inyathi</w:t>
      </w:r>
      <w:proofErr w:type="spellEnd"/>
      <w:r>
        <w:rPr>
          <w:lang w:val="en-US"/>
        </w:rPr>
        <w:t>, Matabele</w:t>
      </w:r>
      <w:r w:rsidR="00037D4D">
        <w:rPr>
          <w:lang w:val="en-US"/>
        </w:rPr>
        <w:t>l</w:t>
      </w:r>
      <w:r>
        <w:rPr>
          <w:lang w:val="en-US"/>
        </w:rPr>
        <w:t>and North, forthwith.</w:t>
      </w:r>
    </w:p>
    <w:p w:rsidR="00D8339C" w:rsidRDefault="00D8339C" w:rsidP="00E662D6">
      <w:pPr>
        <w:pStyle w:val="ListParagraph"/>
        <w:numPr>
          <w:ilvl w:val="0"/>
          <w:numId w:val="1"/>
        </w:numPr>
        <w:jc w:val="both"/>
        <w:rPr>
          <w:lang w:val="en-US"/>
        </w:rPr>
      </w:pPr>
      <w:r>
        <w:rPr>
          <w:lang w:val="en-US"/>
        </w:rPr>
        <w:t>That plaintiff pays the costs of suit.</w:t>
      </w:r>
    </w:p>
    <w:p w:rsidR="00D8339C" w:rsidRDefault="00D8339C" w:rsidP="00E662D6">
      <w:pPr>
        <w:jc w:val="both"/>
        <w:rPr>
          <w:lang w:val="en-US"/>
        </w:rPr>
      </w:pPr>
    </w:p>
    <w:p w:rsidR="00D8339C" w:rsidRDefault="00D8339C" w:rsidP="00E662D6">
      <w:pPr>
        <w:jc w:val="both"/>
        <w:rPr>
          <w:lang w:val="en-US"/>
        </w:rPr>
      </w:pPr>
    </w:p>
    <w:p w:rsidR="00037D4D" w:rsidRDefault="00037D4D" w:rsidP="00E662D6">
      <w:pPr>
        <w:pStyle w:val="NoSpacing"/>
        <w:jc w:val="both"/>
        <w:rPr>
          <w:lang w:val="en-US"/>
        </w:rPr>
      </w:pPr>
      <w:r w:rsidRPr="00037D4D">
        <w:rPr>
          <w:i/>
          <w:lang w:val="en-US"/>
        </w:rPr>
        <w:t xml:space="preserve">Liberty </w:t>
      </w:r>
      <w:proofErr w:type="spellStart"/>
      <w:r w:rsidRPr="00037D4D">
        <w:rPr>
          <w:i/>
          <w:lang w:val="en-US"/>
        </w:rPr>
        <w:t>Mcijo</w:t>
      </w:r>
      <w:proofErr w:type="spellEnd"/>
      <w:r w:rsidRPr="00037D4D">
        <w:rPr>
          <w:i/>
          <w:lang w:val="en-US"/>
        </w:rPr>
        <w:t xml:space="preserve"> &amp; Associates</w:t>
      </w:r>
      <w:r>
        <w:rPr>
          <w:lang w:val="en-US"/>
        </w:rPr>
        <w:t>, plaintiff’s legal practitioners</w:t>
      </w:r>
    </w:p>
    <w:p w:rsidR="00D8339C" w:rsidRPr="00D8339C" w:rsidRDefault="00D8339C" w:rsidP="00E662D6">
      <w:pPr>
        <w:pStyle w:val="NoSpacing"/>
        <w:jc w:val="both"/>
        <w:rPr>
          <w:lang w:val="en-US"/>
        </w:rPr>
      </w:pPr>
      <w:proofErr w:type="spellStart"/>
      <w:r w:rsidRPr="00037D4D">
        <w:rPr>
          <w:i/>
          <w:lang w:val="en-US"/>
        </w:rPr>
        <w:t>Scanlen</w:t>
      </w:r>
      <w:proofErr w:type="spellEnd"/>
      <w:r w:rsidRPr="00037D4D">
        <w:rPr>
          <w:i/>
          <w:lang w:val="en-US"/>
        </w:rPr>
        <w:t xml:space="preserve"> &amp; Holderness c/o Webb, Low &amp; Barry, </w:t>
      </w:r>
      <w:r>
        <w:rPr>
          <w:lang w:val="en-US"/>
        </w:rPr>
        <w:t>1</w:t>
      </w:r>
      <w:r w:rsidRPr="00D8339C">
        <w:rPr>
          <w:vertAlign w:val="superscript"/>
          <w:lang w:val="en-US"/>
        </w:rPr>
        <w:t>st</w:t>
      </w:r>
      <w:r>
        <w:rPr>
          <w:lang w:val="en-US"/>
        </w:rPr>
        <w:t xml:space="preserve"> defendant’s legal practitioners</w:t>
      </w:r>
    </w:p>
    <w:sectPr w:rsidR="00D8339C" w:rsidRPr="00D8339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BB5" w:rsidRDefault="00E90BB5" w:rsidP="00E662D6">
      <w:pPr>
        <w:spacing w:after="0" w:line="240" w:lineRule="auto"/>
      </w:pPr>
      <w:r>
        <w:separator/>
      </w:r>
    </w:p>
  </w:endnote>
  <w:endnote w:type="continuationSeparator" w:id="0">
    <w:p w:rsidR="00E90BB5" w:rsidRDefault="00E90BB5" w:rsidP="00E66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BB5" w:rsidRDefault="00E90BB5" w:rsidP="00E662D6">
      <w:pPr>
        <w:spacing w:after="0" w:line="240" w:lineRule="auto"/>
      </w:pPr>
      <w:r>
        <w:separator/>
      </w:r>
    </w:p>
  </w:footnote>
  <w:footnote w:type="continuationSeparator" w:id="0">
    <w:p w:rsidR="00E90BB5" w:rsidRDefault="00E90BB5" w:rsidP="00E662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3646149"/>
      <w:docPartObj>
        <w:docPartGallery w:val="Page Numbers (Top of Page)"/>
        <w:docPartUnique/>
      </w:docPartObj>
    </w:sdtPr>
    <w:sdtEndPr>
      <w:rPr>
        <w:noProof/>
      </w:rPr>
    </w:sdtEndPr>
    <w:sdtContent>
      <w:p w:rsidR="00E662D6" w:rsidRDefault="00E662D6">
        <w:pPr>
          <w:pStyle w:val="Header"/>
          <w:jc w:val="right"/>
          <w:rPr>
            <w:noProof/>
          </w:rPr>
        </w:pPr>
        <w:r>
          <w:fldChar w:fldCharType="begin"/>
        </w:r>
        <w:r>
          <w:instrText xml:space="preserve"> PAGE   \* MERGEFORMAT </w:instrText>
        </w:r>
        <w:r>
          <w:fldChar w:fldCharType="separate"/>
        </w:r>
        <w:r w:rsidR="00B72EEA">
          <w:rPr>
            <w:noProof/>
          </w:rPr>
          <w:t>5</w:t>
        </w:r>
        <w:r>
          <w:rPr>
            <w:noProof/>
          </w:rPr>
          <w:fldChar w:fldCharType="end"/>
        </w:r>
      </w:p>
      <w:p w:rsidR="00E662D6" w:rsidRDefault="00E662D6">
        <w:pPr>
          <w:pStyle w:val="Header"/>
          <w:jc w:val="right"/>
          <w:rPr>
            <w:noProof/>
          </w:rPr>
        </w:pPr>
        <w:r>
          <w:rPr>
            <w:noProof/>
          </w:rPr>
          <w:t xml:space="preserve">HB </w:t>
        </w:r>
        <w:r w:rsidR="00AD686F">
          <w:rPr>
            <w:noProof/>
          </w:rPr>
          <w:t>79</w:t>
        </w:r>
        <w:r>
          <w:rPr>
            <w:noProof/>
          </w:rPr>
          <w:t>/22</w:t>
        </w:r>
      </w:p>
      <w:p w:rsidR="00E662D6" w:rsidRDefault="00E662D6">
        <w:pPr>
          <w:pStyle w:val="Header"/>
          <w:jc w:val="right"/>
        </w:pPr>
        <w:r>
          <w:rPr>
            <w:noProof/>
          </w:rPr>
          <w:t>HC 187/19</w:t>
        </w:r>
      </w:p>
    </w:sdtContent>
  </w:sdt>
  <w:p w:rsidR="00E662D6" w:rsidRDefault="00E662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B3EC4"/>
    <w:multiLevelType w:val="hybridMultilevel"/>
    <w:tmpl w:val="7968EC40"/>
    <w:lvl w:ilvl="0" w:tplc="9ABC8FE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B06"/>
    <w:rsid w:val="0002245D"/>
    <w:rsid w:val="00037D4D"/>
    <w:rsid w:val="00430574"/>
    <w:rsid w:val="00667242"/>
    <w:rsid w:val="00672B27"/>
    <w:rsid w:val="0068272C"/>
    <w:rsid w:val="00682B06"/>
    <w:rsid w:val="006E3E2B"/>
    <w:rsid w:val="00AD686F"/>
    <w:rsid w:val="00B72EEA"/>
    <w:rsid w:val="00BB47C7"/>
    <w:rsid w:val="00D8339C"/>
    <w:rsid w:val="00E63F9D"/>
    <w:rsid w:val="00E662D6"/>
    <w:rsid w:val="00E87191"/>
    <w:rsid w:val="00E90BB5"/>
    <w:rsid w:val="00F714A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5F0E3-394C-4489-A97C-1A43E4FF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B06"/>
    <w:pPr>
      <w:spacing w:line="48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2B06"/>
    <w:pPr>
      <w:spacing w:after="0" w:line="240" w:lineRule="auto"/>
    </w:pPr>
    <w:rPr>
      <w:rFonts w:ascii="Times New Roman" w:hAnsi="Times New Roman"/>
      <w:sz w:val="28"/>
    </w:rPr>
  </w:style>
  <w:style w:type="paragraph" w:styleId="ListParagraph">
    <w:name w:val="List Paragraph"/>
    <w:basedOn w:val="Normal"/>
    <w:uiPriority w:val="34"/>
    <w:qFormat/>
    <w:rsid w:val="00D8339C"/>
    <w:pPr>
      <w:ind w:left="720"/>
      <w:contextualSpacing/>
    </w:pPr>
  </w:style>
  <w:style w:type="paragraph" w:styleId="Header">
    <w:name w:val="header"/>
    <w:basedOn w:val="Normal"/>
    <w:link w:val="HeaderChar"/>
    <w:uiPriority w:val="99"/>
    <w:unhideWhenUsed/>
    <w:rsid w:val="00E66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2D6"/>
    <w:rPr>
      <w:rFonts w:ascii="Times New Roman" w:hAnsi="Times New Roman"/>
      <w:sz w:val="28"/>
    </w:rPr>
  </w:style>
  <w:style w:type="paragraph" w:styleId="Footer">
    <w:name w:val="footer"/>
    <w:basedOn w:val="Normal"/>
    <w:link w:val="FooterChar"/>
    <w:uiPriority w:val="99"/>
    <w:unhideWhenUsed/>
    <w:rsid w:val="00E66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2D6"/>
    <w:rPr>
      <w:rFonts w:ascii="Times New Roman" w:hAnsi="Times New Roman"/>
      <w:sz w:val="28"/>
    </w:rPr>
  </w:style>
  <w:style w:type="paragraph" w:styleId="BalloonText">
    <w:name w:val="Balloon Text"/>
    <w:basedOn w:val="Normal"/>
    <w:link w:val="BalloonTextChar"/>
    <w:uiPriority w:val="99"/>
    <w:semiHidden/>
    <w:unhideWhenUsed/>
    <w:rsid w:val="000224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4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cp:revision>
  <cp:lastPrinted>2022-03-15T06:18:00Z</cp:lastPrinted>
  <dcterms:created xsi:type="dcterms:W3CDTF">2022-03-14T13:17:00Z</dcterms:created>
  <dcterms:modified xsi:type="dcterms:W3CDTF">2022-03-16T09:20:00Z</dcterms:modified>
</cp:coreProperties>
</file>