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89F" w:rsidRPr="00C6752E" w:rsidRDefault="0058389F" w:rsidP="0058389F">
      <w:pPr>
        <w:spacing w:line="360" w:lineRule="auto"/>
        <w:jc w:val="both"/>
        <w:rPr>
          <w:b/>
        </w:rPr>
      </w:pPr>
      <w:bookmarkStart w:id="0" w:name="_GoBack"/>
      <w:bookmarkEnd w:id="0"/>
      <w:proofErr w:type="gramStart"/>
      <w:r w:rsidRPr="00C6752E">
        <w:rPr>
          <w:b/>
        </w:rPr>
        <w:t>IN TH</w:t>
      </w:r>
      <w:r>
        <w:rPr>
          <w:b/>
        </w:rPr>
        <w:t>E LABOUR COURT OF ZIMBABWE</w:t>
      </w:r>
      <w:r>
        <w:rPr>
          <w:b/>
        </w:rPr>
        <w:tab/>
        <w:t xml:space="preserve"> JUDGMENT NO.</w:t>
      </w:r>
      <w:proofErr w:type="gramEnd"/>
      <w:r>
        <w:rPr>
          <w:b/>
        </w:rPr>
        <w:t xml:space="preserve"> LC/H/</w:t>
      </w:r>
      <w:r w:rsidR="003E3228">
        <w:rPr>
          <w:b/>
        </w:rPr>
        <w:t>380</w:t>
      </w:r>
      <w:r>
        <w:rPr>
          <w:b/>
        </w:rPr>
        <w:t>/2014</w:t>
      </w:r>
    </w:p>
    <w:p w:rsidR="0058389F" w:rsidRDefault="0058389F" w:rsidP="0058389F">
      <w:pPr>
        <w:spacing w:line="360" w:lineRule="auto"/>
        <w:jc w:val="both"/>
        <w:rPr>
          <w:b/>
        </w:rPr>
      </w:pPr>
      <w:r>
        <w:rPr>
          <w:b/>
        </w:rPr>
        <w:t>HARARE, 12 JUNE 2014</w:t>
      </w:r>
      <w:r>
        <w:rPr>
          <w:b/>
        </w:rPr>
        <w:tab/>
      </w:r>
      <w:r>
        <w:rPr>
          <w:b/>
        </w:rPr>
        <w:tab/>
        <w:t xml:space="preserve">                         </w:t>
      </w:r>
      <w:r w:rsidR="003E3228">
        <w:rPr>
          <w:b/>
        </w:rPr>
        <w:t xml:space="preserve">  </w:t>
      </w:r>
      <w:r w:rsidRPr="00C6752E">
        <w:rPr>
          <w:b/>
        </w:rPr>
        <w:t>CASE NO. LC/</w:t>
      </w:r>
      <w:r>
        <w:rPr>
          <w:b/>
        </w:rPr>
        <w:t>REV/H/26/14</w:t>
      </w:r>
    </w:p>
    <w:p w:rsidR="003E3228" w:rsidRDefault="003E3228" w:rsidP="0058389F">
      <w:pPr>
        <w:spacing w:line="360" w:lineRule="auto"/>
        <w:jc w:val="both"/>
        <w:rPr>
          <w:b/>
        </w:rPr>
      </w:pPr>
      <w:r>
        <w:rPr>
          <w:b/>
        </w:rPr>
        <w:t>AND 04 JULY 2014</w:t>
      </w:r>
    </w:p>
    <w:p w:rsidR="0058389F" w:rsidRDefault="0058389F" w:rsidP="0058389F">
      <w:pPr>
        <w:spacing w:line="360" w:lineRule="auto"/>
        <w:jc w:val="both"/>
      </w:pPr>
      <w:r w:rsidRPr="00C6752E">
        <w:t>In the matter between:-</w:t>
      </w:r>
    </w:p>
    <w:p w:rsidR="0058389F" w:rsidRPr="00C6752E" w:rsidRDefault="0058389F" w:rsidP="0058389F">
      <w:pPr>
        <w:spacing w:line="276" w:lineRule="auto"/>
        <w:jc w:val="both"/>
      </w:pPr>
    </w:p>
    <w:p w:rsidR="0058389F" w:rsidRPr="00C6752E" w:rsidRDefault="0058389F" w:rsidP="0058389F">
      <w:pPr>
        <w:jc w:val="both"/>
      </w:pPr>
    </w:p>
    <w:p w:rsidR="0058389F" w:rsidRDefault="0058389F" w:rsidP="0058389F">
      <w:pPr>
        <w:spacing w:line="276" w:lineRule="auto"/>
        <w:jc w:val="both"/>
        <w:rPr>
          <w:b/>
        </w:rPr>
      </w:pPr>
      <w:r>
        <w:rPr>
          <w:b/>
        </w:rPr>
        <w:t>MISHECK MUBVUMBI &amp; 3 ORS</w:t>
      </w:r>
      <w:r>
        <w:rPr>
          <w:b/>
        </w:rPr>
        <w:tab/>
      </w:r>
      <w:r>
        <w:rPr>
          <w:b/>
        </w:rPr>
        <w:tab/>
      </w:r>
      <w:r>
        <w:rPr>
          <w:b/>
        </w:rPr>
        <w:tab/>
        <w:t>Applicants</w:t>
      </w:r>
    </w:p>
    <w:p w:rsidR="0058389F" w:rsidRDefault="0058389F" w:rsidP="0058389F">
      <w:pPr>
        <w:spacing w:line="276" w:lineRule="auto"/>
        <w:jc w:val="both"/>
      </w:pPr>
    </w:p>
    <w:p w:rsidR="0058389F" w:rsidRPr="00C6752E" w:rsidRDefault="0058389F" w:rsidP="0058389F">
      <w:pPr>
        <w:spacing w:line="276" w:lineRule="auto"/>
        <w:jc w:val="both"/>
        <w:outlineLvl w:val="0"/>
      </w:pPr>
      <w:r w:rsidRPr="00C6752E">
        <w:t>And</w:t>
      </w:r>
    </w:p>
    <w:p w:rsidR="0058389F" w:rsidRDefault="0058389F" w:rsidP="0058389F">
      <w:pPr>
        <w:spacing w:line="276" w:lineRule="auto"/>
        <w:jc w:val="both"/>
        <w:rPr>
          <w:b/>
        </w:rPr>
      </w:pPr>
    </w:p>
    <w:p w:rsidR="0058389F" w:rsidRPr="00C6752E" w:rsidRDefault="0058389F" w:rsidP="0058389F">
      <w:pPr>
        <w:spacing w:line="276" w:lineRule="auto"/>
        <w:jc w:val="both"/>
        <w:rPr>
          <w:b/>
        </w:rPr>
      </w:pPr>
      <w:r>
        <w:rPr>
          <w:b/>
        </w:rPr>
        <w:t>CITY OF HARARE</w:t>
      </w:r>
      <w:r>
        <w:rPr>
          <w:b/>
        </w:rPr>
        <w:tab/>
      </w:r>
      <w:r>
        <w:rPr>
          <w:b/>
        </w:rPr>
        <w:tab/>
      </w:r>
      <w:r>
        <w:rPr>
          <w:b/>
        </w:rPr>
        <w:tab/>
      </w:r>
      <w:r>
        <w:rPr>
          <w:b/>
        </w:rPr>
        <w:tab/>
      </w:r>
      <w:r>
        <w:rPr>
          <w:b/>
        </w:rPr>
        <w:tab/>
      </w:r>
      <w:r>
        <w:rPr>
          <w:b/>
        </w:rPr>
        <w:tab/>
        <w:t>Respondent</w:t>
      </w:r>
    </w:p>
    <w:p w:rsidR="0058389F" w:rsidRPr="00C6752E" w:rsidRDefault="0058389F" w:rsidP="0058389F">
      <w:pPr>
        <w:jc w:val="both"/>
        <w:rPr>
          <w:b/>
        </w:rPr>
      </w:pPr>
    </w:p>
    <w:p w:rsidR="0058389F" w:rsidRDefault="0058389F" w:rsidP="0058389F">
      <w:pPr>
        <w:spacing w:line="360" w:lineRule="auto"/>
        <w:jc w:val="both"/>
        <w:outlineLvl w:val="0"/>
      </w:pPr>
      <w:r w:rsidRPr="00C6752E">
        <w:t>Before Honourable</w:t>
      </w:r>
      <w:r>
        <w:t xml:space="preserve"> B.S.</w:t>
      </w:r>
      <w:r w:rsidRPr="00C6752E">
        <w:t xml:space="preserve"> </w:t>
      </w:r>
      <w:proofErr w:type="spellStart"/>
      <w:r>
        <w:t>Chidziva</w:t>
      </w:r>
      <w:proofErr w:type="spellEnd"/>
      <w:r>
        <w:t>, Judge</w:t>
      </w:r>
    </w:p>
    <w:p w:rsidR="0058389F" w:rsidRDefault="0058389F" w:rsidP="0058389F">
      <w:pPr>
        <w:spacing w:line="276" w:lineRule="auto"/>
        <w:jc w:val="both"/>
      </w:pPr>
    </w:p>
    <w:p w:rsidR="0058389F" w:rsidRPr="00DC0454" w:rsidRDefault="0058389F" w:rsidP="0058389F">
      <w:pPr>
        <w:jc w:val="both"/>
      </w:pPr>
      <w:r>
        <w:tab/>
      </w:r>
      <w:r>
        <w:tab/>
      </w:r>
      <w:r>
        <w:tab/>
        <w:t xml:space="preserve"> </w:t>
      </w:r>
      <w:r w:rsidRPr="00C6752E">
        <w:rPr>
          <w:b/>
        </w:rPr>
        <w:tab/>
      </w:r>
      <w:r w:rsidRPr="00C6752E">
        <w:rPr>
          <w:b/>
        </w:rPr>
        <w:tab/>
      </w:r>
    </w:p>
    <w:p w:rsidR="0058389F" w:rsidRDefault="0058389F" w:rsidP="0058389F">
      <w:pPr>
        <w:jc w:val="both"/>
        <w:rPr>
          <w:b/>
        </w:rPr>
      </w:pPr>
      <w:r>
        <w:rPr>
          <w:b/>
        </w:rPr>
        <w:t>For Applicants</w:t>
      </w:r>
      <w:r>
        <w:rPr>
          <w:b/>
        </w:rPr>
        <w:tab/>
      </w:r>
      <w:r>
        <w:rPr>
          <w:b/>
        </w:rPr>
        <w:tab/>
      </w:r>
      <w:proofErr w:type="spellStart"/>
      <w:r>
        <w:rPr>
          <w:b/>
        </w:rPr>
        <w:t>Mr</w:t>
      </w:r>
      <w:proofErr w:type="spellEnd"/>
      <w:r>
        <w:rPr>
          <w:b/>
        </w:rPr>
        <w:t xml:space="preserve"> S. Banda</w:t>
      </w:r>
      <w:r w:rsidR="00D46478">
        <w:rPr>
          <w:b/>
        </w:rPr>
        <w:t xml:space="preserve"> (Legal Practitioner)</w:t>
      </w:r>
    </w:p>
    <w:p w:rsidR="0058389F" w:rsidRDefault="0058389F" w:rsidP="0058389F">
      <w:pPr>
        <w:jc w:val="both"/>
        <w:rPr>
          <w:b/>
        </w:rPr>
      </w:pPr>
      <w:r>
        <w:rPr>
          <w:b/>
        </w:rPr>
        <w:tab/>
      </w:r>
      <w:r>
        <w:rPr>
          <w:b/>
        </w:rPr>
        <w:tab/>
      </w:r>
    </w:p>
    <w:p w:rsidR="0058389F" w:rsidRDefault="0058389F" w:rsidP="0058389F">
      <w:pPr>
        <w:jc w:val="both"/>
        <w:rPr>
          <w:b/>
        </w:rPr>
      </w:pPr>
      <w:r>
        <w:rPr>
          <w:b/>
        </w:rPr>
        <w:t>For Respondent</w:t>
      </w:r>
      <w:r>
        <w:rPr>
          <w:b/>
        </w:rPr>
        <w:tab/>
      </w:r>
      <w:r>
        <w:rPr>
          <w:b/>
        </w:rPr>
        <w:tab/>
        <w:t xml:space="preserve">Mr. J. P. </w:t>
      </w:r>
      <w:proofErr w:type="spellStart"/>
      <w:r>
        <w:rPr>
          <w:b/>
        </w:rPr>
        <w:t>Mutizwa</w:t>
      </w:r>
      <w:proofErr w:type="spellEnd"/>
    </w:p>
    <w:p w:rsidR="0058389F" w:rsidRDefault="0058389F" w:rsidP="0058389F">
      <w:pPr>
        <w:jc w:val="both"/>
        <w:rPr>
          <w:b/>
        </w:rPr>
      </w:pPr>
      <w:r>
        <w:rPr>
          <w:b/>
        </w:rPr>
        <w:tab/>
      </w:r>
      <w:r>
        <w:rPr>
          <w:b/>
        </w:rPr>
        <w:tab/>
      </w:r>
      <w:r>
        <w:rPr>
          <w:b/>
        </w:rPr>
        <w:tab/>
      </w:r>
      <w:r>
        <w:rPr>
          <w:b/>
        </w:rPr>
        <w:tab/>
      </w:r>
      <w:proofErr w:type="spellStart"/>
      <w:r>
        <w:rPr>
          <w:b/>
        </w:rPr>
        <w:t>Ms</w:t>
      </w:r>
      <w:proofErr w:type="spellEnd"/>
      <w:r>
        <w:rPr>
          <w:b/>
        </w:rPr>
        <w:t xml:space="preserve"> R. </w:t>
      </w:r>
      <w:proofErr w:type="spellStart"/>
      <w:r>
        <w:rPr>
          <w:b/>
        </w:rPr>
        <w:t>Nemaramba</w:t>
      </w:r>
      <w:proofErr w:type="spellEnd"/>
      <w:r>
        <w:rPr>
          <w:b/>
        </w:rPr>
        <w:t xml:space="preserve"> (Legal Practitioner)</w:t>
      </w:r>
      <w:r>
        <w:rPr>
          <w:b/>
        </w:rPr>
        <w:tab/>
      </w:r>
      <w:r w:rsidRPr="00C6752E">
        <w:rPr>
          <w:b/>
        </w:rPr>
        <w:tab/>
      </w:r>
      <w:r w:rsidRPr="00C6752E">
        <w:rPr>
          <w:b/>
        </w:rPr>
        <w:tab/>
      </w:r>
    </w:p>
    <w:p w:rsidR="0058389F" w:rsidRDefault="0058389F" w:rsidP="0058389F">
      <w:pPr>
        <w:jc w:val="both"/>
        <w:rPr>
          <w:b/>
        </w:rPr>
      </w:pPr>
    </w:p>
    <w:p w:rsidR="0058389F" w:rsidRDefault="0058389F" w:rsidP="0058389F">
      <w:pPr>
        <w:jc w:val="both"/>
        <w:rPr>
          <w:b/>
        </w:rPr>
      </w:pPr>
    </w:p>
    <w:p w:rsidR="0058389F" w:rsidRDefault="0058389F" w:rsidP="0058389F">
      <w:pPr>
        <w:jc w:val="both"/>
        <w:outlineLvl w:val="0"/>
        <w:rPr>
          <w:b/>
        </w:rPr>
      </w:pPr>
      <w:r>
        <w:rPr>
          <w:b/>
        </w:rPr>
        <w:t>CHIDZIVA J:</w:t>
      </w:r>
    </w:p>
    <w:p w:rsidR="0058389F" w:rsidRDefault="0058389F" w:rsidP="0058389F">
      <w:pPr>
        <w:jc w:val="both"/>
      </w:pPr>
    </w:p>
    <w:p w:rsidR="004C5E52" w:rsidRDefault="004C5E52" w:rsidP="0058389F">
      <w:pPr>
        <w:jc w:val="both"/>
      </w:pPr>
    </w:p>
    <w:p w:rsidR="0058389F" w:rsidRDefault="0058389F" w:rsidP="00196F50">
      <w:pPr>
        <w:spacing w:line="360" w:lineRule="auto"/>
        <w:jc w:val="both"/>
      </w:pPr>
      <w:r>
        <w:tab/>
        <w:t xml:space="preserve">This is an application for review of the events that eventually led to the </w:t>
      </w:r>
      <w:r w:rsidR="00196F50">
        <w:t xml:space="preserve">applicants’ retirement/dismissal from employment.  It is alleged that the Town Clerk acted </w:t>
      </w:r>
      <w:r w:rsidR="00196F50" w:rsidRPr="00196F50">
        <w:rPr>
          <w:i/>
        </w:rPr>
        <w:t>ultra vires</w:t>
      </w:r>
      <w:r w:rsidR="00196F50">
        <w:t xml:space="preserve"> his mandate in that he made the decision </w:t>
      </w:r>
      <w:proofErr w:type="spellStart"/>
      <w:r w:rsidR="00196F50" w:rsidRPr="00196F50">
        <w:rPr>
          <w:i/>
        </w:rPr>
        <w:t>m</w:t>
      </w:r>
      <w:r w:rsidR="00596384">
        <w:rPr>
          <w:i/>
        </w:rPr>
        <w:t>ero</w:t>
      </w:r>
      <w:proofErr w:type="spellEnd"/>
      <w:r w:rsidR="00196F50" w:rsidRPr="00196F50">
        <w:rPr>
          <w:i/>
        </w:rPr>
        <w:t xml:space="preserve"> </w:t>
      </w:r>
      <w:proofErr w:type="spellStart"/>
      <w:r w:rsidR="00196F50" w:rsidRPr="00196F50">
        <w:rPr>
          <w:i/>
        </w:rPr>
        <w:t>motu</w:t>
      </w:r>
      <w:proofErr w:type="spellEnd"/>
      <w:r w:rsidR="00196F50">
        <w:t xml:space="preserve"> in the absence of a Council Resolution to retire the </w:t>
      </w:r>
      <w:r w:rsidR="00596384">
        <w:t>first</w:t>
      </w:r>
      <w:r w:rsidR="00196F50">
        <w:t xml:space="preserve"> and 2</w:t>
      </w:r>
      <w:r w:rsidR="00196F50" w:rsidRPr="00196F50">
        <w:rPr>
          <w:vertAlign w:val="superscript"/>
        </w:rPr>
        <w:t>nd</w:t>
      </w:r>
      <w:r w:rsidR="00196F50">
        <w:t xml:space="preserve"> Applicants.   It has also been submitted to the court that the 3</w:t>
      </w:r>
      <w:r w:rsidR="00196F50" w:rsidRPr="00196F50">
        <w:rPr>
          <w:vertAlign w:val="superscript"/>
        </w:rPr>
        <w:t>rd</w:t>
      </w:r>
      <w:r w:rsidR="00196F50">
        <w:t xml:space="preserve"> and 4</w:t>
      </w:r>
      <w:r w:rsidR="00196F50" w:rsidRPr="00196F50">
        <w:rPr>
          <w:vertAlign w:val="superscript"/>
        </w:rPr>
        <w:t>th</w:t>
      </w:r>
      <w:r w:rsidR="00196F50">
        <w:t xml:space="preserve"> Applicants’ offices have been abolished by the Respondent and thus abolition amounts to a </w:t>
      </w:r>
      <w:proofErr w:type="spellStart"/>
      <w:r w:rsidR="00196F50" w:rsidRPr="00196F50">
        <w:rPr>
          <w:i/>
        </w:rPr>
        <w:t>defacto</w:t>
      </w:r>
      <w:proofErr w:type="spellEnd"/>
      <w:r w:rsidR="00196F50">
        <w:t xml:space="preserve"> retrenchment exercise.  The Applicants have told the court that this is a unilateral variation of the employment contract.</w:t>
      </w:r>
    </w:p>
    <w:p w:rsidR="00196F50" w:rsidRDefault="00196F50" w:rsidP="009A7440">
      <w:pPr>
        <w:spacing w:line="276" w:lineRule="auto"/>
        <w:jc w:val="both"/>
      </w:pPr>
    </w:p>
    <w:p w:rsidR="00196F50" w:rsidRDefault="00196F50" w:rsidP="00196F50">
      <w:pPr>
        <w:spacing w:line="360" w:lineRule="auto"/>
        <w:jc w:val="both"/>
      </w:pPr>
      <w:r>
        <w:tab/>
        <w:t>The Respondent in response told the court that;</w:t>
      </w:r>
    </w:p>
    <w:p w:rsidR="00196F50" w:rsidRDefault="00196F50" w:rsidP="00196F50">
      <w:pPr>
        <w:pStyle w:val="ListParagraph"/>
        <w:numPr>
          <w:ilvl w:val="0"/>
          <w:numId w:val="1"/>
        </w:numPr>
        <w:spacing w:line="360" w:lineRule="auto"/>
        <w:jc w:val="both"/>
      </w:pPr>
      <w:r>
        <w:t xml:space="preserve">The respondent retired first </w:t>
      </w:r>
      <w:r w:rsidR="00176AE3">
        <w:t>and second applicants in accordance with Council resolution.</w:t>
      </w:r>
    </w:p>
    <w:p w:rsidR="00176AE3" w:rsidRDefault="00176AE3" w:rsidP="00196F50">
      <w:pPr>
        <w:pStyle w:val="ListParagraph"/>
        <w:numPr>
          <w:ilvl w:val="0"/>
          <w:numId w:val="1"/>
        </w:numPr>
        <w:spacing w:line="360" w:lineRule="auto"/>
        <w:jc w:val="both"/>
      </w:pPr>
      <w:r>
        <w:lastRenderedPageBreak/>
        <w:t>It is the employer’s prerogative to retrench its organiz</w:t>
      </w:r>
      <w:r w:rsidR="00596384">
        <w:t xml:space="preserve">ation hence the abolition of </w:t>
      </w:r>
      <w:proofErr w:type="gramStart"/>
      <w:r w:rsidR="00596384">
        <w:t>3</w:t>
      </w:r>
      <w:r w:rsidR="00596384" w:rsidRPr="00596384">
        <w:rPr>
          <w:vertAlign w:val="superscript"/>
        </w:rPr>
        <w:t>rd</w:t>
      </w:r>
      <w:r w:rsidR="00596384">
        <w:t xml:space="preserve"> </w:t>
      </w:r>
      <w:r>
        <w:t xml:space="preserve"> and</w:t>
      </w:r>
      <w:proofErr w:type="gramEnd"/>
      <w:r>
        <w:t xml:space="preserve"> 4</w:t>
      </w:r>
      <w:r w:rsidRPr="00176AE3">
        <w:rPr>
          <w:vertAlign w:val="superscript"/>
        </w:rPr>
        <w:t>th</w:t>
      </w:r>
      <w:r>
        <w:t xml:space="preserve"> respondent’s offices.</w:t>
      </w:r>
    </w:p>
    <w:p w:rsidR="00176AE3" w:rsidRDefault="00176AE3" w:rsidP="00196F50">
      <w:pPr>
        <w:pStyle w:val="ListParagraph"/>
        <w:numPr>
          <w:ilvl w:val="0"/>
          <w:numId w:val="1"/>
        </w:numPr>
        <w:spacing w:line="360" w:lineRule="auto"/>
        <w:jc w:val="both"/>
      </w:pPr>
      <w:r>
        <w:t>The 10</w:t>
      </w:r>
      <w:r w:rsidRPr="00176AE3">
        <w:rPr>
          <w:vertAlign w:val="superscript"/>
        </w:rPr>
        <w:t>th</w:t>
      </w:r>
      <w:r>
        <w:t xml:space="preserve"> and 3</w:t>
      </w:r>
      <w:r w:rsidRPr="00176AE3">
        <w:rPr>
          <w:vertAlign w:val="superscript"/>
        </w:rPr>
        <w:t>rd</w:t>
      </w:r>
      <w:r>
        <w:t xml:space="preserve"> Applicants are just </w:t>
      </w:r>
      <w:r w:rsidR="00596384">
        <w:t>abusing</w:t>
      </w:r>
      <w:r>
        <w:t xml:space="preserve"> court process </w:t>
      </w:r>
      <w:r w:rsidR="00D46478">
        <w:t xml:space="preserve">because the Respondent has not yet finalized </w:t>
      </w:r>
      <w:r w:rsidR="00C36FF6">
        <w:t xml:space="preserve">the </w:t>
      </w:r>
      <w:r w:rsidR="00D46478">
        <w:t xml:space="preserve">decision against </w:t>
      </w:r>
      <w:r w:rsidR="00596384">
        <w:t>them</w:t>
      </w:r>
      <w:r w:rsidR="00D46478">
        <w:t>.</w:t>
      </w:r>
    </w:p>
    <w:p w:rsidR="00D46478" w:rsidRDefault="00D46478" w:rsidP="00D46478">
      <w:pPr>
        <w:spacing w:line="360" w:lineRule="auto"/>
        <w:jc w:val="both"/>
      </w:pPr>
    </w:p>
    <w:p w:rsidR="00D46478" w:rsidRDefault="00D46478" w:rsidP="00D46478">
      <w:pPr>
        <w:spacing w:line="360" w:lineRule="auto"/>
        <w:jc w:val="both"/>
      </w:pPr>
      <w:r>
        <w:t xml:space="preserve">At the beginning of the hearing the Respondent raised two points </w:t>
      </w:r>
      <w:r w:rsidRPr="009A7440">
        <w:rPr>
          <w:i/>
        </w:rPr>
        <w:t xml:space="preserve">in </w:t>
      </w:r>
      <w:proofErr w:type="spellStart"/>
      <w:r w:rsidRPr="009A7440">
        <w:rPr>
          <w:i/>
        </w:rPr>
        <w:t>limine</w:t>
      </w:r>
      <w:proofErr w:type="spellEnd"/>
      <w:r>
        <w:t xml:space="preserve"> that is that</w:t>
      </w:r>
    </w:p>
    <w:p w:rsidR="00D46478" w:rsidRDefault="00D46478" w:rsidP="00D46478">
      <w:pPr>
        <w:pStyle w:val="ListParagraph"/>
        <w:numPr>
          <w:ilvl w:val="0"/>
          <w:numId w:val="2"/>
        </w:numPr>
        <w:spacing w:line="360" w:lineRule="auto"/>
        <w:jc w:val="both"/>
      </w:pPr>
      <w:r>
        <w:t>Whether the 2</w:t>
      </w:r>
      <w:r w:rsidRPr="00D46478">
        <w:rPr>
          <w:vertAlign w:val="superscript"/>
        </w:rPr>
        <w:t>nd</w:t>
      </w:r>
      <w:r>
        <w:t xml:space="preserve"> applicant was tenderin</w:t>
      </w:r>
      <w:r w:rsidR="00596384">
        <w:t>g costs, since he had withdrawn hi</w:t>
      </w:r>
      <w:r>
        <w:t>s application.</w:t>
      </w:r>
    </w:p>
    <w:p w:rsidR="00D46478" w:rsidRDefault="00D46478" w:rsidP="00D46478">
      <w:pPr>
        <w:spacing w:line="360" w:lineRule="auto"/>
        <w:jc w:val="both"/>
      </w:pPr>
      <w:r>
        <w:t xml:space="preserve">The Respondent indicated that they wanted costs from him.  The Applicant through his lawyer </w:t>
      </w:r>
      <w:r w:rsidR="009A7440">
        <w:t>Mr.</w:t>
      </w:r>
      <w:r>
        <w:t xml:space="preserve"> Banda indicated that there was no need to tender costs at this stage although they were prepared to tender costs.</w:t>
      </w:r>
    </w:p>
    <w:p w:rsidR="00D46478" w:rsidRDefault="00D46478" w:rsidP="00D46478">
      <w:pPr>
        <w:spacing w:line="360" w:lineRule="auto"/>
        <w:jc w:val="both"/>
      </w:pPr>
    </w:p>
    <w:p w:rsidR="00D46478" w:rsidRDefault="00D46478" w:rsidP="00D46478">
      <w:pPr>
        <w:spacing w:line="360" w:lineRule="auto"/>
        <w:jc w:val="both"/>
      </w:pPr>
      <w:r>
        <w:tab/>
        <w:t>It is this court’s decision that costs will be in the cause.</w:t>
      </w:r>
    </w:p>
    <w:p w:rsidR="00D46478" w:rsidRDefault="00D46478" w:rsidP="004C5E52">
      <w:pPr>
        <w:spacing w:line="276" w:lineRule="auto"/>
        <w:jc w:val="both"/>
      </w:pPr>
    </w:p>
    <w:p w:rsidR="00D46478" w:rsidRDefault="00D46478" w:rsidP="00D46478">
      <w:pPr>
        <w:spacing w:line="360" w:lineRule="auto"/>
        <w:jc w:val="both"/>
      </w:pPr>
      <w:r>
        <w:tab/>
        <w:t xml:space="preserve">The second point </w:t>
      </w:r>
      <w:r w:rsidRPr="004C5E52">
        <w:rPr>
          <w:i/>
        </w:rPr>
        <w:t xml:space="preserve">in </w:t>
      </w:r>
      <w:proofErr w:type="spellStart"/>
      <w:r w:rsidRPr="004C5E52">
        <w:rPr>
          <w:i/>
        </w:rPr>
        <w:t>limine</w:t>
      </w:r>
      <w:proofErr w:type="spellEnd"/>
      <w:r>
        <w:t xml:space="preserve"> is that this matter is not properly before this cour</w:t>
      </w:r>
      <w:r w:rsidR="00596384">
        <w:t>t because the procedure they have</w:t>
      </w:r>
      <w:r>
        <w:t xml:space="preserve"> adopted is</w:t>
      </w:r>
      <w:r w:rsidR="00126B0B">
        <w:t xml:space="preserve"> not provided for in the Labour Court Rules (SI 59/2006).  The Respondent pointed out that the rules do not have a procedure for Urgent Chamber Application in</w:t>
      </w:r>
      <w:r w:rsidR="00596384">
        <w:t xml:space="preserve"> the form that the applicant has</w:t>
      </w:r>
      <w:r w:rsidR="00126B0B">
        <w:t xml:space="preserve"> used.  Furthermore the application did not follow Rule 16 or was not filed with Form LC 4.  The Application is also defective in that the Certificate of </w:t>
      </w:r>
      <w:proofErr w:type="spellStart"/>
      <w:r w:rsidR="00126B0B">
        <w:t>Ugency</w:t>
      </w:r>
      <w:proofErr w:type="spellEnd"/>
      <w:r w:rsidR="00126B0B">
        <w:t xml:space="preserve"> was signed by Vincent </w:t>
      </w:r>
      <w:proofErr w:type="spellStart"/>
      <w:r w:rsidR="00126B0B">
        <w:t>Mazhetese</w:t>
      </w:r>
      <w:proofErr w:type="spellEnd"/>
      <w:r w:rsidR="00126B0B">
        <w:t xml:space="preserve"> a legal practitioner in the firm that is representing the applicant.  The Respondent went on to submit that the applicants are using Rule 247 of the High Court Rules </w:t>
      </w:r>
      <w:r w:rsidR="00596384">
        <w:t>which</w:t>
      </w:r>
      <w:r w:rsidR="00126B0B">
        <w:t xml:space="preserve"> requires that an Urgent Chamber Application should be accompanied by a provisional order and this was not done.</w:t>
      </w:r>
    </w:p>
    <w:p w:rsidR="00126B0B" w:rsidRDefault="00126B0B" w:rsidP="004C5E52">
      <w:pPr>
        <w:spacing w:line="276" w:lineRule="auto"/>
        <w:jc w:val="both"/>
      </w:pPr>
    </w:p>
    <w:p w:rsidR="00126B0B" w:rsidRDefault="00126B0B" w:rsidP="00D46478">
      <w:pPr>
        <w:spacing w:line="360" w:lineRule="auto"/>
        <w:jc w:val="both"/>
      </w:pPr>
      <w:r>
        <w:tab/>
        <w:t>To start with Rule 21 (1) states that</w:t>
      </w:r>
    </w:p>
    <w:p w:rsidR="00126B0B" w:rsidRDefault="00126B0B" w:rsidP="004C5E52">
      <w:pPr>
        <w:spacing w:line="276" w:lineRule="auto"/>
        <w:jc w:val="both"/>
      </w:pPr>
    </w:p>
    <w:p w:rsidR="00126B0B" w:rsidRDefault="00126B0B" w:rsidP="004C5E52">
      <w:pPr>
        <w:spacing w:line="276" w:lineRule="auto"/>
        <w:ind w:left="720"/>
        <w:jc w:val="both"/>
      </w:pPr>
      <w:r>
        <w:t>“</w:t>
      </w:r>
      <w:r w:rsidRPr="004C5E52">
        <w:rPr>
          <w:i/>
          <w:sz w:val="22"/>
          <w:szCs w:val="22"/>
        </w:rPr>
        <w:t xml:space="preserve">1. Save where a President or Court has </w:t>
      </w:r>
      <w:r w:rsidR="00AC518E" w:rsidRPr="004C5E52">
        <w:rPr>
          <w:i/>
          <w:sz w:val="22"/>
          <w:szCs w:val="22"/>
        </w:rPr>
        <w:t>directed otherwise, the Registrar shall as far as reasonable possible set down matters on a first come first served basis.</w:t>
      </w:r>
    </w:p>
    <w:p w:rsidR="00AC518E" w:rsidRPr="004C5E52" w:rsidRDefault="00AC518E" w:rsidP="004C5E52">
      <w:pPr>
        <w:spacing w:line="276" w:lineRule="auto"/>
        <w:ind w:left="720"/>
        <w:jc w:val="both"/>
        <w:rPr>
          <w:i/>
        </w:rPr>
      </w:pPr>
      <w:r w:rsidRPr="004C5E52">
        <w:rPr>
          <w:i/>
        </w:rPr>
        <w:t xml:space="preserve">“Provided that in urgent cases shown the Registrar may, at the request of one or more of the parties and in consultation with the Senior President allocate a fixed date for the hearing of a case whether in or out of term.” </w:t>
      </w:r>
    </w:p>
    <w:p w:rsidR="00AC518E" w:rsidRDefault="00AC518E" w:rsidP="00AC518E">
      <w:pPr>
        <w:spacing w:line="360" w:lineRule="auto"/>
        <w:jc w:val="both"/>
      </w:pPr>
      <w:r>
        <w:lastRenderedPageBreak/>
        <w:tab/>
        <w:t xml:space="preserve">There is no proof that the Applicants made a request to the Registrar that the matter be set down on an urgent basis.  No proof has been </w:t>
      </w:r>
      <w:r w:rsidR="00596384">
        <w:t>furnished</w:t>
      </w:r>
      <w:r>
        <w:t xml:space="preserve"> to show that </w:t>
      </w:r>
      <w:r w:rsidR="00153C61">
        <w:t>the Senior Judge was consulted before the matter was set down for hearing.</w:t>
      </w:r>
    </w:p>
    <w:p w:rsidR="00153C61" w:rsidRDefault="00153C61" w:rsidP="004C5E52">
      <w:pPr>
        <w:spacing w:line="276" w:lineRule="auto"/>
        <w:jc w:val="both"/>
      </w:pPr>
    </w:p>
    <w:p w:rsidR="00153C61" w:rsidRDefault="00153C61" w:rsidP="00AC518E">
      <w:pPr>
        <w:spacing w:line="360" w:lineRule="auto"/>
        <w:jc w:val="both"/>
      </w:pPr>
      <w:r>
        <w:t>Rule 16 of the Labour Court Rules SI 59/2000 also provides</w:t>
      </w:r>
      <w:r w:rsidR="00E35650">
        <w:t xml:space="preserve"> that such an application should be accompanied by Form LC 4.  This rule was not complied with either.</w:t>
      </w:r>
    </w:p>
    <w:p w:rsidR="00E35650" w:rsidRDefault="00E35650" w:rsidP="004C5E52">
      <w:pPr>
        <w:spacing w:line="276" w:lineRule="auto"/>
        <w:jc w:val="both"/>
      </w:pPr>
    </w:p>
    <w:p w:rsidR="00E35650" w:rsidRDefault="00E35650" w:rsidP="00AC518E">
      <w:pPr>
        <w:spacing w:line="360" w:lineRule="auto"/>
        <w:jc w:val="both"/>
      </w:pPr>
      <w:r>
        <w:tab/>
        <w:t xml:space="preserve">Take it that the Applicants decided to use the High Court </w:t>
      </w:r>
      <w:r w:rsidR="00596384">
        <w:t>rules</w:t>
      </w:r>
      <w:r>
        <w:t xml:space="preserve"> it is provided that a certificate of Urgency should not be signed by a legal practitioner in the firm representing the applicant.</w:t>
      </w:r>
    </w:p>
    <w:p w:rsidR="00E35650" w:rsidRDefault="00E35650" w:rsidP="00AC518E">
      <w:pPr>
        <w:spacing w:line="360" w:lineRule="auto"/>
        <w:jc w:val="both"/>
      </w:pPr>
      <w:r>
        <w:t xml:space="preserve">CHEDA J in the case of </w:t>
      </w:r>
      <w:proofErr w:type="spellStart"/>
      <w:r w:rsidRPr="004C5E52">
        <w:rPr>
          <w:i/>
        </w:rPr>
        <w:t>Chafanza</w:t>
      </w:r>
      <w:proofErr w:type="spellEnd"/>
      <w:r w:rsidRPr="004C5E52">
        <w:rPr>
          <w:i/>
        </w:rPr>
        <w:t xml:space="preserve"> </w:t>
      </w:r>
      <w:proofErr w:type="spellStart"/>
      <w:r>
        <w:t>vs</w:t>
      </w:r>
      <w:proofErr w:type="spellEnd"/>
      <w:r>
        <w:t xml:space="preserve"> </w:t>
      </w:r>
      <w:r w:rsidRPr="004C5E52">
        <w:rPr>
          <w:i/>
        </w:rPr>
        <w:t xml:space="preserve">Edgars Stores and </w:t>
      </w:r>
      <w:proofErr w:type="spellStart"/>
      <w:r w:rsidRPr="004C5E52">
        <w:rPr>
          <w:i/>
        </w:rPr>
        <w:t>Anor</w:t>
      </w:r>
      <w:proofErr w:type="spellEnd"/>
      <w:r>
        <w:t xml:space="preserve"> 2005 (1) ZLR 301 also had this to say,</w:t>
      </w:r>
    </w:p>
    <w:p w:rsidR="00E35650" w:rsidRDefault="00E35650" w:rsidP="00AC518E">
      <w:pPr>
        <w:spacing w:line="360" w:lineRule="auto"/>
        <w:jc w:val="both"/>
      </w:pPr>
    </w:p>
    <w:p w:rsidR="00E35650" w:rsidRPr="004C5E52" w:rsidRDefault="00E35650" w:rsidP="004C5E52">
      <w:pPr>
        <w:spacing w:line="276" w:lineRule="auto"/>
        <w:ind w:left="720"/>
        <w:jc w:val="both"/>
        <w:rPr>
          <w:i/>
          <w:sz w:val="22"/>
          <w:szCs w:val="22"/>
        </w:rPr>
      </w:pPr>
      <w:r>
        <w:t>“</w:t>
      </w:r>
      <w:r w:rsidRPr="004C5E52">
        <w:rPr>
          <w:i/>
          <w:sz w:val="22"/>
          <w:szCs w:val="22"/>
        </w:rPr>
        <w:t xml:space="preserve">In my view it is improper for a legal practitioner to act (that is. To sign a Certificate of Urgency in the Chamber Application he is filing on behalf of his client) in that </w:t>
      </w:r>
      <w:r w:rsidR="00596384">
        <w:rPr>
          <w:i/>
          <w:sz w:val="22"/>
          <w:szCs w:val="22"/>
        </w:rPr>
        <w:t>manner</w:t>
      </w:r>
      <w:r w:rsidRPr="004C5E52">
        <w:rPr>
          <w:i/>
          <w:sz w:val="22"/>
          <w:szCs w:val="22"/>
        </w:rPr>
        <w:t xml:space="preserve"> as he has an interest in the matter at hand.  The interest in the matter is grounded on two factors.</w:t>
      </w:r>
    </w:p>
    <w:p w:rsidR="00E35650" w:rsidRPr="004C5E52" w:rsidRDefault="00E35650" w:rsidP="004C5E52">
      <w:pPr>
        <w:spacing w:line="276" w:lineRule="auto"/>
        <w:jc w:val="both"/>
        <w:rPr>
          <w:i/>
          <w:sz w:val="22"/>
          <w:szCs w:val="22"/>
        </w:rPr>
      </w:pPr>
    </w:p>
    <w:p w:rsidR="00E35650" w:rsidRPr="004C5E52" w:rsidRDefault="00E35650" w:rsidP="004C5E52">
      <w:pPr>
        <w:spacing w:line="276" w:lineRule="auto"/>
        <w:jc w:val="both"/>
        <w:rPr>
          <w:i/>
          <w:sz w:val="22"/>
          <w:szCs w:val="22"/>
        </w:rPr>
      </w:pPr>
      <w:r w:rsidRPr="004C5E52">
        <w:rPr>
          <w:i/>
          <w:sz w:val="22"/>
          <w:szCs w:val="22"/>
        </w:rPr>
        <w:tab/>
        <w:t xml:space="preserve">Firstly, in that he has a pecuniary interest in the </w:t>
      </w:r>
      <w:r w:rsidR="00596384">
        <w:rPr>
          <w:i/>
          <w:sz w:val="22"/>
          <w:szCs w:val="22"/>
        </w:rPr>
        <w:t>earning</w:t>
      </w:r>
      <w:r w:rsidRPr="004C5E52">
        <w:rPr>
          <w:i/>
          <w:sz w:val="22"/>
          <w:szCs w:val="22"/>
        </w:rPr>
        <w:t xml:space="preserve"> of fees from the said client.</w:t>
      </w:r>
    </w:p>
    <w:p w:rsidR="00E35650" w:rsidRPr="004C5E52" w:rsidRDefault="00E35650" w:rsidP="004C5E52">
      <w:pPr>
        <w:spacing w:line="276" w:lineRule="auto"/>
        <w:jc w:val="both"/>
        <w:rPr>
          <w:i/>
          <w:sz w:val="22"/>
          <w:szCs w:val="22"/>
        </w:rPr>
      </w:pPr>
    </w:p>
    <w:p w:rsidR="004C5E52" w:rsidRPr="004C5E52" w:rsidRDefault="00E35650" w:rsidP="004C5E52">
      <w:pPr>
        <w:spacing w:line="276" w:lineRule="auto"/>
        <w:ind w:left="720"/>
        <w:jc w:val="both"/>
        <w:rPr>
          <w:i/>
          <w:sz w:val="22"/>
          <w:szCs w:val="22"/>
        </w:rPr>
      </w:pPr>
      <w:r w:rsidRPr="004C5E52">
        <w:rPr>
          <w:i/>
          <w:sz w:val="22"/>
          <w:szCs w:val="22"/>
        </w:rPr>
        <w:t xml:space="preserve">Secondly, that he is interested in pointing the goodwill of his company by bringing his </w:t>
      </w:r>
      <w:proofErr w:type="gramStart"/>
      <w:r w:rsidRPr="004C5E52">
        <w:rPr>
          <w:i/>
          <w:sz w:val="22"/>
          <w:szCs w:val="22"/>
        </w:rPr>
        <w:t>client’ s</w:t>
      </w:r>
      <w:proofErr w:type="gramEnd"/>
      <w:r w:rsidRPr="004C5E52">
        <w:rPr>
          <w:i/>
          <w:sz w:val="22"/>
          <w:szCs w:val="22"/>
        </w:rPr>
        <w:t xml:space="preserve"> affairs to a successful conclusion.  In other words, it means a financial and not a more social ethical interest or view.  This principle was clearly laid down in </w:t>
      </w:r>
      <w:r w:rsidRPr="00596384">
        <w:rPr>
          <w:i/>
          <w:sz w:val="22"/>
          <w:szCs w:val="22"/>
          <w:u w:val="single"/>
        </w:rPr>
        <w:t xml:space="preserve">Smith </w:t>
      </w:r>
      <w:proofErr w:type="spellStart"/>
      <w:r w:rsidRPr="00596384">
        <w:rPr>
          <w:i/>
          <w:sz w:val="22"/>
          <w:szCs w:val="22"/>
          <w:u w:val="single"/>
        </w:rPr>
        <w:t>vs</w:t>
      </w:r>
      <w:proofErr w:type="spellEnd"/>
      <w:r w:rsidRPr="00596384">
        <w:rPr>
          <w:i/>
          <w:sz w:val="22"/>
          <w:szCs w:val="22"/>
          <w:u w:val="single"/>
        </w:rPr>
        <w:t xml:space="preserve"> </w:t>
      </w:r>
      <w:proofErr w:type="spellStart"/>
      <w:r w:rsidRPr="00596384">
        <w:rPr>
          <w:i/>
          <w:sz w:val="22"/>
          <w:szCs w:val="22"/>
          <w:u w:val="single"/>
        </w:rPr>
        <w:t>Hacock</w:t>
      </w:r>
      <w:proofErr w:type="spellEnd"/>
      <w:r w:rsidRPr="00596384">
        <w:rPr>
          <w:i/>
          <w:sz w:val="22"/>
          <w:szCs w:val="22"/>
          <w:u w:val="single"/>
        </w:rPr>
        <w:t xml:space="preserve"> 1984 (2) CH D 377</w:t>
      </w:r>
      <w:r w:rsidR="00596384" w:rsidRPr="004C5E52">
        <w:rPr>
          <w:i/>
          <w:sz w:val="22"/>
          <w:szCs w:val="22"/>
        </w:rPr>
        <w:t>, The</w:t>
      </w:r>
      <w:r w:rsidRPr="004C5E52">
        <w:rPr>
          <w:i/>
          <w:sz w:val="22"/>
          <w:szCs w:val="22"/>
        </w:rPr>
        <w:t xml:space="preserve"> same principle was also adopted in the case of </w:t>
      </w:r>
      <w:proofErr w:type="gramStart"/>
      <w:r w:rsidR="004C5E52" w:rsidRPr="00596384">
        <w:rPr>
          <w:i/>
          <w:sz w:val="22"/>
          <w:szCs w:val="22"/>
          <w:u w:val="single"/>
        </w:rPr>
        <w:t>Pretoria  Bill</w:t>
      </w:r>
      <w:proofErr w:type="gramEnd"/>
      <w:r w:rsidR="004C5E52" w:rsidRPr="00596384">
        <w:rPr>
          <w:i/>
          <w:sz w:val="22"/>
          <w:szCs w:val="22"/>
          <w:u w:val="single"/>
        </w:rPr>
        <w:t xml:space="preserve"> &amp; Pasting Company </w:t>
      </w:r>
      <w:proofErr w:type="spellStart"/>
      <w:r w:rsidR="004C5E52" w:rsidRPr="00596384">
        <w:rPr>
          <w:i/>
          <w:sz w:val="22"/>
          <w:szCs w:val="22"/>
          <w:u w:val="single"/>
        </w:rPr>
        <w:t>vs</w:t>
      </w:r>
      <w:proofErr w:type="spellEnd"/>
      <w:r w:rsidR="004C5E52" w:rsidRPr="00596384">
        <w:rPr>
          <w:i/>
          <w:sz w:val="22"/>
          <w:szCs w:val="22"/>
          <w:u w:val="single"/>
        </w:rPr>
        <w:t xml:space="preserve"> Hiss 1911 TPD 360 1911</w:t>
      </w:r>
      <w:r w:rsidRPr="00596384">
        <w:rPr>
          <w:i/>
          <w:sz w:val="22"/>
          <w:szCs w:val="22"/>
          <w:u w:val="single"/>
        </w:rPr>
        <w:t xml:space="preserve"> </w:t>
      </w:r>
      <w:r w:rsidR="004C5E52" w:rsidRPr="00596384">
        <w:rPr>
          <w:i/>
          <w:sz w:val="22"/>
          <w:szCs w:val="22"/>
          <w:u w:val="single"/>
        </w:rPr>
        <w:t>TPD 360 -----</w:t>
      </w:r>
      <w:r w:rsidR="004C5E52" w:rsidRPr="004C5E52">
        <w:rPr>
          <w:i/>
          <w:sz w:val="22"/>
          <w:szCs w:val="22"/>
        </w:rPr>
        <w:t xml:space="preserve"> to my need it is totally undesirable for a legal practitioner to either attest to an affidavit or sign an urgent certificate for and on behalf of client who is being  represented at his firm as such lawyer clearly has an interest in the matter at hand” </w:t>
      </w:r>
    </w:p>
    <w:p w:rsidR="004C5E52" w:rsidRPr="004C5E52" w:rsidRDefault="004C5E52" w:rsidP="004C5E52">
      <w:pPr>
        <w:spacing w:line="276" w:lineRule="auto"/>
        <w:jc w:val="both"/>
        <w:rPr>
          <w:i/>
          <w:sz w:val="22"/>
          <w:szCs w:val="22"/>
        </w:rPr>
      </w:pPr>
    </w:p>
    <w:p w:rsidR="004C5E52" w:rsidRDefault="004C5E52" w:rsidP="00AC518E">
      <w:pPr>
        <w:spacing w:line="360" w:lineRule="auto"/>
        <w:jc w:val="both"/>
      </w:pPr>
      <w:r>
        <w:tab/>
        <w:t>From what has been ex</w:t>
      </w:r>
      <w:r w:rsidR="00596384">
        <w:t>plained above the certificate of</w:t>
      </w:r>
      <w:r>
        <w:t xml:space="preserve"> urgency is defective since</w:t>
      </w:r>
      <w:r w:rsidR="00C36FF6">
        <w:t xml:space="preserve"> it was signed by Vincent </w:t>
      </w:r>
      <w:proofErr w:type="spellStart"/>
      <w:r w:rsidR="00C36FF6">
        <w:t>Mazhet</w:t>
      </w:r>
      <w:r>
        <w:t>ese</w:t>
      </w:r>
      <w:proofErr w:type="spellEnd"/>
      <w:r>
        <w:t xml:space="preserve"> </w:t>
      </w:r>
      <w:r w:rsidR="00596384">
        <w:t>a</w:t>
      </w:r>
      <w:r>
        <w:t xml:space="preserve"> legal practitioner in the firm representing the applicant.</w:t>
      </w:r>
    </w:p>
    <w:p w:rsidR="004C5E52" w:rsidRDefault="004C5E52" w:rsidP="004C5E52">
      <w:pPr>
        <w:spacing w:line="276" w:lineRule="auto"/>
        <w:jc w:val="both"/>
      </w:pPr>
    </w:p>
    <w:p w:rsidR="004C5E52" w:rsidRDefault="004C5E52" w:rsidP="00AC518E">
      <w:pPr>
        <w:spacing w:line="360" w:lineRule="auto"/>
        <w:jc w:val="both"/>
      </w:pPr>
      <w:r>
        <w:tab/>
        <w:t xml:space="preserve">In the </w:t>
      </w:r>
      <w:r w:rsidR="00596384">
        <w:t>light</w:t>
      </w:r>
      <w:r>
        <w:t xml:space="preserve"> of the foregoing this court finds that this matter is not properly before the court.</w:t>
      </w:r>
    </w:p>
    <w:p w:rsidR="004C5E52" w:rsidRDefault="004C5E52" w:rsidP="004C5E52">
      <w:pPr>
        <w:spacing w:line="276" w:lineRule="auto"/>
        <w:jc w:val="both"/>
      </w:pPr>
    </w:p>
    <w:p w:rsidR="004C5E52" w:rsidRDefault="004C5E52" w:rsidP="00AC518E">
      <w:pPr>
        <w:spacing w:line="360" w:lineRule="auto"/>
        <w:jc w:val="both"/>
      </w:pPr>
      <w:r>
        <w:t>Accordingly</w:t>
      </w:r>
    </w:p>
    <w:p w:rsidR="004C5E52" w:rsidRDefault="004C5E52" w:rsidP="004C5E52">
      <w:pPr>
        <w:spacing w:line="360" w:lineRule="auto"/>
        <w:jc w:val="both"/>
      </w:pPr>
    </w:p>
    <w:p w:rsidR="009A7440" w:rsidRDefault="004C5E52" w:rsidP="009A7440">
      <w:pPr>
        <w:pStyle w:val="ListParagraph"/>
        <w:numPr>
          <w:ilvl w:val="0"/>
          <w:numId w:val="3"/>
        </w:numPr>
        <w:spacing w:line="360" w:lineRule="auto"/>
        <w:jc w:val="both"/>
      </w:pPr>
      <w:r>
        <w:lastRenderedPageBreak/>
        <w:t>The application is struck off the roll for lack of compliance with the Labour Court Rules.</w:t>
      </w:r>
      <w:r w:rsidR="00E35650">
        <w:tab/>
      </w:r>
    </w:p>
    <w:p w:rsidR="009A7440" w:rsidRDefault="009A7440" w:rsidP="009A7440">
      <w:pPr>
        <w:spacing w:line="360" w:lineRule="auto"/>
        <w:jc w:val="both"/>
      </w:pPr>
    </w:p>
    <w:p w:rsidR="009A7440" w:rsidRDefault="009A7440" w:rsidP="009A7440">
      <w:pPr>
        <w:spacing w:line="360" w:lineRule="auto"/>
        <w:jc w:val="both"/>
      </w:pPr>
    </w:p>
    <w:p w:rsidR="009A7440" w:rsidRDefault="009A7440" w:rsidP="009A7440">
      <w:pPr>
        <w:spacing w:line="360" w:lineRule="auto"/>
        <w:jc w:val="both"/>
      </w:pPr>
    </w:p>
    <w:p w:rsidR="009A7440" w:rsidRDefault="009A7440" w:rsidP="009A7440">
      <w:pPr>
        <w:spacing w:line="360" w:lineRule="auto"/>
        <w:jc w:val="both"/>
      </w:pPr>
    </w:p>
    <w:p w:rsidR="009A7440" w:rsidRPr="009A7440" w:rsidRDefault="009A7440" w:rsidP="009A7440">
      <w:pPr>
        <w:spacing w:line="360" w:lineRule="auto"/>
        <w:jc w:val="both"/>
        <w:rPr>
          <w:b/>
          <w:i/>
        </w:rPr>
      </w:pPr>
      <w:r w:rsidRPr="009A7440">
        <w:rPr>
          <w:b/>
          <w:i/>
        </w:rPr>
        <w:t>J MAMBARA &amp; PARTNERS, Applicant’s legal practitioners</w:t>
      </w:r>
    </w:p>
    <w:p w:rsidR="009A7440" w:rsidRPr="009A7440" w:rsidRDefault="009A7440" w:rsidP="009A7440">
      <w:pPr>
        <w:spacing w:line="360" w:lineRule="auto"/>
        <w:jc w:val="both"/>
        <w:rPr>
          <w:b/>
          <w:i/>
        </w:rPr>
      </w:pPr>
      <w:r w:rsidRPr="009A7440">
        <w:rPr>
          <w:b/>
          <w:i/>
        </w:rPr>
        <w:t>CHIHAMBAKWE, MUTIZWA &amp; PARTNERS, Respondents’ legal practitioners</w:t>
      </w:r>
    </w:p>
    <w:sectPr w:rsidR="009A7440" w:rsidRPr="009A7440" w:rsidSect="00176AE3">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0ED" w:rsidRDefault="00A330ED" w:rsidP="00176AE3">
      <w:r>
        <w:separator/>
      </w:r>
    </w:p>
  </w:endnote>
  <w:endnote w:type="continuationSeparator" w:id="0">
    <w:p w:rsidR="00A330ED" w:rsidRDefault="00A330ED" w:rsidP="0017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8303"/>
      <w:docPartObj>
        <w:docPartGallery w:val="Page Numbers (Bottom of Page)"/>
        <w:docPartUnique/>
      </w:docPartObj>
    </w:sdtPr>
    <w:sdtEndPr/>
    <w:sdtContent>
      <w:p w:rsidR="004C5E52" w:rsidRDefault="00A330ED">
        <w:pPr>
          <w:pStyle w:val="Footer"/>
          <w:jc w:val="center"/>
        </w:pPr>
        <w:r>
          <w:fldChar w:fldCharType="begin"/>
        </w:r>
        <w:r>
          <w:instrText xml:space="preserve"> PAGE   \* MERGEFORMAT </w:instrText>
        </w:r>
        <w:r>
          <w:fldChar w:fldCharType="separate"/>
        </w:r>
        <w:r w:rsidR="008A235A">
          <w:rPr>
            <w:noProof/>
          </w:rPr>
          <w:t>4</w:t>
        </w:r>
        <w:r>
          <w:rPr>
            <w:noProof/>
          </w:rPr>
          <w:fldChar w:fldCharType="end"/>
        </w:r>
      </w:p>
    </w:sdtContent>
  </w:sdt>
  <w:p w:rsidR="004C5E52" w:rsidRDefault="004C5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0ED" w:rsidRDefault="00A330ED" w:rsidP="00176AE3">
      <w:r>
        <w:separator/>
      </w:r>
    </w:p>
  </w:footnote>
  <w:footnote w:type="continuationSeparator" w:id="0">
    <w:p w:rsidR="00A330ED" w:rsidRDefault="00A330ED" w:rsidP="00176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52" w:rsidRPr="00176AE3" w:rsidRDefault="004C5E52">
    <w:pPr>
      <w:pStyle w:val="Header"/>
      <w:rPr>
        <w:lang w:val="en-ZW"/>
      </w:rPr>
    </w:pPr>
    <w:r>
      <w:rPr>
        <w:lang w:val="en-ZW"/>
      </w:rPr>
      <w:tab/>
    </w:r>
    <w:r>
      <w:rPr>
        <w:lang w:val="en-ZW"/>
      </w:rPr>
      <w:tab/>
      <w:t>JUDGMENT NO. LC/H/</w:t>
    </w:r>
    <w:r w:rsidR="003E3228">
      <w:rPr>
        <w:lang w:val="en-ZW"/>
      </w:rPr>
      <w:t>380</w:t>
    </w:r>
    <w:r>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E2C4F"/>
    <w:multiLevelType w:val="hybridMultilevel"/>
    <w:tmpl w:val="875A06E2"/>
    <w:lvl w:ilvl="0" w:tplc="8BC459EE">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2E496E6D"/>
    <w:multiLevelType w:val="hybridMultilevel"/>
    <w:tmpl w:val="44562646"/>
    <w:lvl w:ilvl="0" w:tplc="588C624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E615949"/>
    <w:multiLevelType w:val="hybridMultilevel"/>
    <w:tmpl w:val="F648AF9E"/>
    <w:lvl w:ilvl="0" w:tplc="1FA8B6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89F"/>
    <w:rsid w:val="00126B0B"/>
    <w:rsid w:val="00153C61"/>
    <w:rsid w:val="00176AE3"/>
    <w:rsid w:val="00196F50"/>
    <w:rsid w:val="002A1904"/>
    <w:rsid w:val="003E3228"/>
    <w:rsid w:val="00444900"/>
    <w:rsid w:val="004C552B"/>
    <w:rsid w:val="004C5E52"/>
    <w:rsid w:val="00536527"/>
    <w:rsid w:val="0058389F"/>
    <w:rsid w:val="00596384"/>
    <w:rsid w:val="00693FBF"/>
    <w:rsid w:val="008A235A"/>
    <w:rsid w:val="008F7978"/>
    <w:rsid w:val="009A7440"/>
    <w:rsid w:val="00A330ED"/>
    <w:rsid w:val="00AC518E"/>
    <w:rsid w:val="00B22E0F"/>
    <w:rsid w:val="00B505A1"/>
    <w:rsid w:val="00BC3897"/>
    <w:rsid w:val="00C27817"/>
    <w:rsid w:val="00C36FF6"/>
    <w:rsid w:val="00CB4F7F"/>
    <w:rsid w:val="00CF5340"/>
    <w:rsid w:val="00D46478"/>
    <w:rsid w:val="00DA5C19"/>
    <w:rsid w:val="00DE3FAE"/>
    <w:rsid w:val="00E35650"/>
    <w:rsid w:val="00EF11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89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F50"/>
    <w:pPr>
      <w:ind w:left="720"/>
      <w:contextualSpacing/>
    </w:pPr>
  </w:style>
  <w:style w:type="paragraph" w:styleId="Header">
    <w:name w:val="header"/>
    <w:basedOn w:val="Normal"/>
    <w:link w:val="HeaderChar"/>
    <w:uiPriority w:val="99"/>
    <w:semiHidden/>
    <w:unhideWhenUsed/>
    <w:rsid w:val="00176AE3"/>
    <w:pPr>
      <w:tabs>
        <w:tab w:val="center" w:pos="4513"/>
        <w:tab w:val="right" w:pos="9026"/>
      </w:tabs>
    </w:pPr>
  </w:style>
  <w:style w:type="character" w:customStyle="1" w:styleId="HeaderChar">
    <w:name w:val="Header Char"/>
    <w:basedOn w:val="DefaultParagraphFont"/>
    <w:link w:val="Header"/>
    <w:uiPriority w:val="99"/>
    <w:semiHidden/>
    <w:rsid w:val="00176AE3"/>
    <w:rPr>
      <w:rFonts w:ascii="Tahoma" w:eastAsia="Times New Roman" w:hAnsi="Tahoma" w:cs="Times New Roman"/>
      <w:sz w:val="24"/>
      <w:szCs w:val="24"/>
      <w:lang w:val="en-US"/>
    </w:rPr>
  </w:style>
  <w:style w:type="paragraph" w:styleId="Footer">
    <w:name w:val="footer"/>
    <w:basedOn w:val="Normal"/>
    <w:link w:val="FooterChar"/>
    <w:uiPriority w:val="99"/>
    <w:unhideWhenUsed/>
    <w:rsid w:val="00176AE3"/>
    <w:pPr>
      <w:tabs>
        <w:tab w:val="center" w:pos="4513"/>
        <w:tab w:val="right" w:pos="9026"/>
      </w:tabs>
    </w:pPr>
  </w:style>
  <w:style w:type="character" w:customStyle="1" w:styleId="FooterChar">
    <w:name w:val="Footer Char"/>
    <w:basedOn w:val="DefaultParagraphFont"/>
    <w:link w:val="Footer"/>
    <w:uiPriority w:val="99"/>
    <w:rsid w:val="00176AE3"/>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89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F50"/>
    <w:pPr>
      <w:ind w:left="720"/>
      <w:contextualSpacing/>
    </w:pPr>
  </w:style>
  <w:style w:type="paragraph" w:styleId="Header">
    <w:name w:val="header"/>
    <w:basedOn w:val="Normal"/>
    <w:link w:val="HeaderChar"/>
    <w:uiPriority w:val="99"/>
    <w:semiHidden/>
    <w:unhideWhenUsed/>
    <w:rsid w:val="00176AE3"/>
    <w:pPr>
      <w:tabs>
        <w:tab w:val="center" w:pos="4513"/>
        <w:tab w:val="right" w:pos="9026"/>
      </w:tabs>
    </w:pPr>
  </w:style>
  <w:style w:type="character" w:customStyle="1" w:styleId="HeaderChar">
    <w:name w:val="Header Char"/>
    <w:basedOn w:val="DefaultParagraphFont"/>
    <w:link w:val="Header"/>
    <w:uiPriority w:val="99"/>
    <w:semiHidden/>
    <w:rsid w:val="00176AE3"/>
    <w:rPr>
      <w:rFonts w:ascii="Tahoma" w:eastAsia="Times New Roman" w:hAnsi="Tahoma" w:cs="Times New Roman"/>
      <w:sz w:val="24"/>
      <w:szCs w:val="24"/>
      <w:lang w:val="en-US"/>
    </w:rPr>
  </w:style>
  <w:style w:type="paragraph" w:styleId="Footer">
    <w:name w:val="footer"/>
    <w:basedOn w:val="Normal"/>
    <w:link w:val="FooterChar"/>
    <w:uiPriority w:val="99"/>
    <w:unhideWhenUsed/>
    <w:rsid w:val="00176AE3"/>
    <w:pPr>
      <w:tabs>
        <w:tab w:val="center" w:pos="4513"/>
        <w:tab w:val="right" w:pos="9026"/>
      </w:tabs>
    </w:pPr>
  </w:style>
  <w:style w:type="character" w:customStyle="1" w:styleId="FooterChar">
    <w:name w:val="Footer Char"/>
    <w:basedOn w:val="DefaultParagraphFont"/>
    <w:link w:val="Footer"/>
    <w:uiPriority w:val="99"/>
    <w:rsid w:val="00176AE3"/>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81F3F-B399-4B49-B8B8-25F6A6BC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2014-06-19T07:03:00Z</cp:lastPrinted>
  <dcterms:created xsi:type="dcterms:W3CDTF">2017-04-06T08:13:00Z</dcterms:created>
  <dcterms:modified xsi:type="dcterms:W3CDTF">2017-04-06T08:13:00Z</dcterms:modified>
</cp:coreProperties>
</file>