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B4" w:rsidRDefault="009B1CE0" w:rsidP="009B1CE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 THE LABOUR COURT OF ZIMBABWE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JUDGMENT NO LC/146/13</w:t>
      </w:r>
    </w:p>
    <w:p w:rsidR="009B1CE0" w:rsidRDefault="009B1CE0" w:rsidP="009B1CE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HELD AT HARARE 18</w:t>
      </w:r>
      <w:r w:rsidRPr="009B1CE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MARCH 2013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CASE NO LC/H/598/11</w:t>
      </w:r>
    </w:p>
    <w:p w:rsidR="009B1CE0" w:rsidRDefault="009B1CE0" w:rsidP="009B1CE0">
      <w:pPr>
        <w:spacing w:line="360" w:lineRule="auto"/>
        <w:rPr>
          <w:b/>
          <w:sz w:val="28"/>
          <w:szCs w:val="28"/>
        </w:rPr>
      </w:pPr>
    </w:p>
    <w:p w:rsidR="009B1CE0" w:rsidRDefault="009B1CE0" w:rsidP="009B1CE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MINISTRY OF EDUCATION,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Applicant</w:t>
      </w:r>
    </w:p>
    <w:p w:rsidR="009B1CE0" w:rsidRDefault="009B1CE0" w:rsidP="009B1CE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SPORT, ART &amp; CULTURE</w:t>
      </w:r>
    </w:p>
    <w:p w:rsidR="009B1CE0" w:rsidRDefault="00471B0D" w:rsidP="009B1CE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TONDERAI K</w:t>
      </w:r>
      <w:bookmarkStart w:id="0" w:name="_GoBack"/>
      <w:bookmarkEnd w:id="0"/>
      <w:r w:rsidR="009B1CE0">
        <w:rPr>
          <w:b/>
          <w:sz w:val="28"/>
          <w:szCs w:val="28"/>
        </w:rPr>
        <w:t>UTIVA</w:t>
      </w:r>
      <w:r w:rsidR="009B1CE0">
        <w:rPr>
          <w:b/>
          <w:sz w:val="28"/>
          <w:szCs w:val="28"/>
        </w:rPr>
        <w:tab/>
      </w:r>
      <w:r w:rsidR="009B1CE0">
        <w:rPr>
          <w:b/>
          <w:sz w:val="28"/>
          <w:szCs w:val="28"/>
        </w:rPr>
        <w:tab/>
      </w:r>
      <w:r w:rsidR="009B1CE0">
        <w:rPr>
          <w:b/>
          <w:sz w:val="28"/>
          <w:szCs w:val="28"/>
        </w:rPr>
        <w:tab/>
      </w:r>
      <w:r w:rsidR="009B1CE0">
        <w:rPr>
          <w:b/>
          <w:sz w:val="28"/>
          <w:szCs w:val="28"/>
        </w:rPr>
        <w:tab/>
      </w:r>
      <w:r w:rsidR="009B1CE0">
        <w:rPr>
          <w:b/>
          <w:sz w:val="28"/>
          <w:szCs w:val="28"/>
        </w:rPr>
        <w:tab/>
        <w:t>Respondent</w:t>
      </w:r>
    </w:p>
    <w:p w:rsidR="009B1CE0" w:rsidRDefault="009B1CE0" w:rsidP="009B1CE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Before The Honourable G Musariri, President</w:t>
      </w:r>
    </w:p>
    <w:p w:rsidR="009B1CE0" w:rsidRDefault="009B1CE0" w:rsidP="009B1CE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For Applicant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Ms F </w:t>
      </w:r>
      <w:proofErr w:type="spellStart"/>
      <w:r>
        <w:rPr>
          <w:b/>
          <w:sz w:val="28"/>
          <w:szCs w:val="28"/>
        </w:rPr>
        <w:t>Kuipa</w:t>
      </w:r>
      <w:proofErr w:type="spellEnd"/>
      <w:r>
        <w:rPr>
          <w:b/>
          <w:sz w:val="28"/>
          <w:szCs w:val="28"/>
        </w:rPr>
        <w:t>, Officer</w:t>
      </w:r>
    </w:p>
    <w:p w:rsidR="009B1CE0" w:rsidRDefault="009B1CE0" w:rsidP="009B1CE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Ms R </w:t>
      </w:r>
      <w:proofErr w:type="spellStart"/>
      <w:r>
        <w:rPr>
          <w:b/>
          <w:sz w:val="28"/>
          <w:szCs w:val="28"/>
        </w:rPr>
        <w:t>Mukozho</w:t>
      </w:r>
      <w:proofErr w:type="spellEnd"/>
      <w:r>
        <w:rPr>
          <w:b/>
          <w:sz w:val="28"/>
          <w:szCs w:val="28"/>
        </w:rPr>
        <w:t>, Attorney</w:t>
      </w:r>
    </w:p>
    <w:p w:rsidR="009B1CE0" w:rsidRDefault="009B1CE0" w:rsidP="009B1CE0">
      <w:pPr>
        <w:spacing w:line="360" w:lineRule="auto"/>
        <w:rPr>
          <w:b/>
          <w:sz w:val="28"/>
          <w:szCs w:val="28"/>
        </w:rPr>
      </w:pPr>
    </w:p>
    <w:p w:rsidR="009B1CE0" w:rsidRDefault="009B1CE0" w:rsidP="009B1CE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MUSARIRI, G:</w:t>
      </w:r>
    </w:p>
    <w:p w:rsidR="009B1CE0" w:rsidRDefault="009B1CE0" w:rsidP="009B1CE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On 5</w:t>
      </w:r>
      <w:r w:rsidRPr="009B1CE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2012 this Court made an order.  The terms of the order read as follows,</w:t>
      </w:r>
    </w:p>
    <w:p w:rsidR="009B1CE0" w:rsidRDefault="002E7797" w:rsidP="009B1CE0">
      <w:pPr>
        <w:spacing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“</w:t>
      </w:r>
      <w:r w:rsidR="009B1CE0">
        <w:rPr>
          <w:i/>
          <w:sz w:val="28"/>
          <w:szCs w:val="28"/>
        </w:rPr>
        <w:t xml:space="preserve">Respondent having failed to file its response in terms of Rule 15 of the Labour Court Rules Statutory Instrument 59 of 2006: and </w:t>
      </w:r>
      <w:r w:rsidR="009B1CE0">
        <w:rPr>
          <w:i/>
          <w:sz w:val="28"/>
          <w:szCs w:val="28"/>
          <w:u w:val="single"/>
        </w:rPr>
        <w:t xml:space="preserve">further having </w:t>
      </w:r>
      <w:proofErr w:type="gramStart"/>
      <w:r w:rsidR="009B1CE0">
        <w:rPr>
          <w:i/>
          <w:sz w:val="28"/>
          <w:szCs w:val="28"/>
          <w:u w:val="single"/>
        </w:rPr>
        <w:t>also</w:t>
      </w:r>
      <w:proofErr w:type="gramEnd"/>
      <w:r w:rsidR="009B1CE0">
        <w:rPr>
          <w:i/>
          <w:sz w:val="28"/>
          <w:szCs w:val="28"/>
          <w:u w:val="single"/>
        </w:rPr>
        <w:t xml:space="preserve"> failed to show good cause </w:t>
      </w:r>
      <w:r w:rsidR="009B1CE0">
        <w:rPr>
          <w:i/>
          <w:sz w:val="28"/>
          <w:szCs w:val="28"/>
        </w:rPr>
        <w:t>for such failure to file a no</w:t>
      </w:r>
      <w:r w:rsidR="009B1CE0" w:rsidRPr="009B1CE0">
        <w:rPr>
          <w:i/>
          <w:sz w:val="28"/>
          <w:szCs w:val="28"/>
        </w:rPr>
        <w:t>tice</w:t>
      </w:r>
      <w:r w:rsidR="009B1CE0">
        <w:rPr>
          <w:i/>
          <w:sz w:val="28"/>
          <w:szCs w:val="28"/>
        </w:rPr>
        <w:t xml:space="preserve"> of response, a default judgment be and is hereby entered against the Respondent.  The appeal is consequently allowed by reason of Respondent’s default.” (The underlining for emphasis is mine)</w:t>
      </w:r>
    </w:p>
    <w:p w:rsidR="009B1CE0" w:rsidRDefault="009B1CE0" w:rsidP="009B1CE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On 14</w:t>
      </w:r>
      <w:r w:rsidRPr="009B1CE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2012 Applicant then filed this application for rescission of </w:t>
      </w:r>
      <w:r w:rsidR="002E7797">
        <w:rPr>
          <w:sz w:val="28"/>
          <w:szCs w:val="28"/>
        </w:rPr>
        <w:t xml:space="preserve">the </w:t>
      </w:r>
      <w:r>
        <w:rPr>
          <w:sz w:val="28"/>
          <w:szCs w:val="28"/>
        </w:rPr>
        <w:t>“default judgment.”  Respondent opposed the application.</w:t>
      </w:r>
    </w:p>
    <w:p w:rsidR="009B1CE0" w:rsidRDefault="009B1CE0" w:rsidP="009B1CE0">
      <w:pPr>
        <w:spacing w:after="0" w:line="360" w:lineRule="auto"/>
        <w:rPr>
          <w:sz w:val="28"/>
          <w:szCs w:val="28"/>
        </w:rPr>
      </w:pPr>
    </w:p>
    <w:p w:rsidR="009B1CE0" w:rsidRDefault="009B1CE0" w:rsidP="009B1CE0">
      <w:pPr>
        <w:spacing w:after="0" w:line="360" w:lineRule="auto"/>
        <w:rPr>
          <w:sz w:val="28"/>
          <w:szCs w:val="28"/>
        </w:rPr>
      </w:pPr>
    </w:p>
    <w:p w:rsidR="009B1CE0" w:rsidRDefault="009B1CE0" w:rsidP="009B1CE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The reasons for the “default judgment” appear from the order itsel</w:t>
      </w:r>
      <w:r w:rsidR="00936015">
        <w:rPr>
          <w:sz w:val="28"/>
          <w:szCs w:val="28"/>
        </w:rPr>
        <w:t>f.  Applicant failed to file a Response in terms of this Court’s Rules.  Furthermore it failed to show good cause for</w:t>
      </w:r>
      <w:r w:rsidR="00091D24">
        <w:rPr>
          <w:sz w:val="28"/>
          <w:szCs w:val="28"/>
        </w:rPr>
        <w:t xml:space="preserve"> its</w:t>
      </w:r>
      <w:r w:rsidR="00936015">
        <w:rPr>
          <w:sz w:val="28"/>
          <w:szCs w:val="28"/>
        </w:rPr>
        <w:t xml:space="preserve"> failure to file the Response.  In fact though th</w:t>
      </w:r>
      <w:r w:rsidR="0046599F">
        <w:rPr>
          <w:sz w:val="28"/>
          <w:szCs w:val="28"/>
        </w:rPr>
        <w:t xml:space="preserve">e order is a default judgment, </w:t>
      </w:r>
      <w:r w:rsidR="00936015">
        <w:rPr>
          <w:sz w:val="28"/>
          <w:szCs w:val="28"/>
        </w:rPr>
        <w:t>Applicant was represented on the date matter was heard and the</w:t>
      </w:r>
      <w:r w:rsidR="00555081">
        <w:rPr>
          <w:sz w:val="28"/>
          <w:szCs w:val="28"/>
        </w:rPr>
        <w:t xml:space="preserve"> order issued.  Its representative failed</w:t>
      </w:r>
      <w:r w:rsidR="00091D24">
        <w:rPr>
          <w:sz w:val="28"/>
          <w:szCs w:val="28"/>
        </w:rPr>
        <w:t xml:space="preserve"> to</w:t>
      </w:r>
      <w:r w:rsidR="00555081">
        <w:rPr>
          <w:sz w:val="28"/>
          <w:szCs w:val="28"/>
        </w:rPr>
        <w:t xml:space="preserve"> show good cause for the failure to file a Response to Respondent’s appeal.  What it then sought to do through this application was to revive the same matter by rehashing the reasons for</w:t>
      </w:r>
      <w:r w:rsidR="00091D24">
        <w:rPr>
          <w:sz w:val="28"/>
          <w:szCs w:val="28"/>
        </w:rPr>
        <w:t xml:space="preserve"> its</w:t>
      </w:r>
      <w:r w:rsidR="00555081">
        <w:rPr>
          <w:sz w:val="28"/>
          <w:szCs w:val="28"/>
        </w:rPr>
        <w:t xml:space="preserve"> failure to respond.  The reasons having been considered and ruled upon by this Court, the matter became </w:t>
      </w:r>
      <w:r w:rsidR="00555081">
        <w:rPr>
          <w:sz w:val="28"/>
          <w:szCs w:val="28"/>
          <w:u w:val="single"/>
        </w:rPr>
        <w:t>res</w:t>
      </w:r>
      <w:r w:rsidR="00555081">
        <w:rPr>
          <w:sz w:val="28"/>
          <w:szCs w:val="28"/>
        </w:rPr>
        <w:t xml:space="preserve"> </w:t>
      </w:r>
      <w:r w:rsidR="00555081">
        <w:rPr>
          <w:sz w:val="28"/>
          <w:szCs w:val="28"/>
          <w:u w:val="single"/>
        </w:rPr>
        <w:t>judicata</w:t>
      </w:r>
      <w:r w:rsidR="00091D24">
        <w:rPr>
          <w:sz w:val="28"/>
          <w:szCs w:val="28"/>
        </w:rPr>
        <w:t xml:space="preserve"> as argued for Respondent.  The</w:t>
      </w:r>
      <w:r w:rsidR="00555081">
        <w:rPr>
          <w:sz w:val="28"/>
          <w:szCs w:val="28"/>
        </w:rPr>
        <w:t xml:space="preserve"> order is couched in final terms and thus this Court is </w:t>
      </w:r>
      <w:proofErr w:type="spellStart"/>
      <w:r w:rsidR="00555081">
        <w:rPr>
          <w:sz w:val="28"/>
          <w:szCs w:val="28"/>
          <w:u w:val="single"/>
        </w:rPr>
        <w:t>functus</w:t>
      </w:r>
      <w:proofErr w:type="spellEnd"/>
      <w:r w:rsidR="00555081">
        <w:rPr>
          <w:sz w:val="28"/>
          <w:szCs w:val="28"/>
        </w:rPr>
        <w:t xml:space="preserve"> </w:t>
      </w:r>
      <w:r w:rsidR="00555081">
        <w:rPr>
          <w:sz w:val="28"/>
          <w:szCs w:val="28"/>
          <w:u w:val="single"/>
        </w:rPr>
        <w:t>officio.</w:t>
      </w:r>
      <w:r w:rsidR="00555081">
        <w:rPr>
          <w:sz w:val="28"/>
          <w:szCs w:val="28"/>
        </w:rPr>
        <w:t xml:space="preserve">  Applicant’s recourse lies not with this Court but with the Supreme Court via an appeal or review as it may best be advised.</w:t>
      </w:r>
    </w:p>
    <w:p w:rsidR="00555081" w:rsidRDefault="00555081" w:rsidP="009B1CE0">
      <w:pPr>
        <w:spacing w:after="0" w:line="360" w:lineRule="auto"/>
        <w:rPr>
          <w:sz w:val="28"/>
          <w:szCs w:val="28"/>
        </w:rPr>
      </w:pPr>
    </w:p>
    <w:p w:rsidR="00555081" w:rsidRDefault="00555081" w:rsidP="009B1CE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Wherefore it is ordered that,</w:t>
      </w:r>
    </w:p>
    <w:p w:rsidR="00555081" w:rsidRDefault="00555081" w:rsidP="009B1CE0">
      <w:pPr>
        <w:spacing w:after="0" w:line="360" w:lineRule="auto"/>
        <w:rPr>
          <w:sz w:val="28"/>
          <w:szCs w:val="28"/>
        </w:rPr>
      </w:pPr>
    </w:p>
    <w:p w:rsidR="00555081" w:rsidRDefault="00555081" w:rsidP="00555081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The application for rescission of judgment is hereby dismissed; and</w:t>
      </w:r>
    </w:p>
    <w:p w:rsidR="00555081" w:rsidRDefault="00555081" w:rsidP="00555081">
      <w:pPr>
        <w:pStyle w:val="ListParagraph"/>
        <w:spacing w:after="0" w:line="360" w:lineRule="auto"/>
        <w:rPr>
          <w:sz w:val="28"/>
          <w:szCs w:val="28"/>
        </w:rPr>
      </w:pPr>
    </w:p>
    <w:p w:rsidR="00555081" w:rsidRDefault="00555081" w:rsidP="00555081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Each party shall bear its own costs.</w:t>
      </w:r>
    </w:p>
    <w:p w:rsidR="00555081" w:rsidRDefault="00555081" w:rsidP="00555081">
      <w:pPr>
        <w:spacing w:after="0" w:line="360" w:lineRule="auto"/>
        <w:rPr>
          <w:sz w:val="28"/>
          <w:szCs w:val="28"/>
        </w:rPr>
      </w:pPr>
    </w:p>
    <w:p w:rsidR="00555081" w:rsidRDefault="00555081" w:rsidP="00555081">
      <w:pPr>
        <w:spacing w:after="0" w:line="360" w:lineRule="auto"/>
        <w:rPr>
          <w:sz w:val="28"/>
          <w:szCs w:val="28"/>
        </w:rPr>
      </w:pPr>
    </w:p>
    <w:p w:rsidR="00555081" w:rsidRDefault="00555081" w:rsidP="00555081">
      <w:pPr>
        <w:spacing w:after="0" w:line="360" w:lineRule="auto"/>
        <w:rPr>
          <w:sz w:val="28"/>
          <w:szCs w:val="28"/>
        </w:rPr>
      </w:pPr>
    </w:p>
    <w:p w:rsidR="00555081" w:rsidRDefault="00555081" w:rsidP="00555081">
      <w:pPr>
        <w:spacing w:after="0" w:line="360" w:lineRule="auto"/>
        <w:rPr>
          <w:sz w:val="28"/>
          <w:szCs w:val="28"/>
        </w:rPr>
      </w:pPr>
    </w:p>
    <w:p w:rsidR="00555081" w:rsidRDefault="00555081" w:rsidP="00555081">
      <w:pPr>
        <w:spacing w:after="0" w:line="360" w:lineRule="auto"/>
        <w:ind w:left="5040"/>
        <w:rPr>
          <w:b/>
          <w:sz w:val="28"/>
          <w:szCs w:val="28"/>
        </w:rPr>
      </w:pPr>
      <w:r>
        <w:rPr>
          <w:b/>
          <w:sz w:val="28"/>
          <w:szCs w:val="28"/>
        </w:rPr>
        <w:t>G. MUSARIRI</w:t>
      </w:r>
    </w:p>
    <w:p w:rsidR="00555081" w:rsidRPr="00555081" w:rsidRDefault="00555081" w:rsidP="00555081">
      <w:pPr>
        <w:spacing w:after="0" w:line="360" w:lineRule="auto"/>
        <w:ind w:left="50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PRESIDENT</w:t>
      </w:r>
    </w:p>
    <w:sectPr w:rsidR="00555081" w:rsidRPr="00555081" w:rsidSect="009B1CE0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28A" w:rsidRDefault="0071128A" w:rsidP="009B1CE0">
      <w:pPr>
        <w:spacing w:after="0" w:line="240" w:lineRule="auto"/>
      </w:pPr>
      <w:r>
        <w:separator/>
      </w:r>
    </w:p>
  </w:endnote>
  <w:endnote w:type="continuationSeparator" w:id="0">
    <w:p w:rsidR="0071128A" w:rsidRDefault="0071128A" w:rsidP="009B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588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258D" w:rsidRDefault="000A25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B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258D" w:rsidRDefault="000A2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28A" w:rsidRDefault="0071128A" w:rsidP="009B1CE0">
      <w:pPr>
        <w:spacing w:after="0" w:line="240" w:lineRule="auto"/>
      </w:pPr>
      <w:r>
        <w:separator/>
      </w:r>
    </w:p>
  </w:footnote>
  <w:footnote w:type="continuationSeparator" w:id="0">
    <w:p w:rsidR="0071128A" w:rsidRDefault="0071128A" w:rsidP="009B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CE0" w:rsidRDefault="009B1CE0">
    <w:pPr>
      <w:pStyle w:val="Header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  <w:t>JUDGMENT NO LC/146/13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32652"/>
    <w:multiLevelType w:val="hybridMultilevel"/>
    <w:tmpl w:val="2466D62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E0"/>
    <w:rsid w:val="00091D24"/>
    <w:rsid w:val="000A258D"/>
    <w:rsid w:val="00136EB4"/>
    <w:rsid w:val="002E7797"/>
    <w:rsid w:val="0038702D"/>
    <w:rsid w:val="003A403E"/>
    <w:rsid w:val="0046599F"/>
    <w:rsid w:val="00471B0D"/>
    <w:rsid w:val="00533C36"/>
    <w:rsid w:val="00555081"/>
    <w:rsid w:val="00561ECD"/>
    <w:rsid w:val="0071128A"/>
    <w:rsid w:val="007D7875"/>
    <w:rsid w:val="00936015"/>
    <w:rsid w:val="009B1CE0"/>
    <w:rsid w:val="00A8339F"/>
    <w:rsid w:val="00B9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E0"/>
  </w:style>
  <w:style w:type="paragraph" w:styleId="Footer">
    <w:name w:val="footer"/>
    <w:basedOn w:val="Normal"/>
    <w:link w:val="FooterChar"/>
    <w:uiPriority w:val="99"/>
    <w:unhideWhenUsed/>
    <w:rsid w:val="009B1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E0"/>
  </w:style>
  <w:style w:type="paragraph" w:styleId="ListParagraph">
    <w:name w:val="List Paragraph"/>
    <w:basedOn w:val="Normal"/>
    <w:uiPriority w:val="34"/>
    <w:qFormat/>
    <w:rsid w:val="00555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E0"/>
  </w:style>
  <w:style w:type="paragraph" w:styleId="Footer">
    <w:name w:val="footer"/>
    <w:basedOn w:val="Normal"/>
    <w:link w:val="FooterChar"/>
    <w:uiPriority w:val="99"/>
    <w:unhideWhenUsed/>
    <w:rsid w:val="009B1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E0"/>
  </w:style>
  <w:style w:type="paragraph" w:styleId="ListParagraph">
    <w:name w:val="List Paragraph"/>
    <w:basedOn w:val="Normal"/>
    <w:uiPriority w:val="34"/>
    <w:qFormat/>
    <w:rsid w:val="00555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4</cp:revision>
  <cp:lastPrinted>2013-07-16T06:17:00Z</cp:lastPrinted>
  <dcterms:created xsi:type="dcterms:W3CDTF">2013-05-02T05:45:00Z</dcterms:created>
  <dcterms:modified xsi:type="dcterms:W3CDTF">2013-07-16T06:17:00Z</dcterms:modified>
</cp:coreProperties>
</file>