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07" w:rsidRPr="009E448B" w:rsidRDefault="004434F2" w:rsidP="00A9554D">
      <w:pPr>
        <w:spacing w:after="0" w:line="240" w:lineRule="auto"/>
        <w:jc w:val="both"/>
        <w:rPr>
          <w:rFonts w:ascii="Times New Roman" w:hAnsi="Times New Roman" w:cs="Times New Roman"/>
          <w:sz w:val="24"/>
          <w:szCs w:val="24"/>
        </w:rPr>
      </w:pPr>
      <w:bookmarkStart w:id="0" w:name="_GoBack"/>
      <w:bookmarkEnd w:id="0"/>
      <w:r w:rsidRPr="009E448B">
        <w:rPr>
          <w:rFonts w:ascii="Times New Roman" w:hAnsi="Times New Roman" w:cs="Times New Roman"/>
          <w:sz w:val="24"/>
          <w:szCs w:val="24"/>
        </w:rPr>
        <w:t>MILLITECH INVESTMENTS (PVT) LTD</w:t>
      </w:r>
    </w:p>
    <w:p w:rsidR="00E9515C" w:rsidRPr="009E448B" w:rsidRDefault="00755707" w:rsidP="00A9554D">
      <w:pPr>
        <w:spacing w:after="0" w:line="240" w:lineRule="auto"/>
        <w:jc w:val="both"/>
        <w:rPr>
          <w:rFonts w:ascii="Times New Roman" w:hAnsi="Times New Roman" w:cs="Times New Roman"/>
          <w:sz w:val="24"/>
          <w:szCs w:val="24"/>
        </w:rPr>
      </w:pPr>
      <w:r w:rsidRPr="009E448B">
        <w:rPr>
          <w:rFonts w:ascii="Times New Roman" w:hAnsi="Times New Roman" w:cs="Times New Roman"/>
          <w:sz w:val="24"/>
          <w:szCs w:val="24"/>
        </w:rPr>
        <w:t>versus</w:t>
      </w:r>
    </w:p>
    <w:p w:rsidR="00755707" w:rsidRPr="009E448B" w:rsidRDefault="004434F2" w:rsidP="00E9515C">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NORTHWING HOUSING COOPERATIVE</w:t>
      </w:r>
    </w:p>
    <w:p w:rsidR="00755707" w:rsidRPr="009E448B" w:rsidRDefault="00755707" w:rsidP="00E9515C">
      <w:pPr>
        <w:spacing w:after="0" w:line="360" w:lineRule="auto"/>
        <w:jc w:val="both"/>
        <w:rPr>
          <w:rFonts w:ascii="Times New Roman" w:hAnsi="Times New Roman" w:cs="Times New Roman"/>
          <w:sz w:val="24"/>
          <w:szCs w:val="24"/>
        </w:rPr>
      </w:pPr>
    </w:p>
    <w:p w:rsidR="00755707" w:rsidRPr="009E448B" w:rsidRDefault="00755707" w:rsidP="00E9515C">
      <w:pPr>
        <w:spacing w:after="0" w:line="360" w:lineRule="auto"/>
        <w:jc w:val="both"/>
        <w:rPr>
          <w:rFonts w:ascii="Times New Roman" w:hAnsi="Times New Roman" w:cs="Times New Roman"/>
          <w:sz w:val="24"/>
          <w:szCs w:val="24"/>
        </w:rPr>
      </w:pPr>
    </w:p>
    <w:p w:rsidR="00755707" w:rsidRPr="009E448B" w:rsidRDefault="00755707" w:rsidP="00A9554D">
      <w:pPr>
        <w:spacing w:after="0" w:line="240" w:lineRule="auto"/>
        <w:jc w:val="both"/>
        <w:rPr>
          <w:rFonts w:ascii="Times New Roman" w:hAnsi="Times New Roman" w:cs="Times New Roman"/>
          <w:sz w:val="24"/>
          <w:szCs w:val="24"/>
        </w:rPr>
      </w:pPr>
      <w:r w:rsidRPr="009E448B">
        <w:rPr>
          <w:rFonts w:ascii="Times New Roman" w:hAnsi="Times New Roman" w:cs="Times New Roman"/>
          <w:sz w:val="24"/>
          <w:szCs w:val="24"/>
        </w:rPr>
        <w:t xml:space="preserve">HIGH COURT </w:t>
      </w:r>
      <w:r w:rsidR="00B510F3" w:rsidRPr="009E448B">
        <w:rPr>
          <w:rFonts w:ascii="Times New Roman" w:hAnsi="Times New Roman" w:cs="Times New Roman"/>
          <w:sz w:val="24"/>
          <w:szCs w:val="24"/>
        </w:rPr>
        <w:t>OF ZIMBAB</w:t>
      </w:r>
      <w:r w:rsidRPr="009E448B">
        <w:rPr>
          <w:rFonts w:ascii="Times New Roman" w:hAnsi="Times New Roman" w:cs="Times New Roman"/>
          <w:sz w:val="24"/>
          <w:szCs w:val="24"/>
        </w:rPr>
        <w:t>WE</w:t>
      </w:r>
    </w:p>
    <w:p w:rsidR="00755707" w:rsidRPr="009E448B" w:rsidRDefault="00755707" w:rsidP="00A9554D">
      <w:pPr>
        <w:spacing w:after="0" w:line="240" w:lineRule="auto"/>
        <w:jc w:val="both"/>
        <w:rPr>
          <w:rFonts w:ascii="Times New Roman" w:hAnsi="Times New Roman" w:cs="Times New Roman"/>
          <w:sz w:val="24"/>
          <w:szCs w:val="24"/>
        </w:rPr>
      </w:pPr>
      <w:r w:rsidRPr="009E448B">
        <w:rPr>
          <w:rFonts w:ascii="Times New Roman" w:hAnsi="Times New Roman" w:cs="Times New Roman"/>
          <w:sz w:val="24"/>
          <w:szCs w:val="24"/>
        </w:rPr>
        <w:t>MUZOFA J</w:t>
      </w:r>
    </w:p>
    <w:p w:rsidR="00B8675B" w:rsidRPr="009E448B" w:rsidRDefault="00755707" w:rsidP="00B8675B">
      <w:pPr>
        <w:spacing w:after="0" w:line="240" w:lineRule="auto"/>
        <w:jc w:val="both"/>
        <w:rPr>
          <w:rFonts w:ascii="Times New Roman" w:hAnsi="Times New Roman" w:cs="Times New Roman"/>
          <w:sz w:val="24"/>
          <w:szCs w:val="24"/>
        </w:rPr>
      </w:pPr>
      <w:r w:rsidRPr="009E448B">
        <w:rPr>
          <w:rFonts w:ascii="Times New Roman" w:hAnsi="Times New Roman" w:cs="Times New Roman"/>
          <w:sz w:val="24"/>
          <w:szCs w:val="24"/>
        </w:rPr>
        <w:t>HARARE,</w:t>
      </w:r>
      <w:r w:rsidR="00B8675B" w:rsidRPr="009E448B">
        <w:rPr>
          <w:rFonts w:ascii="Times New Roman" w:hAnsi="Times New Roman" w:cs="Times New Roman"/>
          <w:sz w:val="24"/>
          <w:szCs w:val="24"/>
        </w:rPr>
        <w:t>7,</w:t>
      </w:r>
      <w:r w:rsidR="00FC5A41">
        <w:rPr>
          <w:rFonts w:ascii="Times New Roman" w:hAnsi="Times New Roman" w:cs="Times New Roman"/>
          <w:sz w:val="24"/>
          <w:szCs w:val="24"/>
        </w:rPr>
        <w:t xml:space="preserve"> </w:t>
      </w:r>
      <w:r w:rsidR="00B8675B" w:rsidRPr="009E448B">
        <w:rPr>
          <w:rFonts w:ascii="Times New Roman" w:hAnsi="Times New Roman" w:cs="Times New Roman"/>
          <w:sz w:val="24"/>
          <w:szCs w:val="24"/>
        </w:rPr>
        <w:t>9 November</w:t>
      </w:r>
      <w:r w:rsidR="00FC5A41">
        <w:rPr>
          <w:rFonts w:ascii="Times New Roman" w:hAnsi="Times New Roman" w:cs="Times New Roman"/>
          <w:sz w:val="24"/>
          <w:szCs w:val="24"/>
        </w:rPr>
        <w:t xml:space="preserve"> </w:t>
      </w:r>
      <w:r w:rsidR="00B8675B" w:rsidRPr="009E448B">
        <w:rPr>
          <w:rFonts w:ascii="Times New Roman" w:hAnsi="Times New Roman" w:cs="Times New Roman"/>
          <w:sz w:val="24"/>
          <w:szCs w:val="24"/>
        </w:rPr>
        <w:t>&amp;</w:t>
      </w:r>
      <w:r w:rsidR="00FC5A41">
        <w:rPr>
          <w:rFonts w:ascii="Times New Roman" w:hAnsi="Times New Roman" w:cs="Times New Roman"/>
          <w:sz w:val="24"/>
          <w:szCs w:val="24"/>
        </w:rPr>
        <w:t>17 December 2018</w:t>
      </w:r>
    </w:p>
    <w:p w:rsidR="00B8675B" w:rsidRPr="009E448B" w:rsidRDefault="00B8675B" w:rsidP="00B8675B">
      <w:pPr>
        <w:spacing w:after="0" w:line="240" w:lineRule="auto"/>
        <w:jc w:val="both"/>
        <w:rPr>
          <w:rFonts w:ascii="Times New Roman" w:hAnsi="Times New Roman" w:cs="Times New Roman"/>
          <w:sz w:val="24"/>
          <w:szCs w:val="24"/>
        </w:rPr>
      </w:pPr>
    </w:p>
    <w:p w:rsidR="001A70B2" w:rsidRDefault="001A70B2" w:rsidP="00B8675B">
      <w:pPr>
        <w:spacing w:after="0" w:line="240" w:lineRule="auto"/>
        <w:jc w:val="both"/>
        <w:rPr>
          <w:rFonts w:ascii="Times New Roman" w:hAnsi="Times New Roman" w:cs="Times New Roman"/>
          <w:sz w:val="24"/>
          <w:szCs w:val="24"/>
        </w:rPr>
      </w:pPr>
    </w:p>
    <w:p w:rsidR="000343A2" w:rsidRDefault="000343A2" w:rsidP="00B8675B">
      <w:pPr>
        <w:spacing w:after="0" w:line="240" w:lineRule="auto"/>
        <w:jc w:val="both"/>
        <w:rPr>
          <w:rFonts w:ascii="Times New Roman" w:hAnsi="Times New Roman" w:cs="Times New Roman"/>
          <w:sz w:val="24"/>
          <w:szCs w:val="24"/>
        </w:rPr>
      </w:pPr>
    </w:p>
    <w:p w:rsidR="00755707" w:rsidRPr="009E448B" w:rsidRDefault="00B8675B" w:rsidP="00B8675B">
      <w:pPr>
        <w:spacing w:after="0" w:line="240" w:lineRule="auto"/>
        <w:jc w:val="both"/>
        <w:rPr>
          <w:rFonts w:ascii="Times New Roman" w:hAnsi="Times New Roman" w:cs="Times New Roman"/>
          <w:b/>
          <w:sz w:val="24"/>
          <w:szCs w:val="24"/>
        </w:rPr>
      </w:pPr>
      <w:r w:rsidRPr="009E448B">
        <w:rPr>
          <w:rFonts w:ascii="Times New Roman" w:hAnsi="Times New Roman" w:cs="Times New Roman"/>
          <w:sz w:val="24"/>
          <w:szCs w:val="24"/>
        </w:rPr>
        <w:t>C</w:t>
      </w:r>
      <w:r w:rsidR="004434F2" w:rsidRPr="009E448B">
        <w:rPr>
          <w:rFonts w:ascii="Times New Roman" w:hAnsi="Times New Roman" w:cs="Times New Roman"/>
          <w:b/>
          <w:sz w:val="24"/>
          <w:szCs w:val="24"/>
        </w:rPr>
        <w:t xml:space="preserve">ivil </w:t>
      </w:r>
      <w:r w:rsidRPr="009E448B">
        <w:rPr>
          <w:rFonts w:ascii="Times New Roman" w:hAnsi="Times New Roman" w:cs="Times New Roman"/>
          <w:b/>
          <w:sz w:val="24"/>
          <w:szCs w:val="24"/>
        </w:rPr>
        <w:t>Trial</w:t>
      </w:r>
    </w:p>
    <w:p w:rsidR="00B8675B" w:rsidRPr="009E448B" w:rsidRDefault="00B8675B" w:rsidP="00B8675B">
      <w:pPr>
        <w:spacing w:after="0" w:line="240" w:lineRule="auto"/>
        <w:jc w:val="both"/>
        <w:rPr>
          <w:rFonts w:ascii="Times New Roman" w:hAnsi="Times New Roman" w:cs="Times New Roman"/>
          <w:sz w:val="24"/>
          <w:szCs w:val="24"/>
        </w:rPr>
      </w:pPr>
    </w:p>
    <w:p w:rsidR="001A70B2" w:rsidRDefault="001A70B2" w:rsidP="00755707">
      <w:pPr>
        <w:spacing w:after="0" w:line="240" w:lineRule="auto"/>
        <w:jc w:val="both"/>
        <w:rPr>
          <w:rFonts w:ascii="Times New Roman" w:hAnsi="Times New Roman" w:cs="Times New Roman"/>
          <w:i/>
          <w:sz w:val="24"/>
          <w:szCs w:val="24"/>
        </w:rPr>
      </w:pPr>
    </w:p>
    <w:p w:rsidR="000343A2" w:rsidRDefault="000343A2" w:rsidP="00755707">
      <w:pPr>
        <w:spacing w:after="0" w:line="240" w:lineRule="auto"/>
        <w:jc w:val="both"/>
        <w:rPr>
          <w:rFonts w:ascii="Times New Roman" w:hAnsi="Times New Roman" w:cs="Times New Roman"/>
          <w:i/>
          <w:sz w:val="24"/>
          <w:szCs w:val="24"/>
        </w:rPr>
      </w:pPr>
    </w:p>
    <w:p w:rsidR="00755707" w:rsidRPr="009E448B" w:rsidRDefault="00B8675B" w:rsidP="00755707">
      <w:pPr>
        <w:spacing w:after="0" w:line="240" w:lineRule="auto"/>
        <w:jc w:val="both"/>
        <w:rPr>
          <w:rFonts w:ascii="Times New Roman" w:hAnsi="Times New Roman" w:cs="Times New Roman"/>
          <w:sz w:val="24"/>
          <w:szCs w:val="24"/>
        </w:rPr>
      </w:pPr>
      <w:r w:rsidRPr="009E448B">
        <w:rPr>
          <w:rFonts w:ascii="Times New Roman" w:hAnsi="Times New Roman" w:cs="Times New Roman"/>
          <w:i/>
          <w:sz w:val="24"/>
          <w:szCs w:val="24"/>
        </w:rPr>
        <w:t>W Chagwiza,</w:t>
      </w:r>
      <w:r w:rsidR="00755707" w:rsidRPr="009E448B">
        <w:rPr>
          <w:rFonts w:ascii="Times New Roman" w:hAnsi="Times New Roman" w:cs="Times New Roman"/>
          <w:sz w:val="24"/>
          <w:szCs w:val="24"/>
        </w:rPr>
        <w:t xml:space="preserve"> for the plaintiff</w:t>
      </w:r>
    </w:p>
    <w:p w:rsidR="008D0BAB" w:rsidRPr="009E448B" w:rsidRDefault="001A70B2" w:rsidP="004434F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r w:rsidR="00B8675B" w:rsidRPr="009E448B">
        <w:rPr>
          <w:rFonts w:ascii="Times New Roman" w:hAnsi="Times New Roman" w:cs="Times New Roman"/>
          <w:i/>
          <w:sz w:val="24"/>
          <w:szCs w:val="24"/>
        </w:rPr>
        <w:t>Mazani</w:t>
      </w:r>
      <w:r w:rsidR="00755707" w:rsidRPr="009E448B">
        <w:rPr>
          <w:rFonts w:ascii="Times New Roman" w:hAnsi="Times New Roman" w:cs="Times New Roman"/>
          <w:sz w:val="24"/>
          <w:szCs w:val="24"/>
        </w:rPr>
        <w:t>, for the</w:t>
      </w:r>
      <w:r w:rsidR="008D0BAB" w:rsidRPr="009E448B">
        <w:rPr>
          <w:rFonts w:ascii="Times New Roman" w:hAnsi="Times New Roman" w:cs="Times New Roman"/>
          <w:sz w:val="24"/>
          <w:szCs w:val="24"/>
        </w:rPr>
        <w:t xml:space="preserve"> </w:t>
      </w:r>
      <w:r w:rsidR="004434F2" w:rsidRPr="009E448B">
        <w:rPr>
          <w:rFonts w:ascii="Times New Roman" w:hAnsi="Times New Roman" w:cs="Times New Roman"/>
          <w:sz w:val="24"/>
          <w:szCs w:val="24"/>
        </w:rPr>
        <w:t>defendant</w:t>
      </w:r>
    </w:p>
    <w:p w:rsidR="00755707" w:rsidRPr="009E448B" w:rsidRDefault="00755707" w:rsidP="00E9515C">
      <w:pPr>
        <w:spacing w:after="0" w:line="360" w:lineRule="auto"/>
        <w:jc w:val="both"/>
        <w:rPr>
          <w:rFonts w:ascii="Times New Roman" w:hAnsi="Times New Roman" w:cs="Times New Roman"/>
          <w:sz w:val="24"/>
          <w:szCs w:val="24"/>
        </w:rPr>
      </w:pPr>
    </w:p>
    <w:p w:rsidR="0032109B" w:rsidRPr="009E448B" w:rsidRDefault="00755707" w:rsidP="004434F2">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t>MUZOFA J:</w:t>
      </w:r>
      <w:r w:rsidR="009E0857" w:rsidRPr="009E448B">
        <w:rPr>
          <w:rFonts w:ascii="Times New Roman" w:hAnsi="Times New Roman" w:cs="Times New Roman"/>
          <w:sz w:val="24"/>
          <w:szCs w:val="24"/>
        </w:rPr>
        <w:t xml:space="preserve"> </w:t>
      </w:r>
      <w:r w:rsidR="004434F2" w:rsidRPr="009E448B">
        <w:rPr>
          <w:rFonts w:ascii="Times New Roman" w:hAnsi="Times New Roman" w:cs="Times New Roman"/>
          <w:sz w:val="24"/>
          <w:szCs w:val="24"/>
        </w:rPr>
        <w:t>The plaintiff issued out summons claiming $54 280.00 for services rendered in terms of a contract between the parties and interest at the prescribed rate from the date of summons to the date of payment in full.</w:t>
      </w:r>
    </w:p>
    <w:p w:rsidR="004434F2" w:rsidRPr="009E448B" w:rsidRDefault="004434F2" w:rsidP="004434F2">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t>At the pre-trial conference the parties agreed that a determination on the following issues will dispose of the matter.</w:t>
      </w:r>
    </w:p>
    <w:p w:rsidR="004434F2" w:rsidRPr="009E448B" w:rsidRDefault="004434F2" w:rsidP="004434F2">
      <w:pPr>
        <w:pStyle w:val="ListParagraph"/>
        <w:numPr>
          <w:ilvl w:val="0"/>
          <w:numId w:val="3"/>
        </w:num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Whether plaintiff rendered hole-drilling and blasting of rock service</w:t>
      </w:r>
      <w:r w:rsidR="00416D33" w:rsidRPr="009E448B">
        <w:rPr>
          <w:rFonts w:ascii="Times New Roman" w:hAnsi="Times New Roman" w:cs="Times New Roman"/>
          <w:sz w:val="24"/>
          <w:szCs w:val="24"/>
        </w:rPr>
        <w:t>s</w:t>
      </w:r>
      <w:r w:rsidRPr="009E448B">
        <w:rPr>
          <w:rFonts w:ascii="Times New Roman" w:hAnsi="Times New Roman" w:cs="Times New Roman"/>
          <w:sz w:val="24"/>
          <w:szCs w:val="24"/>
        </w:rPr>
        <w:t xml:space="preserve"> at Atherstone Park, Marondera at the request and instance of defendant’s predecessor(s) for which payment is due to it.</w:t>
      </w:r>
    </w:p>
    <w:p w:rsidR="004434F2" w:rsidRPr="009E448B" w:rsidRDefault="004434F2" w:rsidP="004434F2">
      <w:pPr>
        <w:pStyle w:val="ListParagraph"/>
        <w:numPr>
          <w:ilvl w:val="0"/>
          <w:numId w:val="3"/>
        </w:num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If so, the amount due and payable for the aforesaid services.</w:t>
      </w:r>
    </w:p>
    <w:p w:rsidR="004434F2" w:rsidRPr="009E448B" w:rsidRDefault="004434F2" w:rsidP="004434F2">
      <w:pPr>
        <w:pStyle w:val="ListParagraph"/>
        <w:numPr>
          <w:ilvl w:val="0"/>
          <w:numId w:val="3"/>
        </w:num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Whether the defendant is legally liable to fulfill the contractual obligations incurred by its predecessor(s)</w:t>
      </w:r>
      <w:r w:rsidR="0055164F" w:rsidRPr="009E448B">
        <w:rPr>
          <w:rFonts w:ascii="Times New Roman" w:hAnsi="Times New Roman" w:cs="Times New Roman"/>
          <w:sz w:val="24"/>
          <w:szCs w:val="24"/>
        </w:rPr>
        <w:t>.</w:t>
      </w:r>
    </w:p>
    <w:p w:rsidR="0055164F" w:rsidRPr="009E448B" w:rsidRDefault="0055164F" w:rsidP="0055164F">
      <w:pPr>
        <w:spacing w:after="0" w:line="360" w:lineRule="auto"/>
        <w:jc w:val="both"/>
        <w:rPr>
          <w:rFonts w:ascii="Times New Roman" w:hAnsi="Times New Roman" w:cs="Times New Roman"/>
          <w:sz w:val="24"/>
          <w:szCs w:val="24"/>
        </w:rPr>
      </w:pPr>
    </w:p>
    <w:p w:rsidR="0055164F" w:rsidRPr="009E448B" w:rsidRDefault="0055164F" w:rsidP="0055164F">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t xml:space="preserve">The following </w:t>
      </w:r>
      <w:r w:rsidR="00416D33" w:rsidRPr="009E448B">
        <w:rPr>
          <w:rFonts w:ascii="Times New Roman" w:hAnsi="Times New Roman" w:cs="Times New Roman"/>
          <w:sz w:val="24"/>
          <w:szCs w:val="24"/>
        </w:rPr>
        <w:t>issues were</w:t>
      </w:r>
      <w:r w:rsidR="00405CEC" w:rsidRPr="009E448B">
        <w:rPr>
          <w:rFonts w:ascii="Times New Roman" w:hAnsi="Times New Roman" w:cs="Times New Roman"/>
          <w:sz w:val="24"/>
          <w:szCs w:val="24"/>
        </w:rPr>
        <w:t xml:space="preserve"> not in dispute. The</w:t>
      </w:r>
      <w:r w:rsidRPr="009E448B">
        <w:rPr>
          <w:rFonts w:ascii="Times New Roman" w:hAnsi="Times New Roman" w:cs="Times New Roman"/>
          <w:sz w:val="24"/>
          <w:szCs w:val="24"/>
        </w:rPr>
        <w:t xml:space="preserve"> defen</w:t>
      </w:r>
      <w:r w:rsidR="00416D33" w:rsidRPr="009E448B">
        <w:rPr>
          <w:rFonts w:ascii="Times New Roman" w:hAnsi="Times New Roman" w:cs="Times New Roman"/>
          <w:sz w:val="24"/>
          <w:szCs w:val="24"/>
        </w:rPr>
        <w:t>dant was initially formed as a C</w:t>
      </w:r>
      <w:r w:rsidRPr="009E448B">
        <w:rPr>
          <w:rFonts w:ascii="Times New Roman" w:hAnsi="Times New Roman" w:cs="Times New Roman"/>
          <w:sz w:val="24"/>
          <w:szCs w:val="24"/>
        </w:rPr>
        <w:t xml:space="preserve">ooperative in 2005 known as Northwing </w:t>
      </w:r>
      <w:r w:rsidR="00416D33" w:rsidRPr="009E448B">
        <w:rPr>
          <w:rFonts w:ascii="Times New Roman" w:hAnsi="Times New Roman" w:cs="Times New Roman"/>
          <w:sz w:val="24"/>
          <w:szCs w:val="24"/>
        </w:rPr>
        <w:t xml:space="preserve">Cooperative ‘the Cooperative’. In </w:t>
      </w:r>
      <w:r w:rsidRPr="009E448B">
        <w:rPr>
          <w:rFonts w:ascii="Times New Roman" w:hAnsi="Times New Roman" w:cs="Times New Roman"/>
          <w:sz w:val="24"/>
          <w:szCs w:val="24"/>
        </w:rPr>
        <w:t>2010 the leadership</w:t>
      </w:r>
      <w:r w:rsidR="00416D33" w:rsidRPr="009E448B">
        <w:rPr>
          <w:rFonts w:ascii="Times New Roman" w:hAnsi="Times New Roman" w:cs="Times New Roman"/>
          <w:sz w:val="24"/>
          <w:szCs w:val="24"/>
        </w:rPr>
        <w:t xml:space="preserve"> of the Cooperative</w:t>
      </w:r>
      <w:r w:rsidRPr="009E448B">
        <w:rPr>
          <w:rFonts w:ascii="Times New Roman" w:hAnsi="Times New Roman" w:cs="Times New Roman"/>
          <w:sz w:val="24"/>
          <w:szCs w:val="24"/>
        </w:rPr>
        <w:t xml:space="preserve"> formed a company known as Northwing Land Developers (Pvt) Ltd. The compa</w:t>
      </w:r>
      <w:r w:rsidR="00405CEC" w:rsidRPr="009E448B">
        <w:rPr>
          <w:rFonts w:ascii="Times New Roman" w:hAnsi="Times New Roman" w:cs="Times New Roman"/>
          <w:sz w:val="24"/>
          <w:szCs w:val="24"/>
        </w:rPr>
        <w:t xml:space="preserve">ny was a successor of title, </w:t>
      </w:r>
      <w:r w:rsidR="000710C3" w:rsidRPr="009E448B">
        <w:rPr>
          <w:rFonts w:ascii="Times New Roman" w:hAnsi="Times New Roman" w:cs="Times New Roman"/>
          <w:sz w:val="24"/>
          <w:szCs w:val="24"/>
        </w:rPr>
        <w:t>obligations</w:t>
      </w:r>
      <w:r w:rsidR="00416D33" w:rsidRPr="009E448B">
        <w:rPr>
          <w:rFonts w:ascii="Times New Roman" w:hAnsi="Times New Roman" w:cs="Times New Roman"/>
          <w:sz w:val="24"/>
          <w:szCs w:val="24"/>
        </w:rPr>
        <w:t xml:space="preserve"> and</w:t>
      </w:r>
      <w:r w:rsidR="00405CEC" w:rsidRPr="009E448B">
        <w:rPr>
          <w:rFonts w:ascii="Times New Roman" w:hAnsi="Times New Roman" w:cs="Times New Roman"/>
          <w:sz w:val="24"/>
          <w:szCs w:val="24"/>
        </w:rPr>
        <w:t xml:space="preserve"> the</w:t>
      </w:r>
      <w:r w:rsidR="00416D33" w:rsidRPr="009E448B">
        <w:rPr>
          <w:rFonts w:ascii="Times New Roman" w:hAnsi="Times New Roman" w:cs="Times New Roman"/>
          <w:sz w:val="24"/>
          <w:szCs w:val="24"/>
        </w:rPr>
        <w:t xml:space="preserve"> membership thereof of the C</w:t>
      </w:r>
      <w:r w:rsidRPr="009E448B">
        <w:rPr>
          <w:rFonts w:ascii="Times New Roman" w:hAnsi="Times New Roman" w:cs="Times New Roman"/>
          <w:sz w:val="24"/>
          <w:szCs w:val="24"/>
        </w:rPr>
        <w:t xml:space="preserve">ooperative. In </w:t>
      </w:r>
      <w:r w:rsidR="00416D33" w:rsidRPr="009E448B">
        <w:rPr>
          <w:rFonts w:ascii="Times New Roman" w:hAnsi="Times New Roman" w:cs="Times New Roman"/>
          <w:sz w:val="24"/>
          <w:szCs w:val="24"/>
        </w:rPr>
        <w:t>2014 the company reverted to a C</w:t>
      </w:r>
      <w:r w:rsidRPr="009E448B">
        <w:rPr>
          <w:rFonts w:ascii="Times New Roman" w:hAnsi="Times New Roman" w:cs="Times New Roman"/>
          <w:sz w:val="24"/>
          <w:szCs w:val="24"/>
        </w:rPr>
        <w:t>ooperative known as Northwing Housing Cooperative. At all time</w:t>
      </w:r>
      <w:r w:rsidR="00416D33" w:rsidRPr="009E448B">
        <w:rPr>
          <w:rFonts w:ascii="Times New Roman" w:hAnsi="Times New Roman" w:cs="Times New Roman"/>
          <w:sz w:val="24"/>
          <w:szCs w:val="24"/>
        </w:rPr>
        <w:t>s</w:t>
      </w:r>
      <w:r w:rsidRPr="009E448B">
        <w:rPr>
          <w:rFonts w:ascii="Times New Roman" w:hAnsi="Times New Roman" w:cs="Times New Roman"/>
          <w:sz w:val="24"/>
          <w:szCs w:val="24"/>
        </w:rPr>
        <w:t xml:space="preserve"> during the changes the entity served the interests of prospective land owners in Artherstone Park in Marondera.</w:t>
      </w:r>
      <w:r w:rsidR="00416D33" w:rsidRPr="009E448B">
        <w:rPr>
          <w:rFonts w:ascii="Times New Roman" w:hAnsi="Times New Roman" w:cs="Times New Roman"/>
          <w:sz w:val="24"/>
          <w:szCs w:val="24"/>
        </w:rPr>
        <w:t xml:space="preserve"> One </w:t>
      </w:r>
      <w:r w:rsidRPr="009E448B">
        <w:rPr>
          <w:rFonts w:ascii="Times New Roman" w:hAnsi="Times New Roman" w:cs="Times New Roman"/>
          <w:sz w:val="24"/>
          <w:szCs w:val="24"/>
        </w:rPr>
        <w:t xml:space="preserve">Makayikayi </w:t>
      </w:r>
      <w:r w:rsidR="00416D33" w:rsidRPr="009E448B">
        <w:rPr>
          <w:rFonts w:ascii="Times New Roman" w:hAnsi="Times New Roman" w:cs="Times New Roman"/>
          <w:sz w:val="24"/>
          <w:szCs w:val="24"/>
        </w:rPr>
        <w:t xml:space="preserve">  the plaintiff’s </w:t>
      </w:r>
      <w:r w:rsidR="00405CEC" w:rsidRPr="009E448B">
        <w:rPr>
          <w:rFonts w:ascii="Times New Roman" w:hAnsi="Times New Roman" w:cs="Times New Roman"/>
          <w:sz w:val="24"/>
          <w:szCs w:val="24"/>
        </w:rPr>
        <w:t>sole</w:t>
      </w:r>
      <w:r w:rsidR="00416D33" w:rsidRPr="009E448B">
        <w:rPr>
          <w:rFonts w:ascii="Times New Roman" w:hAnsi="Times New Roman" w:cs="Times New Roman"/>
          <w:sz w:val="24"/>
          <w:szCs w:val="24"/>
        </w:rPr>
        <w:t xml:space="preserve"> director </w:t>
      </w:r>
      <w:r w:rsidRPr="009E448B">
        <w:rPr>
          <w:rFonts w:ascii="Times New Roman" w:hAnsi="Times New Roman" w:cs="Times New Roman"/>
          <w:sz w:val="24"/>
          <w:szCs w:val="24"/>
        </w:rPr>
        <w:t xml:space="preserve">was </w:t>
      </w:r>
      <w:r w:rsidRPr="009E448B">
        <w:rPr>
          <w:rFonts w:ascii="Times New Roman" w:hAnsi="Times New Roman" w:cs="Times New Roman"/>
          <w:sz w:val="24"/>
          <w:szCs w:val="24"/>
        </w:rPr>
        <w:lastRenderedPageBreak/>
        <w:t>one of the founding members of the</w:t>
      </w:r>
      <w:r w:rsidR="00416D33" w:rsidRPr="009E448B">
        <w:rPr>
          <w:rFonts w:ascii="Times New Roman" w:hAnsi="Times New Roman" w:cs="Times New Roman"/>
          <w:sz w:val="24"/>
          <w:szCs w:val="24"/>
        </w:rPr>
        <w:t xml:space="preserve"> Cooperative.</w:t>
      </w:r>
      <w:r w:rsidRPr="009E448B">
        <w:rPr>
          <w:rFonts w:ascii="Times New Roman" w:hAnsi="Times New Roman" w:cs="Times New Roman"/>
          <w:sz w:val="24"/>
          <w:szCs w:val="24"/>
        </w:rPr>
        <w:t xml:space="preserve"> H</w:t>
      </w:r>
      <w:r w:rsidR="00416D33" w:rsidRPr="009E448B">
        <w:rPr>
          <w:rFonts w:ascii="Times New Roman" w:hAnsi="Times New Roman" w:cs="Times New Roman"/>
          <w:sz w:val="24"/>
          <w:szCs w:val="24"/>
        </w:rPr>
        <w:t>e was in the leadership of the C</w:t>
      </w:r>
      <w:r w:rsidRPr="009E448B">
        <w:rPr>
          <w:rFonts w:ascii="Times New Roman" w:hAnsi="Times New Roman" w:cs="Times New Roman"/>
          <w:sz w:val="24"/>
          <w:szCs w:val="24"/>
        </w:rPr>
        <w:t>ooperative and was part of the leadership that registered the company.</w:t>
      </w:r>
      <w:r w:rsidR="00416D33" w:rsidRPr="009E448B">
        <w:rPr>
          <w:rFonts w:ascii="Times New Roman" w:hAnsi="Times New Roman" w:cs="Times New Roman"/>
          <w:sz w:val="24"/>
          <w:szCs w:val="24"/>
        </w:rPr>
        <w:t xml:space="preserve"> After the formation of the Company the residents formed a residents’ association. Serious</w:t>
      </w:r>
      <w:r w:rsidRPr="009E448B">
        <w:rPr>
          <w:rFonts w:ascii="Times New Roman" w:hAnsi="Times New Roman" w:cs="Times New Roman"/>
          <w:sz w:val="24"/>
          <w:szCs w:val="24"/>
        </w:rPr>
        <w:t xml:space="preserve"> </w:t>
      </w:r>
      <w:r w:rsidR="003674C4" w:rsidRPr="009E448B">
        <w:rPr>
          <w:rFonts w:ascii="Times New Roman" w:hAnsi="Times New Roman" w:cs="Times New Roman"/>
          <w:sz w:val="24"/>
          <w:szCs w:val="24"/>
        </w:rPr>
        <w:t>disputes</w:t>
      </w:r>
      <w:r w:rsidR="00416D33" w:rsidRPr="009E448B">
        <w:rPr>
          <w:rFonts w:ascii="Times New Roman" w:hAnsi="Times New Roman" w:cs="Times New Roman"/>
          <w:sz w:val="24"/>
          <w:szCs w:val="24"/>
        </w:rPr>
        <w:t xml:space="preserve"> ensued between</w:t>
      </w:r>
      <w:r w:rsidR="003674C4" w:rsidRPr="009E448B">
        <w:rPr>
          <w:rFonts w:ascii="Times New Roman" w:hAnsi="Times New Roman" w:cs="Times New Roman"/>
          <w:sz w:val="24"/>
          <w:szCs w:val="24"/>
        </w:rPr>
        <w:t xml:space="preserve"> the leadership of the company and the residents’ association. The Ministry of</w:t>
      </w:r>
      <w:r w:rsidR="007D74E7" w:rsidRPr="009E448B">
        <w:rPr>
          <w:rFonts w:ascii="Times New Roman" w:hAnsi="Times New Roman" w:cs="Times New Roman"/>
          <w:sz w:val="24"/>
          <w:szCs w:val="24"/>
        </w:rPr>
        <w:t xml:space="preserve"> Small and Medium Enterprises and Cooperative Development </w:t>
      </w:r>
      <w:r w:rsidR="005735A5" w:rsidRPr="009E448B">
        <w:rPr>
          <w:rFonts w:ascii="Times New Roman" w:hAnsi="Times New Roman" w:cs="Times New Roman"/>
          <w:sz w:val="24"/>
          <w:szCs w:val="24"/>
        </w:rPr>
        <w:t>‘the</w:t>
      </w:r>
      <w:r w:rsidR="007D74E7" w:rsidRPr="009E448B">
        <w:rPr>
          <w:rFonts w:ascii="Times New Roman" w:hAnsi="Times New Roman" w:cs="Times New Roman"/>
          <w:sz w:val="24"/>
          <w:szCs w:val="24"/>
        </w:rPr>
        <w:t xml:space="preserve"> Ministry’ had </w:t>
      </w:r>
      <w:r w:rsidR="00D739DF" w:rsidRPr="009E448B">
        <w:rPr>
          <w:rFonts w:ascii="Times New Roman" w:hAnsi="Times New Roman" w:cs="Times New Roman"/>
          <w:sz w:val="24"/>
          <w:szCs w:val="24"/>
        </w:rPr>
        <w:t>to intervene and caused a new leadership to be elected for the plaintiff, thus relieving the Maka</w:t>
      </w:r>
      <w:r w:rsidR="007D74E7" w:rsidRPr="009E448B">
        <w:rPr>
          <w:rFonts w:ascii="Times New Roman" w:hAnsi="Times New Roman" w:cs="Times New Roman"/>
          <w:sz w:val="24"/>
          <w:szCs w:val="24"/>
        </w:rPr>
        <w:t>yikayi leadership of its duties.</w:t>
      </w:r>
    </w:p>
    <w:p w:rsidR="00EE6632" w:rsidRPr="009E448B" w:rsidRDefault="00D739DF" w:rsidP="0055164F">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t xml:space="preserve">Two witnesses gave evidence for the plaintiff. The evidence was to the effect that the plaintiff and the defendant entered into a contract, in terms of which plaintiff was to blast stones and drill 6 000 holes at </w:t>
      </w:r>
      <w:r w:rsidR="008E61D6" w:rsidRPr="009E448B">
        <w:rPr>
          <w:rFonts w:ascii="Times New Roman" w:hAnsi="Times New Roman" w:cs="Times New Roman"/>
          <w:sz w:val="24"/>
          <w:szCs w:val="24"/>
        </w:rPr>
        <w:t>A</w:t>
      </w:r>
      <w:r w:rsidR="007D74E7" w:rsidRPr="009E448B">
        <w:rPr>
          <w:rFonts w:ascii="Times New Roman" w:hAnsi="Times New Roman" w:cs="Times New Roman"/>
          <w:sz w:val="24"/>
          <w:szCs w:val="24"/>
        </w:rPr>
        <w:t>therstone</w:t>
      </w:r>
      <w:r w:rsidRPr="009E448B">
        <w:rPr>
          <w:rFonts w:ascii="Times New Roman" w:hAnsi="Times New Roman" w:cs="Times New Roman"/>
          <w:sz w:val="24"/>
          <w:szCs w:val="24"/>
        </w:rPr>
        <w:t xml:space="preserve"> Park at a cost of $12.60 per hole. The total cost for services was $75 600. The contract was produced as an exhibit. The plaintiff commenced the blasting and drilling and was paid upon the production of an invoice showing the work done. The job card showing the work done and</w:t>
      </w:r>
      <w:r w:rsidR="007D74E7" w:rsidRPr="009E448B">
        <w:rPr>
          <w:rFonts w:ascii="Times New Roman" w:hAnsi="Times New Roman" w:cs="Times New Roman"/>
          <w:sz w:val="24"/>
          <w:szCs w:val="24"/>
        </w:rPr>
        <w:t xml:space="preserve"> amounts paid was produced as exhibits</w:t>
      </w:r>
      <w:r w:rsidRPr="009E448B">
        <w:rPr>
          <w:rFonts w:ascii="Times New Roman" w:hAnsi="Times New Roman" w:cs="Times New Roman"/>
          <w:sz w:val="24"/>
          <w:szCs w:val="24"/>
        </w:rPr>
        <w:t xml:space="preserve">. The </w:t>
      </w:r>
      <w:r w:rsidR="000710C3" w:rsidRPr="009E448B">
        <w:rPr>
          <w:rFonts w:ascii="Times New Roman" w:hAnsi="Times New Roman" w:cs="Times New Roman"/>
          <w:sz w:val="24"/>
          <w:szCs w:val="24"/>
        </w:rPr>
        <w:t>job</w:t>
      </w:r>
      <w:r w:rsidRPr="009E448B">
        <w:rPr>
          <w:rFonts w:ascii="Times New Roman" w:hAnsi="Times New Roman" w:cs="Times New Roman"/>
          <w:sz w:val="24"/>
          <w:szCs w:val="24"/>
        </w:rPr>
        <w:t xml:space="preserve"> card showed that a total of $15 600 had been paid to the plaintiff. Plaintiff then completed the work as </w:t>
      </w:r>
      <w:r w:rsidR="008E61D6" w:rsidRPr="009E448B">
        <w:rPr>
          <w:rFonts w:ascii="Times New Roman" w:hAnsi="Times New Roman" w:cs="Times New Roman"/>
          <w:sz w:val="24"/>
          <w:szCs w:val="24"/>
        </w:rPr>
        <w:t xml:space="preserve">per the </w:t>
      </w:r>
      <w:r w:rsidRPr="009E448B">
        <w:rPr>
          <w:rFonts w:ascii="Times New Roman" w:hAnsi="Times New Roman" w:cs="Times New Roman"/>
          <w:sz w:val="24"/>
          <w:szCs w:val="24"/>
        </w:rPr>
        <w:t>contract after drilling</w:t>
      </w:r>
      <w:r w:rsidR="007D74E7" w:rsidRPr="009E448B">
        <w:rPr>
          <w:rFonts w:ascii="Times New Roman" w:hAnsi="Times New Roman" w:cs="Times New Roman"/>
          <w:sz w:val="24"/>
          <w:szCs w:val="24"/>
        </w:rPr>
        <w:t xml:space="preserve"> 6 000 holes and </w:t>
      </w:r>
      <w:r w:rsidRPr="009E448B">
        <w:rPr>
          <w:rFonts w:ascii="Times New Roman" w:hAnsi="Times New Roman" w:cs="Times New Roman"/>
          <w:sz w:val="24"/>
          <w:szCs w:val="24"/>
        </w:rPr>
        <w:t>92.4%</w:t>
      </w:r>
      <w:r w:rsidR="007D74E7" w:rsidRPr="009E448B">
        <w:rPr>
          <w:rFonts w:ascii="Times New Roman" w:hAnsi="Times New Roman" w:cs="Times New Roman"/>
          <w:sz w:val="24"/>
          <w:szCs w:val="24"/>
        </w:rPr>
        <w:t xml:space="preserve"> blasting done</w:t>
      </w:r>
      <w:r w:rsidRPr="009E448B">
        <w:rPr>
          <w:rFonts w:ascii="Times New Roman" w:hAnsi="Times New Roman" w:cs="Times New Roman"/>
          <w:sz w:val="24"/>
          <w:szCs w:val="24"/>
        </w:rPr>
        <w:t>. The plaintiff then presented</w:t>
      </w:r>
      <w:r w:rsidR="00EE6632" w:rsidRPr="009E448B">
        <w:rPr>
          <w:rFonts w:ascii="Times New Roman" w:hAnsi="Times New Roman" w:cs="Times New Roman"/>
          <w:sz w:val="24"/>
          <w:szCs w:val="24"/>
        </w:rPr>
        <w:t xml:space="preserve"> an invoice for the payment of $60 000.00 to the defendant. There was no explanation why plaintiff’s invoice was for $60 000.00 yet the claim is for $54 280.00. </w:t>
      </w:r>
      <w:r w:rsidR="007D74E7" w:rsidRPr="009E448B">
        <w:rPr>
          <w:rFonts w:ascii="Times New Roman" w:hAnsi="Times New Roman" w:cs="Times New Roman"/>
          <w:sz w:val="24"/>
          <w:szCs w:val="24"/>
        </w:rPr>
        <w:t xml:space="preserve"> A</w:t>
      </w:r>
      <w:r w:rsidR="00EE6632" w:rsidRPr="009E448B">
        <w:rPr>
          <w:rFonts w:ascii="Times New Roman" w:hAnsi="Times New Roman" w:cs="Times New Roman"/>
          <w:sz w:val="24"/>
          <w:szCs w:val="24"/>
        </w:rPr>
        <w:t xml:space="preserve"> progress report dated 18 September 2017 was produced showing the work done and outstanding work by plaintiff at </w:t>
      </w:r>
      <w:r w:rsidR="008E61D6" w:rsidRPr="009E448B">
        <w:rPr>
          <w:rFonts w:ascii="Times New Roman" w:hAnsi="Times New Roman" w:cs="Times New Roman"/>
          <w:sz w:val="24"/>
          <w:szCs w:val="24"/>
        </w:rPr>
        <w:t>Atherstone</w:t>
      </w:r>
      <w:r w:rsidR="00EE6632" w:rsidRPr="009E448B">
        <w:rPr>
          <w:rFonts w:ascii="Times New Roman" w:hAnsi="Times New Roman" w:cs="Times New Roman"/>
          <w:sz w:val="24"/>
          <w:szCs w:val="24"/>
        </w:rPr>
        <w:t xml:space="preserve"> Park, Marondera.</w:t>
      </w:r>
    </w:p>
    <w:p w:rsidR="002861E3" w:rsidRPr="009E448B" w:rsidRDefault="00EE6632" w:rsidP="0055164F">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r>
      <w:r w:rsidR="007B3D21" w:rsidRPr="009E448B">
        <w:rPr>
          <w:rFonts w:ascii="Times New Roman" w:hAnsi="Times New Roman" w:cs="Times New Roman"/>
          <w:sz w:val="24"/>
          <w:szCs w:val="24"/>
        </w:rPr>
        <w:t>Although Makayikayi was part of the defendant</w:t>
      </w:r>
      <w:r w:rsidR="007D74E7" w:rsidRPr="009E448B">
        <w:rPr>
          <w:rFonts w:ascii="Times New Roman" w:hAnsi="Times New Roman" w:cs="Times New Roman"/>
          <w:sz w:val="24"/>
          <w:szCs w:val="24"/>
        </w:rPr>
        <w:t>’s</w:t>
      </w:r>
      <w:r w:rsidR="007B3D21" w:rsidRPr="009E448B">
        <w:rPr>
          <w:rFonts w:ascii="Times New Roman" w:hAnsi="Times New Roman" w:cs="Times New Roman"/>
          <w:sz w:val="24"/>
          <w:szCs w:val="24"/>
        </w:rPr>
        <w:t xml:space="preserve"> leadership, the defendant’s constitution provided that members could be contracted for service provision to the defendant. There was no conflict of interest. After the election of the new leadership, the Ministry listed documents for handover to the new leadership. These documents were delivered to the Ministry but the new leadership did not </w:t>
      </w:r>
      <w:r w:rsidR="002861E3" w:rsidRPr="009E448B">
        <w:rPr>
          <w:rFonts w:ascii="Times New Roman" w:hAnsi="Times New Roman" w:cs="Times New Roman"/>
          <w:sz w:val="24"/>
          <w:szCs w:val="24"/>
        </w:rPr>
        <w:t>collect all the documents. It was explained that the former leadership did not hand in the receipt books because it needed those for the administration of the areas they still were managing. The new leadership took over the administration of Atherstone Park only.</w:t>
      </w:r>
    </w:p>
    <w:p w:rsidR="00D739DF" w:rsidRPr="009E448B" w:rsidRDefault="002861E3" w:rsidP="0055164F">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r>
      <w:r w:rsidR="00D739DF" w:rsidRPr="009E448B">
        <w:rPr>
          <w:rFonts w:ascii="Times New Roman" w:hAnsi="Times New Roman" w:cs="Times New Roman"/>
          <w:sz w:val="24"/>
          <w:szCs w:val="24"/>
        </w:rPr>
        <w:t xml:space="preserve"> </w:t>
      </w:r>
      <w:r w:rsidR="00E01A2A" w:rsidRPr="009E448B">
        <w:rPr>
          <w:rFonts w:ascii="Times New Roman" w:hAnsi="Times New Roman" w:cs="Times New Roman"/>
          <w:sz w:val="24"/>
          <w:szCs w:val="24"/>
        </w:rPr>
        <w:t>One witness</w:t>
      </w:r>
      <w:r w:rsidR="005735A5" w:rsidRPr="009E448B">
        <w:rPr>
          <w:rFonts w:ascii="Times New Roman" w:hAnsi="Times New Roman" w:cs="Times New Roman"/>
          <w:sz w:val="24"/>
          <w:szCs w:val="24"/>
        </w:rPr>
        <w:t>,</w:t>
      </w:r>
      <w:r w:rsidR="00E01A2A" w:rsidRPr="009E448B">
        <w:rPr>
          <w:rFonts w:ascii="Times New Roman" w:hAnsi="Times New Roman" w:cs="Times New Roman"/>
          <w:sz w:val="24"/>
          <w:szCs w:val="24"/>
        </w:rPr>
        <w:t xml:space="preserve"> the vice chairperson of the defendant gave evidence for the defendant. He was a member of the defendant cooperative. During the subsistence of the former leadership the members were disgruntled. They formed a resident’s association which subsequently clashed with the leadership. Generally there was poor </w:t>
      </w:r>
      <w:r w:rsidR="00464738" w:rsidRPr="009E448B">
        <w:rPr>
          <w:rFonts w:ascii="Times New Roman" w:hAnsi="Times New Roman" w:cs="Times New Roman"/>
          <w:sz w:val="24"/>
          <w:szCs w:val="24"/>
        </w:rPr>
        <w:t>management;</w:t>
      </w:r>
      <w:r w:rsidR="00E01A2A" w:rsidRPr="009E448B">
        <w:rPr>
          <w:rFonts w:ascii="Times New Roman" w:hAnsi="Times New Roman" w:cs="Times New Roman"/>
          <w:sz w:val="24"/>
          <w:szCs w:val="24"/>
        </w:rPr>
        <w:t xml:space="preserve"> decisions were made excluding members against the defendant’s constitution. Eventually the Ministry intervened and facilitated the election of a new </w:t>
      </w:r>
      <w:r w:rsidR="00464738" w:rsidRPr="009E448B">
        <w:rPr>
          <w:rFonts w:ascii="Times New Roman" w:hAnsi="Times New Roman" w:cs="Times New Roman"/>
          <w:sz w:val="24"/>
          <w:szCs w:val="24"/>
        </w:rPr>
        <w:t>leadership that</w:t>
      </w:r>
      <w:r w:rsidR="00E01A2A" w:rsidRPr="009E448B">
        <w:rPr>
          <w:rFonts w:ascii="Times New Roman" w:hAnsi="Times New Roman" w:cs="Times New Roman"/>
          <w:sz w:val="24"/>
          <w:szCs w:val="24"/>
        </w:rPr>
        <w:t xml:space="preserve"> is when he became the vice chairperson. The new leadership required a proper handover and take over from the old leadership but no </w:t>
      </w:r>
      <w:r w:rsidR="00E01A2A" w:rsidRPr="009E448B">
        <w:rPr>
          <w:rFonts w:ascii="Times New Roman" w:hAnsi="Times New Roman" w:cs="Times New Roman"/>
          <w:sz w:val="24"/>
          <w:szCs w:val="24"/>
        </w:rPr>
        <w:lastRenderedPageBreak/>
        <w:t xml:space="preserve">documents were provided. The former leadership was supposed to deliver the documents to the Ministry but it did not deliver what the witness referred to as source documents. They received the membership register, rates arrears register and the arrears register. At one point the new leadership filed an application with the Marondera Magistrates court for the former leadership to produce the outstanding documents. The application was dismissed on a technicality. It was conceded in cross examination that whatever contracts were entered into by the company were binding on the defendant. The </w:t>
      </w:r>
      <w:r w:rsidR="008E61D6" w:rsidRPr="009E448B">
        <w:rPr>
          <w:rFonts w:ascii="Times New Roman" w:hAnsi="Times New Roman" w:cs="Times New Roman"/>
          <w:sz w:val="24"/>
          <w:szCs w:val="24"/>
        </w:rPr>
        <w:t>witness</w:t>
      </w:r>
      <w:r w:rsidR="00E01A2A" w:rsidRPr="009E448B">
        <w:rPr>
          <w:rFonts w:ascii="Times New Roman" w:hAnsi="Times New Roman" w:cs="Times New Roman"/>
          <w:sz w:val="24"/>
          <w:szCs w:val="24"/>
        </w:rPr>
        <w:t xml:space="preserve"> could not confirm whether or not the blasting and drilling was done because at the relevant time he was not in the </w:t>
      </w:r>
      <w:r w:rsidR="00464738" w:rsidRPr="009E448B">
        <w:rPr>
          <w:rFonts w:ascii="Times New Roman" w:hAnsi="Times New Roman" w:cs="Times New Roman"/>
          <w:sz w:val="24"/>
          <w:szCs w:val="24"/>
        </w:rPr>
        <w:t>leadership</w:t>
      </w:r>
      <w:r w:rsidR="00E01A2A" w:rsidRPr="009E448B">
        <w:rPr>
          <w:rFonts w:ascii="Times New Roman" w:hAnsi="Times New Roman" w:cs="Times New Roman"/>
          <w:sz w:val="24"/>
          <w:szCs w:val="24"/>
        </w:rPr>
        <w:t>. The witness insisted that if Makayikayi produced the source documents, which show that there was an agr</w:t>
      </w:r>
      <w:r w:rsidR="0097152E" w:rsidRPr="009E448B">
        <w:rPr>
          <w:rFonts w:ascii="Times New Roman" w:hAnsi="Times New Roman" w:cs="Times New Roman"/>
          <w:sz w:val="24"/>
          <w:szCs w:val="24"/>
        </w:rPr>
        <w:t>eement pla</w:t>
      </w:r>
      <w:r w:rsidR="00E01A2A" w:rsidRPr="009E448B">
        <w:rPr>
          <w:rFonts w:ascii="Times New Roman" w:hAnsi="Times New Roman" w:cs="Times New Roman"/>
          <w:sz w:val="24"/>
          <w:szCs w:val="24"/>
        </w:rPr>
        <w:t>intiff would pay.</w:t>
      </w:r>
    </w:p>
    <w:p w:rsidR="005735A5" w:rsidRPr="009E448B" w:rsidRDefault="00E86263" w:rsidP="00551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35A5" w:rsidRPr="009E448B">
        <w:rPr>
          <w:rFonts w:ascii="Times New Roman" w:hAnsi="Times New Roman" w:cs="Times New Roman"/>
          <w:sz w:val="24"/>
          <w:szCs w:val="24"/>
        </w:rPr>
        <w:t>The defendant’</w:t>
      </w:r>
      <w:r w:rsidR="0097152E" w:rsidRPr="009E448B">
        <w:rPr>
          <w:rFonts w:ascii="Times New Roman" w:hAnsi="Times New Roman" w:cs="Times New Roman"/>
          <w:sz w:val="24"/>
          <w:szCs w:val="24"/>
        </w:rPr>
        <w:t>s witness struck me as an</w:t>
      </w:r>
      <w:r w:rsidR="005735A5" w:rsidRPr="009E448B">
        <w:rPr>
          <w:rFonts w:ascii="Times New Roman" w:hAnsi="Times New Roman" w:cs="Times New Roman"/>
          <w:sz w:val="24"/>
          <w:szCs w:val="24"/>
        </w:rPr>
        <w:t xml:space="preserve"> emotional </w:t>
      </w:r>
      <w:r w:rsidR="0097152E" w:rsidRPr="009E448B">
        <w:rPr>
          <w:rFonts w:ascii="Times New Roman" w:hAnsi="Times New Roman" w:cs="Times New Roman"/>
          <w:sz w:val="24"/>
          <w:szCs w:val="24"/>
        </w:rPr>
        <w:t>witness who had</w:t>
      </w:r>
      <w:r w:rsidR="005735A5" w:rsidRPr="009E448B">
        <w:rPr>
          <w:rFonts w:ascii="Times New Roman" w:hAnsi="Times New Roman" w:cs="Times New Roman"/>
          <w:sz w:val="24"/>
          <w:szCs w:val="24"/>
        </w:rPr>
        <w:t xml:space="preserve"> so many issues to settle with the previous</w:t>
      </w:r>
      <w:r w:rsidR="0097152E" w:rsidRPr="009E448B">
        <w:rPr>
          <w:rFonts w:ascii="Times New Roman" w:hAnsi="Times New Roman" w:cs="Times New Roman"/>
          <w:sz w:val="24"/>
          <w:szCs w:val="24"/>
        </w:rPr>
        <w:t xml:space="preserve"> administration</w:t>
      </w:r>
      <w:r w:rsidR="005735A5" w:rsidRPr="009E448B">
        <w:rPr>
          <w:rFonts w:ascii="Times New Roman" w:hAnsi="Times New Roman" w:cs="Times New Roman"/>
          <w:sz w:val="24"/>
          <w:szCs w:val="24"/>
        </w:rPr>
        <w:t xml:space="preserve"> .</w:t>
      </w:r>
      <w:r w:rsidR="008E61D6" w:rsidRPr="009E448B">
        <w:rPr>
          <w:rFonts w:ascii="Times New Roman" w:hAnsi="Times New Roman" w:cs="Times New Roman"/>
          <w:sz w:val="24"/>
          <w:szCs w:val="24"/>
        </w:rPr>
        <w:t>His intended outcome of this court case was to force</w:t>
      </w:r>
      <w:r w:rsidR="005735A5" w:rsidRPr="009E448B">
        <w:rPr>
          <w:rFonts w:ascii="Times New Roman" w:hAnsi="Times New Roman" w:cs="Times New Roman"/>
          <w:sz w:val="24"/>
          <w:szCs w:val="24"/>
        </w:rPr>
        <w:t xml:space="preserve"> Makayikayi to produce the said source documents and the rest of the documents that they required. It is clear that the Makayikayi administration may not have discharged their duties </w:t>
      </w:r>
      <w:r w:rsidR="0097152E" w:rsidRPr="009E448B">
        <w:rPr>
          <w:rFonts w:ascii="Times New Roman" w:hAnsi="Times New Roman" w:cs="Times New Roman"/>
          <w:sz w:val="24"/>
          <w:szCs w:val="24"/>
        </w:rPr>
        <w:t>properly,</w:t>
      </w:r>
      <w:r w:rsidR="005735A5" w:rsidRPr="009E448B">
        <w:rPr>
          <w:rFonts w:ascii="Times New Roman" w:hAnsi="Times New Roman" w:cs="Times New Roman"/>
          <w:sz w:val="24"/>
          <w:szCs w:val="24"/>
        </w:rPr>
        <w:t xml:space="preserve"> however what determines this </w:t>
      </w:r>
      <w:r w:rsidR="0097152E" w:rsidRPr="009E448B">
        <w:rPr>
          <w:rFonts w:ascii="Times New Roman" w:hAnsi="Times New Roman" w:cs="Times New Roman"/>
          <w:sz w:val="24"/>
          <w:szCs w:val="24"/>
        </w:rPr>
        <w:t xml:space="preserve">case is not so much about </w:t>
      </w:r>
      <w:r w:rsidR="008E61D6" w:rsidRPr="009E448B">
        <w:rPr>
          <w:rFonts w:ascii="Times New Roman" w:hAnsi="Times New Roman" w:cs="Times New Roman"/>
          <w:sz w:val="24"/>
          <w:szCs w:val="24"/>
        </w:rPr>
        <w:t>the outstanding documents but</w:t>
      </w:r>
      <w:r w:rsidR="0097152E" w:rsidRPr="009E448B">
        <w:rPr>
          <w:rFonts w:ascii="Times New Roman" w:hAnsi="Times New Roman" w:cs="Times New Roman"/>
          <w:sz w:val="24"/>
          <w:szCs w:val="24"/>
        </w:rPr>
        <w:t xml:space="preserve"> whether the </w:t>
      </w:r>
      <w:r w:rsidR="008C16A1" w:rsidRPr="009E448B">
        <w:rPr>
          <w:rFonts w:ascii="Times New Roman" w:hAnsi="Times New Roman" w:cs="Times New Roman"/>
          <w:sz w:val="24"/>
          <w:szCs w:val="24"/>
        </w:rPr>
        <w:t xml:space="preserve">plaintiff has proved its case to avoid </w:t>
      </w:r>
      <w:r w:rsidR="005735A5" w:rsidRPr="009E448B">
        <w:rPr>
          <w:rFonts w:ascii="Times New Roman" w:hAnsi="Times New Roman" w:cs="Times New Roman"/>
          <w:sz w:val="24"/>
          <w:szCs w:val="24"/>
        </w:rPr>
        <w:t>unjust enrichment</w:t>
      </w:r>
      <w:r w:rsidR="008C16A1" w:rsidRPr="009E448B">
        <w:rPr>
          <w:rFonts w:ascii="Times New Roman" w:hAnsi="Times New Roman" w:cs="Times New Roman"/>
          <w:sz w:val="24"/>
          <w:szCs w:val="24"/>
        </w:rPr>
        <w:t xml:space="preserve"> of any party</w:t>
      </w:r>
      <w:r w:rsidR="005735A5" w:rsidRPr="009E448B">
        <w:rPr>
          <w:rFonts w:ascii="Times New Roman" w:hAnsi="Times New Roman" w:cs="Times New Roman"/>
          <w:sz w:val="24"/>
          <w:szCs w:val="24"/>
        </w:rPr>
        <w:t>.</w:t>
      </w:r>
    </w:p>
    <w:p w:rsidR="00E01A2A" w:rsidRPr="009E448B" w:rsidRDefault="0097152E" w:rsidP="0055164F">
      <w:p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ab/>
        <w:t xml:space="preserve">I will </w:t>
      </w:r>
      <w:r w:rsidR="00E01A2A" w:rsidRPr="009E448B">
        <w:rPr>
          <w:rFonts w:ascii="Times New Roman" w:hAnsi="Times New Roman" w:cs="Times New Roman"/>
          <w:sz w:val="24"/>
          <w:szCs w:val="24"/>
        </w:rPr>
        <w:t>address the issues for determination.</w:t>
      </w:r>
    </w:p>
    <w:p w:rsidR="002355BF" w:rsidRPr="009E448B" w:rsidRDefault="00E01A2A" w:rsidP="002355BF">
      <w:pPr>
        <w:pStyle w:val="ListParagraph"/>
        <w:numPr>
          <w:ilvl w:val="0"/>
          <w:numId w:val="4"/>
        </w:numPr>
        <w:spacing w:after="0" w:line="360" w:lineRule="auto"/>
        <w:jc w:val="both"/>
        <w:rPr>
          <w:rFonts w:ascii="Times New Roman" w:hAnsi="Times New Roman" w:cs="Times New Roman"/>
          <w:i/>
          <w:sz w:val="24"/>
          <w:szCs w:val="24"/>
        </w:rPr>
      </w:pPr>
      <w:r w:rsidRPr="009E448B">
        <w:rPr>
          <w:rFonts w:ascii="Times New Roman" w:hAnsi="Times New Roman" w:cs="Times New Roman"/>
          <w:i/>
          <w:sz w:val="24"/>
          <w:szCs w:val="24"/>
        </w:rPr>
        <w:t>Whether</w:t>
      </w:r>
      <w:r w:rsidR="008C16A1" w:rsidRPr="009E448B">
        <w:rPr>
          <w:rFonts w:ascii="Times New Roman" w:hAnsi="Times New Roman" w:cs="Times New Roman"/>
          <w:i/>
          <w:sz w:val="24"/>
          <w:szCs w:val="24"/>
        </w:rPr>
        <w:t xml:space="preserve"> the</w:t>
      </w:r>
      <w:r w:rsidRPr="009E448B">
        <w:rPr>
          <w:rFonts w:ascii="Times New Roman" w:hAnsi="Times New Roman" w:cs="Times New Roman"/>
          <w:i/>
          <w:sz w:val="24"/>
          <w:szCs w:val="24"/>
        </w:rPr>
        <w:t xml:space="preserve"> plaintiff rendered hole-drilling and blasting services at the defendant’s predecessor(s) instance.</w:t>
      </w:r>
    </w:p>
    <w:p w:rsidR="002355BF" w:rsidRPr="009E448B" w:rsidRDefault="002355BF" w:rsidP="002355BF">
      <w:pPr>
        <w:pStyle w:val="ListParagraph"/>
        <w:spacing w:after="0" w:line="360" w:lineRule="auto"/>
        <w:jc w:val="both"/>
        <w:rPr>
          <w:rFonts w:ascii="Times New Roman" w:hAnsi="Times New Roman" w:cs="Times New Roman"/>
          <w:i/>
          <w:sz w:val="24"/>
          <w:szCs w:val="24"/>
        </w:rPr>
      </w:pPr>
    </w:p>
    <w:p w:rsidR="002355BF" w:rsidRPr="009E448B" w:rsidRDefault="002355BF"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t>The plaintiff established that it entered into a contract with the defendant’s predecessor for services. This was not denied by the def</w:t>
      </w:r>
      <w:r w:rsidR="008C16A1" w:rsidRPr="009E448B">
        <w:rPr>
          <w:rFonts w:ascii="Times New Roman" w:hAnsi="Times New Roman" w:cs="Times New Roman"/>
          <w:sz w:val="24"/>
          <w:szCs w:val="24"/>
        </w:rPr>
        <w:t>endant’s witness. However defendant in its plea al</w:t>
      </w:r>
      <w:r w:rsidRPr="009E448B">
        <w:rPr>
          <w:rFonts w:ascii="Times New Roman" w:hAnsi="Times New Roman" w:cs="Times New Roman"/>
          <w:sz w:val="24"/>
          <w:szCs w:val="24"/>
        </w:rPr>
        <w:t xml:space="preserve">leged that, if plaintiff entered into a contract for such services, it did so with Northwing Housing Land Developers (Pvt) Ltd and not with the defendant. </w:t>
      </w:r>
      <w:r w:rsidR="008C16A1" w:rsidRPr="009E448B">
        <w:rPr>
          <w:rFonts w:ascii="Times New Roman" w:hAnsi="Times New Roman" w:cs="Times New Roman"/>
          <w:sz w:val="24"/>
          <w:szCs w:val="24"/>
        </w:rPr>
        <w:t>The defendant referred to the letter head</w:t>
      </w:r>
      <w:r w:rsidR="009D704F" w:rsidRPr="009E448B">
        <w:rPr>
          <w:rFonts w:ascii="Times New Roman" w:hAnsi="Times New Roman" w:cs="Times New Roman"/>
          <w:sz w:val="24"/>
          <w:szCs w:val="24"/>
        </w:rPr>
        <w:t xml:space="preserve"> wherein the contract was written that</w:t>
      </w:r>
      <w:r w:rsidR="008C16A1" w:rsidRPr="009E448B">
        <w:rPr>
          <w:rFonts w:ascii="Times New Roman" w:hAnsi="Times New Roman" w:cs="Times New Roman"/>
          <w:sz w:val="24"/>
          <w:szCs w:val="24"/>
        </w:rPr>
        <w:t xml:space="preserve"> it had an inscription ‘Land Developers’ therefore the other party was not the defendant. I </w:t>
      </w:r>
      <w:r w:rsidR="009D704F" w:rsidRPr="009E448B">
        <w:rPr>
          <w:rFonts w:ascii="Times New Roman" w:hAnsi="Times New Roman" w:cs="Times New Roman"/>
          <w:sz w:val="24"/>
          <w:szCs w:val="24"/>
        </w:rPr>
        <w:t>do not</w:t>
      </w:r>
      <w:r w:rsidR="008C16A1" w:rsidRPr="009E448B">
        <w:rPr>
          <w:rFonts w:ascii="Times New Roman" w:hAnsi="Times New Roman" w:cs="Times New Roman"/>
          <w:sz w:val="24"/>
          <w:szCs w:val="24"/>
        </w:rPr>
        <w:t xml:space="preserve"> agree with</w:t>
      </w:r>
      <w:r w:rsidR="009D704F" w:rsidRPr="009E448B">
        <w:rPr>
          <w:rFonts w:ascii="Times New Roman" w:hAnsi="Times New Roman" w:cs="Times New Roman"/>
          <w:sz w:val="24"/>
          <w:szCs w:val="24"/>
        </w:rPr>
        <w:t xml:space="preserve"> this perception. </w:t>
      </w:r>
      <w:r w:rsidR="008C16A1" w:rsidRPr="009E448B">
        <w:rPr>
          <w:rFonts w:ascii="Times New Roman" w:hAnsi="Times New Roman" w:cs="Times New Roman"/>
          <w:sz w:val="24"/>
          <w:szCs w:val="24"/>
        </w:rPr>
        <w:t xml:space="preserve">Parties to a contract are not identified by way of the document the </w:t>
      </w:r>
      <w:r w:rsidR="009D704F" w:rsidRPr="009E448B">
        <w:rPr>
          <w:rFonts w:ascii="Times New Roman" w:hAnsi="Times New Roman" w:cs="Times New Roman"/>
          <w:sz w:val="24"/>
          <w:szCs w:val="24"/>
        </w:rPr>
        <w:t>contract</w:t>
      </w:r>
      <w:r w:rsidR="008C16A1" w:rsidRPr="009E448B">
        <w:rPr>
          <w:rFonts w:ascii="Times New Roman" w:hAnsi="Times New Roman" w:cs="Times New Roman"/>
          <w:sz w:val="24"/>
          <w:szCs w:val="24"/>
        </w:rPr>
        <w:t xml:space="preserve"> is written</w:t>
      </w:r>
      <w:r w:rsidR="009D704F" w:rsidRPr="009E448B">
        <w:rPr>
          <w:rFonts w:ascii="Times New Roman" w:hAnsi="Times New Roman" w:cs="Times New Roman"/>
          <w:sz w:val="24"/>
          <w:szCs w:val="24"/>
        </w:rPr>
        <w:t>.</w:t>
      </w:r>
      <w:r w:rsidR="008C16A1" w:rsidRPr="009E448B">
        <w:rPr>
          <w:rFonts w:ascii="Times New Roman" w:hAnsi="Times New Roman" w:cs="Times New Roman"/>
          <w:sz w:val="24"/>
          <w:szCs w:val="24"/>
        </w:rPr>
        <w:t xml:space="preserve"> Parties are as identified in the contract.</w:t>
      </w:r>
      <w:r w:rsidR="009D704F" w:rsidRPr="009E448B">
        <w:rPr>
          <w:rFonts w:ascii="Times New Roman" w:hAnsi="Times New Roman" w:cs="Times New Roman"/>
          <w:sz w:val="24"/>
          <w:szCs w:val="24"/>
        </w:rPr>
        <w:t xml:space="preserve"> From the copy of the contract produced, the contract was entered between ‘Northwing Housing Co-op’ and Millitech Investments signed on 18 February 2011. The chairperson, the vice chairperson and the bookkeeper signed on behalf of the ‘Co-op’.</w:t>
      </w:r>
      <w:r w:rsidR="008E61D6" w:rsidRPr="009E448B">
        <w:rPr>
          <w:rFonts w:ascii="Times New Roman" w:hAnsi="Times New Roman" w:cs="Times New Roman"/>
          <w:sz w:val="24"/>
          <w:szCs w:val="24"/>
        </w:rPr>
        <w:t xml:space="preserve"> This was not disputed.</w:t>
      </w:r>
      <w:r w:rsidR="00F82D4E" w:rsidRPr="009E448B">
        <w:rPr>
          <w:rFonts w:ascii="Times New Roman" w:hAnsi="Times New Roman" w:cs="Times New Roman"/>
          <w:sz w:val="24"/>
          <w:szCs w:val="24"/>
        </w:rPr>
        <w:t xml:space="preserve"> As already stated it is common cause that from 2010 to 2014 the </w:t>
      </w:r>
      <w:r w:rsidR="009D704F" w:rsidRPr="009E448B">
        <w:rPr>
          <w:rFonts w:ascii="Times New Roman" w:hAnsi="Times New Roman" w:cs="Times New Roman"/>
          <w:sz w:val="24"/>
          <w:szCs w:val="24"/>
        </w:rPr>
        <w:t>cooperative had</w:t>
      </w:r>
      <w:r w:rsidR="00F82D4E" w:rsidRPr="009E448B">
        <w:rPr>
          <w:rFonts w:ascii="Times New Roman" w:hAnsi="Times New Roman" w:cs="Times New Roman"/>
          <w:sz w:val="24"/>
          <w:szCs w:val="24"/>
        </w:rPr>
        <w:t xml:space="preserve"> become a company. I accept that, despite the other party </w:t>
      </w:r>
      <w:r w:rsidR="00F82D4E" w:rsidRPr="009E448B">
        <w:rPr>
          <w:rFonts w:ascii="Times New Roman" w:hAnsi="Times New Roman" w:cs="Times New Roman"/>
          <w:sz w:val="24"/>
          <w:szCs w:val="24"/>
        </w:rPr>
        <w:lastRenderedPageBreak/>
        <w:t xml:space="preserve">being identified as Northwing </w:t>
      </w:r>
      <w:r w:rsidR="00AF5651" w:rsidRPr="009E448B">
        <w:rPr>
          <w:rFonts w:ascii="Times New Roman" w:hAnsi="Times New Roman" w:cs="Times New Roman"/>
          <w:sz w:val="24"/>
          <w:szCs w:val="24"/>
        </w:rPr>
        <w:t>Housing</w:t>
      </w:r>
      <w:r w:rsidR="00F82D4E" w:rsidRPr="009E448B">
        <w:rPr>
          <w:rFonts w:ascii="Times New Roman" w:hAnsi="Times New Roman" w:cs="Times New Roman"/>
          <w:sz w:val="24"/>
          <w:szCs w:val="24"/>
        </w:rPr>
        <w:t xml:space="preserve"> Co</w:t>
      </w:r>
      <w:r w:rsidR="008E61D6" w:rsidRPr="009E448B">
        <w:rPr>
          <w:rFonts w:ascii="Times New Roman" w:hAnsi="Times New Roman" w:cs="Times New Roman"/>
          <w:sz w:val="24"/>
          <w:szCs w:val="24"/>
        </w:rPr>
        <w:t>-</w:t>
      </w:r>
      <w:r w:rsidR="00F82D4E" w:rsidRPr="009E448B">
        <w:rPr>
          <w:rFonts w:ascii="Times New Roman" w:hAnsi="Times New Roman" w:cs="Times New Roman"/>
          <w:sz w:val="24"/>
          <w:szCs w:val="24"/>
        </w:rPr>
        <w:t>op in the agreement,</w:t>
      </w:r>
      <w:r w:rsidR="009D704F" w:rsidRPr="009E448B">
        <w:rPr>
          <w:rFonts w:ascii="Times New Roman" w:hAnsi="Times New Roman" w:cs="Times New Roman"/>
          <w:sz w:val="24"/>
          <w:szCs w:val="24"/>
        </w:rPr>
        <w:t xml:space="preserve"> it is the plaintiff that contracted the Co-op is just but an abbreviation of the Cooperative.</w:t>
      </w:r>
    </w:p>
    <w:p w:rsidR="00503149" w:rsidRPr="009E448B" w:rsidRDefault="00503149"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t>Pursuant to that agreement, the plaintiff pr</w:t>
      </w:r>
      <w:r w:rsidR="009D704F" w:rsidRPr="009E448B">
        <w:rPr>
          <w:rFonts w:ascii="Times New Roman" w:hAnsi="Times New Roman" w:cs="Times New Roman"/>
          <w:sz w:val="24"/>
          <w:szCs w:val="24"/>
        </w:rPr>
        <w:t>oduced documentary evidence which</w:t>
      </w:r>
      <w:r w:rsidRPr="009E448B">
        <w:rPr>
          <w:rFonts w:ascii="Times New Roman" w:hAnsi="Times New Roman" w:cs="Times New Roman"/>
          <w:sz w:val="24"/>
          <w:szCs w:val="24"/>
        </w:rPr>
        <w:t xml:space="preserve"> showed that it provided services at intervals, a job card was produced, letters from defendant acknowledging the work done, one such letter is dated 24 June 2011, acknowledgments of payments by the plaintiff, an invoice for the outstanding balance of $60 026 and a progress report dated 18 September 2017. The progress report outlines what the plaintiff did and as at the date of the report 92% blasting had been achieved and 97% at the drilling had been completed. This evidence was not controverted. The defendant’s witness simply said he did not know whether the services were rendered or not, he was not in </w:t>
      </w:r>
      <w:r w:rsidR="005740CD" w:rsidRPr="009E448B">
        <w:rPr>
          <w:rFonts w:ascii="Times New Roman" w:hAnsi="Times New Roman" w:cs="Times New Roman"/>
          <w:sz w:val="24"/>
          <w:szCs w:val="24"/>
        </w:rPr>
        <w:t>leadership</w:t>
      </w:r>
      <w:r w:rsidRPr="009E448B">
        <w:rPr>
          <w:rFonts w:ascii="Times New Roman" w:hAnsi="Times New Roman" w:cs="Times New Roman"/>
          <w:sz w:val="24"/>
          <w:szCs w:val="24"/>
        </w:rPr>
        <w:t>. In light of the evidence provided by the plaintiff I accept that the plaintiff provided blasting and drilling services as agreed between the parties.</w:t>
      </w:r>
    </w:p>
    <w:p w:rsidR="00503149" w:rsidRPr="009E448B" w:rsidRDefault="00503149"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r>
      <w:r w:rsidRPr="009E448B">
        <w:rPr>
          <w:rFonts w:ascii="Times New Roman" w:hAnsi="Times New Roman" w:cs="Times New Roman"/>
          <w:i/>
          <w:sz w:val="24"/>
          <w:szCs w:val="24"/>
        </w:rPr>
        <w:t>Whether the defendant is liable to fulfill the contractual obligations incurred by its pre</w:t>
      </w:r>
      <w:r w:rsidR="0004765D" w:rsidRPr="009E448B">
        <w:rPr>
          <w:rFonts w:ascii="Times New Roman" w:hAnsi="Times New Roman" w:cs="Times New Roman"/>
          <w:i/>
          <w:sz w:val="24"/>
          <w:szCs w:val="24"/>
        </w:rPr>
        <w:t>de</w:t>
      </w:r>
      <w:r w:rsidRPr="009E448B">
        <w:rPr>
          <w:rFonts w:ascii="Times New Roman" w:hAnsi="Times New Roman" w:cs="Times New Roman"/>
          <w:i/>
          <w:sz w:val="24"/>
          <w:szCs w:val="24"/>
        </w:rPr>
        <w:t>cessors</w:t>
      </w:r>
      <w:r w:rsidRPr="009E448B">
        <w:rPr>
          <w:rFonts w:ascii="Times New Roman" w:hAnsi="Times New Roman" w:cs="Times New Roman"/>
          <w:sz w:val="24"/>
          <w:szCs w:val="24"/>
        </w:rPr>
        <w:t>.</w:t>
      </w:r>
    </w:p>
    <w:p w:rsidR="00503149" w:rsidRPr="009E448B" w:rsidRDefault="00503149"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t xml:space="preserve">In his evidence </w:t>
      </w:r>
      <w:r w:rsidR="008E61D6" w:rsidRPr="009E448B">
        <w:rPr>
          <w:rFonts w:ascii="Times New Roman" w:hAnsi="Times New Roman" w:cs="Times New Roman"/>
          <w:sz w:val="24"/>
          <w:szCs w:val="24"/>
        </w:rPr>
        <w:t>Mr.</w:t>
      </w:r>
      <w:r w:rsidRPr="009E448B">
        <w:rPr>
          <w:rFonts w:ascii="Times New Roman" w:hAnsi="Times New Roman" w:cs="Times New Roman"/>
          <w:sz w:val="24"/>
          <w:szCs w:val="24"/>
        </w:rPr>
        <w:t xml:space="preserve"> </w:t>
      </w:r>
      <w:r w:rsidR="009D704F" w:rsidRPr="009E448B">
        <w:rPr>
          <w:rFonts w:ascii="Times New Roman" w:hAnsi="Times New Roman" w:cs="Times New Roman"/>
          <w:sz w:val="24"/>
          <w:szCs w:val="24"/>
        </w:rPr>
        <w:t xml:space="preserve">Tsangamidzi for the defendant </w:t>
      </w:r>
      <w:r w:rsidRPr="009E448B">
        <w:rPr>
          <w:rFonts w:ascii="Times New Roman" w:hAnsi="Times New Roman" w:cs="Times New Roman"/>
          <w:sz w:val="24"/>
          <w:szCs w:val="24"/>
        </w:rPr>
        <w:t>confirmed the transition of the defendant’s identity from a cooperative, to a company and back to a cooperative. The entity’s mandate remained the same to administer the</w:t>
      </w:r>
      <w:r w:rsidR="007276D9" w:rsidRPr="009E448B">
        <w:rPr>
          <w:rFonts w:ascii="Times New Roman" w:hAnsi="Times New Roman" w:cs="Times New Roman"/>
          <w:sz w:val="24"/>
          <w:szCs w:val="24"/>
        </w:rPr>
        <w:t xml:space="preserve"> </w:t>
      </w:r>
      <w:r w:rsidR="008E61D6" w:rsidRPr="009E448B">
        <w:rPr>
          <w:rFonts w:ascii="Times New Roman" w:hAnsi="Times New Roman" w:cs="Times New Roman"/>
          <w:sz w:val="24"/>
          <w:szCs w:val="24"/>
        </w:rPr>
        <w:t>affairs of</w:t>
      </w:r>
      <w:r w:rsidR="007276D9" w:rsidRPr="009E448B">
        <w:rPr>
          <w:rFonts w:ascii="Times New Roman" w:hAnsi="Times New Roman" w:cs="Times New Roman"/>
          <w:sz w:val="24"/>
          <w:szCs w:val="24"/>
        </w:rPr>
        <w:t xml:space="preserve"> its membership at A</w:t>
      </w:r>
      <w:r w:rsidRPr="009E448B">
        <w:rPr>
          <w:rFonts w:ascii="Times New Roman" w:hAnsi="Times New Roman" w:cs="Times New Roman"/>
          <w:sz w:val="24"/>
          <w:szCs w:val="24"/>
        </w:rPr>
        <w:t>therstone Park. He also accepted that the defendant can fulfill the contractual obligations incurred by its pre</w:t>
      </w:r>
      <w:r w:rsidR="00E77F1B" w:rsidRPr="009E448B">
        <w:rPr>
          <w:rFonts w:ascii="Times New Roman" w:hAnsi="Times New Roman" w:cs="Times New Roman"/>
          <w:sz w:val="24"/>
          <w:szCs w:val="24"/>
        </w:rPr>
        <w:t>de</w:t>
      </w:r>
      <w:r w:rsidRPr="009E448B">
        <w:rPr>
          <w:rFonts w:ascii="Times New Roman" w:hAnsi="Times New Roman" w:cs="Times New Roman"/>
          <w:sz w:val="24"/>
          <w:szCs w:val="24"/>
        </w:rPr>
        <w:t xml:space="preserve">cessors. However the only caveat was that on condition </w:t>
      </w:r>
      <w:r w:rsidR="008E61D6" w:rsidRPr="009E448B">
        <w:rPr>
          <w:rFonts w:ascii="Times New Roman" w:hAnsi="Times New Roman" w:cs="Times New Roman"/>
          <w:sz w:val="24"/>
          <w:szCs w:val="24"/>
        </w:rPr>
        <w:t>Mr.</w:t>
      </w:r>
      <w:r w:rsidRPr="009E448B">
        <w:rPr>
          <w:rFonts w:ascii="Times New Roman" w:hAnsi="Times New Roman" w:cs="Times New Roman"/>
          <w:sz w:val="24"/>
          <w:szCs w:val="24"/>
        </w:rPr>
        <w:t xml:space="preserve"> Maka</w:t>
      </w:r>
      <w:r w:rsidR="005740CD" w:rsidRPr="009E448B">
        <w:rPr>
          <w:rFonts w:ascii="Times New Roman" w:hAnsi="Times New Roman" w:cs="Times New Roman"/>
          <w:sz w:val="24"/>
          <w:szCs w:val="24"/>
        </w:rPr>
        <w:t>y</w:t>
      </w:r>
      <w:r w:rsidRPr="009E448B">
        <w:rPr>
          <w:rFonts w:ascii="Times New Roman" w:hAnsi="Times New Roman" w:cs="Times New Roman"/>
          <w:sz w:val="24"/>
          <w:szCs w:val="24"/>
        </w:rPr>
        <w:t>ika</w:t>
      </w:r>
      <w:r w:rsidR="005740CD" w:rsidRPr="009E448B">
        <w:rPr>
          <w:rFonts w:ascii="Times New Roman" w:hAnsi="Times New Roman" w:cs="Times New Roman"/>
          <w:sz w:val="24"/>
          <w:szCs w:val="24"/>
        </w:rPr>
        <w:t>y</w:t>
      </w:r>
      <w:r w:rsidRPr="009E448B">
        <w:rPr>
          <w:rFonts w:ascii="Times New Roman" w:hAnsi="Times New Roman" w:cs="Times New Roman"/>
          <w:sz w:val="24"/>
          <w:szCs w:val="24"/>
        </w:rPr>
        <w:t xml:space="preserve">i produced the source </w:t>
      </w:r>
      <w:r w:rsidR="00E77F1B" w:rsidRPr="009E448B">
        <w:rPr>
          <w:rFonts w:ascii="Times New Roman" w:hAnsi="Times New Roman" w:cs="Times New Roman"/>
          <w:sz w:val="24"/>
          <w:szCs w:val="24"/>
        </w:rPr>
        <w:t>documents</w:t>
      </w:r>
      <w:r w:rsidRPr="009E448B">
        <w:rPr>
          <w:rFonts w:ascii="Times New Roman" w:hAnsi="Times New Roman" w:cs="Times New Roman"/>
          <w:sz w:val="24"/>
          <w:szCs w:val="24"/>
        </w:rPr>
        <w:t xml:space="preserve"> for defendant to confirm the liabilities. My understanding of defendant’s issue is that it does not deny liability. The only bone to chew is that the former leadership did not handover all the documents that defendant required. In </w:t>
      </w:r>
      <w:r w:rsidR="0003015E" w:rsidRPr="009E448B">
        <w:rPr>
          <w:rFonts w:ascii="Times New Roman" w:hAnsi="Times New Roman" w:cs="Times New Roman"/>
          <w:sz w:val="24"/>
          <w:szCs w:val="24"/>
        </w:rPr>
        <w:t xml:space="preserve">its wisdom this claim was going to force Makayikayi to produce the documents. However that is not the issue. Mr Makayikayi and </w:t>
      </w:r>
      <w:r w:rsidR="0004765D" w:rsidRPr="009E448B">
        <w:rPr>
          <w:rFonts w:ascii="Times New Roman" w:hAnsi="Times New Roman" w:cs="Times New Roman"/>
          <w:sz w:val="24"/>
          <w:szCs w:val="24"/>
        </w:rPr>
        <w:t>plaintiff</w:t>
      </w:r>
      <w:r w:rsidR="0003015E" w:rsidRPr="009E448B">
        <w:rPr>
          <w:rFonts w:ascii="Times New Roman" w:hAnsi="Times New Roman" w:cs="Times New Roman"/>
          <w:sz w:val="24"/>
          <w:szCs w:val="24"/>
        </w:rPr>
        <w:t xml:space="preserve"> are different. Plaintiff is a separate legal person</w:t>
      </w:r>
      <w:r w:rsidR="007276D9" w:rsidRPr="009E448B">
        <w:rPr>
          <w:rFonts w:ascii="Times New Roman" w:hAnsi="Times New Roman" w:cs="Times New Roman"/>
          <w:sz w:val="24"/>
          <w:szCs w:val="24"/>
        </w:rPr>
        <w:t>a</w:t>
      </w:r>
      <w:r w:rsidR="0003015E" w:rsidRPr="009E448B">
        <w:rPr>
          <w:rFonts w:ascii="Times New Roman" w:hAnsi="Times New Roman" w:cs="Times New Roman"/>
          <w:sz w:val="24"/>
          <w:szCs w:val="24"/>
        </w:rPr>
        <w:t xml:space="preserve"> that is why it sued in its name. </w:t>
      </w:r>
      <w:r w:rsidR="005740CD" w:rsidRPr="009E448B">
        <w:rPr>
          <w:rFonts w:ascii="Times New Roman" w:hAnsi="Times New Roman" w:cs="Times New Roman"/>
          <w:sz w:val="24"/>
          <w:szCs w:val="24"/>
        </w:rPr>
        <w:t>If</w:t>
      </w:r>
      <w:r w:rsidR="0003015E" w:rsidRPr="009E448B">
        <w:rPr>
          <w:rFonts w:ascii="Times New Roman" w:hAnsi="Times New Roman" w:cs="Times New Roman"/>
          <w:sz w:val="24"/>
          <w:szCs w:val="24"/>
        </w:rPr>
        <w:t xml:space="preserve"> defendant has issues with the former leadership it can pursue other legal recourses</w:t>
      </w:r>
      <w:r w:rsidR="008E61D6" w:rsidRPr="009E448B">
        <w:rPr>
          <w:rFonts w:ascii="Times New Roman" w:hAnsi="Times New Roman" w:cs="Times New Roman"/>
          <w:sz w:val="24"/>
          <w:szCs w:val="24"/>
        </w:rPr>
        <w:t xml:space="preserve"> available to it</w:t>
      </w:r>
      <w:r w:rsidR="00A90872" w:rsidRPr="009E448B">
        <w:rPr>
          <w:rFonts w:ascii="Times New Roman" w:hAnsi="Times New Roman" w:cs="Times New Roman"/>
          <w:sz w:val="24"/>
          <w:szCs w:val="24"/>
        </w:rPr>
        <w:t>.</w:t>
      </w:r>
    </w:p>
    <w:p w:rsidR="008B50DB" w:rsidRDefault="008E61D6" w:rsidP="008B50DB">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t xml:space="preserve">In this case </w:t>
      </w:r>
      <w:r w:rsidR="005C6438" w:rsidRPr="009E448B">
        <w:rPr>
          <w:rFonts w:ascii="Times New Roman" w:hAnsi="Times New Roman" w:cs="Times New Roman"/>
          <w:sz w:val="24"/>
          <w:szCs w:val="24"/>
        </w:rPr>
        <w:t>plaintiff produced</w:t>
      </w:r>
      <w:r w:rsidR="00A90872" w:rsidRPr="009E448B">
        <w:rPr>
          <w:rFonts w:ascii="Times New Roman" w:hAnsi="Times New Roman" w:cs="Times New Roman"/>
          <w:sz w:val="24"/>
          <w:szCs w:val="24"/>
        </w:rPr>
        <w:t xml:space="preserve"> the necessary documents to prove its claim. I was encouraged to pierce the plaintiff’s corporate veil in order to see the people behi</w:t>
      </w:r>
      <w:r w:rsidRPr="009E448B">
        <w:rPr>
          <w:rFonts w:ascii="Times New Roman" w:hAnsi="Times New Roman" w:cs="Times New Roman"/>
          <w:sz w:val="24"/>
          <w:szCs w:val="24"/>
        </w:rPr>
        <w:t>nd the plaintiff. It was</w:t>
      </w:r>
      <w:r w:rsidR="00A90872" w:rsidRPr="009E448B">
        <w:rPr>
          <w:rFonts w:ascii="Times New Roman" w:hAnsi="Times New Roman" w:cs="Times New Roman"/>
          <w:sz w:val="24"/>
          <w:szCs w:val="24"/>
        </w:rPr>
        <w:t xml:space="preserve"> alleged that the registration of the company could have been done to perpe</w:t>
      </w:r>
      <w:r w:rsidR="007276D9" w:rsidRPr="009E448B">
        <w:rPr>
          <w:rFonts w:ascii="Times New Roman" w:hAnsi="Times New Roman" w:cs="Times New Roman"/>
          <w:sz w:val="24"/>
          <w:szCs w:val="24"/>
        </w:rPr>
        <w:t>tuate</w:t>
      </w:r>
      <w:r w:rsidR="00A90872" w:rsidRPr="009E448B">
        <w:rPr>
          <w:rFonts w:ascii="Times New Roman" w:hAnsi="Times New Roman" w:cs="Times New Roman"/>
          <w:sz w:val="24"/>
          <w:szCs w:val="24"/>
        </w:rPr>
        <w:t xml:space="preserve"> fraudulent </w:t>
      </w:r>
      <w:r w:rsidR="007276D9" w:rsidRPr="009E448B">
        <w:rPr>
          <w:rFonts w:ascii="Times New Roman" w:hAnsi="Times New Roman" w:cs="Times New Roman"/>
          <w:sz w:val="24"/>
          <w:szCs w:val="24"/>
        </w:rPr>
        <w:t xml:space="preserve">activities. One </w:t>
      </w:r>
      <w:r w:rsidRPr="009E448B">
        <w:rPr>
          <w:rFonts w:ascii="Times New Roman" w:hAnsi="Times New Roman" w:cs="Times New Roman"/>
          <w:sz w:val="24"/>
          <w:szCs w:val="24"/>
        </w:rPr>
        <w:t>such fraudulent activity was awarding service contracts to</w:t>
      </w:r>
      <w:r w:rsidR="007276D9" w:rsidRPr="009E448B">
        <w:rPr>
          <w:rFonts w:ascii="Times New Roman" w:hAnsi="Times New Roman" w:cs="Times New Roman"/>
          <w:sz w:val="24"/>
          <w:szCs w:val="24"/>
        </w:rPr>
        <w:t xml:space="preserve"> directors as in this case.</w:t>
      </w:r>
      <w:r w:rsidR="00A90872" w:rsidRPr="009E448B">
        <w:rPr>
          <w:rFonts w:ascii="Times New Roman" w:hAnsi="Times New Roman" w:cs="Times New Roman"/>
          <w:sz w:val="24"/>
          <w:szCs w:val="24"/>
        </w:rPr>
        <w:t xml:space="preserve"> The established principle of law enunciated in </w:t>
      </w:r>
      <w:r w:rsidR="00A90872" w:rsidRPr="009E448B">
        <w:rPr>
          <w:rFonts w:ascii="Times New Roman" w:hAnsi="Times New Roman" w:cs="Times New Roman"/>
          <w:i/>
          <w:sz w:val="24"/>
          <w:szCs w:val="24"/>
        </w:rPr>
        <w:t>Salomon</w:t>
      </w:r>
      <w:r w:rsidR="00A90872" w:rsidRPr="009E448B">
        <w:rPr>
          <w:rFonts w:ascii="Times New Roman" w:hAnsi="Times New Roman" w:cs="Times New Roman"/>
          <w:sz w:val="24"/>
          <w:szCs w:val="24"/>
        </w:rPr>
        <w:t xml:space="preserve"> v </w:t>
      </w:r>
      <w:r w:rsidR="00A90872" w:rsidRPr="009E448B">
        <w:rPr>
          <w:rFonts w:ascii="Times New Roman" w:hAnsi="Times New Roman" w:cs="Times New Roman"/>
          <w:i/>
          <w:sz w:val="24"/>
          <w:szCs w:val="24"/>
        </w:rPr>
        <w:t>Salomon &amp; Co Ltd</w:t>
      </w:r>
      <w:r w:rsidR="00A90872" w:rsidRPr="009E448B">
        <w:rPr>
          <w:rFonts w:ascii="Times New Roman" w:hAnsi="Times New Roman" w:cs="Times New Roman"/>
          <w:sz w:val="24"/>
          <w:szCs w:val="24"/>
        </w:rPr>
        <w:t xml:space="preserve"> [1897] AC 22 (HL) that a </w:t>
      </w:r>
      <w:r w:rsidR="00A579C5" w:rsidRPr="009E448B">
        <w:rPr>
          <w:rFonts w:ascii="Times New Roman" w:hAnsi="Times New Roman" w:cs="Times New Roman"/>
          <w:sz w:val="24"/>
          <w:szCs w:val="24"/>
        </w:rPr>
        <w:t xml:space="preserve">company is a separate entity distinct from its members has been consistently followed in our jurisdiction. Nevertheless there are few exceptions to </w:t>
      </w:r>
      <w:r w:rsidR="00A579C5" w:rsidRPr="009E448B">
        <w:rPr>
          <w:rFonts w:ascii="Times New Roman" w:hAnsi="Times New Roman" w:cs="Times New Roman"/>
          <w:sz w:val="24"/>
          <w:szCs w:val="24"/>
        </w:rPr>
        <w:lastRenderedPageBreak/>
        <w:t>the principle ground</w:t>
      </w:r>
      <w:r w:rsidR="007276D9" w:rsidRPr="009E448B">
        <w:rPr>
          <w:rFonts w:ascii="Times New Roman" w:hAnsi="Times New Roman" w:cs="Times New Roman"/>
          <w:sz w:val="24"/>
          <w:szCs w:val="24"/>
        </w:rPr>
        <w:t>ed</w:t>
      </w:r>
      <w:r w:rsidR="00A579C5" w:rsidRPr="009E448B">
        <w:rPr>
          <w:rFonts w:ascii="Times New Roman" w:hAnsi="Times New Roman" w:cs="Times New Roman"/>
          <w:sz w:val="24"/>
          <w:szCs w:val="24"/>
        </w:rPr>
        <w:t xml:space="preserve"> on policy considerations. In </w:t>
      </w:r>
      <w:r w:rsidR="00A579C5" w:rsidRPr="009E448B">
        <w:rPr>
          <w:rFonts w:ascii="Times New Roman" w:hAnsi="Times New Roman" w:cs="Times New Roman"/>
          <w:i/>
          <w:sz w:val="24"/>
          <w:szCs w:val="24"/>
        </w:rPr>
        <w:t>Cape Pacific Ltd</w:t>
      </w:r>
      <w:r w:rsidR="00A579C5" w:rsidRPr="009E448B">
        <w:rPr>
          <w:rFonts w:ascii="Times New Roman" w:hAnsi="Times New Roman" w:cs="Times New Roman"/>
          <w:sz w:val="24"/>
          <w:szCs w:val="24"/>
        </w:rPr>
        <w:t xml:space="preserve"> v </w:t>
      </w:r>
      <w:r w:rsidR="00A579C5" w:rsidRPr="009E448B">
        <w:rPr>
          <w:rFonts w:ascii="Times New Roman" w:hAnsi="Times New Roman" w:cs="Times New Roman"/>
          <w:i/>
          <w:sz w:val="24"/>
          <w:szCs w:val="24"/>
        </w:rPr>
        <w:t xml:space="preserve">Lubner Controlling Investments (Pty) Ltd &amp; Others </w:t>
      </w:r>
      <w:r w:rsidR="00A579C5" w:rsidRPr="009E448B">
        <w:rPr>
          <w:rFonts w:ascii="Times New Roman" w:hAnsi="Times New Roman" w:cs="Times New Roman"/>
          <w:sz w:val="24"/>
          <w:szCs w:val="24"/>
        </w:rPr>
        <w:t>1993 (2) SA 784 (c) at 816-818 the court aptly captured the exceptions thus</w:t>
      </w:r>
      <w:r w:rsidR="00274145" w:rsidRPr="009E448B">
        <w:rPr>
          <w:rFonts w:ascii="Times New Roman" w:hAnsi="Times New Roman" w:cs="Times New Roman"/>
          <w:sz w:val="24"/>
          <w:szCs w:val="24"/>
        </w:rPr>
        <w:t>;</w:t>
      </w:r>
    </w:p>
    <w:p w:rsidR="008B50DB" w:rsidRDefault="008B50DB" w:rsidP="008B50DB">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274145" w:rsidRPr="009E448B">
        <w:rPr>
          <w:rFonts w:ascii="Times New Roman" w:hAnsi="Times New Roman" w:cs="Times New Roman"/>
        </w:rPr>
        <w:t xml:space="preserve">“…when the corporation is the mere </w:t>
      </w:r>
      <w:r w:rsidR="00274145" w:rsidRPr="009E448B">
        <w:rPr>
          <w:rFonts w:ascii="Times New Roman" w:hAnsi="Times New Roman" w:cs="Times New Roman"/>
          <w:i/>
        </w:rPr>
        <w:t>alter ego</w:t>
      </w:r>
      <w:r w:rsidR="00274145" w:rsidRPr="009E448B">
        <w:rPr>
          <w:rFonts w:ascii="Times New Roman" w:hAnsi="Times New Roman" w:cs="Times New Roman"/>
        </w:rPr>
        <w:t xml:space="preserve"> or business conduit of a person, it may be </w:t>
      </w:r>
      <w:r>
        <w:rPr>
          <w:rFonts w:ascii="Times New Roman" w:hAnsi="Times New Roman" w:cs="Times New Roman"/>
        </w:rPr>
        <w:tab/>
      </w:r>
      <w:r w:rsidR="00274145" w:rsidRPr="009E448B">
        <w:rPr>
          <w:rFonts w:ascii="Times New Roman" w:hAnsi="Times New Roman" w:cs="Times New Roman"/>
        </w:rPr>
        <w:t xml:space="preserve">disregarded. This rule has been adopted by the Courts in those cases where the idea of the </w:t>
      </w:r>
      <w:r>
        <w:rPr>
          <w:rFonts w:ascii="Times New Roman" w:hAnsi="Times New Roman" w:cs="Times New Roman"/>
        </w:rPr>
        <w:tab/>
      </w:r>
      <w:r w:rsidR="00274145" w:rsidRPr="009E448B">
        <w:rPr>
          <w:rFonts w:ascii="Times New Roman" w:hAnsi="Times New Roman" w:cs="Times New Roman"/>
        </w:rPr>
        <w:t>corporate entity had been used as a subterfuge and to observe it would work an injustice….</w:t>
      </w:r>
    </w:p>
    <w:p w:rsidR="008B50DB" w:rsidRDefault="008B50DB" w:rsidP="008B50DB">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274145" w:rsidRDefault="008B50DB" w:rsidP="008B50DB">
      <w:pPr>
        <w:pStyle w:val="ListParagraph"/>
        <w:spacing w:after="0" w:line="240" w:lineRule="auto"/>
        <w:ind w:left="0"/>
        <w:jc w:val="both"/>
        <w:rPr>
          <w:rFonts w:ascii="Times New Roman" w:hAnsi="Times New Roman" w:cs="Times New Roman"/>
        </w:rPr>
      </w:pPr>
      <w:r>
        <w:rPr>
          <w:rFonts w:ascii="Times New Roman" w:hAnsi="Times New Roman" w:cs="Times New Roman"/>
        </w:rPr>
        <w:tab/>
      </w:r>
      <w:r w:rsidR="00274145" w:rsidRPr="009E448B">
        <w:rPr>
          <w:rFonts w:ascii="Times New Roman" w:hAnsi="Times New Roman" w:cs="Times New Roman"/>
        </w:rPr>
        <w:t xml:space="preserve">In cases of fraud, whether actual or constructive, the Courts regard the real parties responsible </w:t>
      </w:r>
      <w:r>
        <w:rPr>
          <w:rFonts w:ascii="Times New Roman" w:hAnsi="Times New Roman" w:cs="Times New Roman"/>
        </w:rPr>
        <w:tab/>
      </w:r>
      <w:r w:rsidR="00274145" w:rsidRPr="009E448B">
        <w:rPr>
          <w:rFonts w:ascii="Times New Roman" w:hAnsi="Times New Roman" w:cs="Times New Roman"/>
        </w:rPr>
        <w:t xml:space="preserve">and grant relief against them or deny their claims and defences based on the principles of </w:t>
      </w:r>
      <w:r>
        <w:rPr>
          <w:rFonts w:ascii="Times New Roman" w:hAnsi="Times New Roman" w:cs="Times New Roman"/>
        </w:rPr>
        <w:tab/>
      </w:r>
      <w:r w:rsidR="00274145" w:rsidRPr="009E448B">
        <w:rPr>
          <w:rFonts w:ascii="Times New Roman" w:hAnsi="Times New Roman" w:cs="Times New Roman"/>
        </w:rPr>
        <w:t xml:space="preserve">equity…. So, where a corporation is organised or maintained as a device in order to evade an </w:t>
      </w:r>
      <w:r>
        <w:rPr>
          <w:rFonts w:ascii="Times New Roman" w:hAnsi="Times New Roman" w:cs="Times New Roman"/>
        </w:rPr>
        <w:tab/>
      </w:r>
      <w:r w:rsidR="00274145" w:rsidRPr="009E448B">
        <w:rPr>
          <w:rFonts w:ascii="Times New Roman" w:hAnsi="Times New Roman" w:cs="Times New Roman"/>
        </w:rPr>
        <w:t xml:space="preserve">outstanding legal or equitable obligation, the Courts, even without reference to actual fraud, </w:t>
      </w:r>
      <w:r>
        <w:rPr>
          <w:rFonts w:ascii="Times New Roman" w:hAnsi="Times New Roman" w:cs="Times New Roman"/>
        </w:rPr>
        <w:tab/>
      </w:r>
      <w:r w:rsidR="00274145" w:rsidRPr="009E448B">
        <w:rPr>
          <w:rFonts w:ascii="Times New Roman" w:hAnsi="Times New Roman" w:cs="Times New Roman"/>
        </w:rPr>
        <w:t>refuse to regard it as a corporate entity.”</w:t>
      </w:r>
    </w:p>
    <w:p w:rsidR="008B50DB" w:rsidRPr="008B50DB" w:rsidRDefault="008B50DB" w:rsidP="008B50DB">
      <w:pPr>
        <w:pStyle w:val="ListParagraph"/>
        <w:spacing w:after="0" w:line="240" w:lineRule="auto"/>
        <w:ind w:left="0"/>
        <w:jc w:val="both"/>
        <w:rPr>
          <w:rFonts w:ascii="Times New Roman" w:hAnsi="Times New Roman" w:cs="Times New Roman"/>
          <w:sz w:val="24"/>
          <w:szCs w:val="24"/>
        </w:rPr>
      </w:pPr>
    </w:p>
    <w:p w:rsidR="00E86263" w:rsidRDefault="00274145" w:rsidP="00E86263">
      <w:pPr>
        <w:spacing w:line="360" w:lineRule="auto"/>
        <w:jc w:val="both"/>
        <w:rPr>
          <w:rFonts w:ascii="Times New Roman" w:hAnsi="Times New Roman" w:cs="Times New Roman"/>
          <w:sz w:val="24"/>
          <w:szCs w:val="24"/>
        </w:rPr>
      </w:pPr>
      <w:r w:rsidRPr="009E448B">
        <w:rPr>
          <w:rFonts w:ascii="Times New Roman" w:hAnsi="Times New Roman" w:cs="Times New Roman"/>
          <w:sz w:val="24"/>
          <w:szCs w:val="24"/>
        </w:rPr>
        <w:tab/>
        <w:t xml:space="preserve">On appeal in </w:t>
      </w:r>
      <w:r w:rsidRPr="009E448B">
        <w:rPr>
          <w:rFonts w:ascii="Times New Roman" w:hAnsi="Times New Roman" w:cs="Times New Roman"/>
          <w:i/>
          <w:sz w:val="24"/>
          <w:szCs w:val="24"/>
        </w:rPr>
        <w:t>Cape Pacific Ltd</w:t>
      </w:r>
      <w:r w:rsidRPr="009E448B">
        <w:rPr>
          <w:rFonts w:ascii="Times New Roman" w:hAnsi="Times New Roman" w:cs="Times New Roman"/>
          <w:sz w:val="24"/>
          <w:szCs w:val="24"/>
        </w:rPr>
        <w:t xml:space="preserve"> v </w:t>
      </w:r>
      <w:r w:rsidRPr="009E448B">
        <w:rPr>
          <w:rFonts w:ascii="Times New Roman" w:hAnsi="Times New Roman" w:cs="Times New Roman"/>
          <w:i/>
          <w:sz w:val="24"/>
          <w:szCs w:val="24"/>
        </w:rPr>
        <w:t>Lubner Controlling Investments (Pty) Ltd &amp; Others</w:t>
      </w:r>
      <w:r w:rsidRPr="009E448B">
        <w:rPr>
          <w:rFonts w:ascii="Times New Roman" w:hAnsi="Times New Roman" w:cs="Times New Roman"/>
          <w:sz w:val="24"/>
          <w:szCs w:val="24"/>
        </w:rPr>
        <w:t xml:space="preserve"> 1995 (4) SA 790 (AD) at 803-804, the notion of equity was reaffirmed as follows:</w:t>
      </w:r>
    </w:p>
    <w:p w:rsidR="00274145" w:rsidRPr="00E86263" w:rsidRDefault="00E86263" w:rsidP="00E86263">
      <w:pPr>
        <w:spacing w:line="240" w:lineRule="auto"/>
        <w:jc w:val="both"/>
        <w:rPr>
          <w:rFonts w:ascii="Times New Roman" w:hAnsi="Times New Roman" w:cs="Times New Roman"/>
        </w:rPr>
      </w:pPr>
      <w:r>
        <w:rPr>
          <w:rFonts w:ascii="Times New Roman" w:hAnsi="Times New Roman" w:cs="Times New Roman"/>
          <w:sz w:val="24"/>
          <w:szCs w:val="24"/>
        </w:rPr>
        <w:tab/>
      </w:r>
      <w:r w:rsidR="00274145" w:rsidRPr="009E448B">
        <w:rPr>
          <w:rFonts w:ascii="Times New Roman" w:hAnsi="Times New Roman" w:cs="Times New Roman"/>
          <w:sz w:val="24"/>
          <w:szCs w:val="24"/>
        </w:rPr>
        <w:t>“</w:t>
      </w:r>
      <w:r w:rsidR="00274145" w:rsidRPr="00E86263">
        <w:rPr>
          <w:rFonts w:ascii="Times New Roman" w:hAnsi="Times New Roman" w:cs="Times New Roman"/>
        </w:rPr>
        <w:t xml:space="preserve">It is undoubtedly a salutary principle that our Courts should not lightly disregard a </w:t>
      </w:r>
      <w:r w:rsidRPr="00E86263">
        <w:rPr>
          <w:rFonts w:ascii="Times New Roman" w:hAnsi="Times New Roman" w:cs="Times New Roman"/>
        </w:rPr>
        <w:tab/>
      </w:r>
      <w:r w:rsidR="00274145" w:rsidRPr="00E86263">
        <w:rPr>
          <w:rFonts w:ascii="Times New Roman" w:hAnsi="Times New Roman" w:cs="Times New Roman"/>
        </w:rPr>
        <w:t xml:space="preserve">company’s separate personality, but should strive to give effect to and uphold it. To do </w:t>
      </w:r>
      <w:r w:rsidRPr="00E86263">
        <w:rPr>
          <w:rFonts w:ascii="Times New Roman" w:hAnsi="Times New Roman" w:cs="Times New Roman"/>
        </w:rPr>
        <w:tab/>
      </w:r>
      <w:r w:rsidR="00274145" w:rsidRPr="00E86263">
        <w:rPr>
          <w:rFonts w:ascii="Times New Roman" w:hAnsi="Times New Roman" w:cs="Times New Roman"/>
        </w:rPr>
        <w:t xml:space="preserve">otherwise would negate or undermine the policy and principles that underpin the concept of </w:t>
      </w:r>
      <w:r w:rsidRPr="00E86263">
        <w:rPr>
          <w:rFonts w:ascii="Times New Roman" w:hAnsi="Times New Roman" w:cs="Times New Roman"/>
        </w:rPr>
        <w:tab/>
      </w:r>
      <w:r w:rsidR="00274145" w:rsidRPr="00E86263">
        <w:rPr>
          <w:rFonts w:ascii="Times New Roman" w:hAnsi="Times New Roman" w:cs="Times New Roman"/>
        </w:rPr>
        <w:t xml:space="preserve">separate corporate personality and the legal consequences that attach to it. But where fraud, </w:t>
      </w:r>
      <w:r w:rsidRPr="00E86263">
        <w:rPr>
          <w:rFonts w:ascii="Times New Roman" w:hAnsi="Times New Roman" w:cs="Times New Roman"/>
        </w:rPr>
        <w:tab/>
      </w:r>
      <w:r w:rsidR="00274145" w:rsidRPr="00E86263">
        <w:rPr>
          <w:rFonts w:ascii="Times New Roman" w:hAnsi="Times New Roman" w:cs="Times New Roman"/>
        </w:rPr>
        <w:t xml:space="preserve">dishonesty or other improper conduct (and I confine myself to such situations) is found to be </w:t>
      </w:r>
      <w:r w:rsidRPr="00E86263">
        <w:rPr>
          <w:rFonts w:ascii="Times New Roman" w:hAnsi="Times New Roman" w:cs="Times New Roman"/>
        </w:rPr>
        <w:tab/>
      </w:r>
      <w:r w:rsidR="00274145" w:rsidRPr="00E86263">
        <w:rPr>
          <w:rFonts w:ascii="Times New Roman" w:hAnsi="Times New Roman" w:cs="Times New Roman"/>
        </w:rPr>
        <w:t xml:space="preserve">present, other considerations will come into play. The need to preserve the separate corporate </w:t>
      </w:r>
      <w:r w:rsidRPr="00E86263">
        <w:rPr>
          <w:rFonts w:ascii="Times New Roman" w:hAnsi="Times New Roman" w:cs="Times New Roman"/>
        </w:rPr>
        <w:tab/>
      </w:r>
      <w:r w:rsidR="00274145" w:rsidRPr="00E86263">
        <w:rPr>
          <w:rFonts w:ascii="Times New Roman" w:hAnsi="Times New Roman" w:cs="Times New Roman"/>
        </w:rPr>
        <w:t xml:space="preserve">identity would in such circumstances have to be balanced against policy considerations which </w:t>
      </w:r>
      <w:r w:rsidRPr="00E86263">
        <w:rPr>
          <w:rFonts w:ascii="Times New Roman" w:hAnsi="Times New Roman" w:cs="Times New Roman"/>
        </w:rPr>
        <w:tab/>
      </w:r>
      <w:r w:rsidR="00274145" w:rsidRPr="00E86263">
        <w:rPr>
          <w:rFonts w:ascii="Times New Roman" w:hAnsi="Times New Roman" w:cs="Times New Roman"/>
        </w:rPr>
        <w:t xml:space="preserve">arise in favour of piercing the corporate veil. …And a court would then be entitled to look to </w:t>
      </w:r>
      <w:r w:rsidRPr="00E86263">
        <w:rPr>
          <w:rFonts w:ascii="Times New Roman" w:hAnsi="Times New Roman" w:cs="Times New Roman"/>
        </w:rPr>
        <w:tab/>
      </w:r>
      <w:r w:rsidR="00274145" w:rsidRPr="00E86263">
        <w:rPr>
          <w:rFonts w:ascii="Times New Roman" w:hAnsi="Times New Roman" w:cs="Times New Roman"/>
        </w:rPr>
        <w:t xml:space="preserve">substance rather than form in order to arrive at the true facts, and if there has been a misuse of </w:t>
      </w:r>
      <w:r w:rsidRPr="00E86263">
        <w:rPr>
          <w:rFonts w:ascii="Times New Roman" w:hAnsi="Times New Roman" w:cs="Times New Roman"/>
        </w:rPr>
        <w:tab/>
      </w:r>
      <w:r w:rsidR="00274145" w:rsidRPr="00E86263">
        <w:rPr>
          <w:rFonts w:ascii="Times New Roman" w:hAnsi="Times New Roman" w:cs="Times New Roman"/>
        </w:rPr>
        <w:t xml:space="preserve">corporate personality, to disregard it and attribute liability where it should rightly lie. Each </w:t>
      </w:r>
      <w:r w:rsidRPr="00E86263">
        <w:rPr>
          <w:rFonts w:ascii="Times New Roman" w:hAnsi="Times New Roman" w:cs="Times New Roman"/>
        </w:rPr>
        <w:tab/>
      </w:r>
      <w:r w:rsidR="00274145" w:rsidRPr="00E86263">
        <w:rPr>
          <w:rFonts w:ascii="Times New Roman" w:hAnsi="Times New Roman" w:cs="Times New Roman"/>
        </w:rPr>
        <w:t>case would obviously have to be considered on its own merits. ”</w:t>
      </w:r>
    </w:p>
    <w:p w:rsidR="00A90872" w:rsidRPr="009E448B" w:rsidRDefault="00A579C5"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 xml:space="preserve"> </w:t>
      </w:r>
      <w:r w:rsidR="00E86263">
        <w:rPr>
          <w:rFonts w:ascii="Times New Roman" w:hAnsi="Times New Roman" w:cs="Times New Roman"/>
          <w:sz w:val="24"/>
          <w:szCs w:val="24"/>
        </w:rPr>
        <w:tab/>
      </w:r>
      <w:r w:rsidR="00274145" w:rsidRPr="009E448B">
        <w:rPr>
          <w:rFonts w:ascii="Times New Roman" w:hAnsi="Times New Roman" w:cs="Times New Roman"/>
          <w:sz w:val="24"/>
          <w:szCs w:val="24"/>
        </w:rPr>
        <w:t>The cases are authority that</w:t>
      </w:r>
      <w:r w:rsidR="005C6438" w:rsidRPr="009E448B">
        <w:rPr>
          <w:rFonts w:ascii="Times New Roman" w:hAnsi="Times New Roman" w:cs="Times New Roman"/>
          <w:sz w:val="24"/>
          <w:szCs w:val="24"/>
        </w:rPr>
        <w:t xml:space="preserve"> </w:t>
      </w:r>
      <w:r w:rsidR="00274145" w:rsidRPr="009E448B">
        <w:rPr>
          <w:rFonts w:ascii="Times New Roman" w:hAnsi="Times New Roman" w:cs="Times New Roman"/>
          <w:sz w:val="24"/>
          <w:szCs w:val="24"/>
        </w:rPr>
        <w:t>the sanctity of corporate personality</w:t>
      </w:r>
      <w:r w:rsidR="005C6438" w:rsidRPr="009E448B">
        <w:rPr>
          <w:rFonts w:ascii="Times New Roman" w:hAnsi="Times New Roman" w:cs="Times New Roman"/>
          <w:sz w:val="24"/>
          <w:szCs w:val="24"/>
        </w:rPr>
        <w:t xml:space="preserve"> should be preserved and the corporate </w:t>
      </w:r>
      <w:r w:rsidR="00274145" w:rsidRPr="009E448B">
        <w:rPr>
          <w:rFonts w:ascii="Times New Roman" w:hAnsi="Times New Roman" w:cs="Times New Roman"/>
          <w:sz w:val="24"/>
          <w:szCs w:val="24"/>
        </w:rPr>
        <w:t>veil should not be lightly lifted. To that end there</w:t>
      </w:r>
      <w:r w:rsidRPr="009E448B">
        <w:rPr>
          <w:rFonts w:ascii="Times New Roman" w:hAnsi="Times New Roman" w:cs="Times New Roman"/>
          <w:sz w:val="24"/>
          <w:szCs w:val="24"/>
        </w:rPr>
        <w:t xml:space="preserve"> must be </w:t>
      </w:r>
      <w:r w:rsidR="00274145" w:rsidRPr="009E448B">
        <w:rPr>
          <w:rFonts w:ascii="Times New Roman" w:hAnsi="Times New Roman" w:cs="Times New Roman"/>
          <w:sz w:val="24"/>
          <w:szCs w:val="24"/>
        </w:rPr>
        <w:t>evidence</w:t>
      </w:r>
      <w:r w:rsidRPr="009E448B">
        <w:rPr>
          <w:rFonts w:ascii="Times New Roman" w:hAnsi="Times New Roman" w:cs="Times New Roman"/>
          <w:sz w:val="24"/>
          <w:szCs w:val="24"/>
        </w:rPr>
        <w:t xml:space="preserve"> that</w:t>
      </w:r>
      <w:r w:rsidR="00274145" w:rsidRPr="009E448B">
        <w:rPr>
          <w:rFonts w:ascii="Times New Roman" w:hAnsi="Times New Roman" w:cs="Times New Roman"/>
          <w:sz w:val="24"/>
          <w:szCs w:val="24"/>
        </w:rPr>
        <w:t xml:space="preserve"> the entity</w:t>
      </w:r>
      <w:r w:rsidRPr="009E448B">
        <w:rPr>
          <w:rFonts w:ascii="Times New Roman" w:hAnsi="Times New Roman" w:cs="Times New Roman"/>
          <w:sz w:val="24"/>
          <w:szCs w:val="24"/>
        </w:rPr>
        <w:t xml:space="preserve"> </w:t>
      </w:r>
      <w:r w:rsidR="00274145" w:rsidRPr="009E448B">
        <w:rPr>
          <w:rFonts w:ascii="Times New Roman" w:hAnsi="Times New Roman" w:cs="Times New Roman"/>
          <w:sz w:val="24"/>
          <w:szCs w:val="24"/>
        </w:rPr>
        <w:t>was established for use or was used as</w:t>
      </w:r>
      <w:r w:rsidRPr="009E448B">
        <w:rPr>
          <w:rFonts w:ascii="Times New Roman" w:hAnsi="Times New Roman" w:cs="Times New Roman"/>
          <w:sz w:val="24"/>
          <w:szCs w:val="24"/>
        </w:rPr>
        <w:t xml:space="preserve"> a conduit to perpetrate or further some illegality.</w:t>
      </w:r>
    </w:p>
    <w:p w:rsidR="00A579C5" w:rsidRPr="009E448B" w:rsidRDefault="00A579C5"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t>In this case, there was an allegation of fraudulent activities that Mr Makayikayi was be</w:t>
      </w:r>
      <w:r w:rsidR="00274145" w:rsidRPr="009E448B">
        <w:rPr>
          <w:rFonts w:ascii="Times New Roman" w:hAnsi="Times New Roman" w:cs="Times New Roman"/>
          <w:sz w:val="24"/>
          <w:szCs w:val="24"/>
        </w:rPr>
        <w:t>ing</w:t>
      </w:r>
      <w:r w:rsidRPr="009E448B">
        <w:rPr>
          <w:rFonts w:ascii="Times New Roman" w:hAnsi="Times New Roman" w:cs="Times New Roman"/>
          <w:sz w:val="24"/>
          <w:szCs w:val="24"/>
        </w:rPr>
        <w:t xml:space="preserve"> awarded contracts illegally. There was nothing to prove this averment. For the plaintiff evidence was led that the company constitution provided that members could contract with the defendant for services. This was not denied. What is crucial is that the plaintiff contracted with the defendant and actually provided the service. There is no illegality in so far as the service provision is concerned. There is no need to l</w:t>
      </w:r>
      <w:r w:rsidR="00274145" w:rsidRPr="009E448B">
        <w:rPr>
          <w:rFonts w:ascii="Times New Roman" w:hAnsi="Times New Roman" w:cs="Times New Roman"/>
          <w:sz w:val="24"/>
          <w:szCs w:val="24"/>
        </w:rPr>
        <w:t>ift</w:t>
      </w:r>
      <w:r w:rsidRPr="009E448B">
        <w:rPr>
          <w:rFonts w:ascii="Times New Roman" w:hAnsi="Times New Roman" w:cs="Times New Roman"/>
          <w:sz w:val="24"/>
          <w:szCs w:val="24"/>
        </w:rPr>
        <w:t xml:space="preserve"> the corporate veil if there was a conflict of interest that would not entitle lifting of the veil. The defendant is therefore liable.</w:t>
      </w:r>
    </w:p>
    <w:p w:rsidR="005C6438" w:rsidRPr="009E448B" w:rsidRDefault="00A579C5" w:rsidP="005C6438">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r>
      <w:r w:rsidR="005C6438" w:rsidRPr="009E448B">
        <w:rPr>
          <w:rFonts w:ascii="Times New Roman" w:hAnsi="Times New Roman" w:cs="Times New Roman"/>
          <w:i/>
          <w:sz w:val="24"/>
          <w:szCs w:val="24"/>
        </w:rPr>
        <w:t>The amount payable for services</w:t>
      </w:r>
      <w:r w:rsidR="005C6438" w:rsidRPr="009E448B">
        <w:rPr>
          <w:rFonts w:ascii="Times New Roman" w:hAnsi="Times New Roman" w:cs="Times New Roman"/>
          <w:sz w:val="24"/>
          <w:szCs w:val="24"/>
        </w:rPr>
        <w:t xml:space="preserve"> </w:t>
      </w:r>
    </w:p>
    <w:p w:rsidR="00A579C5" w:rsidRPr="009E448B" w:rsidRDefault="008B50DB" w:rsidP="002355B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C6438" w:rsidRPr="009E448B">
        <w:rPr>
          <w:rFonts w:ascii="Times New Roman" w:hAnsi="Times New Roman" w:cs="Times New Roman"/>
          <w:sz w:val="24"/>
          <w:szCs w:val="24"/>
        </w:rPr>
        <w:t xml:space="preserve">The plaintiff produced an invoice for $60 026.40 and also a letter of demand written to the defendant for $60 000.The plaintiff’s claim is for </w:t>
      </w:r>
      <w:r w:rsidR="00A579C5" w:rsidRPr="009E448B">
        <w:rPr>
          <w:rFonts w:ascii="Times New Roman" w:hAnsi="Times New Roman" w:cs="Times New Roman"/>
          <w:sz w:val="24"/>
          <w:szCs w:val="24"/>
        </w:rPr>
        <w:t xml:space="preserve">$54 280.00 no explanation was given </w:t>
      </w:r>
      <w:r w:rsidR="00A579C5" w:rsidRPr="009E448B">
        <w:rPr>
          <w:rFonts w:ascii="Times New Roman" w:hAnsi="Times New Roman" w:cs="Times New Roman"/>
          <w:sz w:val="24"/>
          <w:szCs w:val="24"/>
        </w:rPr>
        <w:lastRenderedPageBreak/>
        <w:t>for the variance</w:t>
      </w:r>
      <w:r w:rsidR="005C6438" w:rsidRPr="009E448B">
        <w:rPr>
          <w:rFonts w:ascii="Times New Roman" w:hAnsi="Times New Roman" w:cs="Times New Roman"/>
          <w:sz w:val="24"/>
          <w:szCs w:val="24"/>
        </w:rPr>
        <w:t xml:space="preserve"> in figures</w:t>
      </w:r>
      <w:r w:rsidR="00A579C5" w:rsidRPr="009E448B">
        <w:rPr>
          <w:rFonts w:ascii="Times New Roman" w:hAnsi="Times New Roman" w:cs="Times New Roman"/>
          <w:sz w:val="24"/>
          <w:szCs w:val="24"/>
        </w:rPr>
        <w:t xml:space="preserve">. The defendant did not raise any issues on this. I will therefore take it that the claim </w:t>
      </w:r>
      <w:r w:rsidR="005C6438" w:rsidRPr="009E448B">
        <w:rPr>
          <w:rFonts w:ascii="Times New Roman" w:hAnsi="Times New Roman" w:cs="Times New Roman"/>
          <w:sz w:val="24"/>
          <w:szCs w:val="24"/>
        </w:rPr>
        <w:t>has been reduced to the claimed amount.</w:t>
      </w:r>
    </w:p>
    <w:p w:rsidR="0031664A" w:rsidRPr="009E448B" w:rsidRDefault="0031664A" w:rsidP="002355BF">
      <w:pPr>
        <w:pStyle w:val="ListParagraph"/>
        <w:spacing w:after="0" w:line="360" w:lineRule="auto"/>
        <w:ind w:left="0"/>
        <w:jc w:val="both"/>
        <w:rPr>
          <w:rFonts w:ascii="Times New Roman" w:hAnsi="Times New Roman" w:cs="Times New Roman"/>
          <w:sz w:val="24"/>
          <w:szCs w:val="24"/>
        </w:rPr>
      </w:pPr>
      <w:r w:rsidRPr="009E448B">
        <w:rPr>
          <w:rFonts w:ascii="Times New Roman" w:hAnsi="Times New Roman" w:cs="Times New Roman"/>
          <w:sz w:val="24"/>
          <w:szCs w:val="24"/>
        </w:rPr>
        <w:tab/>
        <w:t xml:space="preserve">From the foregoing the plaintiff has managed to prove its </w:t>
      </w:r>
      <w:r w:rsidR="005C6438" w:rsidRPr="009E448B">
        <w:rPr>
          <w:rFonts w:ascii="Times New Roman" w:hAnsi="Times New Roman" w:cs="Times New Roman"/>
          <w:sz w:val="24"/>
          <w:szCs w:val="24"/>
        </w:rPr>
        <w:t>case. It is ordered that,</w:t>
      </w:r>
    </w:p>
    <w:p w:rsidR="0031664A" w:rsidRPr="009E448B" w:rsidRDefault="00274145" w:rsidP="00E86263">
      <w:pPr>
        <w:pStyle w:val="ListParagraph"/>
        <w:numPr>
          <w:ilvl w:val="0"/>
          <w:numId w:val="7"/>
        </w:numPr>
        <w:spacing w:after="0" w:line="360" w:lineRule="auto"/>
        <w:jc w:val="both"/>
        <w:rPr>
          <w:rFonts w:ascii="Times New Roman" w:hAnsi="Times New Roman" w:cs="Times New Roman"/>
          <w:sz w:val="24"/>
          <w:szCs w:val="24"/>
        </w:rPr>
      </w:pPr>
      <w:r w:rsidRPr="009E448B">
        <w:rPr>
          <w:rFonts w:ascii="Times New Roman" w:hAnsi="Times New Roman" w:cs="Times New Roman"/>
          <w:sz w:val="24"/>
          <w:szCs w:val="24"/>
        </w:rPr>
        <w:t>T</w:t>
      </w:r>
      <w:r w:rsidR="0031664A" w:rsidRPr="009E448B">
        <w:rPr>
          <w:rFonts w:ascii="Times New Roman" w:hAnsi="Times New Roman" w:cs="Times New Roman"/>
          <w:sz w:val="24"/>
          <w:szCs w:val="24"/>
        </w:rPr>
        <w:t>he plaintiff’s claim is granted</w:t>
      </w:r>
      <w:r w:rsidRPr="009E448B">
        <w:rPr>
          <w:rFonts w:ascii="Times New Roman" w:hAnsi="Times New Roman" w:cs="Times New Roman"/>
          <w:sz w:val="24"/>
          <w:szCs w:val="24"/>
        </w:rPr>
        <w:t xml:space="preserve"> with costs.</w:t>
      </w:r>
    </w:p>
    <w:p w:rsidR="0031664A" w:rsidRPr="00E86263" w:rsidRDefault="005C6438" w:rsidP="00E86263">
      <w:pPr>
        <w:pStyle w:val="ListParagraph"/>
        <w:numPr>
          <w:ilvl w:val="0"/>
          <w:numId w:val="7"/>
        </w:numPr>
        <w:spacing w:after="0" w:line="360" w:lineRule="auto"/>
        <w:jc w:val="both"/>
        <w:rPr>
          <w:rFonts w:ascii="Times New Roman" w:hAnsi="Times New Roman" w:cs="Times New Roman"/>
          <w:sz w:val="24"/>
          <w:szCs w:val="24"/>
        </w:rPr>
      </w:pPr>
      <w:r w:rsidRPr="00E86263">
        <w:rPr>
          <w:rFonts w:ascii="Times New Roman" w:hAnsi="Times New Roman" w:cs="Times New Roman"/>
          <w:sz w:val="24"/>
          <w:szCs w:val="24"/>
        </w:rPr>
        <w:t>The</w:t>
      </w:r>
      <w:r w:rsidR="00274145" w:rsidRPr="00E86263">
        <w:rPr>
          <w:rFonts w:ascii="Times New Roman" w:hAnsi="Times New Roman" w:cs="Times New Roman"/>
          <w:sz w:val="24"/>
          <w:szCs w:val="24"/>
        </w:rPr>
        <w:t xml:space="preserve"> defendant is ordered to pay </w:t>
      </w:r>
      <w:r w:rsidR="0031664A" w:rsidRPr="00E86263">
        <w:rPr>
          <w:rFonts w:ascii="Times New Roman" w:hAnsi="Times New Roman" w:cs="Times New Roman"/>
          <w:sz w:val="24"/>
          <w:szCs w:val="24"/>
        </w:rPr>
        <w:t>the sum of $60 026.00 with interest at the prescribed rate calculated from the date of summons to the date of payment in full.</w:t>
      </w:r>
    </w:p>
    <w:p w:rsidR="001A70B2" w:rsidRDefault="001A70B2" w:rsidP="001A70B2">
      <w:pPr>
        <w:pStyle w:val="ListParagraph"/>
        <w:spacing w:after="0" w:line="360" w:lineRule="auto"/>
        <w:ind w:left="0"/>
        <w:jc w:val="both"/>
        <w:rPr>
          <w:rFonts w:ascii="Times New Roman" w:hAnsi="Times New Roman" w:cs="Times New Roman"/>
          <w:sz w:val="24"/>
          <w:szCs w:val="24"/>
        </w:rPr>
      </w:pPr>
    </w:p>
    <w:p w:rsidR="001A70B2" w:rsidRDefault="001A70B2" w:rsidP="001A70B2">
      <w:pPr>
        <w:pStyle w:val="ListParagraph"/>
        <w:spacing w:after="0" w:line="360" w:lineRule="auto"/>
        <w:ind w:left="0"/>
        <w:jc w:val="both"/>
        <w:rPr>
          <w:rFonts w:ascii="Times New Roman" w:hAnsi="Times New Roman" w:cs="Times New Roman"/>
          <w:sz w:val="24"/>
          <w:szCs w:val="24"/>
        </w:rPr>
      </w:pPr>
    </w:p>
    <w:p w:rsidR="001A70B2" w:rsidRDefault="001A70B2" w:rsidP="001A70B2">
      <w:pPr>
        <w:pStyle w:val="ListParagraph"/>
        <w:spacing w:after="0" w:line="360" w:lineRule="auto"/>
        <w:ind w:left="0"/>
        <w:jc w:val="both"/>
        <w:rPr>
          <w:rFonts w:ascii="Times New Roman" w:hAnsi="Times New Roman" w:cs="Times New Roman"/>
          <w:sz w:val="24"/>
          <w:szCs w:val="24"/>
        </w:rPr>
      </w:pPr>
    </w:p>
    <w:p w:rsidR="001A70B2" w:rsidRDefault="001A70B2" w:rsidP="001A70B2">
      <w:pPr>
        <w:pStyle w:val="ListParagraph"/>
        <w:spacing w:after="0" w:line="240" w:lineRule="auto"/>
        <w:ind w:left="0"/>
        <w:jc w:val="both"/>
        <w:rPr>
          <w:rFonts w:ascii="Times New Roman" w:hAnsi="Times New Roman" w:cs="Times New Roman"/>
          <w:sz w:val="24"/>
          <w:szCs w:val="24"/>
        </w:rPr>
      </w:pPr>
    </w:p>
    <w:p w:rsidR="001A70B2" w:rsidRDefault="001A70B2" w:rsidP="001A70B2">
      <w:pPr>
        <w:pStyle w:val="ListParagraph"/>
        <w:spacing w:after="0" w:line="240" w:lineRule="auto"/>
        <w:ind w:left="0"/>
        <w:jc w:val="both"/>
        <w:rPr>
          <w:rFonts w:ascii="Times New Roman" w:hAnsi="Times New Roman" w:cs="Times New Roman"/>
          <w:sz w:val="24"/>
          <w:szCs w:val="24"/>
        </w:rPr>
      </w:pPr>
      <w:r w:rsidRPr="001A70B2">
        <w:rPr>
          <w:rFonts w:ascii="Times New Roman" w:hAnsi="Times New Roman" w:cs="Times New Roman"/>
          <w:i/>
          <w:sz w:val="24"/>
          <w:szCs w:val="24"/>
        </w:rPr>
        <w:t>Kwenda and Chagwiza</w:t>
      </w:r>
      <w:r>
        <w:rPr>
          <w:rFonts w:ascii="Times New Roman" w:hAnsi="Times New Roman" w:cs="Times New Roman"/>
          <w:sz w:val="24"/>
          <w:szCs w:val="24"/>
        </w:rPr>
        <w:t>, plaintiff’s legal practitioners</w:t>
      </w:r>
    </w:p>
    <w:p w:rsidR="001A70B2" w:rsidRPr="009E448B" w:rsidRDefault="001A70B2" w:rsidP="001A70B2">
      <w:pPr>
        <w:pStyle w:val="ListParagraph"/>
        <w:spacing w:after="0" w:line="240" w:lineRule="auto"/>
        <w:ind w:left="0"/>
        <w:jc w:val="both"/>
        <w:rPr>
          <w:rFonts w:ascii="Times New Roman" w:hAnsi="Times New Roman" w:cs="Times New Roman"/>
          <w:sz w:val="24"/>
          <w:szCs w:val="24"/>
        </w:rPr>
      </w:pPr>
      <w:r w:rsidRPr="001A70B2">
        <w:rPr>
          <w:rFonts w:ascii="Times New Roman" w:hAnsi="Times New Roman" w:cs="Times New Roman"/>
          <w:i/>
          <w:sz w:val="24"/>
          <w:szCs w:val="24"/>
        </w:rPr>
        <w:t>Mazani and Associates</w:t>
      </w:r>
      <w:r>
        <w:rPr>
          <w:rFonts w:ascii="Times New Roman" w:hAnsi="Times New Roman" w:cs="Times New Roman"/>
          <w:sz w:val="24"/>
          <w:szCs w:val="24"/>
        </w:rPr>
        <w:t xml:space="preserve">, defendant’s legal practitioners </w:t>
      </w:r>
    </w:p>
    <w:p w:rsidR="00E01A2A" w:rsidRPr="009E448B" w:rsidRDefault="00E01A2A" w:rsidP="00E01A2A">
      <w:pPr>
        <w:pStyle w:val="ListParagraph"/>
        <w:spacing w:after="0" w:line="360" w:lineRule="auto"/>
        <w:ind w:left="0"/>
        <w:jc w:val="both"/>
        <w:rPr>
          <w:rFonts w:ascii="Times New Roman" w:hAnsi="Times New Roman" w:cs="Times New Roman"/>
          <w:sz w:val="24"/>
          <w:szCs w:val="24"/>
        </w:rPr>
      </w:pPr>
    </w:p>
    <w:sectPr w:rsidR="00E01A2A" w:rsidRPr="009E448B" w:rsidSect="0060585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C3E" w:rsidRDefault="000F5C3E" w:rsidP="003B30A0">
      <w:pPr>
        <w:spacing w:after="0" w:line="240" w:lineRule="auto"/>
      </w:pPr>
      <w:r>
        <w:separator/>
      </w:r>
    </w:p>
  </w:endnote>
  <w:endnote w:type="continuationSeparator" w:id="0">
    <w:p w:rsidR="000F5C3E" w:rsidRDefault="000F5C3E" w:rsidP="003B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C3E" w:rsidRDefault="000F5C3E" w:rsidP="003B30A0">
      <w:pPr>
        <w:spacing w:after="0" w:line="240" w:lineRule="auto"/>
      </w:pPr>
      <w:r>
        <w:separator/>
      </w:r>
    </w:p>
  </w:footnote>
  <w:footnote w:type="continuationSeparator" w:id="0">
    <w:p w:rsidR="000F5C3E" w:rsidRDefault="000F5C3E" w:rsidP="003B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540597"/>
      <w:docPartObj>
        <w:docPartGallery w:val="Page Numbers (Top of Page)"/>
        <w:docPartUnique/>
      </w:docPartObj>
    </w:sdtPr>
    <w:sdtEndPr>
      <w:rPr>
        <w:noProof/>
      </w:rPr>
    </w:sdtEndPr>
    <w:sdtContent>
      <w:p w:rsidR="003B30A0" w:rsidRDefault="00230AE2">
        <w:pPr>
          <w:pStyle w:val="Header"/>
          <w:jc w:val="right"/>
          <w:rPr>
            <w:noProof/>
          </w:rPr>
        </w:pPr>
        <w:r>
          <w:fldChar w:fldCharType="begin"/>
        </w:r>
        <w:r w:rsidR="003B30A0">
          <w:instrText xml:space="preserve"> PAGE   \* MERGEFORMAT </w:instrText>
        </w:r>
        <w:r>
          <w:fldChar w:fldCharType="separate"/>
        </w:r>
        <w:r w:rsidR="00B34B3B">
          <w:rPr>
            <w:noProof/>
          </w:rPr>
          <w:t>1</w:t>
        </w:r>
        <w:r>
          <w:rPr>
            <w:noProof/>
          </w:rPr>
          <w:fldChar w:fldCharType="end"/>
        </w:r>
      </w:p>
      <w:p w:rsidR="003B30A0" w:rsidRDefault="003B30A0">
        <w:pPr>
          <w:pStyle w:val="Header"/>
          <w:jc w:val="right"/>
          <w:rPr>
            <w:noProof/>
          </w:rPr>
        </w:pPr>
        <w:r>
          <w:rPr>
            <w:noProof/>
          </w:rPr>
          <w:t>HH</w:t>
        </w:r>
        <w:r w:rsidR="00532D4C">
          <w:rPr>
            <w:noProof/>
          </w:rPr>
          <w:t xml:space="preserve"> </w:t>
        </w:r>
        <w:r w:rsidR="00FC5A41">
          <w:rPr>
            <w:noProof/>
          </w:rPr>
          <w:t>820-18</w:t>
        </w:r>
      </w:p>
      <w:p w:rsidR="003B30A0" w:rsidRDefault="003B30A0">
        <w:pPr>
          <w:pStyle w:val="Header"/>
          <w:jc w:val="right"/>
        </w:pPr>
        <w:r>
          <w:rPr>
            <w:noProof/>
          </w:rPr>
          <w:t xml:space="preserve">HC </w:t>
        </w:r>
        <w:r w:rsidR="004434F2">
          <w:rPr>
            <w:noProof/>
          </w:rPr>
          <w:t>923/18</w:t>
        </w:r>
      </w:p>
    </w:sdtContent>
  </w:sdt>
  <w:p w:rsidR="003B30A0" w:rsidRDefault="003B30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2B29"/>
    <w:multiLevelType w:val="hybridMultilevel"/>
    <w:tmpl w:val="24A6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D60C0"/>
    <w:multiLevelType w:val="hybridMultilevel"/>
    <w:tmpl w:val="DA70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02F05"/>
    <w:multiLevelType w:val="hybridMultilevel"/>
    <w:tmpl w:val="3F48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C6C79"/>
    <w:multiLevelType w:val="hybridMultilevel"/>
    <w:tmpl w:val="9C84F11E"/>
    <w:lvl w:ilvl="0" w:tplc="F4E0B4F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0A562F"/>
    <w:multiLevelType w:val="hybridMultilevel"/>
    <w:tmpl w:val="3F98FD3A"/>
    <w:lvl w:ilvl="0" w:tplc="8D6267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A790E50"/>
    <w:multiLevelType w:val="hybridMultilevel"/>
    <w:tmpl w:val="732E35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936548A"/>
    <w:multiLevelType w:val="hybridMultilevel"/>
    <w:tmpl w:val="E3AAA9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5C"/>
    <w:rsid w:val="00017502"/>
    <w:rsid w:val="0003015E"/>
    <w:rsid w:val="000343A2"/>
    <w:rsid w:val="0004765D"/>
    <w:rsid w:val="00064820"/>
    <w:rsid w:val="000710C3"/>
    <w:rsid w:val="000B104D"/>
    <w:rsid w:val="000F5C3E"/>
    <w:rsid w:val="00194188"/>
    <w:rsid w:val="001A70B2"/>
    <w:rsid w:val="001B2734"/>
    <w:rsid w:val="001C17BE"/>
    <w:rsid w:val="00230AE2"/>
    <w:rsid w:val="002355BF"/>
    <w:rsid w:val="00274145"/>
    <w:rsid w:val="002861E3"/>
    <w:rsid w:val="002A4C3E"/>
    <w:rsid w:val="002C46B7"/>
    <w:rsid w:val="002D2C0F"/>
    <w:rsid w:val="0031604A"/>
    <w:rsid w:val="0031664A"/>
    <w:rsid w:val="0032109B"/>
    <w:rsid w:val="00331733"/>
    <w:rsid w:val="003674C4"/>
    <w:rsid w:val="00375A04"/>
    <w:rsid w:val="003B30A0"/>
    <w:rsid w:val="00405CEC"/>
    <w:rsid w:val="00416D33"/>
    <w:rsid w:val="004234E2"/>
    <w:rsid w:val="00426D31"/>
    <w:rsid w:val="00435DAD"/>
    <w:rsid w:val="004434F2"/>
    <w:rsid w:val="00451CF4"/>
    <w:rsid w:val="00464738"/>
    <w:rsid w:val="00503149"/>
    <w:rsid w:val="0052344E"/>
    <w:rsid w:val="00532D4C"/>
    <w:rsid w:val="0055164F"/>
    <w:rsid w:val="005721B6"/>
    <w:rsid w:val="005735A5"/>
    <w:rsid w:val="005740CD"/>
    <w:rsid w:val="005C6438"/>
    <w:rsid w:val="005E61E8"/>
    <w:rsid w:val="005F0625"/>
    <w:rsid w:val="00605856"/>
    <w:rsid w:val="0063489A"/>
    <w:rsid w:val="00651311"/>
    <w:rsid w:val="00692101"/>
    <w:rsid w:val="006A685F"/>
    <w:rsid w:val="006B1FBA"/>
    <w:rsid w:val="006D66C8"/>
    <w:rsid w:val="006D7A24"/>
    <w:rsid w:val="007276D9"/>
    <w:rsid w:val="007348E6"/>
    <w:rsid w:val="00755707"/>
    <w:rsid w:val="007A4290"/>
    <w:rsid w:val="007B3D21"/>
    <w:rsid w:val="007B6395"/>
    <w:rsid w:val="007D74E7"/>
    <w:rsid w:val="007D7EE9"/>
    <w:rsid w:val="008064B2"/>
    <w:rsid w:val="00817D9D"/>
    <w:rsid w:val="0087702B"/>
    <w:rsid w:val="008951CA"/>
    <w:rsid w:val="008B50DB"/>
    <w:rsid w:val="008C16A1"/>
    <w:rsid w:val="008D0BAB"/>
    <w:rsid w:val="008E61D6"/>
    <w:rsid w:val="0097152E"/>
    <w:rsid w:val="00974CCB"/>
    <w:rsid w:val="009B5E15"/>
    <w:rsid w:val="009D65B9"/>
    <w:rsid w:val="009D704F"/>
    <w:rsid w:val="009E0857"/>
    <w:rsid w:val="009E448B"/>
    <w:rsid w:val="009F78CA"/>
    <w:rsid w:val="00A579C5"/>
    <w:rsid w:val="00A705F6"/>
    <w:rsid w:val="00A90872"/>
    <w:rsid w:val="00A9554D"/>
    <w:rsid w:val="00AD2528"/>
    <w:rsid w:val="00AD7BF4"/>
    <w:rsid w:val="00AE3506"/>
    <w:rsid w:val="00AE3545"/>
    <w:rsid w:val="00AF5651"/>
    <w:rsid w:val="00B34B3B"/>
    <w:rsid w:val="00B510F3"/>
    <w:rsid w:val="00B67999"/>
    <w:rsid w:val="00B8675B"/>
    <w:rsid w:val="00BE32AC"/>
    <w:rsid w:val="00C02360"/>
    <w:rsid w:val="00C8202B"/>
    <w:rsid w:val="00C86F92"/>
    <w:rsid w:val="00CF0EF7"/>
    <w:rsid w:val="00D3201B"/>
    <w:rsid w:val="00D739DF"/>
    <w:rsid w:val="00D81B77"/>
    <w:rsid w:val="00D90465"/>
    <w:rsid w:val="00DA1C22"/>
    <w:rsid w:val="00DA2E08"/>
    <w:rsid w:val="00DD2C76"/>
    <w:rsid w:val="00DE01B6"/>
    <w:rsid w:val="00DF17AC"/>
    <w:rsid w:val="00E01A2A"/>
    <w:rsid w:val="00E256D7"/>
    <w:rsid w:val="00E72B45"/>
    <w:rsid w:val="00E77F1B"/>
    <w:rsid w:val="00E86263"/>
    <w:rsid w:val="00E9515C"/>
    <w:rsid w:val="00EE6632"/>
    <w:rsid w:val="00F03857"/>
    <w:rsid w:val="00F37C51"/>
    <w:rsid w:val="00F82D4E"/>
    <w:rsid w:val="00F96D20"/>
    <w:rsid w:val="00FC5A41"/>
    <w:rsid w:val="00FE4F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3BCBD-EBDB-42EC-B5FC-7B520B00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20"/>
    <w:pPr>
      <w:ind w:left="720"/>
      <w:contextualSpacing/>
    </w:pPr>
  </w:style>
  <w:style w:type="paragraph" w:styleId="Header">
    <w:name w:val="header"/>
    <w:basedOn w:val="Normal"/>
    <w:link w:val="HeaderChar"/>
    <w:uiPriority w:val="99"/>
    <w:unhideWhenUsed/>
    <w:rsid w:val="003B3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0A0"/>
  </w:style>
  <w:style w:type="paragraph" w:styleId="Footer">
    <w:name w:val="footer"/>
    <w:basedOn w:val="Normal"/>
    <w:link w:val="FooterChar"/>
    <w:uiPriority w:val="99"/>
    <w:unhideWhenUsed/>
    <w:rsid w:val="003B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0A0"/>
  </w:style>
  <w:style w:type="paragraph" w:styleId="BalloonText">
    <w:name w:val="Balloon Text"/>
    <w:basedOn w:val="Normal"/>
    <w:link w:val="BalloonTextChar"/>
    <w:uiPriority w:val="99"/>
    <w:semiHidden/>
    <w:unhideWhenUsed/>
    <w:rsid w:val="007B6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2018-12-13T20:32:00Z</cp:lastPrinted>
  <dcterms:created xsi:type="dcterms:W3CDTF">2019-01-04T13:37:00Z</dcterms:created>
  <dcterms:modified xsi:type="dcterms:W3CDTF">2019-01-04T13:37:00Z</dcterms:modified>
</cp:coreProperties>
</file>