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A5A0D" w14:textId="468E7000" w:rsidR="00583D93" w:rsidRPr="0038001F" w:rsidRDefault="00123110" w:rsidP="00123110">
      <w:pPr>
        <w:rPr>
          <w:rFonts w:ascii="Times New Roman" w:hAnsi="Times New Roman" w:cs="Times New Roman"/>
          <w:b/>
          <w:sz w:val="24"/>
          <w:szCs w:val="24"/>
        </w:rPr>
      </w:pPr>
      <w:r w:rsidRPr="0038001F">
        <w:rPr>
          <w:rFonts w:ascii="Times New Roman" w:hAnsi="Times New Roman" w:cs="Times New Roman"/>
          <w:b/>
          <w:sz w:val="24"/>
          <w:szCs w:val="24"/>
          <w:u w:val="single"/>
        </w:rPr>
        <w:t>REPORTABLE</w:t>
      </w:r>
      <w:r w:rsidRPr="0038001F">
        <w:rPr>
          <w:rFonts w:ascii="Times New Roman" w:hAnsi="Times New Roman" w:cs="Times New Roman"/>
          <w:b/>
          <w:sz w:val="24"/>
          <w:szCs w:val="24"/>
        </w:rPr>
        <w:tab/>
        <w:t>(</w:t>
      </w:r>
      <w:r w:rsidR="00A87D22">
        <w:rPr>
          <w:rFonts w:ascii="Times New Roman" w:hAnsi="Times New Roman" w:cs="Times New Roman"/>
          <w:b/>
          <w:sz w:val="24"/>
          <w:szCs w:val="24"/>
        </w:rPr>
        <w:t>23</w:t>
      </w:r>
      <w:r w:rsidRPr="0038001F">
        <w:rPr>
          <w:rFonts w:ascii="Times New Roman" w:hAnsi="Times New Roman" w:cs="Times New Roman"/>
          <w:b/>
          <w:sz w:val="24"/>
          <w:szCs w:val="24"/>
        </w:rPr>
        <w:t>)</w:t>
      </w:r>
    </w:p>
    <w:p w14:paraId="437D6A2E" w14:textId="77777777" w:rsidR="00583D93" w:rsidRPr="0038001F" w:rsidRDefault="00583D93" w:rsidP="00A87D22">
      <w:pPr>
        <w:tabs>
          <w:tab w:val="left" w:pos="567"/>
        </w:tabs>
        <w:spacing w:after="0" w:line="240" w:lineRule="auto"/>
        <w:jc w:val="center"/>
        <w:rPr>
          <w:rFonts w:ascii="Times New Roman" w:hAnsi="Times New Roman" w:cs="Times New Roman"/>
          <w:b/>
          <w:sz w:val="24"/>
          <w:szCs w:val="24"/>
        </w:rPr>
      </w:pPr>
    </w:p>
    <w:p w14:paraId="3D5F4F29" w14:textId="591A59E3" w:rsidR="00916ADC" w:rsidRPr="0038001F" w:rsidRDefault="0038001F" w:rsidP="00D836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MIKE     </w:t>
      </w:r>
      <w:r w:rsidR="007F7835" w:rsidRPr="0038001F">
        <w:rPr>
          <w:rFonts w:ascii="Times New Roman" w:hAnsi="Times New Roman" w:cs="Times New Roman"/>
          <w:b/>
          <w:sz w:val="24"/>
          <w:szCs w:val="24"/>
        </w:rPr>
        <w:t xml:space="preserve">MATANGA </w:t>
      </w:r>
    </w:p>
    <w:p w14:paraId="0C6CB9AE" w14:textId="57385200" w:rsidR="007F7835" w:rsidRPr="0038001F" w:rsidRDefault="00123110" w:rsidP="00D83608">
      <w:pPr>
        <w:spacing w:after="0" w:line="240" w:lineRule="auto"/>
        <w:jc w:val="center"/>
        <w:rPr>
          <w:rFonts w:ascii="Times New Roman" w:hAnsi="Times New Roman" w:cs="Times New Roman"/>
          <w:b/>
          <w:sz w:val="24"/>
          <w:szCs w:val="24"/>
        </w:rPr>
      </w:pPr>
      <w:r w:rsidRPr="0038001F">
        <w:rPr>
          <w:rFonts w:ascii="Times New Roman" w:hAnsi="Times New Roman" w:cs="Times New Roman"/>
          <w:b/>
          <w:sz w:val="24"/>
          <w:szCs w:val="24"/>
        </w:rPr>
        <w:t>v</w:t>
      </w:r>
      <w:r w:rsidR="007F7835" w:rsidRPr="0038001F">
        <w:rPr>
          <w:rFonts w:ascii="Times New Roman" w:hAnsi="Times New Roman" w:cs="Times New Roman"/>
          <w:b/>
          <w:sz w:val="24"/>
          <w:szCs w:val="24"/>
        </w:rPr>
        <w:t xml:space="preserve"> </w:t>
      </w:r>
    </w:p>
    <w:p w14:paraId="74AD3A4B" w14:textId="1745C475" w:rsidR="00583D93" w:rsidRPr="0038001F" w:rsidRDefault="007F7835" w:rsidP="00D83608">
      <w:pPr>
        <w:spacing w:after="0" w:line="240" w:lineRule="auto"/>
        <w:jc w:val="center"/>
        <w:rPr>
          <w:rFonts w:ascii="Times New Roman" w:hAnsi="Times New Roman" w:cs="Times New Roman"/>
          <w:b/>
          <w:sz w:val="24"/>
          <w:szCs w:val="24"/>
        </w:rPr>
      </w:pPr>
      <w:r w:rsidRPr="0038001F">
        <w:rPr>
          <w:rFonts w:ascii="Times New Roman" w:hAnsi="Times New Roman" w:cs="Times New Roman"/>
          <w:b/>
          <w:sz w:val="24"/>
          <w:szCs w:val="24"/>
        </w:rPr>
        <w:t xml:space="preserve">THE </w:t>
      </w:r>
      <w:r w:rsidR="00123110" w:rsidRPr="0038001F">
        <w:rPr>
          <w:rFonts w:ascii="Times New Roman" w:hAnsi="Times New Roman" w:cs="Times New Roman"/>
          <w:b/>
          <w:sz w:val="24"/>
          <w:szCs w:val="24"/>
        </w:rPr>
        <w:t xml:space="preserve">    </w:t>
      </w:r>
      <w:r w:rsidRPr="0038001F">
        <w:rPr>
          <w:rFonts w:ascii="Times New Roman" w:hAnsi="Times New Roman" w:cs="Times New Roman"/>
          <w:b/>
          <w:sz w:val="24"/>
          <w:szCs w:val="24"/>
        </w:rPr>
        <w:t>STATE</w:t>
      </w:r>
    </w:p>
    <w:p w14:paraId="47729782" w14:textId="77777777" w:rsidR="00123110" w:rsidRPr="0038001F" w:rsidRDefault="00123110" w:rsidP="00CC483B">
      <w:pPr>
        <w:spacing w:line="480" w:lineRule="auto"/>
        <w:rPr>
          <w:rFonts w:ascii="Times New Roman" w:hAnsi="Times New Roman" w:cs="Times New Roman"/>
          <w:b/>
          <w:sz w:val="24"/>
          <w:szCs w:val="24"/>
        </w:rPr>
      </w:pPr>
    </w:p>
    <w:p w14:paraId="34A24423" w14:textId="77777777" w:rsidR="007F7835" w:rsidRPr="0038001F" w:rsidRDefault="007F7835" w:rsidP="0038001F">
      <w:pPr>
        <w:spacing w:after="0" w:line="240" w:lineRule="auto"/>
        <w:rPr>
          <w:rFonts w:ascii="Times New Roman" w:hAnsi="Times New Roman" w:cs="Times New Roman"/>
          <w:b/>
          <w:sz w:val="24"/>
          <w:szCs w:val="24"/>
        </w:rPr>
      </w:pPr>
      <w:r w:rsidRPr="0038001F">
        <w:rPr>
          <w:rFonts w:ascii="Times New Roman" w:hAnsi="Times New Roman" w:cs="Times New Roman"/>
          <w:b/>
          <w:sz w:val="24"/>
          <w:szCs w:val="24"/>
        </w:rPr>
        <w:t>SUPREME COURT OF ZIMBABWE</w:t>
      </w:r>
    </w:p>
    <w:p w14:paraId="501CB3FA" w14:textId="77777777" w:rsidR="007F7835" w:rsidRPr="0038001F" w:rsidRDefault="007F7835" w:rsidP="0038001F">
      <w:pPr>
        <w:spacing w:after="0" w:line="240" w:lineRule="auto"/>
        <w:rPr>
          <w:rFonts w:ascii="Times New Roman" w:hAnsi="Times New Roman" w:cs="Times New Roman"/>
          <w:b/>
          <w:sz w:val="24"/>
          <w:szCs w:val="24"/>
        </w:rPr>
      </w:pPr>
      <w:r w:rsidRPr="0038001F">
        <w:rPr>
          <w:rFonts w:ascii="Times New Roman" w:hAnsi="Times New Roman" w:cs="Times New Roman"/>
          <w:b/>
          <w:sz w:val="24"/>
          <w:szCs w:val="24"/>
        </w:rPr>
        <w:t>GWAUNZA DCJ, MAKONI JA &amp; MWAYERA JA</w:t>
      </w:r>
    </w:p>
    <w:p w14:paraId="78315FAC" w14:textId="27469468" w:rsidR="007F7835" w:rsidRDefault="007F7835" w:rsidP="0038001F">
      <w:pPr>
        <w:spacing w:after="0" w:line="240" w:lineRule="auto"/>
        <w:rPr>
          <w:rFonts w:ascii="Times New Roman" w:hAnsi="Times New Roman" w:cs="Times New Roman"/>
          <w:b/>
          <w:sz w:val="24"/>
          <w:szCs w:val="24"/>
        </w:rPr>
      </w:pPr>
      <w:r w:rsidRPr="0038001F">
        <w:rPr>
          <w:rFonts w:ascii="Times New Roman" w:hAnsi="Times New Roman" w:cs="Times New Roman"/>
          <w:b/>
          <w:sz w:val="24"/>
          <w:szCs w:val="24"/>
        </w:rPr>
        <w:t xml:space="preserve">HARARE: 14 NOVEMBER 2024 </w:t>
      </w:r>
    </w:p>
    <w:p w14:paraId="6F4D904F" w14:textId="77777777" w:rsidR="0038001F" w:rsidRPr="0038001F" w:rsidRDefault="0038001F" w:rsidP="0038001F">
      <w:pPr>
        <w:spacing w:after="0" w:line="240" w:lineRule="auto"/>
        <w:rPr>
          <w:rFonts w:ascii="Times New Roman" w:hAnsi="Times New Roman" w:cs="Times New Roman"/>
          <w:b/>
          <w:sz w:val="24"/>
          <w:szCs w:val="24"/>
        </w:rPr>
      </w:pPr>
    </w:p>
    <w:p w14:paraId="07217486" w14:textId="77777777" w:rsidR="00123110" w:rsidRPr="0038001F" w:rsidRDefault="00123110" w:rsidP="0038001F">
      <w:pPr>
        <w:spacing w:after="0" w:line="360" w:lineRule="auto"/>
        <w:rPr>
          <w:rFonts w:ascii="Times New Roman" w:hAnsi="Times New Roman" w:cs="Times New Roman"/>
          <w:b/>
          <w:sz w:val="24"/>
          <w:szCs w:val="24"/>
        </w:rPr>
      </w:pPr>
    </w:p>
    <w:p w14:paraId="6DCF67F0" w14:textId="7EA9EC96" w:rsidR="007F7835" w:rsidRPr="0038001F" w:rsidRDefault="0038001F" w:rsidP="0038001F">
      <w:pPr>
        <w:spacing w:after="0" w:line="480" w:lineRule="auto"/>
        <w:rPr>
          <w:rFonts w:ascii="Times New Roman" w:hAnsi="Times New Roman" w:cs="Times New Roman"/>
          <w:sz w:val="24"/>
          <w:szCs w:val="24"/>
        </w:rPr>
      </w:pPr>
      <w:r>
        <w:rPr>
          <w:rFonts w:ascii="Times New Roman" w:hAnsi="Times New Roman" w:cs="Times New Roman"/>
          <w:sz w:val="24"/>
          <w:szCs w:val="24"/>
        </w:rPr>
        <w:t>The a</w:t>
      </w:r>
      <w:r w:rsidR="007F7835" w:rsidRPr="0038001F">
        <w:rPr>
          <w:rFonts w:ascii="Times New Roman" w:hAnsi="Times New Roman" w:cs="Times New Roman"/>
          <w:sz w:val="24"/>
          <w:szCs w:val="24"/>
        </w:rPr>
        <w:t>ppellant in person</w:t>
      </w:r>
    </w:p>
    <w:p w14:paraId="48D35F78" w14:textId="7C290583" w:rsidR="007F7835" w:rsidRDefault="007F7835" w:rsidP="0038001F">
      <w:pPr>
        <w:spacing w:after="0" w:line="480" w:lineRule="auto"/>
        <w:rPr>
          <w:rFonts w:ascii="Times New Roman" w:hAnsi="Times New Roman" w:cs="Times New Roman"/>
          <w:sz w:val="24"/>
          <w:szCs w:val="24"/>
        </w:rPr>
      </w:pPr>
      <w:proofErr w:type="spellStart"/>
      <w:r w:rsidRPr="0038001F">
        <w:rPr>
          <w:rFonts w:ascii="Times New Roman" w:hAnsi="Times New Roman" w:cs="Times New Roman"/>
          <w:iCs/>
          <w:sz w:val="24"/>
          <w:szCs w:val="24"/>
        </w:rPr>
        <w:t>Ms</w:t>
      </w:r>
      <w:proofErr w:type="spellEnd"/>
      <w:r w:rsidRPr="0038001F">
        <w:rPr>
          <w:rFonts w:ascii="Times New Roman" w:hAnsi="Times New Roman" w:cs="Times New Roman"/>
          <w:i/>
          <w:sz w:val="24"/>
          <w:szCs w:val="24"/>
        </w:rPr>
        <w:t xml:space="preserve"> F</w:t>
      </w:r>
      <w:r w:rsidR="0038001F">
        <w:rPr>
          <w:rFonts w:ascii="Times New Roman" w:hAnsi="Times New Roman" w:cs="Times New Roman"/>
          <w:i/>
          <w:sz w:val="24"/>
          <w:szCs w:val="24"/>
        </w:rPr>
        <w:t>.</w:t>
      </w:r>
      <w:r w:rsidRPr="0038001F">
        <w:rPr>
          <w:rFonts w:ascii="Times New Roman" w:hAnsi="Times New Roman" w:cs="Times New Roman"/>
          <w:i/>
          <w:sz w:val="24"/>
          <w:szCs w:val="24"/>
        </w:rPr>
        <w:t xml:space="preserve"> Kachidza</w:t>
      </w:r>
      <w:r w:rsidRPr="0038001F">
        <w:rPr>
          <w:rFonts w:ascii="Times New Roman" w:hAnsi="Times New Roman" w:cs="Times New Roman"/>
          <w:sz w:val="24"/>
          <w:szCs w:val="24"/>
        </w:rPr>
        <w:t>, for the respondent</w:t>
      </w:r>
    </w:p>
    <w:p w14:paraId="79CB31B4" w14:textId="77777777" w:rsidR="0038001F" w:rsidRPr="0038001F" w:rsidRDefault="0038001F" w:rsidP="0038001F">
      <w:pPr>
        <w:spacing w:after="0" w:line="240" w:lineRule="auto"/>
        <w:rPr>
          <w:rFonts w:ascii="Times New Roman" w:hAnsi="Times New Roman" w:cs="Times New Roman"/>
          <w:sz w:val="24"/>
          <w:szCs w:val="24"/>
        </w:rPr>
      </w:pPr>
    </w:p>
    <w:p w14:paraId="23527FA8" w14:textId="77777777" w:rsidR="007F7835" w:rsidRPr="0038001F" w:rsidRDefault="007F7835" w:rsidP="00123110">
      <w:pPr>
        <w:spacing w:after="0" w:line="360" w:lineRule="auto"/>
        <w:rPr>
          <w:rFonts w:ascii="Times New Roman" w:hAnsi="Times New Roman" w:cs="Times New Roman"/>
          <w:b/>
          <w:sz w:val="24"/>
          <w:szCs w:val="24"/>
        </w:rPr>
      </w:pPr>
      <w:r w:rsidRPr="0038001F">
        <w:rPr>
          <w:rFonts w:ascii="Times New Roman" w:hAnsi="Times New Roman" w:cs="Times New Roman"/>
          <w:b/>
          <w:sz w:val="24"/>
          <w:szCs w:val="24"/>
        </w:rPr>
        <w:t>MAKONI JA:</w:t>
      </w:r>
    </w:p>
    <w:p w14:paraId="2EF80FCC" w14:textId="52FC0DF8" w:rsidR="007F7835" w:rsidRPr="0038001F" w:rsidRDefault="007F7835" w:rsidP="00CC483B">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This is an appeal against part of the judgment of the High Court of Zimbabwe</w:t>
      </w:r>
      <w:r w:rsidR="000B2627" w:rsidRPr="0038001F">
        <w:rPr>
          <w:rFonts w:ascii="Times New Roman" w:hAnsi="Times New Roman" w:cs="Times New Roman"/>
          <w:sz w:val="24"/>
          <w:szCs w:val="24"/>
        </w:rPr>
        <w:t xml:space="preserve"> (“the court </w:t>
      </w:r>
      <w:r w:rsidR="00CC483B">
        <w:rPr>
          <w:rFonts w:ascii="Times New Roman" w:hAnsi="Times New Roman" w:cs="Times New Roman"/>
          <w:sz w:val="24"/>
          <w:szCs w:val="24"/>
        </w:rPr>
        <w:t xml:space="preserve">                  </w:t>
      </w:r>
      <w:r w:rsidR="000B2627" w:rsidRPr="0038001F">
        <w:rPr>
          <w:rFonts w:ascii="Times New Roman" w:hAnsi="Times New Roman" w:cs="Times New Roman"/>
          <w:i/>
          <w:sz w:val="24"/>
          <w:szCs w:val="24"/>
        </w:rPr>
        <w:t>a quo</w:t>
      </w:r>
      <w:r w:rsidR="000B2627" w:rsidRPr="0038001F">
        <w:rPr>
          <w:rFonts w:ascii="Times New Roman" w:hAnsi="Times New Roman" w:cs="Times New Roman"/>
          <w:sz w:val="24"/>
          <w:szCs w:val="24"/>
        </w:rPr>
        <w:t xml:space="preserve">”), sitting at Harare, dated 14 May 2008. </w:t>
      </w:r>
      <w:r w:rsidR="00123110" w:rsidRPr="0038001F">
        <w:rPr>
          <w:rFonts w:ascii="Times New Roman" w:hAnsi="Times New Roman" w:cs="Times New Roman"/>
          <w:sz w:val="24"/>
          <w:szCs w:val="24"/>
        </w:rPr>
        <w:t xml:space="preserve"> </w:t>
      </w:r>
      <w:r w:rsidR="000B2627" w:rsidRPr="0038001F">
        <w:rPr>
          <w:rFonts w:ascii="Times New Roman" w:hAnsi="Times New Roman" w:cs="Times New Roman"/>
          <w:sz w:val="24"/>
          <w:szCs w:val="24"/>
        </w:rPr>
        <w:t xml:space="preserve">The part appealed against is the conviction of the appellant </w:t>
      </w:r>
      <w:r w:rsidR="005E08E8" w:rsidRPr="0038001F">
        <w:rPr>
          <w:rFonts w:ascii="Times New Roman" w:hAnsi="Times New Roman" w:cs="Times New Roman"/>
          <w:sz w:val="24"/>
          <w:szCs w:val="24"/>
        </w:rPr>
        <w:t xml:space="preserve">on a charge of murder </w:t>
      </w:r>
      <w:r w:rsidR="00E1074A">
        <w:rPr>
          <w:rFonts w:ascii="Times New Roman" w:hAnsi="Times New Roman" w:cs="Times New Roman"/>
          <w:sz w:val="24"/>
          <w:szCs w:val="24"/>
        </w:rPr>
        <w:t xml:space="preserve">by the court </w:t>
      </w:r>
      <w:r w:rsidR="000B2627" w:rsidRPr="0038001F">
        <w:rPr>
          <w:rFonts w:ascii="Times New Roman" w:hAnsi="Times New Roman" w:cs="Times New Roman"/>
          <w:i/>
          <w:sz w:val="24"/>
          <w:szCs w:val="24"/>
        </w:rPr>
        <w:t>a quo</w:t>
      </w:r>
      <w:r w:rsidR="00123110" w:rsidRPr="0038001F">
        <w:rPr>
          <w:rFonts w:ascii="Times New Roman" w:hAnsi="Times New Roman" w:cs="Times New Roman"/>
          <w:sz w:val="24"/>
          <w:szCs w:val="24"/>
        </w:rPr>
        <w:t xml:space="preserve">.  </w:t>
      </w:r>
      <w:r w:rsidR="000B2627" w:rsidRPr="0038001F">
        <w:rPr>
          <w:rFonts w:ascii="Times New Roman" w:hAnsi="Times New Roman" w:cs="Times New Roman"/>
          <w:sz w:val="24"/>
          <w:szCs w:val="24"/>
        </w:rPr>
        <w:t>After hearing submissions from counsel, we dismissed the appeal</w:t>
      </w:r>
      <w:r w:rsidR="00B71623" w:rsidRPr="0038001F">
        <w:rPr>
          <w:rFonts w:ascii="Times New Roman" w:hAnsi="Times New Roman" w:cs="Times New Roman"/>
          <w:sz w:val="24"/>
          <w:szCs w:val="24"/>
        </w:rPr>
        <w:t xml:space="preserve"> and indicated </w:t>
      </w:r>
      <w:r w:rsidR="00441DA9" w:rsidRPr="0038001F">
        <w:rPr>
          <w:rFonts w:ascii="Times New Roman" w:hAnsi="Times New Roman" w:cs="Times New Roman"/>
          <w:sz w:val="24"/>
          <w:szCs w:val="24"/>
        </w:rPr>
        <w:t>that reasons</w:t>
      </w:r>
      <w:r w:rsidR="00B71623" w:rsidRPr="0038001F">
        <w:rPr>
          <w:rFonts w:ascii="Times New Roman" w:hAnsi="Times New Roman" w:cs="Times New Roman"/>
          <w:sz w:val="24"/>
          <w:szCs w:val="24"/>
        </w:rPr>
        <w:t xml:space="preserve"> will be furnished in due course</w:t>
      </w:r>
      <w:r w:rsidR="00902414" w:rsidRPr="0038001F">
        <w:rPr>
          <w:rFonts w:ascii="Times New Roman" w:hAnsi="Times New Roman" w:cs="Times New Roman"/>
          <w:sz w:val="24"/>
          <w:szCs w:val="24"/>
        </w:rPr>
        <w:t>.</w:t>
      </w:r>
      <w:r w:rsidR="00123110" w:rsidRPr="0038001F">
        <w:rPr>
          <w:rFonts w:ascii="Times New Roman" w:hAnsi="Times New Roman" w:cs="Times New Roman"/>
          <w:sz w:val="24"/>
          <w:szCs w:val="24"/>
        </w:rPr>
        <w:t xml:space="preserve">  </w:t>
      </w:r>
      <w:r w:rsidR="000B2627" w:rsidRPr="0038001F">
        <w:rPr>
          <w:rFonts w:ascii="Times New Roman" w:hAnsi="Times New Roman" w:cs="Times New Roman"/>
          <w:sz w:val="24"/>
          <w:szCs w:val="24"/>
        </w:rPr>
        <w:t>These are they:</w:t>
      </w:r>
    </w:p>
    <w:p w14:paraId="27EA9329" w14:textId="77777777" w:rsidR="00954459" w:rsidRDefault="00954459" w:rsidP="00E1074A">
      <w:pPr>
        <w:spacing w:after="0" w:line="240" w:lineRule="auto"/>
        <w:jc w:val="both"/>
        <w:rPr>
          <w:rFonts w:ascii="Times New Roman" w:hAnsi="Times New Roman" w:cs="Times New Roman"/>
          <w:sz w:val="24"/>
          <w:szCs w:val="24"/>
        </w:rPr>
      </w:pPr>
    </w:p>
    <w:p w14:paraId="7D82CEAF" w14:textId="3E00C0C1" w:rsidR="00B75200" w:rsidRPr="0038001F" w:rsidRDefault="00583D93" w:rsidP="00271293">
      <w:pPr>
        <w:spacing w:line="36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t>FACTUAL BACKGROUND</w:t>
      </w:r>
    </w:p>
    <w:p w14:paraId="247BB300" w14:textId="602D27DA" w:rsidR="002E2E34" w:rsidRPr="0038001F" w:rsidRDefault="002E2E34" w:rsidP="00CC483B">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 xml:space="preserve">The </w:t>
      </w:r>
      <w:r w:rsidR="001F55FD">
        <w:rPr>
          <w:rFonts w:ascii="Times New Roman" w:hAnsi="Times New Roman" w:cs="Times New Roman"/>
          <w:sz w:val="24"/>
          <w:szCs w:val="24"/>
        </w:rPr>
        <w:t xml:space="preserve">appellant </w:t>
      </w:r>
      <w:r w:rsidRPr="0038001F">
        <w:rPr>
          <w:rFonts w:ascii="Times New Roman" w:hAnsi="Times New Roman" w:cs="Times New Roman"/>
          <w:sz w:val="24"/>
          <w:szCs w:val="24"/>
        </w:rPr>
        <w:t>was charged</w:t>
      </w:r>
      <w:r w:rsidR="00EA03D5" w:rsidRPr="0038001F">
        <w:rPr>
          <w:rFonts w:ascii="Times New Roman" w:hAnsi="Times New Roman" w:cs="Times New Roman"/>
          <w:sz w:val="24"/>
          <w:szCs w:val="24"/>
        </w:rPr>
        <w:t xml:space="preserve"> and convicted</w:t>
      </w:r>
      <w:r w:rsidRPr="0038001F">
        <w:rPr>
          <w:rFonts w:ascii="Times New Roman" w:hAnsi="Times New Roman" w:cs="Times New Roman"/>
          <w:sz w:val="24"/>
          <w:szCs w:val="24"/>
        </w:rPr>
        <w:t xml:space="preserve"> </w:t>
      </w:r>
      <w:r w:rsidR="00FA4BD2">
        <w:rPr>
          <w:rFonts w:ascii="Times New Roman" w:hAnsi="Times New Roman" w:cs="Times New Roman"/>
          <w:sz w:val="24"/>
          <w:szCs w:val="24"/>
        </w:rPr>
        <w:t xml:space="preserve">of </w:t>
      </w:r>
      <w:r w:rsidR="00CC483B">
        <w:rPr>
          <w:rFonts w:ascii="Times New Roman" w:hAnsi="Times New Roman" w:cs="Times New Roman"/>
          <w:sz w:val="24"/>
          <w:szCs w:val="24"/>
        </w:rPr>
        <w:t xml:space="preserve">the </w:t>
      </w:r>
      <w:r w:rsidR="00CC483B" w:rsidRPr="0038001F">
        <w:rPr>
          <w:rFonts w:ascii="Times New Roman" w:hAnsi="Times New Roman" w:cs="Times New Roman"/>
          <w:sz w:val="24"/>
          <w:szCs w:val="24"/>
        </w:rPr>
        <w:t>murder</w:t>
      </w:r>
      <w:r w:rsidRPr="0038001F">
        <w:rPr>
          <w:rFonts w:ascii="Times New Roman" w:hAnsi="Times New Roman" w:cs="Times New Roman"/>
          <w:sz w:val="24"/>
          <w:szCs w:val="24"/>
        </w:rPr>
        <w:t xml:space="preserve"> of one </w:t>
      </w:r>
      <w:r w:rsidRPr="0038001F">
        <w:rPr>
          <w:rFonts w:ascii="Times New Roman" w:hAnsi="Times New Roman" w:cs="Times New Roman"/>
          <w:iCs/>
          <w:sz w:val="24"/>
          <w:szCs w:val="24"/>
        </w:rPr>
        <w:t xml:space="preserve">Bernadette </w:t>
      </w:r>
      <w:proofErr w:type="spellStart"/>
      <w:r w:rsidRPr="0038001F">
        <w:rPr>
          <w:rFonts w:ascii="Times New Roman" w:hAnsi="Times New Roman" w:cs="Times New Roman"/>
          <w:iCs/>
          <w:sz w:val="24"/>
          <w:szCs w:val="24"/>
        </w:rPr>
        <w:t>Musiyarira</w:t>
      </w:r>
      <w:proofErr w:type="spellEnd"/>
      <w:r w:rsidR="0073591A">
        <w:rPr>
          <w:rFonts w:ascii="Times New Roman" w:hAnsi="Times New Roman" w:cs="Times New Roman"/>
          <w:iCs/>
          <w:sz w:val="24"/>
          <w:szCs w:val="24"/>
        </w:rPr>
        <w:t xml:space="preserve"> (the deceased)</w:t>
      </w:r>
      <w:r w:rsidRPr="0038001F">
        <w:rPr>
          <w:rFonts w:ascii="Times New Roman" w:hAnsi="Times New Roman" w:cs="Times New Roman"/>
          <w:iCs/>
          <w:sz w:val="24"/>
          <w:szCs w:val="24"/>
        </w:rPr>
        <w:t xml:space="preserve">, </w:t>
      </w:r>
      <w:r w:rsidRPr="0038001F">
        <w:rPr>
          <w:rFonts w:ascii="Times New Roman" w:hAnsi="Times New Roman" w:cs="Times New Roman"/>
          <w:sz w:val="24"/>
          <w:szCs w:val="24"/>
        </w:rPr>
        <w:t>it being alleged b</w:t>
      </w:r>
      <w:r w:rsidR="00CC483B">
        <w:rPr>
          <w:rFonts w:ascii="Times New Roman" w:hAnsi="Times New Roman" w:cs="Times New Roman"/>
          <w:sz w:val="24"/>
          <w:szCs w:val="24"/>
        </w:rPr>
        <w:t xml:space="preserve">y the State that on or about </w:t>
      </w:r>
      <w:r w:rsidR="00CC483B" w:rsidRPr="0038001F">
        <w:rPr>
          <w:rFonts w:ascii="Times New Roman" w:hAnsi="Times New Roman" w:cs="Times New Roman"/>
          <w:sz w:val="24"/>
          <w:szCs w:val="24"/>
        </w:rPr>
        <w:t>11</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or 12</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 xml:space="preserve">May 2005 and </w:t>
      </w:r>
      <w:r w:rsidR="00EA03D5" w:rsidRPr="0038001F">
        <w:rPr>
          <w:rFonts w:ascii="Times New Roman" w:hAnsi="Times New Roman" w:cs="Times New Roman"/>
          <w:sz w:val="24"/>
          <w:szCs w:val="24"/>
        </w:rPr>
        <w:t xml:space="preserve">at </w:t>
      </w:r>
      <w:r w:rsidR="00A71716">
        <w:rPr>
          <w:rFonts w:ascii="Times New Roman" w:hAnsi="Times New Roman" w:cs="Times New Roman"/>
          <w:sz w:val="24"/>
          <w:szCs w:val="24"/>
        </w:rPr>
        <w:t>H</w:t>
      </w:r>
      <w:r w:rsidR="00EA03D5" w:rsidRPr="0038001F">
        <w:rPr>
          <w:rFonts w:ascii="Times New Roman" w:hAnsi="Times New Roman" w:cs="Times New Roman"/>
          <w:sz w:val="24"/>
          <w:szCs w:val="24"/>
        </w:rPr>
        <w:t>ouse</w:t>
      </w:r>
      <w:r w:rsidRPr="0038001F">
        <w:rPr>
          <w:rFonts w:ascii="Times New Roman" w:hAnsi="Times New Roman" w:cs="Times New Roman"/>
          <w:sz w:val="24"/>
          <w:szCs w:val="24"/>
        </w:rPr>
        <w:t xml:space="preserve"> </w:t>
      </w:r>
      <w:r w:rsidR="00A71716">
        <w:rPr>
          <w:rFonts w:ascii="Times New Roman" w:hAnsi="Times New Roman" w:cs="Times New Roman"/>
          <w:sz w:val="24"/>
          <w:szCs w:val="24"/>
        </w:rPr>
        <w:t>N</w:t>
      </w:r>
      <w:r w:rsidRPr="0038001F">
        <w:rPr>
          <w:rFonts w:ascii="Times New Roman" w:hAnsi="Times New Roman" w:cs="Times New Roman"/>
          <w:sz w:val="24"/>
          <w:szCs w:val="24"/>
        </w:rPr>
        <w:t xml:space="preserve">umber 16 New Camp, Zimbabwe Republic Police, Highfields, Harare, the </w:t>
      </w:r>
      <w:r w:rsidR="001F55FD">
        <w:rPr>
          <w:rFonts w:ascii="Times New Roman" w:hAnsi="Times New Roman" w:cs="Times New Roman"/>
          <w:sz w:val="24"/>
          <w:szCs w:val="24"/>
        </w:rPr>
        <w:t xml:space="preserve">appellant </w:t>
      </w:r>
      <w:r w:rsidRPr="0038001F">
        <w:rPr>
          <w:rFonts w:ascii="Times New Roman" w:hAnsi="Times New Roman" w:cs="Times New Roman"/>
          <w:sz w:val="24"/>
          <w:szCs w:val="24"/>
        </w:rPr>
        <w:t xml:space="preserve">unlawfully and with intent to kill </w:t>
      </w:r>
      <w:r w:rsidR="0070738F">
        <w:rPr>
          <w:rFonts w:ascii="Times New Roman" w:hAnsi="Times New Roman" w:cs="Times New Roman"/>
          <w:sz w:val="24"/>
          <w:szCs w:val="24"/>
        </w:rPr>
        <w:t xml:space="preserve">struck </w:t>
      </w:r>
      <w:r w:rsidRPr="0038001F">
        <w:rPr>
          <w:rFonts w:ascii="Times New Roman" w:hAnsi="Times New Roman" w:cs="Times New Roman"/>
          <w:sz w:val="24"/>
          <w:szCs w:val="24"/>
        </w:rPr>
        <w:t xml:space="preserve">Bernadette </w:t>
      </w:r>
      <w:proofErr w:type="spellStart"/>
      <w:r w:rsidRPr="0038001F">
        <w:rPr>
          <w:rFonts w:ascii="Times New Roman" w:hAnsi="Times New Roman" w:cs="Times New Roman"/>
          <w:sz w:val="24"/>
          <w:szCs w:val="24"/>
        </w:rPr>
        <w:t>Musiyarira</w:t>
      </w:r>
      <w:proofErr w:type="spellEnd"/>
      <w:r w:rsidRPr="0038001F">
        <w:rPr>
          <w:rFonts w:ascii="Times New Roman" w:hAnsi="Times New Roman" w:cs="Times New Roman"/>
          <w:sz w:val="24"/>
          <w:szCs w:val="24"/>
        </w:rPr>
        <w:t xml:space="preserve"> once on the head with an iron bar, killing her instantly.</w:t>
      </w:r>
    </w:p>
    <w:p w14:paraId="2FC5FB68" w14:textId="77777777" w:rsidR="00883EE9" w:rsidRPr="0038001F" w:rsidRDefault="00883EE9" w:rsidP="00883EE9">
      <w:pPr>
        <w:pStyle w:val="ListParagraph"/>
        <w:spacing w:after="0" w:line="240" w:lineRule="auto"/>
        <w:ind w:left="567"/>
        <w:jc w:val="both"/>
        <w:rPr>
          <w:rFonts w:ascii="Times New Roman" w:hAnsi="Times New Roman" w:cs="Times New Roman"/>
          <w:sz w:val="24"/>
          <w:szCs w:val="24"/>
        </w:rPr>
      </w:pPr>
    </w:p>
    <w:p w14:paraId="5707A6D1" w14:textId="74CED26E" w:rsidR="002E2E34" w:rsidRPr="0038001F" w:rsidRDefault="00EA03D5" w:rsidP="00CC483B">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bCs/>
          <w:sz w:val="24"/>
          <w:szCs w:val="24"/>
        </w:rPr>
        <w:lastRenderedPageBreak/>
        <w:t>The fact</w:t>
      </w:r>
      <w:r w:rsidR="00B71623" w:rsidRPr="0038001F">
        <w:rPr>
          <w:rFonts w:ascii="Times New Roman" w:hAnsi="Times New Roman" w:cs="Times New Roman"/>
          <w:bCs/>
          <w:sz w:val="24"/>
          <w:szCs w:val="24"/>
        </w:rPr>
        <w:t>s relevant for the determination of this matter were</w:t>
      </w:r>
      <w:r w:rsidRPr="0038001F">
        <w:rPr>
          <w:rFonts w:ascii="Times New Roman" w:hAnsi="Times New Roman" w:cs="Times New Roman"/>
          <w:bCs/>
          <w:sz w:val="24"/>
          <w:szCs w:val="24"/>
        </w:rPr>
        <w:t xml:space="preserve"> clearly set out by the court </w:t>
      </w:r>
      <w:r w:rsidRPr="0038001F">
        <w:rPr>
          <w:rFonts w:ascii="Times New Roman" w:hAnsi="Times New Roman" w:cs="Times New Roman"/>
          <w:bCs/>
          <w:i/>
          <w:iCs/>
          <w:sz w:val="24"/>
          <w:szCs w:val="24"/>
        </w:rPr>
        <w:t>a quo</w:t>
      </w:r>
      <w:r w:rsidRPr="0038001F">
        <w:rPr>
          <w:rFonts w:ascii="Times New Roman" w:hAnsi="Times New Roman" w:cs="Times New Roman"/>
          <w:bCs/>
          <w:sz w:val="24"/>
          <w:szCs w:val="24"/>
        </w:rPr>
        <w:t>, in its judgment, and</w:t>
      </w:r>
      <w:r w:rsidR="00A71716">
        <w:rPr>
          <w:rFonts w:ascii="Times New Roman" w:hAnsi="Times New Roman" w:cs="Times New Roman"/>
          <w:bCs/>
          <w:sz w:val="24"/>
          <w:szCs w:val="24"/>
        </w:rPr>
        <w:t xml:space="preserve"> I will borrow heavily from it.  </w:t>
      </w:r>
      <w:r w:rsidR="002E2E34" w:rsidRPr="0038001F">
        <w:rPr>
          <w:rFonts w:ascii="Times New Roman" w:hAnsi="Times New Roman" w:cs="Times New Roman"/>
          <w:sz w:val="24"/>
          <w:szCs w:val="24"/>
        </w:rPr>
        <w:t xml:space="preserve">The background to this case is largely common cause or is not in serious dispute and may be summarized as follows: - The </w:t>
      </w:r>
      <w:r w:rsidR="001F55FD">
        <w:rPr>
          <w:rFonts w:ascii="Times New Roman" w:hAnsi="Times New Roman" w:cs="Times New Roman"/>
          <w:sz w:val="24"/>
          <w:szCs w:val="24"/>
        </w:rPr>
        <w:t xml:space="preserve">appellant </w:t>
      </w:r>
      <w:r w:rsidR="002E2E34" w:rsidRPr="0038001F">
        <w:rPr>
          <w:rFonts w:ascii="Times New Roman" w:hAnsi="Times New Roman" w:cs="Times New Roman"/>
          <w:sz w:val="24"/>
          <w:szCs w:val="24"/>
        </w:rPr>
        <w:t xml:space="preserve">and the deceased at the relevant material time </w:t>
      </w:r>
      <w:r w:rsidR="00B71623" w:rsidRPr="0038001F">
        <w:rPr>
          <w:rFonts w:ascii="Times New Roman" w:hAnsi="Times New Roman" w:cs="Times New Roman"/>
          <w:sz w:val="24"/>
          <w:szCs w:val="24"/>
        </w:rPr>
        <w:t>were married and were</w:t>
      </w:r>
      <w:r w:rsidR="002E2E34" w:rsidRPr="0038001F">
        <w:rPr>
          <w:rFonts w:ascii="Times New Roman" w:hAnsi="Times New Roman" w:cs="Times New Roman"/>
          <w:sz w:val="24"/>
          <w:szCs w:val="24"/>
        </w:rPr>
        <w:t xml:space="preserve"> both members o</w:t>
      </w:r>
      <w:r w:rsidR="00883EE9" w:rsidRPr="0038001F">
        <w:rPr>
          <w:rFonts w:ascii="Times New Roman" w:hAnsi="Times New Roman" w:cs="Times New Roman"/>
          <w:sz w:val="24"/>
          <w:szCs w:val="24"/>
        </w:rPr>
        <w:t xml:space="preserve">f the Zimbabwe Republic Police.  </w:t>
      </w:r>
      <w:r w:rsidR="002E2E34" w:rsidRPr="0038001F">
        <w:rPr>
          <w:rFonts w:ascii="Times New Roman" w:hAnsi="Times New Roman" w:cs="Times New Roman"/>
          <w:sz w:val="24"/>
          <w:szCs w:val="24"/>
        </w:rPr>
        <w:t>The</w:t>
      </w:r>
      <w:r w:rsidRPr="0038001F">
        <w:rPr>
          <w:rFonts w:ascii="Times New Roman" w:hAnsi="Times New Roman" w:cs="Times New Roman"/>
          <w:sz w:val="24"/>
          <w:szCs w:val="24"/>
        </w:rPr>
        <w:t>y</w:t>
      </w:r>
      <w:r w:rsidR="002E2E34" w:rsidRPr="0038001F">
        <w:rPr>
          <w:rFonts w:ascii="Times New Roman" w:hAnsi="Times New Roman" w:cs="Times New Roman"/>
          <w:sz w:val="24"/>
          <w:szCs w:val="24"/>
        </w:rPr>
        <w:t xml:space="preserve"> have a minor child as a result of that union.</w:t>
      </w:r>
    </w:p>
    <w:p w14:paraId="3F62518D" w14:textId="77777777" w:rsidR="00883EE9" w:rsidRPr="0038001F" w:rsidRDefault="00883EE9" w:rsidP="001B1079">
      <w:pPr>
        <w:tabs>
          <w:tab w:val="left" w:pos="426"/>
        </w:tabs>
        <w:spacing w:after="0" w:line="240" w:lineRule="auto"/>
        <w:jc w:val="both"/>
        <w:rPr>
          <w:rFonts w:ascii="Times New Roman" w:hAnsi="Times New Roman" w:cs="Times New Roman"/>
          <w:bCs/>
          <w:sz w:val="24"/>
          <w:szCs w:val="24"/>
        </w:rPr>
      </w:pPr>
    </w:p>
    <w:p w14:paraId="5B97944A" w14:textId="4FBFA7BA" w:rsidR="002E2E34" w:rsidRPr="0038001F" w:rsidRDefault="002E2E34" w:rsidP="001B1079">
      <w:pPr>
        <w:pStyle w:val="ListParagraph"/>
        <w:numPr>
          <w:ilvl w:val="0"/>
          <w:numId w:val="3"/>
        </w:numPr>
        <w:tabs>
          <w:tab w:val="left" w:pos="426"/>
        </w:tabs>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 xml:space="preserve">Following misunderstandings </w:t>
      </w:r>
      <w:r w:rsidR="00035CA8" w:rsidRPr="0038001F">
        <w:rPr>
          <w:rFonts w:ascii="Times New Roman" w:hAnsi="Times New Roman" w:cs="Times New Roman"/>
          <w:sz w:val="24"/>
          <w:szCs w:val="24"/>
        </w:rPr>
        <w:t xml:space="preserve">between </w:t>
      </w:r>
      <w:r w:rsidR="003138DF" w:rsidRPr="0038001F">
        <w:rPr>
          <w:rFonts w:ascii="Times New Roman" w:hAnsi="Times New Roman" w:cs="Times New Roman"/>
          <w:sz w:val="24"/>
          <w:szCs w:val="24"/>
        </w:rPr>
        <w:t xml:space="preserve">the </w:t>
      </w:r>
      <w:r w:rsidR="00035CA8" w:rsidRPr="0038001F">
        <w:rPr>
          <w:rFonts w:ascii="Times New Roman" w:hAnsi="Times New Roman" w:cs="Times New Roman"/>
          <w:sz w:val="24"/>
          <w:szCs w:val="24"/>
        </w:rPr>
        <w:t>appellant</w:t>
      </w:r>
      <w:r w:rsidR="00B71623" w:rsidRPr="0038001F">
        <w:rPr>
          <w:rFonts w:ascii="Times New Roman" w:hAnsi="Times New Roman" w:cs="Times New Roman"/>
          <w:sz w:val="24"/>
          <w:szCs w:val="24"/>
        </w:rPr>
        <w:t xml:space="preserve"> and the deceased</w:t>
      </w:r>
      <w:r w:rsidRPr="0038001F">
        <w:rPr>
          <w:rFonts w:ascii="Times New Roman" w:hAnsi="Times New Roman" w:cs="Times New Roman"/>
          <w:sz w:val="24"/>
          <w:szCs w:val="24"/>
        </w:rPr>
        <w:t>, they separated in or about the m</w:t>
      </w:r>
      <w:r w:rsidR="00883EE9" w:rsidRPr="0038001F">
        <w:rPr>
          <w:rFonts w:ascii="Times New Roman" w:hAnsi="Times New Roman" w:cs="Times New Roman"/>
          <w:sz w:val="24"/>
          <w:szCs w:val="24"/>
        </w:rPr>
        <w:t xml:space="preserve">onth of February or March 2005.  </w:t>
      </w:r>
      <w:r w:rsidRPr="0038001F">
        <w:rPr>
          <w:rFonts w:ascii="Times New Roman" w:hAnsi="Times New Roman" w:cs="Times New Roman"/>
          <w:sz w:val="24"/>
          <w:szCs w:val="24"/>
        </w:rPr>
        <w:t xml:space="preserve">The deceased left the marital home in </w:t>
      </w:r>
      <w:proofErr w:type="spellStart"/>
      <w:r w:rsidRPr="0038001F">
        <w:rPr>
          <w:rFonts w:ascii="Times New Roman" w:hAnsi="Times New Roman" w:cs="Times New Roman"/>
          <w:sz w:val="24"/>
          <w:szCs w:val="24"/>
        </w:rPr>
        <w:t>Chadcombe</w:t>
      </w:r>
      <w:proofErr w:type="spellEnd"/>
      <w:r w:rsidRPr="0038001F">
        <w:rPr>
          <w:rFonts w:ascii="Times New Roman" w:hAnsi="Times New Roman" w:cs="Times New Roman"/>
          <w:sz w:val="24"/>
          <w:szCs w:val="24"/>
        </w:rPr>
        <w:t xml:space="preserve"> and began to live at police accommodation at 16 New Camp, Zimbabwe Republic Police, Highfields. The parties</w:t>
      </w:r>
      <w:r w:rsidR="00451EC2">
        <w:rPr>
          <w:rFonts w:ascii="Times New Roman" w:hAnsi="Times New Roman" w:cs="Times New Roman"/>
          <w:sz w:val="24"/>
          <w:szCs w:val="24"/>
        </w:rPr>
        <w:t xml:space="preserve"> </w:t>
      </w:r>
      <w:r w:rsidRPr="0038001F">
        <w:rPr>
          <w:rFonts w:ascii="Times New Roman" w:hAnsi="Times New Roman" w:cs="Times New Roman"/>
          <w:sz w:val="24"/>
          <w:szCs w:val="24"/>
        </w:rPr>
        <w:t xml:space="preserve">retained some form of communication. The </w:t>
      </w:r>
      <w:r w:rsidR="00035CA8" w:rsidRPr="0038001F">
        <w:rPr>
          <w:rFonts w:ascii="Times New Roman" w:hAnsi="Times New Roman" w:cs="Times New Roman"/>
          <w:sz w:val="24"/>
          <w:szCs w:val="24"/>
        </w:rPr>
        <w:t>marriage had</w:t>
      </w:r>
      <w:r w:rsidRPr="0038001F">
        <w:rPr>
          <w:rFonts w:ascii="Times New Roman" w:hAnsi="Times New Roman" w:cs="Times New Roman"/>
          <w:sz w:val="24"/>
          <w:szCs w:val="24"/>
        </w:rPr>
        <w:t xml:space="preserve"> been characterized by acrimony and alleg</w:t>
      </w:r>
      <w:bookmarkStart w:id="0" w:name="_GoBack"/>
      <w:bookmarkEnd w:id="0"/>
      <w:r w:rsidRPr="0038001F">
        <w:rPr>
          <w:rFonts w:ascii="Times New Roman" w:hAnsi="Times New Roman" w:cs="Times New Roman"/>
          <w:sz w:val="24"/>
          <w:szCs w:val="24"/>
        </w:rPr>
        <w:t xml:space="preserve">ations of violence perpetrated upon the </w:t>
      </w:r>
      <w:r w:rsidR="00883EE9" w:rsidRPr="0038001F">
        <w:rPr>
          <w:rFonts w:ascii="Times New Roman" w:hAnsi="Times New Roman" w:cs="Times New Roman"/>
          <w:sz w:val="24"/>
          <w:szCs w:val="24"/>
        </w:rPr>
        <w:t xml:space="preserve">deceased by the </w:t>
      </w:r>
      <w:r w:rsidR="0070738F">
        <w:rPr>
          <w:rFonts w:ascii="Times New Roman" w:hAnsi="Times New Roman" w:cs="Times New Roman"/>
          <w:sz w:val="24"/>
          <w:szCs w:val="24"/>
        </w:rPr>
        <w:t xml:space="preserve">appellant. </w:t>
      </w:r>
      <w:r w:rsidRPr="0038001F">
        <w:rPr>
          <w:rFonts w:ascii="Times New Roman" w:hAnsi="Times New Roman" w:cs="Times New Roman"/>
          <w:sz w:val="24"/>
          <w:szCs w:val="24"/>
        </w:rPr>
        <w:t>The minor child born of the union continued to reside with the a</w:t>
      </w:r>
      <w:r w:rsidR="00451EC2">
        <w:rPr>
          <w:rFonts w:ascii="Times New Roman" w:hAnsi="Times New Roman" w:cs="Times New Roman"/>
          <w:sz w:val="24"/>
          <w:szCs w:val="24"/>
        </w:rPr>
        <w:t>ppellant</w:t>
      </w:r>
      <w:r w:rsidRPr="0038001F">
        <w:rPr>
          <w:rFonts w:ascii="Times New Roman" w:hAnsi="Times New Roman" w:cs="Times New Roman"/>
          <w:sz w:val="24"/>
          <w:szCs w:val="24"/>
        </w:rPr>
        <w:t xml:space="preserve"> in </w:t>
      </w:r>
      <w:proofErr w:type="spellStart"/>
      <w:r w:rsidRPr="0038001F">
        <w:rPr>
          <w:rFonts w:ascii="Times New Roman" w:hAnsi="Times New Roman" w:cs="Times New Roman"/>
          <w:sz w:val="24"/>
          <w:szCs w:val="24"/>
        </w:rPr>
        <w:t>Chadcombe</w:t>
      </w:r>
      <w:proofErr w:type="spellEnd"/>
      <w:r w:rsidRPr="0038001F">
        <w:rPr>
          <w:rFonts w:ascii="Times New Roman" w:hAnsi="Times New Roman" w:cs="Times New Roman"/>
          <w:sz w:val="24"/>
          <w:szCs w:val="24"/>
        </w:rPr>
        <w:t>.</w:t>
      </w:r>
    </w:p>
    <w:p w14:paraId="5007EDEF" w14:textId="77777777" w:rsidR="00883EE9" w:rsidRPr="0038001F" w:rsidRDefault="00883EE9" w:rsidP="00883EE9">
      <w:pPr>
        <w:spacing w:after="0" w:line="240" w:lineRule="auto"/>
        <w:jc w:val="both"/>
        <w:rPr>
          <w:rFonts w:ascii="Times New Roman" w:hAnsi="Times New Roman" w:cs="Times New Roman"/>
          <w:sz w:val="24"/>
          <w:szCs w:val="24"/>
        </w:rPr>
      </w:pPr>
    </w:p>
    <w:p w14:paraId="48818EAD" w14:textId="5728D94F" w:rsidR="00883EE9" w:rsidRPr="0038001F" w:rsidRDefault="002E2E34" w:rsidP="00665CF8">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 xml:space="preserve">It is not in dispute that </w:t>
      </w:r>
      <w:r w:rsidR="00092A36" w:rsidRPr="0038001F">
        <w:rPr>
          <w:rFonts w:ascii="Times New Roman" w:hAnsi="Times New Roman" w:cs="Times New Roman"/>
          <w:sz w:val="24"/>
          <w:szCs w:val="24"/>
        </w:rPr>
        <w:t>on 10 May</w:t>
      </w:r>
      <w:r w:rsidRPr="0038001F">
        <w:rPr>
          <w:rFonts w:ascii="Times New Roman" w:hAnsi="Times New Roman" w:cs="Times New Roman"/>
          <w:sz w:val="24"/>
          <w:szCs w:val="24"/>
        </w:rPr>
        <w:t xml:space="preserve"> 2005 the deceased, who was a member of the Traffic Branch stationed at Harare Central, p</w:t>
      </w:r>
      <w:r w:rsidR="00883EE9" w:rsidRPr="0038001F">
        <w:rPr>
          <w:rFonts w:ascii="Times New Roman" w:hAnsi="Times New Roman" w:cs="Times New Roman"/>
          <w:sz w:val="24"/>
          <w:szCs w:val="24"/>
        </w:rPr>
        <w:t xml:space="preserve">roceeded off duty for two days.  </w:t>
      </w:r>
      <w:r w:rsidRPr="0038001F">
        <w:rPr>
          <w:rFonts w:ascii="Times New Roman" w:hAnsi="Times New Roman" w:cs="Times New Roman"/>
          <w:sz w:val="24"/>
          <w:szCs w:val="24"/>
        </w:rPr>
        <w:t xml:space="preserve">She did not report for duty on 12 May 2005. </w:t>
      </w:r>
      <w:r w:rsidR="00883EE9" w:rsidRPr="0038001F">
        <w:rPr>
          <w:rFonts w:ascii="Times New Roman" w:hAnsi="Times New Roman" w:cs="Times New Roman"/>
          <w:sz w:val="24"/>
          <w:szCs w:val="24"/>
        </w:rPr>
        <w:t xml:space="preserve"> </w:t>
      </w:r>
      <w:r w:rsidRPr="0038001F">
        <w:rPr>
          <w:rFonts w:ascii="Times New Roman" w:hAnsi="Times New Roman" w:cs="Times New Roman"/>
          <w:sz w:val="24"/>
          <w:szCs w:val="24"/>
        </w:rPr>
        <w:t>As a result, a police radio was issued declaring her to be absent without leave from her place of employment.</w:t>
      </w:r>
      <w:r w:rsidR="00883EE9" w:rsidRPr="0038001F">
        <w:rPr>
          <w:rFonts w:ascii="Times New Roman" w:hAnsi="Times New Roman" w:cs="Times New Roman"/>
          <w:sz w:val="24"/>
          <w:szCs w:val="24"/>
        </w:rPr>
        <w:t xml:space="preserve"> </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 xml:space="preserve">It is not in dispute that on 17 May 2005, two members of the public were quarrying for stone at Epworth Dam. </w:t>
      </w:r>
      <w:r w:rsidR="00883EE9"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By some </w:t>
      </w:r>
      <w:r w:rsidR="00665CF8" w:rsidRPr="0038001F">
        <w:rPr>
          <w:rFonts w:ascii="Times New Roman" w:hAnsi="Times New Roman" w:cs="Times New Roman"/>
          <w:sz w:val="24"/>
          <w:szCs w:val="24"/>
        </w:rPr>
        <w:t>qu</w:t>
      </w:r>
      <w:r w:rsidR="00665CF8">
        <w:rPr>
          <w:rFonts w:ascii="Times New Roman" w:hAnsi="Times New Roman" w:cs="Times New Roman"/>
          <w:sz w:val="24"/>
          <w:szCs w:val="24"/>
        </w:rPr>
        <w:t>ir</w:t>
      </w:r>
      <w:r w:rsidR="00665CF8" w:rsidRPr="0038001F">
        <w:rPr>
          <w:rFonts w:ascii="Times New Roman" w:hAnsi="Times New Roman" w:cs="Times New Roman"/>
          <w:sz w:val="24"/>
          <w:szCs w:val="24"/>
        </w:rPr>
        <w:t>k</w:t>
      </w:r>
      <w:r w:rsidR="00665CF8">
        <w:rPr>
          <w:rFonts w:ascii="Times New Roman" w:hAnsi="Times New Roman" w:cs="Times New Roman"/>
          <w:sz w:val="24"/>
          <w:szCs w:val="24"/>
        </w:rPr>
        <w:t xml:space="preserve"> </w:t>
      </w:r>
      <w:r w:rsidR="00665CF8" w:rsidRPr="0038001F">
        <w:rPr>
          <w:rFonts w:ascii="Times New Roman" w:hAnsi="Times New Roman" w:cs="Times New Roman"/>
          <w:sz w:val="24"/>
          <w:szCs w:val="24"/>
        </w:rPr>
        <w:t>of</w:t>
      </w:r>
      <w:r w:rsidR="00035CA8" w:rsidRPr="0038001F">
        <w:rPr>
          <w:rFonts w:ascii="Times New Roman" w:hAnsi="Times New Roman" w:cs="Times New Roman"/>
          <w:sz w:val="24"/>
          <w:szCs w:val="24"/>
        </w:rPr>
        <w:t xml:space="preserve"> fate</w:t>
      </w:r>
      <w:r w:rsidRPr="0038001F">
        <w:rPr>
          <w:rFonts w:ascii="Times New Roman" w:hAnsi="Times New Roman" w:cs="Times New Roman"/>
          <w:sz w:val="24"/>
          <w:szCs w:val="24"/>
        </w:rPr>
        <w:t xml:space="preserve">, they observed an unidentified male commit suicide by throwing himself into the dam. </w:t>
      </w:r>
      <w:r w:rsidR="00883EE9"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Naturally alarmed by this event, </w:t>
      </w:r>
      <w:r w:rsidR="00035CA8" w:rsidRPr="0038001F">
        <w:rPr>
          <w:rFonts w:ascii="Times New Roman" w:hAnsi="Times New Roman" w:cs="Times New Roman"/>
          <w:sz w:val="24"/>
          <w:szCs w:val="24"/>
        </w:rPr>
        <w:t xml:space="preserve">they </w:t>
      </w:r>
      <w:r w:rsidRPr="0038001F">
        <w:rPr>
          <w:rFonts w:ascii="Times New Roman" w:hAnsi="Times New Roman" w:cs="Times New Roman"/>
          <w:sz w:val="24"/>
          <w:szCs w:val="24"/>
        </w:rPr>
        <w:t>proceeded to make a report Epworth</w:t>
      </w:r>
      <w:r w:rsidR="005F4E05">
        <w:rPr>
          <w:rFonts w:ascii="Times New Roman" w:hAnsi="Times New Roman" w:cs="Times New Roman"/>
          <w:sz w:val="24"/>
          <w:szCs w:val="24"/>
        </w:rPr>
        <w:t xml:space="preserve"> Police Station</w:t>
      </w:r>
      <w:r w:rsidRPr="0038001F">
        <w:rPr>
          <w:rFonts w:ascii="Times New Roman" w:hAnsi="Times New Roman" w:cs="Times New Roman"/>
          <w:sz w:val="24"/>
          <w:szCs w:val="24"/>
        </w:rPr>
        <w:t xml:space="preserve">. </w:t>
      </w:r>
      <w:r w:rsidR="00883EE9" w:rsidRPr="0038001F">
        <w:rPr>
          <w:rFonts w:ascii="Times New Roman" w:hAnsi="Times New Roman" w:cs="Times New Roman"/>
          <w:sz w:val="24"/>
          <w:szCs w:val="24"/>
        </w:rPr>
        <w:t xml:space="preserve"> </w:t>
      </w:r>
      <w:r w:rsidRPr="0038001F">
        <w:rPr>
          <w:rFonts w:ascii="Times New Roman" w:hAnsi="Times New Roman" w:cs="Times New Roman"/>
          <w:sz w:val="24"/>
          <w:szCs w:val="24"/>
        </w:rPr>
        <w:t>They had also noticed a monarch travel bag</w:t>
      </w:r>
      <w:r w:rsidR="00035CA8" w:rsidRPr="0038001F">
        <w:rPr>
          <w:rFonts w:ascii="Times New Roman" w:hAnsi="Times New Roman" w:cs="Times New Roman"/>
          <w:sz w:val="24"/>
          <w:szCs w:val="24"/>
        </w:rPr>
        <w:t>,</w:t>
      </w:r>
      <w:r w:rsidRPr="0038001F">
        <w:rPr>
          <w:rFonts w:ascii="Times New Roman" w:hAnsi="Times New Roman" w:cs="Times New Roman"/>
          <w:sz w:val="24"/>
          <w:szCs w:val="24"/>
        </w:rPr>
        <w:t xml:space="preserve"> blue in colour</w:t>
      </w:r>
      <w:r w:rsidR="00035CA8" w:rsidRPr="0038001F">
        <w:rPr>
          <w:rFonts w:ascii="Times New Roman" w:hAnsi="Times New Roman" w:cs="Times New Roman"/>
          <w:sz w:val="24"/>
          <w:szCs w:val="24"/>
        </w:rPr>
        <w:t>,</w:t>
      </w:r>
      <w:r w:rsidRPr="0038001F">
        <w:rPr>
          <w:rFonts w:ascii="Times New Roman" w:hAnsi="Times New Roman" w:cs="Times New Roman"/>
          <w:sz w:val="24"/>
          <w:szCs w:val="24"/>
        </w:rPr>
        <w:t xml:space="preserve"> floating on the dam. </w:t>
      </w:r>
    </w:p>
    <w:p w14:paraId="261E74D6" w14:textId="77777777" w:rsidR="00883EE9" w:rsidRPr="0038001F" w:rsidRDefault="00883EE9" w:rsidP="00883EE9">
      <w:pPr>
        <w:spacing w:after="0" w:line="240" w:lineRule="auto"/>
        <w:jc w:val="both"/>
        <w:rPr>
          <w:rFonts w:ascii="Times New Roman" w:hAnsi="Times New Roman" w:cs="Times New Roman"/>
          <w:sz w:val="24"/>
          <w:szCs w:val="24"/>
        </w:rPr>
      </w:pPr>
    </w:p>
    <w:p w14:paraId="3F43490F" w14:textId="281227A9" w:rsidR="002E2E34" w:rsidRPr="0038001F" w:rsidRDefault="002E2E34" w:rsidP="00665CF8">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lastRenderedPageBreak/>
        <w:t xml:space="preserve">As a result of the report of these </w:t>
      </w:r>
      <w:r w:rsidR="00CE1D9B" w:rsidRPr="0038001F">
        <w:rPr>
          <w:rFonts w:ascii="Times New Roman" w:hAnsi="Times New Roman" w:cs="Times New Roman"/>
          <w:sz w:val="24"/>
          <w:szCs w:val="24"/>
        </w:rPr>
        <w:t>public-spirited</w:t>
      </w:r>
      <w:r w:rsidRPr="0038001F">
        <w:rPr>
          <w:rFonts w:ascii="Times New Roman" w:hAnsi="Times New Roman" w:cs="Times New Roman"/>
          <w:sz w:val="24"/>
          <w:szCs w:val="24"/>
        </w:rPr>
        <w:t xml:space="preserve"> citizens, the Zimbabwe Republic Police sub-aqua</w:t>
      </w:r>
      <w:r w:rsidR="00035CA8" w:rsidRPr="0038001F">
        <w:rPr>
          <w:rFonts w:ascii="Times New Roman" w:hAnsi="Times New Roman" w:cs="Times New Roman"/>
          <w:sz w:val="24"/>
          <w:szCs w:val="24"/>
        </w:rPr>
        <w:t xml:space="preserve"> </w:t>
      </w:r>
      <w:r w:rsidR="00883EE9" w:rsidRPr="0038001F">
        <w:rPr>
          <w:rFonts w:ascii="Times New Roman" w:hAnsi="Times New Roman" w:cs="Times New Roman"/>
          <w:sz w:val="24"/>
          <w:szCs w:val="24"/>
        </w:rPr>
        <w:t xml:space="preserve">unit reacted and </w:t>
      </w:r>
      <w:r w:rsidR="005F4E05">
        <w:rPr>
          <w:rFonts w:ascii="Times New Roman" w:hAnsi="Times New Roman" w:cs="Times New Roman"/>
          <w:sz w:val="24"/>
          <w:szCs w:val="24"/>
        </w:rPr>
        <w:t xml:space="preserve">went </w:t>
      </w:r>
      <w:r w:rsidR="00092A36" w:rsidRPr="0038001F">
        <w:rPr>
          <w:rFonts w:ascii="Times New Roman" w:hAnsi="Times New Roman" w:cs="Times New Roman"/>
          <w:sz w:val="24"/>
          <w:szCs w:val="24"/>
        </w:rPr>
        <w:t>to Epworth</w:t>
      </w:r>
      <w:r w:rsidR="00883EE9" w:rsidRPr="0038001F">
        <w:rPr>
          <w:rFonts w:ascii="Times New Roman" w:hAnsi="Times New Roman" w:cs="Times New Roman"/>
          <w:sz w:val="24"/>
          <w:szCs w:val="24"/>
        </w:rPr>
        <w:t xml:space="preserve"> Dam.  </w:t>
      </w:r>
      <w:r w:rsidRPr="0038001F">
        <w:rPr>
          <w:rFonts w:ascii="Times New Roman" w:hAnsi="Times New Roman" w:cs="Times New Roman"/>
          <w:sz w:val="24"/>
          <w:szCs w:val="24"/>
        </w:rPr>
        <w:t>They recovered the body of the person who had committed suicide by throwing h</w:t>
      </w:r>
      <w:r w:rsidR="00883EE9" w:rsidRPr="0038001F">
        <w:rPr>
          <w:rFonts w:ascii="Times New Roman" w:hAnsi="Times New Roman" w:cs="Times New Roman"/>
          <w:sz w:val="24"/>
          <w:szCs w:val="24"/>
        </w:rPr>
        <w:t xml:space="preserve">imself into the dam.  </w:t>
      </w:r>
      <w:r w:rsidRPr="0038001F">
        <w:rPr>
          <w:rFonts w:ascii="Times New Roman" w:hAnsi="Times New Roman" w:cs="Times New Roman"/>
          <w:sz w:val="24"/>
          <w:szCs w:val="24"/>
        </w:rPr>
        <w:t>Separately, they also recovered the monarch suitcase floa</w:t>
      </w:r>
      <w:r w:rsidR="00883EE9" w:rsidRPr="0038001F">
        <w:rPr>
          <w:rFonts w:ascii="Times New Roman" w:hAnsi="Times New Roman" w:cs="Times New Roman"/>
          <w:sz w:val="24"/>
          <w:szCs w:val="24"/>
        </w:rPr>
        <w:t xml:space="preserve">ting on the surface of the dam.  </w:t>
      </w:r>
      <w:r w:rsidRPr="0038001F">
        <w:rPr>
          <w:rFonts w:ascii="Times New Roman" w:hAnsi="Times New Roman" w:cs="Times New Roman"/>
          <w:sz w:val="24"/>
          <w:szCs w:val="24"/>
        </w:rPr>
        <w:t>Upon examining its contents, they found that it contained the bo</w:t>
      </w:r>
      <w:r w:rsidR="00883EE9" w:rsidRPr="0038001F">
        <w:rPr>
          <w:rFonts w:ascii="Times New Roman" w:hAnsi="Times New Roman" w:cs="Times New Roman"/>
          <w:sz w:val="24"/>
          <w:szCs w:val="24"/>
        </w:rPr>
        <w:t xml:space="preserve">dy of a female deceased person.  </w:t>
      </w:r>
      <w:r w:rsidRPr="0038001F">
        <w:rPr>
          <w:rFonts w:ascii="Times New Roman" w:hAnsi="Times New Roman" w:cs="Times New Roman"/>
          <w:sz w:val="24"/>
          <w:szCs w:val="24"/>
        </w:rPr>
        <w:t>Th</w:t>
      </w:r>
      <w:r w:rsidR="0073591A">
        <w:rPr>
          <w:rFonts w:ascii="Times New Roman" w:hAnsi="Times New Roman" w:cs="Times New Roman"/>
          <w:sz w:val="24"/>
          <w:szCs w:val="24"/>
        </w:rPr>
        <w:t xml:space="preserve">e </w:t>
      </w:r>
      <w:r w:rsidRPr="0038001F">
        <w:rPr>
          <w:rFonts w:ascii="Times New Roman" w:hAnsi="Times New Roman" w:cs="Times New Roman"/>
          <w:sz w:val="24"/>
          <w:szCs w:val="24"/>
        </w:rPr>
        <w:t>body of the female deceased was conveyed to Harare Hospital Mortuary where it was positively identified as being that of the deceased on or about 18 May 2005.</w:t>
      </w:r>
    </w:p>
    <w:p w14:paraId="38627ABE" w14:textId="77777777" w:rsidR="00D47339" w:rsidRPr="0038001F" w:rsidRDefault="00D47339" w:rsidP="00665CF8">
      <w:pPr>
        <w:tabs>
          <w:tab w:val="left" w:pos="284"/>
        </w:tabs>
        <w:spacing w:after="0" w:line="240" w:lineRule="auto"/>
        <w:jc w:val="both"/>
        <w:rPr>
          <w:rFonts w:ascii="Times New Roman" w:hAnsi="Times New Roman" w:cs="Times New Roman"/>
          <w:sz w:val="24"/>
          <w:szCs w:val="24"/>
        </w:rPr>
      </w:pPr>
    </w:p>
    <w:p w14:paraId="1356A436" w14:textId="03C4CA68" w:rsidR="002E2E34" w:rsidRPr="0038001F" w:rsidRDefault="001E5739" w:rsidP="00665CF8">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 xml:space="preserve">The deceased’s sister informed the police that she suspected the deceased’s husband to have murdered her since the two had </w:t>
      </w:r>
      <w:r w:rsidR="00035CA8" w:rsidRPr="0038001F">
        <w:rPr>
          <w:rFonts w:ascii="Times New Roman" w:hAnsi="Times New Roman" w:cs="Times New Roman"/>
          <w:sz w:val="24"/>
          <w:szCs w:val="24"/>
        </w:rPr>
        <w:t>had violent</w:t>
      </w:r>
      <w:r w:rsidRPr="0038001F">
        <w:rPr>
          <w:rFonts w:ascii="Times New Roman" w:hAnsi="Times New Roman" w:cs="Times New Roman"/>
          <w:sz w:val="24"/>
          <w:szCs w:val="24"/>
        </w:rPr>
        <w:t xml:space="preserve"> domestic disputes, in the past, which led the deceased to leave their matrimonial home. </w:t>
      </w:r>
      <w:r w:rsidR="00654C4F" w:rsidRPr="0038001F">
        <w:rPr>
          <w:rFonts w:ascii="Times New Roman" w:hAnsi="Times New Roman" w:cs="Times New Roman"/>
          <w:sz w:val="24"/>
          <w:szCs w:val="24"/>
        </w:rPr>
        <w:t xml:space="preserve"> </w:t>
      </w:r>
      <w:r w:rsidR="00A71716">
        <w:rPr>
          <w:rFonts w:ascii="Times New Roman" w:hAnsi="Times New Roman" w:cs="Times New Roman"/>
          <w:sz w:val="24"/>
          <w:szCs w:val="24"/>
        </w:rPr>
        <w:t xml:space="preserve">On </w:t>
      </w:r>
      <w:r w:rsidR="00A71716" w:rsidRPr="0038001F">
        <w:rPr>
          <w:rFonts w:ascii="Times New Roman" w:hAnsi="Times New Roman" w:cs="Times New Roman"/>
          <w:sz w:val="24"/>
          <w:szCs w:val="24"/>
        </w:rPr>
        <w:t>the</w:t>
      </w:r>
      <w:r w:rsidR="002E2E34" w:rsidRPr="0038001F">
        <w:rPr>
          <w:rFonts w:ascii="Times New Roman" w:hAnsi="Times New Roman" w:cs="Times New Roman"/>
          <w:sz w:val="24"/>
          <w:szCs w:val="24"/>
        </w:rPr>
        <w:t xml:space="preserve"> same day, the a</w:t>
      </w:r>
      <w:r w:rsidR="00451EC2">
        <w:rPr>
          <w:rFonts w:ascii="Times New Roman" w:hAnsi="Times New Roman" w:cs="Times New Roman"/>
          <w:sz w:val="24"/>
          <w:szCs w:val="24"/>
        </w:rPr>
        <w:t xml:space="preserve">ppellant </w:t>
      </w:r>
      <w:r w:rsidR="002E2E34" w:rsidRPr="0038001F">
        <w:rPr>
          <w:rFonts w:ascii="Times New Roman" w:hAnsi="Times New Roman" w:cs="Times New Roman"/>
          <w:sz w:val="24"/>
          <w:szCs w:val="24"/>
        </w:rPr>
        <w:t xml:space="preserve">was arrested at his place of work at Morris Depot. </w:t>
      </w:r>
      <w:r w:rsidR="00654C4F" w:rsidRPr="0038001F">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He was taken into custody by members of the C.I.D Homicide on allegations of involvement in the murder of the deceased. </w:t>
      </w:r>
    </w:p>
    <w:p w14:paraId="16BCE603" w14:textId="77777777" w:rsidR="00654C4F" w:rsidRPr="0038001F" w:rsidRDefault="00654C4F" w:rsidP="00654C4F">
      <w:pPr>
        <w:pStyle w:val="ListParagraph"/>
        <w:rPr>
          <w:rFonts w:ascii="Times New Roman" w:hAnsi="Times New Roman" w:cs="Times New Roman"/>
          <w:sz w:val="24"/>
          <w:szCs w:val="24"/>
        </w:rPr>
      </w:pPr>
    </w:p>
    <w:p w14:paraId="63498695" w14:textId="77777777" w:rsidR="00654C4F" w:rsidRPr="0038001F" w:rsidRDefault="00654C4F" w:rsidP="00654C4F">
      <w:pPr>
        <w:pStyle w:val="ListParagraph"/>
        <w:spacing w:after="0" w:line="240" w:lineRule="auto"/>
        <w:ind w:left="567"/>
        <w:jc w:val="both"/>
        <w:rPr>
          <w:rFonts w:ascii="Times New Roman" w:hAnsi="Times New Roman" w:cs="Times New Roman"/>
          <w:sz w:val="24"/>
          <w:szCs w:val="24"/>
        </w:rPr>
      </w:pPr>
    </w:p>
    <w:p w14:paraId="75241521" w14:textId="4D980296" w:rsidR="001F51B5" w:rsidRPr="0038001F" w:rsidRDefault="001F51B5" w:rsidP="00654C4F">
      <w:pPr>
        <w:spacing w:after="0" w:line="480" w:lineRule="auto"/>
        <w:jc w:val="both"/>
        <w:rPr>
          <w:rFonts w:ascii="Times New Roman" w:hAnsi="Times New Roman" w:cs="Times New Roman"/>
          <w:b/>
          <w:bCs/>
          <w:sz w:val="24"/>
          <w:szCs w:val="24"/>
          <w:u w:val="single"/>
        </w:rPr>
      </w:pPr>
      <w:r w:rsidRPr="0038001F">
        <w:rPr>
          <w:rFonts w:ascii="Times New Roman" w:hAnsi="Times New Roman" w:cs="Times New Roman"/>
          <w:b/>
          <w:bCs/>
          <w:sz w:val="24"/>
          <w:szCs w:val="24"/>
          <w:u w:val="single"/>
        </w:rPr>
        <w:t xml:space="preserve">PROCEDINGS BEFORE THE COURT </w:t>
      </w:r>
      <w:r w:rsidRPr="0038001F">
        <w:rPr>
          <w:rFonts w:ascii="Times New Roman" w:hAnsi="Times New Roman" w:cs="Times New Roman"/>
          <w:b/>
          <w:bCs/>
          <w:i/>
          <w:sz w:val="24"/>
          <w:szCs w:val="24"/>
          <w:u w:val="single"/>
        </w:rPr>
        <w:t>A QUO</w:t>
      </w:r>
    </w:p>
    <w:p w14:paraId="7DE66456" w14:textId="1D3B4DC3" w:rsidR="002E2E34" w:rsidRPr="0038001F" w:rsidRDefault="00503C02" w:rsidP="000F13BF">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 xml:space="preserve">The </w:t>
      </w:r>
      <w:r w:rsidR="001F55FD">
        <w:rPr>
          <w:rFonts w:ascii="Times New Roman" w:hAnsi="Times New Roman" w:cs="Times New Roman"/>
          <w:sz w:val="24"/>
          <w:szCs w:val="24"/>
        </w:rPr>
        <w:t>S</w:t>
      </w:r>
      <w:r w:rsidRPr="0038001F">
        <w:rPr>
          <w:rFonts w:ascii="Times New Roman" w:hAnsi="Times New Roman" w:cs="Times New Roman"/>
          <w:sz w:val="24"/>
          <w:szCs w:val="24"/>
        </w:rPr>
        <w:t>tate led</w:t>
      </w:r>
      <w:r w:rsidR="00A71716">
        <w:rPr>
          <w:rFonts w:ascii="Times New Roman" w:hAnsi="Times New Roman" w:cs="Times New Roman"/>
          <w:sz w:val="24"/>
          <w:szCs w:val="24"/>
        </w:rPr>
        <w:t xml:space="preserve"> evidence from eight witnesses.  </w:t>
      </w:r>
      <w:r w:rsidR="002E2E34" w:rsidRPr="0038001F">
        <w:rPr>
          <w:rFonts w:ascii="Times New Roman" w:hAnsi="Times New Roman" w:cs="Times New Roman"/>
          <w:sz w:val="24"/>
          <w:szCs w:val="24"/>
        </w:rPr>
        <w:t>One of the witnesses called by the State was one Katie Ndebele whose testimony is that</w:t>
      </w:r>
      <w:r w:rsidR="00035CA8" w:rsidRPr="0038001F">
        <w:rPr>
          <w:rFonts w:ascii="Times New Roman" w:hAnsi="Times New Roman" w:cs="Times New Roman"/>
          <w:sz w:val="24"/>
          <w:szCs w:val="24"/>
        </w:rPr>
        <w:t xml:space="preserve"> she is employed at a</w:t>
      </w:r>
      <w:r w:rsidR="003138DF" w:rsidRPr="0038001F">
        <w:rPr>
          <w:rFonts w:ascii="Times New Roman" w:hAnsi="Times New Roman" w:cs="Times New Roman"/>
          <w:sz w:val="24"/>
          <w:szCs w:val="24"/>
        </w:rPr>
        <w:t xml:space="preserve"> BP</w:t>
      </w:r>
      <w:r w:rsidR="00035CA8" w:rsidRPr="0038001F">
        <w:rPr>
          <w:rFonts w:ascii="Times New Roman" w:hAnsi="Times New Roman" w:cs="Times New Roman"/>
          <w:sz w:val="24"/>
          <w:szCs w:val="24"/>
        </w:rPr>
        <w:t xml:space="preserve"> </w:t>
      </w:r>
      <w:r w:rsidR="00A71716">
        <w:rPr>
          <w:rFonts w:ascii="Times New Roman" w:hAnsi="Times New Roman" w:cs="Times New Roman"/>
          <w:sz w:val="24"/>
          <w:szCs w:val="24"/>
        </w:rPr>
        <w:t>S</w:t>
      </w:r>
      <w:r w:rsidR="00035CA8" w:rsidRPr="0038001F">
        <w:rPr>
          <w:rFonts w:ascii="Times New Roman" w:hAnsi="Times New Roman" w:cs="Times New Roman"/>
          <w:sz w:val="24"/>
          <w:szCs w:val="24"/>
        </w:rPr>
        <w:t xml:space="preserve">ervice </w:t>
      </w:r>
      <w:r w:rsidR="00A71716">
        <w:rPr>
          <w:rFonts w:ascii="Times New Roman" w:hAnsi="Times New Roman" w:cs="Times New Roman"/>
          <w:sz w:val="24"/>
          <w:szCs w:val="24"/>
        </w:rPr>
        <w:t>S</w:t>
      </w:r>
      <w:r w:rsidR="00035CA8" w:rsidRPr="0038001F">
        <w:rPr>
          <w:rFonts w:ascii="Times New Roman" w:hAnsi="Times New Roman" w:cs="Times New Roman"/>
          <w:sz w:val="24"/>
          <w:szCs w:val="24"/>
        </w:rPr>
        <w:t>tation in Machipisa.</w:t>
      </w:r>
      <w:r w:rsidR="006B4B24" w:rsidRPr="0038001F">
        <w:rPr>
          <w:rFonts w:ascii="Times New Roman" w:hAnsi="Times New Roman" w:cs="Times New Roman"/>
          <w:sz w:val="24"/>
          <w:szCs w:val="24"/>
        </w:rPr>
        <w:t xml:space="preserve"> </w:t>
      </w:r>
      <w:r w:rsidR="00035CA8" w:rsidRPr="0038001F">
        <w:rPr>
          <w:rFonts w:ascii="Times New Roman" w:hAnsi="Times New Roman" w:cs="Times New Roman"/>
          <w:sz w:val="24"/>
          <w:szCs w:val="24"/>
        </w:rPr>
        <w:t>T</w:t>
      </w:r>
      <w:r w:rsidR="002E2E34" w:rsidRPr="0038001F">
        <w:rPr>
          <w:rFonts w:ascii="Times New Roman" w:hAnsi="Times New Roman" w:cs="Times New Roman"/>
          <w:sz w:val="24"/>
          <w:szCs w:val="24"/>
        </w:rPr>
        <w:t xml:space="preserve">he </w:t>
      </w:r>
      <w:r w:rsidR="00035CA8" w:rsidRPr="0038001F">
        <w:rPr>
          <w:rFonts w:ascii="Times New Roman" w:hAnsi="Times New Roman" w:cs="Times New Roman"/>
          <w:sz w:val="24"/>
          <w:szCs w:val="24"/>
        </w:rPr>
        <w:t>appellant a</w:t>
      </w:r>
      <w:r w:rsidR="002E2E34" w:rsidRPr="0038001F">
        <w:rPr>
          <w:rFonts w:ascii="Times New Roman" w:hAnsi="Times New Roman" w:cs="Times New Roman"/>
          <w:sz w:val="24"/>
          <w:szCs w:val="24"/>
        </w:rPr>
        <w:t xml:space="preserve">rrived at </w:t>
      </w:r>
      <w:r w:rsidR="00035CA8" w:rsidRPr="0038001F">
        <w:rPr>
          <w:rFonts w:ascii="Times New Roman" w:hAnsi="Times New Roman" w:cs="Times New Roman"/>
          <w:sz w:val="24"/>
          <w:szCs w:val="24"/>
        </w:rPr>
        <w:t xml:space="preserve">their </w:t>
      </w:r>
      <w:r w:rsidR="00A71716">
        <w:rPr>
          <w:rFonts w:ascii="Times New Roman" w:hAnsi="Times New Roman" w:cs="Times New Roman"/>
          <w:sz w:val="24"/>
          <w:szCs w:val="24"/>
        </w:rPr>
        <w:t>kiosk between 1</w:t>
      </w:r>
      <w:r w:rsidR="001F55FD">
        <w:rPr>
          <w:rFonts w:ascii="Times New Roman" w:hAnsi="Times New Roman" w:cs="Times New Roman"/>
          <w:sz w:val="24"/>
          <w:szCs w:val="24"/>
        </w:rPr>
        <w:t>am</w:t>
      </w:r>
      <w:r w:rsidR="00A71716">
        <w:rPr>
          <w:rFonts w:ascii="Times New Roman" w:hAnsi="Times New Roman" w:cs="Times New Roman"/>
          <w:sz w:val="24"/>
          <w:szCs w:val="24"/>
        </w:rPr>
        <w:t xml:space="preserve"> and 2a</w:t>
      </w:r>
      <w:r w:rsidR="002E2E34" w:rsidRPr="0038001F">
        <w:rPr>
          <w:rFonts w:ascii="Times New Roman" w:hAnsi="Times New Roman" w:cs="Times New Roman"/>
          <w:sz w:val="24"/>
          <w:szCs w:val="24"/>
        </w:rPr>
        <w:t xml:space="preserve">m, on the </w:t>
      </w:r>
      <w:r w:rsidR="001F55FD">
        <w:rPr>
          <w:rFonts w:ascii="Times New Roman" w:hAnsi="Times New Roman" w:cs="Times New Roman"/>
          <w:sz w:val="24"/>
          <w:szCs w:val="24"/>
        </w:rPr>
        <w:t xml:space="preserve">morning </w:t>
      </w:r>
      <w:r w:rsidR="002E2E34" w:rsidRPr="0038001F">
        <w:rPr>
          <w:rFonts w:ascii="Times New Roman" w:hAnsi="Times New Roman" w:cs="Times New Roman"/>
          <w:sz w:val="24"/>
          <w:szCs w:val="24"/>
        </w:rPr>
        <w:t>of 12</w:t>
      </w:r>
      <w:r w:rsidR="006B4B24" w:rsidRPr="0038001F">
        <w:rPr>
          <w:rFonts w:ascii="Times New Roman" w:hAnsi="Times New Roman" w:cs="Times New Roman"/>
          <w:sz w:val="24"/>
          <w:szCs w:val="24"/>
          <w:vertAlign w:val="superscript"/>
        </w:rPr>
        <w:t xml:space="preserve"> </w:t>
      </w:r>
      <w:r w:rsidR="002E2E34" w:rsidRPr="0038001F">
        <w:rPr>
          <w:rFonts w:ascii="Times New Roman" w:hAnsi="Times New Roman" w:cs="Times New Roman"/>
          <w:sz w:val="24"/>
          <w:szCs w:val="24"/>
        </w:rPr>
        <w:t xml:space="preserve">May 2005. </w:t>
      </w:r>
      <w:r w:rsidR="00A71716">
        <w:rPr>
          <w:rFonts w:ascii="Times New Roman" w:hAnsi="Times New Roman" w:cs="Times New Roman"/>
          <w:sz w:val="24"/>
          <w:szCs w:val="24"/>
        </w:rPr>
        <w:t xml:space="preserve"> </w:t>
      </w:r>
      <w:r w:rsidR="002E2E34" w:rsidRPr="0038001F">
        <w:rPr>
          <w:rFonts w:ascii="Times New Roman" w:hAnsi="Times New Roman" w:cs="Times New Roman"/>
          <w:sz w:val="24"/>
          <w:szCs w:val="24"/>
        </w:rPr>
        <w:t>He produced his polic</w:t>
      </w:r>
      <w:r w:rsidR="001F51B5" w:rsidRPr="0038001F">
        <w:rPr>
          <w:rFonts w:ascii="Times New Roman" w:hAnsi="Times New Roman" w:cs="Times New Roman"/>
          <w:sz w:val="24"/>
          <w:szCs w:val="24"/>
        </w:rPr>
        <w:t>e</w:t>
      </w:r>
      <w:r w:rsidR="002E2E34" w:rsidRPr="0038001F">
        <w:rPr>
          <w:rFonts w:ascii="Times New Roman" w:hAnsi="Times New Roman" w:cs="Times New Roman"/>
          <w:sz w:val="24"/>
          <w:szCs w:val="24"/>
        </w:rPr>
        <w:t xml:space="preserve"> identity card and requested that they open the kiosk in order that he might leave a plastic bag. </w:t>
      </w:r>
      <w:r w:rsidR="00A71716">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She and her colleague decided to co-operate. </w:t>
      </w:r>
      <w:r w:rsidR="006B4B24" w:rsidRPr="0038001F">
        <w:rPr>
          <w:rFonts w:ascii="Times New Roman" w:hAnsi="Times New Roman" w:cs="Times New Roman"/>
          <w:sz w:val="24"/>
          <w:szCs w:val="24"/>
        </w:rPr>
        <w:t xml:space="preserve"> </w:t>
      </w:r>
      <w:r w:rsidR="002E2E34" w:rsidRPr="0038001F">
        <w:rPr>
          <w:rFonts w:ascii="Times New Roman" w:hAnsi="Times New Roman" w:cs="Times New Roman"/>
          <w:sz w:val="24"/>
          <w:szCs w:val="24"/>
        </w:rPr>
        <w:t>They allowed the a</w:t>
      </w:r>
      <w:r w:rsidR="003138DF" w:rsidRPr="0038001F">
        <w:rPr>
          <w:rFonts w:ascii="Times New Roman" w:hAnsi="Times New Roman" w:cs="Times New Roman"/>
          <w:sz w:val="24"/>
          <w:szCs w:val="24"/>
        </w:rPr>
        <w:t>ppellant</w:t>
      </w:r>
      <w:r w:rsidR="002E2E34" w:rsidRPr="0038001F">
        <w:rPr>
          <w:rFonts w:ascii="Times New Roman" w:hAnsi="Times New Roman" w:cs="Times New Roman"/>
          <w:sz w:val="24"/>
          <w:szCs w:val="24"/>
        </w:rPr>
        <w:t xml:space="preserve"> to enter and to leave his plastic bag. </w:t>
      </w:r>
      <w:r w:rsidR="00A71716">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He </w:t>
      </w:r>
      <w:r w:rsidR="00035CA8" w:rsidRPr="0038001F">
        <w:rPr>
          <w:rFonts w:ascii="Times New Roman" w:hAnsi="Times New Roman" w:cs="Times New Roman"/>
          <w:sz w:val="24"/>
          <w:szCs w:val="24"/>
        </w:rPr>
        <w:t xml:space="preserve">advised </w:t>
      </w:r>
      <w:r w:rsidR="002E2E34" w:rsidRPr="0038001F">
        <w:rPr>
          <w:rFonts w:ascii="Times New Roman" w:hAnsi="Times New Roman" w:cs="Times New Roman"/>
          <w:sz w:val="24"/>
          <w:szCs w:val="24"/>
        </w:rPr>
        <w:t xml:space="preserve">Katie that he wanted to collect a monarch travel bag from Highfields Police Station as he was “on transfer to another station.” The </w:t>
      </w:r>
      <w:r w:rsidR="003138DF" w:rsidRPr="0038001F">
        <w:rPr>
          <w:rFonts w:ascii="Times New Roman" w:hAnsi="Times New Roman" w:cs="Times New Roman"/>
          <w:sz w:val="24"/>
          <w:szCs w:val="24"/>
        </w:rPr>
        <w:t xml:space="preserve">appellant </w:t>
      </w:r>
      <w:r w:rsidR="002E2E34" w:rsidRPr="0038001F">
        <w:rPr>
          <w:rFonts w:ascii="Times New Roman" w:hAnsi="Times New Roman" w:cs="Times New Roman"/>
          <w:sz w:val="24"/>
          <w:szCs w:val="24"/>
        </w:rPr>
        <w:t xml:space="preserve">returned </w:t>
      </w:r>
      <w:r w:rsidR="00BF3D2B" w:rsidRPr="0038001F">
        <w:rPr>
          <w:rFonts w:ascii="Times New Roman" w:hAnsi="Times New Roman" w:cs="Times New Roman"/>
          <w:sz w:val="24"/>
          <w:szCs w:val="24"/>
        </w:rPr>
        <w:t xml:space="preserve">after a short time </w:t>
      </w:r>
      <w:r w:rsidR="002E2E34" w:rsidRPr="0038001F">
        <w:rPr>
          <w:rFonts w:ascii="Times New Roman" w:hAnsi="Times New Roman" w:cs="Times New Roman"/>
          <w:sz w:val="24"/>
          <w:szCs w:val="24"/>
        </w:rPr>
        <w:t xml:space="preserve">with a monarch bag which the witness described as being black in colour </w:t>
      </w:r>
      <w:r w:rsidR="00B62698">
        <w:rPr>
          <w:rFonts w:ascii="Times New Roman" w:hAnsi="Times New Roman" w:cs="Times New Roman"/>
          <w:sz w:val="24"/>
          <w:szCs w:val="24"/>
        </w:rPr>
        <w:t xml:space="preserve">and </w:t>
      </w:r>
      <w:r w:rsidR="002E2E34" w:rsidRPr="0038001F">
        <w:rPr>
          <w:rFonts w:ascii="Times New Roman" w:hAnsi="Times New Roman" w:cs="Times New Roman"/>
          <w:sz w:val="24"/>
          <w:szCs w:val="24"/>
        </w:rPr>
        <w:t xml:space="preserve">which appeared to be heavy. </w:t>
      </w:r>
      <w:r w:rsidR="00A71716">
        <w:rPr>
          <w:rFonts w:ascii="Times New Roman" w:hAnsi="Times New Roman" w:cs="Times New Roman"/>
          <w:sz w:val="24"/>
          <w:szCs w:val="24"/>
        </w:rPr>
        <w:t xml:space="preserve"> </w:t>
      </w:r>
      <w:r w:rsidR="003138DF" w:rsidRPr="0038001F">
        <w:rPr>
          <w:rFonts w:ascii="Times New Roman" w:hAnsi="Times New Roman" w:cs="Times New Roman"/>
          <w:sz w:val="24"/>
          <w:szCs w:val="24"/>
        </w:rPr>
        <w:t xml:space="preserve">He </w:t>
      </w:r>
      <w:r w:rsidR="002E2E34" w:rsidRPr="0038001F">
        <w:rPr>
          <w:rFonts w:ascii="Times New Roman" w:hAnsi="Times New Roman" w:cs="Times New Roman"/>
          <w:sz w:val="24"/>
          <w:szCs w:val="24"/>
        </w:rPr>
        <w:t xml:space="preserve">left the </w:t>
      </w:r>
      <w:r w:rsidR="00BF3D2B" w:rsidRPr="0038001F">
        <w:rPr>
          <w:rFonts w:ascii="Times New Roman" w:hAnsi="Times New Roman" w:cs="Times New Roman"/>
          <w:sz w:val="24"/>
          <w:szCs w:val="24"/>
        </w:rPr>
        <w:t xml:space="preserve">monarch </w:t>
      </w:r>
      <w:r w:rsidR="002E2E34" w:rsidRPr="0038001F">
        <w:rPr>
          <w:rFonts w:ascii="Times New Roman" w:hAnsi="Times New Roman" w:cs="Times New Roman"/>
          <w:sz w:val="24"/>
          <w:szCs w:val="24"/>
        </w:rPr>
        <w:t>bag</w:t>
      </w:r>
      <w:r w:rsidR="003138DF" w:rsidRPr="0038001F">
        <w:rPr>
          <w:rFonts w:ascii="Times New Roman" w:hAnsi="Times New Roman" w:cs="Times New Roman"/>
          <w:sz w:val="24"/>
          <w:szCs w:val="24"/>
        </w:rPr>
        <w:t xml:space="preserve"> in the kiosk</w:t>
      </w:r>
      <w:r w:rsidR="002E2E34" w:rsidRPr="0038001F">
        <w:rPr>
          <w:rFonts w:ascii="Times New Roman" w:hAnsi="Times New Roman" w:cs="Times New Roman"/>
          <w:sz w:val="24"/>
          <w:szCs w:val="24"/>
        </w:rPr>
        <w:t xml:space="preserve"> and went out in </w:t>
      </w:r>
      <w:r w:rsidR="002E2E34" w:rsidRPr="0038001F">
        <w:rPr>
          <w:rFonts w:ascii="Times New Roman" w:hAnsi="Times New Roman" w:cs="Times New Roman"/>
          <w:sz w:val="24"/>
          <w:szCs w:val="24"/>
        </w:rPr>
        <w:lastRenderedPageBreak/>
        <w:t xml:space="preserve">search of a taxi. </w:t>
      </w:r>
      <w:r w:rsidR="006B4B24" w:rsidRPr="0038001F">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He duly returned in a light blue Mazda vehicle into which he placed the plastic bag and the monarch bag </w:t>
      </w:r>
      <w:r w:rsidR="00092A36" w:rsidRPr="0038001F">
        <w:rPr>
          <w:rFonts w:ascii="Times New Roman" w:hAnsi="Times New Roman" w:cs="Times New Roman"/>
          <w:sz w:val="24"/>
          <w:szCs w:val="24"/>
        </w:rPr>
        <w:t>and departed</w:t>
      </w:r>
      <w:r w:rsidR="002E2E34" w:rsidRPr="0038001F">
        <w:rPr>
          <w:rFonts w:ascii="Times New Roman" w:hAnsi="Times New Roman" w:cs="Times New Roman"/>
          <w:sz w:val="24"/>
          <w:szCs w:val="24"/>
        </w:rPr>
        <w:t>.</w:t>
      </w:r>
    </w:p>
    <w:p w14:paraId="368C68B3" w14:textId="77777777" w:rsidR="006B4B24" w:rsidRPr="0038001F" w:rsidRDefault="006B4B24" w:rsidP="006B4B24">
      <w:pPr>
        <w:pStyle w:val="ListParagraph"/>
        <w:spacing w:after="0" w:line="240" w:lineRule="auto"/>
        <w:ind w:left="567"/>
        <w:jc w:val="both"/>
        <w:rPr>
          <w:rFonts w:ascii="Times New Roman" w:hAnsi="Times New Roman" w:cs="Times New Roman"/>
          <w:sz w:val="24"/>
          <w:szCs w:val="24"/>
        </w:rPr>
      </w:pPr>
    </w:p>
    <w:p w14:paraId="4F8D62FF" w14:textId="78E13305" w:rsidR="00566534" w:rsidRPr="0038001F" w:rsidRDefault="00566534" w:rsidP="00563B9B">
      <w:pPr>
        <w:pStyle w:val="ListParagraph"/>
        <w:numPr>
          <w:ilvl w:val="0"/>
          <w:numId w:val="3"/>
        </w:numPr>
        <w:spacing w:line="480" w:lineRule="auto"/>
        <w:ind w:left="284" w:hanging="284"/>
        <w:jc w:val="both"/>
        <w:rPr>
          <w:rFonts w:ascii="Times New Roman" w:hAnsi="Times New Roman" w:cs="Times New Roman"/>
          <w:sz w:val="24"/>
          <w:szCs w:val="24"/>
        </w:rPr>
      </w:pPr>
      <w:r w:rsidRPr="0038001F">
        <w:rPr>
          <w:rFonts w:ascii="Times New Roman" w:hAnsi="Times New Roman" w:cs="Times New Roman"/>
          <w:sz w:val="24"/>
          <w:szCs w:val="24"/>
        </w:rPr>
        <w:t>She also gave evidence that on 19 May</w:t>
      </w:r>
      <w:r w:rsidR="005850D4" w:rsidRPr="0038001F">
        <w:rPr>
          <w:rFonts w:ascii="Times New Roman" w:hAnsi="Times New Roman" w:cs="Times New Roman"/>
          <w:sz w:val="24"/>
          <w:szCs w:val="24"/>
        </w:rPr>
        <w:t xml:space="preserve"> 2005</w:t>
      </w:r>
      <w:r w:rsidRPr="0038001F">
        <w:rPr>
          <w:rFonts w:ascii="Times New Roman" w:hAnsi="Times New Roman" w:cs="Times New Roman"/>
          <w:sz w:val="24"/>
          <w:szCs w:val="24"/>
        </w:rPr>
        <w:t xml:space="preserve"> the appellant came to the service station in the company </w:t>
      </w:r>
      <w:r w:rsidR="006B4B24" w:rsidRPr="0038001F">
        <w:rPr>
          <w:rFonts w:ascii="Times New Roman" w:hAnsi="Times New Roman" w:cs="Times New Roman"/>
          <w:sz w:val="24"/>
          <w:szCs w:val="24"/>
        </w:rPr>
        <w:t>o</w:t>
      </w:r>
      <w:r w:rsidR="00A71716">
        <w:rPr>
          <w:rFonts w:ascii="Times New Roman" w:hAnsi="Times New Roman" w:cs="Times New Roman"/>
          <w:sz w:val="24"/>
          <w:szCs w:val="24"/>
        </w:rPr>
        <w:t xml:space="preserve">f a number of police officers.  </w:t>
      </w:r>
      <w:r w:rsidRPr="0038001F">
        <w:rPr>
          <w:rFonts w:ascii="Times New Roman" w:hAnsi="Times New Roman" w:cs="Times New Roman"/>
          <w:sz w:val="24"/>
          <w:szCs w:val="24"/>
        </w:rPr>
        <w:t>He indicated to them where he had put the monarch bag when he left to look for a taxi.</w:t>
      </w:r>
    </w:p>
    <w:p w14:paraId="0935F433" w14:textId="77777777" w:rsidR="006B4B24" w:rsidRPr="0038001F" w:rsidRDefault="006B4B24" w:rsidP="006B4B24">
      <w:pPr>
        <w:pStyle w:val="ListParagraph"/>
        <w:rPr>
          <w:rFonts w:ascii="Times New Roman" w:hAnsi="Times New Roman" w:cs="Times New Roman"/>
          <w:sz w:val="24"/>
          <w:szCs w:val="24"/>
        </w:rPr>
      </w:pPr>
    </w:p>
    <w:p w14:paraId="2985F671" w14:textId="1E4469B9" w:rsidR="00442FB9" w:rsidRPr="0038001F" w:rsidRDefault="003138DF" w:rsidP="00563B9B">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T</w:t>
      </w:r>
      <w:r w:rsidR="00442FB9" w:rsidRPr="0038001F">
        <w:rPr>
          <w:rFonts w:ascii="Times New Roman" w:hAnsi="Times New Roman" w:cs="Times New Roman"/>
          <w:sz w:val="24"/>
          <w:szCs w:val="24"/>
        </w:rPr>
        <w:t xml:space="preserve">he </w:t>
      </w:r>
      <w:r w:rsidR="00092A36" w:rsidRPr="0038001F">
        <w:rPr>
          <w:rFonts w:ascii="Times New Roman" w:hAnsi="Times New Roman" w:cs="Times New Roman"/>
          <w:sz w:val="24"/>
          <w:szCs w:val="24"/>
        </w:rPr>
        <w:t>State also</w:t>
      </w:r>
      <w:r w:rsidRPr="0038001F">
        <w:rPr>
          <w:rFonts w:ascii="Times New Roman" w:hAnsi="Times New Roman" w:cs="Times New Roman"/>
          <w:sz w:val="24"/>
          <w:szCs w:val="24"/>
        </w:rPr>
        <w:t xml:space="preserve"> </w:t>
      </w:r>
      <w:r w:rsidR="00442FB9" w:rsidRPr="0038001F">
        <w:rPr>
          <w:rFonts w:ascii="Times New Roman" w:hAnsi="Times New Roman" w:cs="Times New Roman"/>
          <w:sz w:val="24"/>
          <w:szCs w:val="24"/>
        </w:rPr>
        <w:t xml:space="preserve">called Gladys </w:t>
      </w:r>
      <w:proofErr w:type="spellStart"/>
      <w:r w:rsidR="00442FB9" w:rsidRPr="0038001F">
        <w:rPr>
          <w:rFonts w:ascii="Times New Roman" w:hAnsi="Times New Roman" w:cs="Times New Roman"/>
          <w:sz w:val="24"/>
          <w:szCs w:val="24"/>
        </w:rPr>
        <w:t>Musiyarira</w:t>
      </w:r>
      <w:proofErr w:type="spellEnd"/>
      <w:r w:rsidR="00442FB9" w:rsidRPr="0038001F">
        <w:rPr>
          <w:rFonts w:ascii="Times New Roman" w:hAnsi="Times New Roman" w:cs="Times New Roman"/>
          <w:sz w:val="24"/>
          <w:szCs w:val="24"/>
        </w:rPr>
        <w:t xml:space="preserve">, the deceased’s sister, who highlighted the domestic violence that the deceased suffered at the hands of the appellant. </w:t>
      </w:r>
      <w:r w:rsidR="006B4B24" w:rsidRPr="0038001F">
        <w:rPr>
          <w:rFonts w:ascii="Times New Roman" w:hAnsi="Times New Roman" w:cs="Times New Roman"/>
          <w:sz w:val="24"/>
          <w:szCs w:val="24"/>
        </w:rPr>
        <w:t xml:space="preserve"> </w:t>
      </w:r>
      <w:r w:rsidR="00442FB9" w:rsidRPr="0038001F">
        <w:rPr>
          <w:rFonts w:ascii="Times New Roman" w:hAnsi="Times New Roman" w:cs="Times New Roman"/>
          <w:sz w:val="24"/>
          <w:szCs w:val="24"/>
        </w:rPr>
        <w:t xml:space="preserve">She </w:t>
      </w:r>
      <w:r w:rsidR="005F4E05">
        <w:rPr>
          <w:rFonts w:ascii="Times New Roman" w:hAnsi="Times New Roman" w:cs="Times New Roman"/>
          <w:sz w:val="24"/>
          <w:szCs w:val="24"/>
        </w:rPr>
        <w:t xml:space="preserve">stated </w:t>
      </w:r>
      <w:r w:rsidR="00442FB9" w:rsidRPr="0038001F">
        <w:rPr>
          <w:rFonts w:ascii="Times New Roman" w:hAnsi="Times New Roman" w:cs="Times New Roman"/>
          <w:sz w:val="24"/>
          <w:szCs w:val="24"/>
        </w:rPr>
        <w:t xml:space="preserve">that the appellant used to beat the deceased up, chain her to burglar bars in the bedroom and stuff her mouth so she would not scream. </w:t>
      </w:r>
      <w:r w:rsidR="00A71716">
        <w:rPr>
          <w:rFonts w:ascii="Times New Roman" w:hAnsi="Times New Roman" w:cs="Times New Roman"/>
          <w:sz w:val="24"/>
          <w:szCs w:val="24"/>
        </w:rPr>
        <w:t xml:space="preserve"> </w:t>
      </w:r>
      <w:r w:rsidR="00442FB9" w:rsidRPr="0038001F">
        <w:rPr>
          <w:rFonts w:ascii="Times New Roman" w:hAnsi="Times New Roman" w:cs="Times New Roman"/>
          <w:sz w:val="24"/>
          <w:szCs w:val="24"/>
        </w:rPr>
        <w:t xml:space="preserve">She further testified that the deceased separated from the appellant in March 2005 after one such beating and began staying at the Highfields </w:t>
      </w:r>
      <w:r w:rsidR="00A71716">
        <w:rPr>
          <w:rFonts w:ascii="Times New Roman" w:hAnsi="Times New Roman" w:cs="Times New Roman"/>
          <w:sz w:val="24"/>
          <w:szCs w:val="24"/>
        </w:rPr>
        <w:t>P</w:t>
      </w:r>
      <w:r w:rsidR="00442FB9" w:rsidRPr="0038001F">
        <w:rPr>
          <w:rFonts w:ascii="Times New Roman" w:hAnsi="Times New Roman" w:cs="Times New Roman"/>
          <w:sz w:val="24"/>
          <w:szCs w:val="24"/>
        </w:rPr>
        <w:t xml:space="preserve">olice </w:t>
      </w:r>
      <w:r w:rsidR="00A71716">
        <w:rPr>
          <w:rFonts w:ascii="Times New Roman" w:hAnsi="Times New Roman" w:cs="Times New Roman"/>
          <w:sz w:val="24"/>
          <w:szCs w:val="24"/>
        </w:rPr>
        <w:t>C</w:t>
      </w:r>
      <w:r w:rsidR="00442FB9" w:rsidRPr="0038001F">
        <w:rPr>
          <w:rFonts w:ascii="Times New Roman" w:hAnsi="Times New Roman" w:cs="Times New Roman"/>
          <w:sz w:val="24"/>
          <w:szCs w:val="24"/>
        </w:rPr>
        <w:t xml:space="preserve">amp. </w:t>
      </w:r>
      <w:r w:rsidR="00A71716">
        <w:rPr>
          <w:rFonts w:ascii="Times New Roman" w:hAnsi="Times New Roman" w:cs="Times New Roman"/>
          <w:sz w:val="24"/>
          <w:szCs w:val="24"/>
        </w:rPr>
        <w:t xml:space="preserve"> </w:t>
      </w:r>
      <w:r w:rsidR="00442FB9" w:rsidRPr="0038001F">
        <w:rPr>
          <w:rFonts w:ascii="Times New Roman" w:hAnsi="Times New Roman" w:cs="Times New Roman"/>
          <w:sz w:val="24"/>
          <w:szCs w:val="24"/>
        </w:rPr>
        <w:t xml:space="preserve">She also stated that the appellant </w:t>
      </w:r>
      <w:r w:rsidR="006503FA" w:rsidRPr="0038001F">
        <w:rPr>
          <w:rFonts w:ascii="Times New Roman" w:hAnsi="Times New Roman" w:cs="Times New Roman"/>
          <w:sz w:val="24"/>
          <w:szCs w:val="24"/>
        </w:rPr>
        <w:t xml:space="preserve">would </w:t>
      </w:r>
      <w:r w:rsidR="006503FA">
        <w:rPr>
          <w:rFonts w:ascii="Times New Roman" w:hAnsi="Times New Roman" w:cs="Times New Roman"/>
          <w:sz w:val="24"/>
          <w:szCs w:val="24"/>
        </w:rPr>
        <w:t>at</w:t>
      </w:r>
      <w:r w:rsidR="001F55FD">
        <w:rPr>
          <w:rFonts w:ascii="Times New Roman" w:hAnsi="Times New Roman" w:cs="Times New Roman"/>
          <w:sz w:val="24"/>
          <w:szCs w:val="24"/>
        </w:rPr>
        <w:t xml:space="preserve"> times </w:t>
      </w:r>
      <w:r w:rsidR="00442FB9" w:rsidRPr="0038001F">
        <w:rPr>
          <w:rFonts w:ascii="Times New Roman" w:hAnsi="Times New Roman" w:cs="Times New Roman"/>
          <w:sz w:val="24"/>
          <w:szCs w:val="24"/>
        </w:rPr>
        <w:t>threaten to kill the deceased and their son.</w:t>
      </w:r>
    </w:p>
    <w:p w14:paraId="34B1A938" w14:textId="77777777" w:rsidR="006B4B24" w:rsidRPr="0038001F" w:rsidRDefault="006B4B24" w:rsidP="00357879">
      <w:pPr>
        <w:pStyle w:val="ListParagraph"/>
        <w:spacing w:line="240" w:lineRule="auto"/>
        <w:rPr>
          <w:rFonts w:ascii="Times New Roman" w:hAnsi="Times New Roman" w:cs="Times New Roman"/>
          <w:sz w:val="24"/>
          <w:szCs w:val="24"/>
        </w:rPr>
      </w:pPr>
    </w:p>
    <w:p w14:paraId="7FEAEECA" w14:textId="0335838F" w:rsidR="00706AB9" w:rsidRPr="0038001F" w:rsidRDefault="00442FB9" w:rsidP="00563B9B">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 State also led evidence </w:t>
      </w:r>
      <w:r w:rsidR="003138DF" w:rsidRPr="0038001F">
        <w:rPr>
          <w:rFonts w:ascii="Times New Roman" w:hAnsi="Times New Roman" w:cs="Times New Roman"/>
          <w:sz w:val="24"/>
          <w:szCs w:val="24"/>
        </w:rPr>
        <w:t xml:space="preserve">from </w:t>
      </w:r>
      <w:r w:rsidRPr="0038001F">
        <w:rPr>
          <w:rFonts w:ascii="Times New Roman" w:hAnsi="Times New Roman" w:cs="Times New Roman"/>
          <w:sz w:val="24"/>
          <w:szCs w:val="24"/>
        </w:rPr>
        <w:t>two expert witnesses, namely the pathologist who conducted the post-mortem</w:t>
      </w:r>
      <w:r w:rsidR="005F4E05">
        <w:rPr>
          <w:rFonts w:ascii="Times New Roman" w:hAnsi="Times New Roman" w:cs="Times New Roman"/>
          <w:sz w:val="24"/>
          <w:szCs w:val="24"/>
        </w:rPr>
        <w:t xml:space="preserve"> examination</w:t>
      </w:r>
      <w:r w:rsidRPr="0038001F">
        <w:rPr>
          <w:rFonts w:ascii="Times New Roman" w:hAnsi="Times New Roman" w:cs="Times New Roman"/>
          <w:sz w:val="24"/>
          <w:szCs w:val="24"/>
        </w:rPr>
        <w:t xml:space="preserve"> on the deceased and the forensic scientist who examined the blood samples from the crime scene. </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The pathologist testified that the deceased had suffered a sever</w:t>
      </w:r>
      <w:r w:rsidR="005F4E05">
        <w:rPr>
          <w:rFonts w:ascii="Times New Roman" w:hAnsi="Times New Roman" w:cs="Times New Roman"/>
          <w:sz w:val="24"/>
          <w:szCs w:val="24"/>
        </w:rPr>
        <w:t xml:space="preserve">e </w:t>
      </w:r>
      <w:r w:rsidRPr="0038001F">
        <w:rPr>
          <w:rFonts w:ascii="Times New Roman" w:hAnsi="Times New Roman" w:cs="Times New Roman"/>
          <w:sz w:val="24"/>
          <w:szCs w:val="24"/>
        </w:rPr>
        <w:t xml:space="preserve">10-centimeter blow to the back of her skull which caused bleeding in the cavity of her brain leading to her death. </w:t>
      </w:r>
      <w:r w:rsidR="00A71716">
        <w:rPr>
          <w:rFonts w:ascii="Times New Roman" w:hAnsi="Times New Roman" w:cs="Times New Roman"/>
          <w:sz w:val="24"/>
          <w:szCs w:val="24"/>
        </w:rPr>
        <w:t xml:space="preserve"> </w:t>
      </w:r>
      <w:r w:rsidR="00706AB9" w:rsidRPr="0038001F">
        <w:rPr>
          <w:rFonts w:ascii="Times New Roman" w:hAnsi="Times New Roman" w:cs="Times New Roman"/>
          <w:sz w:val="24"/>
          <w:szCs w:val="24"/>
        </w:rPr>
        <w:t xml:space="preserve">The cause of death was due to intracranial </w:t>
      </w:r>
      <w:r w:rsidR="00092A36" w:rsidRPr="0038001F">
        <w:rPr>
          <w:rFonts w:ascii="Times New Roman" w:hAnsi="Times New Roman" w:cs="Times New Roman"/>
          <w:sz w:val="24"/>
          <w:szCs w:val="24"/>
        </w:rPr>
        <w:t>hemorrhage</w:t>
      </w:r>
      <w:r w:rsidR="00706AB9" w:rsidRPr="0038001F">
        <w:rPr>
          <w:rFonts w:ascii="Times New Roman" w:hAnsi="Times New Roman" w:cs="Times New Roman"/>
          <w:sz w:val="24"/>
          <w:szCs w:val="24"/>
        </w:rPr>
        <w:t xml:space="preserve"> caused by blunt trauma.  It was the evidence of the doctor that the force used was severe and that a single blow was used.  He observed a ligature in the form of a shoe lace fastened around the neck of the deceased. </w:t>
      </w:r>
    </w:p>
    <w:p w14:paraId="2C4BA284" w14:textId="77777777" w:rsidR="004B086C" w:rsidRPr="0038001F" w:rsidRDefault="004B086C" w:rsidP="00357879">
      <w:pPr>
        <w:pStyle w:val="ListParagraph"/>
        <w:spacing w:line="240" w:lineRule="auto"/>
        <w:ind w:left="567" w:hanging="567"/>
        <w:jc w:val="both"/>
        <w:rPr>
          <w:rFonts w:ascii="Times New Roman" w:hAnsi="Times New Roman" w:cs="Times New Roman"/>
          <w:sz w:val="24"/>
          <w:szCs w:val="24"/>
        </w:rPr>
      </w:pPr>
    </w:p>
    <w:p w14:paraId="0D9104CD" w14:textId="58FCFB8F" w:rsidR="00442FB9" w:rsidRDefault="00442FB9" w:rsidP="00563B9B">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 forensic scientist gave evidence to the effect that in the company of three other colleagues, she had collected a floral bedsheet, a pink comforter, </w:t>
      </w:r>
      <w:r w:rsidR="001F55FD">
        <w:rPr>
          <w:rFonts w:ascii="Times New Roman" w:hAnsi="Times New Roman" w:cs="Times New Roman"/>
          <w:sz w:val="24"/>
          <w:szCs w:val="24"/>
        </w:rPr>
        <w:t xml:space="preserve">a </w:t>
      </w:r>
      <w:r w:rsidRPr="0038001F">
        <w:rPr>
          <w:rFonts w:ascii="Times New Roman" w:hAnsi="Times New Roman" w:cs="Times New Roman"/>
          <w:sz w:val="24"/>
          <w:szCs w:val="24"/>
        </w:rPr>
        <w:t xml:space="preserve">cutting from a cushion, tissues that </w:t>
      </w:r>
      <w:r w:rsidRPr="0038001F">
        <w:rPr>
          <w:rFonts w:ascii="Times New Roman" w:hAnsi="Times New Roman" w:cs="Times New Roman"/>
          <w:sz w:val="24"/>
          <w:szCs w:val="24"/>
        </w:rPr>
        <w:lastRenderedPageBreak/>
        <w:t xml:space="preserve">were on the floor, a towel, and continental pillows from the crime scene as they were covered in what appeared to be blood. </w:t>
      </w:r>
      <w:r w:rsidR="006B4B24" w:rsidRPr="0038001F">
        <w:rPr>
          <w:rFonts w:ascii="Times New Roman" w:hAnsi="Times New Roman" w:cs="Times New Roman"/>
          <w:sz w:val="24"/>
          <w:szCs w:val="24"/>
        </w:rPr>
        <w:t xml:space="preserve"> </w:t>
      </w:r>
      <w:r w:rsidRPr="0038001F">
        <w:rPr>
          <w:rFonts w:ascii="Times New Roman" w:hAnsi="Times New Roman" w:cs="Times New Roman"/>
          <w:sz w:val="24"/>
          <w:szCs w:val="24"/>
        </w:rPr>
        <w:t>After running a series of tests, the forensic scientist confirmed that the blood</w:t>
      </w:r>
      <w:r w:rsidR="00CE1D9B">
        <w:rPr>
          <w:rFonts w:ascii="Times New Roman" w:hAnsi="Times New Roman" w:cs="Times New Roman"/>
          <w:sz w:val="24"/>
          <w:szCs w:val="24"/>
        </w:rPr>
        <w:t xml:space="preserve"> </w:t>
      </w:r>
      <w:r w:rsidR="00706AB9" w:rsidRPr="0038001F">
        <w:rPr>
          <w:rFonts w:ascii="Times New Roman" w:hAnsi="Times New Roman" w:cs="Times New Roman"/>
          <w:sz w:val="24"/>
          <w:szCs w:val="24"/>
        </w:rPr>
        <w:t>found on those items</w:t>
      </w:r>
      <w:r w:rsidR="00CE1D9B">
        <w:rPr>
          <w:rFonts w:ascii="Times New Roman" w:hAnsi="Times New Roman" w:cs="Times New Roman"/>
          <w:sz w:val="24"/>
          <w:szCs w:val="24"/>
        </w:rPr>
        <w:t xml:space="preserve"> </w:t>
      </w:r>
      <w:r w:rsidRPr="0038001F">
        <w:rPr>
          <w:rFonts w:ascii="Times New Roman" w:hAnsi="Times New Roman" w:cs="Times New Roman"/>
          <w:sz w:val="24"/>
          <w:szCs w:val="24"/>
        </w:rPr>
        <w:t>belonged to a human</w:t>
      </w:r>
      <w:r w:rsidR="00706AB9" w:rsidRPr="0038001F">
        <w:rPr>
          <w:rFonts w:ascii="Times New Roman" w:hAnsi="Times New Roman" w:cs="Times New Roman"/>
          <w:sz w:val="24"/>
          <w:szCs w:val="24"/>
        </w:rPr>
        <w:t xml:space="preserve"> being</w:t>
      </w:r>
      <w:r w:rsidRPr="0038001F">
        <w:rPr>
          <w:rFonts w:ascii="Times New Roman" w:hAnsi="Times New Roman" w:cs="Times New Roman"/>
          <w:sz w:val="24"/>
          <w:szCs w:val="24"/>
        </w:rPr>
        <w:t xml:space="preserve"> and, therefore, requested a blood sample from the appellant. </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The blood sample from the appellant matched the blood that was found on the tissues, towel, and cutting from the cushion.</w:t>
      </w:r>
    </w:p>
    <w:p w14:paraId="0ECE0463" w14:textId="77777777" w:rsidR="004C64FF" w:rsidRPr="004C64FF" w:rsidRDefault="004C64FF" w:rsidP="004C64FF">
      <w:pPr>
        <w:pStyle w:val="ListParagraph"/>
        <w:rPr>
          <w:rFonts w:ascii="Times New Roman" w:hAnsi="Times New Roman" w:cs="Times New Roman"/>
          <w:sz w:val="24"/>
          <w:szCs w:val="24"/>
        </w:rPr>
      </w:pPr>
    </w:p>
    <w:p w14:paraId="393DE37C" w14:textId="4EB49F16" w:rsidR="00092A36" w:rsidRPr="0038001F" w:rsidRDefault="00092A36" w:rsidP="00563B9B">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In his </w:t>
      </w:r>
      <w:proofErr w:type="spellStart"/>
      <w:r w:rsidRPr="0038001F">
        <w:rPr>
          <w:rFonts w:ascii="Times New Roman" w:hAnsi="Times New Roman" w:cs="Times New Roman"/>
          <w:sz w:val="24"/>
          <w:szCs w:val="24"/>
        </w:rPr>
        <w:t>defence</w:t>
      </w:r>
      <w:proofErr w:type="spellEnd"/>
      <w:r w:rsidRPr="0038001F">
        <w:rPr>
          <w:rFonts w:ascii="Times New Roman" w:hAnsi="Times New Roman" w:cs="Times New Roman"/>
          <w:sz w:val="24"/>
          <w:szCs w:val="24"/>
        </w:rPr>
        <w:t xml:space="preserve"> </w:t>
      </w:r>
      <w:r w:rsidR="00357879" w:rsidRPr="0038001F">
        <w:rPr>
          <w:rFonts w:ascii="Times New Roman" w:hAnsi="Times New Roman" w:cs="Times New Roman"/>
          <w:sz w:val="24"/>
          <w:szCs w:val="24"/>
        </w:rPr>
        <w:t xml:space="preserve">outline </w:t>
      </w:r>
      <w:r w:rsidR="00357879">
        <w:rPr>
          <w:rFonts w:ascii="Times New Roman" w:hAnsi="Times New Roman" w:cs="Times New Roman"/>
          <w:sz w:val="24"/>
          <w:szCs w:val="24"/>
        </w:rPr>
        <w:t>the</w:t>
      </w:r>
      <w:r w:rsidRPr="0038001F">
        <w:rPr>
          <w:rFonts w:ascii="Times New Roman" w:hAnsi="Times New Roman" w:cs="Times New Roman"/>
          <w:sz w:val="24"/>
          <w:szCs w:val="24"/>
        </w:rPr>
        <w:t xml:space="preserve"> appellant</w:t>
      </w:r>
      <w:r w:rsidR="005F4E05">
        <w:rPr>
          <w:rFonts w:ascii="Times New Roman" w:hAnsi="Times New Roman" w:cs="Times New Roman"/>
          <w:sz w:val="24"/>
          <w:szCs w:val="24"/>
        </w:rPr>
        <w:t xml:space="preserve"> </w:t>
      </w:r>
      <w:r w:rsidR="002E2E34" w:rsidRPr="0038001F">
        <w:rPr>
          <w:rFonts w:ascii="Times New Roman" w:hAnsi="Times New Roman" w:cs="Times New Roman"/>
          <w:sz w:val="24"/>
          <w:szCs w:val="24"/>
        </w:rPr>
        <w:t>d</w:t>
      </w:r>
      <w:r w:rsidRPr="0038001F">
        <w:rPr>
          <w:rFonts w:ascii="Times New Roman" w:hAnsi="Times New Roman" w:cs="Times New Roman"/>
          <w:sz w:val="24"/>
          <w:szCs w:val="24"/>
        </w:rPr>
        <w:t>id</w:t>
      </w:r>
      <w:r w:rsidR="002E2E34" w:rsidRPr="0038001F">
        <w:rPr>
          <w:rFonts w:ascii="Times New Roman" w:hAnsi="Times New Roman" w:cs="Times New Roman"/>
          <w:sz w:val="24"/>
          <w:szCs w:val="24"/>
        </w:rPr>
        <w:t xml:space="preserve"> not </w:t>
      </w:r>
      <w:r w:rsidR="001F55FD">
        <w:rPr>
          <w:rFonts w:ascii="Times New Roman" w:hAnsi="Times New Roman" w:cs="Times New Roman"/>
          <w:sz w:val="24"/>
          <w:szCs w:val="24"/>
        </w:rPr>
        <w:t xml:space="preserve">substantially </w:t>
      </w:r>
      <w:r w:rsidR="002E2E34" w:rsidRPr="0038001F">
        <w:rPr>
          <w:rFonts w:ascii="Times New Roman" w:hAnsi="Times New Roman" w:cs="Times New Roman"/>
          <w:sz w:val="24"/>
          <w:szCs w:val="24"/>
        </w:rPr>
        <w:t>dispute these events</w:t>
      </w:r>
      <w:r w:rsidRPr="0038001F">
        <w:rPr>
          <w:rFonts w:ascii="Times New Roman" w:hAnsi="Times New Roman" w:cs="Times New Roman"/>
          <w:sz w:val="24"/>
          <w:szCs w:val="24"/>
        </w:rPr>
        <w:t>.</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In</w:t>
      </w:r>
      <w:r w:rsidR="002E2E34" w:rsidRPr="0038001F">
        <w:rPr>
          <w:rFonts w:ascii="Times New Roman" w:hAnsi="Times New Roman" w:cs="Times New Roman"/>
          <w:sz w:val="24"/>
          <w:szCs w:val="24"/>
        </w:rPr>
        <w:t xml:space="preserve"> </w:t>
      </w:r>
      <w:r w:rsidRPr="0038001F">
        <w:rPr>
          <w:rFonts w:ascii="Times New Roman" w:hAnsi="Times New Roman" w:cs="Times New Roman"/>
          <w:sz w:val="24"/>
          <w:szCs w:val="24"/>
        </w:rPr>
        <w:t>the</w:t>
      </w:r>
      <w:r w:rsidR="00BF3D2B" w:rsidRPr="0038001F">
        <w:rPr>
          <w:rFonts w:ascii="Times New Roman" w:hAnsi="Times New Roman" w:cs="Times New Roman"/>
          <w:sz w:val="24"/>
          <w:szCs w:val="24"/>
        </w:rPr>
        <w:t xml:space="preserve"> </w:t>
      </w:r>
      <w:proofErr w:type="spellStart"/>
      <w:r w:rsidR="00BF3D2B" w:rsidRPr="0038001F">
        <w:rPr>
          <w:rFonts w:ascii="Times New Roman" w:hAnsi="Times New Roman" w:cs="Times New Roman"/>
          <w:sz w:val="24"/>
          <w:szCs w:val="24"/>
        </w:rPr>
        <w:t>defence</w:t>
      </w:r>
      <w:proofErr w:type="spellEnd"/>
      <w:r w:rsidR="002E2E34" w:rsidRPr="0038001F">
        <w:rPr>
          <w:rFonts w:ascii="Times New Roman" w:hAnsi="Times New Roman" w:cs="Times New Roman"/>
          <w:sz w:val="24"/>
          <w:szCs w:val="24"/>
        </w:rPr>
        <w:t xml:space="preserve"> outline</w:t>
      </w:r>
      <w:r w:rsidR="00706AB9" w:rsidRPr="0038001F">
        <w:rPr>
          <w:rFonts w:ascii="Times New Roman" w:hAnsi="Times New Roman" w:cs="Times New Roman"/>
          <w:sz w:val="24"/>
          <w:szCs w:val="24"/>
        </w:rPr>
        <w:t>, confirmed warned and cautioned statement</w:t>
      </w:r>
      <w:r w:rsidR="002E2E34" w:rsidRPr="0038001F">
        <w:rPr>
          <w:rFonts w:ascii="Times New Roman" w:hAnsi="Times New Roman" w:cs="Times New Roman"/>
          <w:sz w:val="24"/>
          <w:szCs w:val="24"/>
        </w:rPr>
        <w:t xml:space="preserve"> and in</w:t>
      </w:r>
      <w:r w:rsidRPr="0038001F">
        <w:rPr>
          <w:rFonts w:ascii="Times New Roman" w:hAnsi="Times New Roman" w:cs="Times New Roman"/>
          <w:sz w:val="24"/>
          <w:szCs w:val="24"/>
        </w:rPr>
        <w:t xml:space="preserve"> his testimony, the </w:t>
      </w:r>
      <w:r w:rsidR="0070738F">
        <w:rPr>
          <w:rFonts w:ascii="Times New Roman" w:hAnsi="Times New Roman" w:cs="Times New Roman"/>
          <w:sz w:val="24"/>
          <w:szCs w:val="24"/>
        </w:rPr>
        <w:t xml:space="preserve">appellant </w:t>
      </w:r>
      <w:r w:rsidR="00333F27">
        <w:rPr>
          <w:rFonts w:ascii="Times New Roman" w:hAnsi="Times New Roman" w:cs="Times New Roman"/>
          <w:sz w:val="24"/>
          <w:szCs w:val="24"/>
        </w:rPr>
        <w:t xml:space="preserve">did </w:t>
      </w:r>
      <w:r w:rsidR="00333F27" w:rsidRPr="0038001F">
        <w:rPr>
          <w:rFonts w:ascii="Times New Roman" w:hAnsi="Times New Roman" w:cs="Times New Roman"/>
          <w:sz w:val="24"/>
          <w:szCs w:val="24"/>
        </w:rPr>
        <w:t>not</w:t>
      </w:r>
      <w:r w:rsidR="002E2E34" w:rsidRPr="0038001F">
        <w:rPr>
          <w:rFonts w:ascii="Times New Roman" w:hAnsi="Times New Roman" w:cs="Times New Roman"/>
          <w:sz w:val="24"/>
          <w:szCs w:val="24"/>
        </w:rPr>
        <w:t xml:space="preserve"> deny that he proceeded from his house to the deceased’s quarters in Highfields. </w:t>
      </w:r>
      <w:r w:rsidR="00A71716">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He admits that when he </w:t>
      </w:r>
      <w:r w:rsidR="00BF3D2B" w:rsidRPr="0038001F">
        <w:rPr>
          <w:rFonts w:ascii="Times New Roman" w:hAnsi="Times New Roman" w:cs="Times New Roman"/>
          <w:sz w:val="24"/>
          <w:szCs w:val="24"/>
        </w:rPr>
        <w:t>left the deceased’s place, he</w:t>
      </w:r>
      <w:r w:rsidR="002E2E34" w:rsidRPr="0038001F">
        <w:rPr>
          <w:rFonts w:ascii="Times New Roman" w:hAnsi="Times New Roman" w:cs="Times New Roman"/>
          <w:sz w:val="24"/>
          <w:szCs w:val="24"/>
        </w:rPr>
        <w:t xml:space="preserve"> was carrying a green monarch travel bag which was loaded and was heavy. </w:t>
      </w:r>
      <w:r w:rsidR="006B4B24" w:rsidRPr="0038001F">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He explains that it contained seven packs of sugar and potatoes which were meant for consumption by himself and his son. </w:t>
      </w:r>
      <w:r w:rsidR="00A71716">
        <w:rPr>
          <w:rFonts w:ascii="Times New Roman" w:hAnsi="Times New Roman" w:cs="Times New Roman"/>
          <w:sz w:val="24"/>
          <w:szCs w:val="24"/>
        </w:rPr>
        <w:t xml:space="preserve"> </w:t>
      </w:r>
      <w:r w:rsidR="002E2E34" w:rsidRPr="0038001F">
        <w:rPr>
          <w:rFonts w:ascii="Times New Roman" w:hAnsi="Times New Roman" w:cs="Times New Roman"/>
          <w:sz w:val="24"/>
          <w:szCs w:val="24"/>
        </w:rPr>
        <w:t xml:space="preserve">In his </w:t>
      </w:r>
      <w:r w:rsidR="00357879" w:rsidRPr="0038001F">
        <w:rPr>
          <w:rFonts w:ascii="Times New Roman" w:hAnsi="Times New Roman" w:cs="Times New Roman"/>
          <w:sz w:val="24"/>
          <w:szCs w:val="24"/>
        </w:rPr>
        <w:t>confirme</w:t>
      </w:r>
      <w:r w:rsidR="00357879">
        <w:rPr>
          <w:rFonts w:ascii="Times New Roman" w:hAnsi="Times New Roman" w:cs="Times New Roman"/>
          <w:sz w:val="24"/>
          <w:szCs w:val="24"/>
        </w:rPr>
        <w:t xml:space="preserve">d </w:t>
      </w:r>
      <w:r w:rsidR="00357879" w:rsidRPr="0038001F">
        <w:rPr>
          <w:rFonts w:ascii="Times New Roman" w:hAnsi="Times New Roman" w:cs="Times New Roman"/>
          <w:sz w:val="24"/>
          <w:szCs w:val="24"/>
        </w:rPr>
        <w:t>warned</w:t>
      </w:r>
      <w:r w:rsidR="002E2E34" w:rsidRPr="0038001F">
        <w:rPr>
          <w:rFonts w:ascii="Times New Roman" w:hAnsi="Times New Roman" w:cs="Times New Roman"/>
          <w:sz w:val="24"/>
          <w:szCs w:val="24"/>
        </w:rPr>
        <w:t xml:space="preserve"> and cautioned statement, the accused narrates in some detail the events leading to the death of the deceased.</w:t>
      </w:r>
    </w:p>
    <w:p w14:paraId="1F97A194" w14:textId="77777777" w:rsidR="00092A36" w:rsidRPr="0038001F" w:rsidRDefault="00092A36" w:rsidP="00357879">
      <w:pPr>
        <w:pStyle w:val="ListParagraph"/>
        <w:ind w:left="567" w:firstLine="153"/>
        <w:rPr>
          <w:rFonts w:ascii="Times New Roman" w:hAnsi="Times New Roman" w:cs="Times New Roman"/>
          <w:sz w:val="24"/>
          <w:szCs w:val="24"/>
        </w:rPr>
      </w:pPr>
    </w:p>
    <w:p w14:paraId="7CA97546" w14:textId="39D89AB1" w:rsidR="00092A36" w:rsidRDefault="00092A36" w:rsidP="00563B9B">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 appellant challenged the post-mortem report </w:t>
      </w:r>
      <w:r w:rsidR="001F55FD">
        <w:rPr>
          <w:rFonts w:ascii="Times New Roman" w:hAnsi="Times New Roman" w:cs="Times New Roman"/>
          <w:sz w:val="24"/>
          <w:szCs w:val="24"/>
        </w:rPr>
        <w:t xml:space="preserve">on the basis </w:t>
      </w:r>
      <w:r w:rsidRPr="0038001F">
        <w:rPr>
          <w:rFonts w:ascii="Times New Roman" w:hAnsi="Times New Roman" w:cs="Times New Roman"/>
          <w:sz w:val="24"/>
          <w:szCs w:val="24"/>
        </w:rPr>
        <w:t xml:space="preserve">that it had been signed by the pathologist on 20 May 2005 but was commissioned on 6 March 2005. </w:t>
      </w:r>
      <w:r w:rsidR="00A71716">
        <w:rPr>
          <w:rFonts w:ascii="Times New Roman" w:hAnsi="Times New Roman" w:cs="Times New Roman"/>
          <w:sz w:val="24"/>
          <w:szCs w:val="24"/>
        </w:rPr>
        <w:t xml:space="preserve"> </w:t>
      </w:r>
      <w:r w:rsidRPr="0038001F">
        <w:rPr>
          <w:rFonts w:ascii="Times New Roman" w:hAnsi="Times New Roman" w:cs="Times New Roman"/>
          <w:sz w:val="24"/>
          <w:szCs w:val="24"/>
        </w:rPr>
        <w:t>The appellant challenged the discrepancy in the dates and thus averred that the report shoul</w:t>
      </w:r>
      <w:r w:rsidR="00A71716">
        <w:rPr>
          <w:rFonts w:ascii="Times New Roman" w:hAnsi="Times New Roman" w:cs="Times New Roman"/>
          <w:sz w:val="24"/>
          <w:szCs w:val="24"/>
        </w:rPr>
        <w:t xml:space="preserve">d not be allowed into evidence.  </w:t>
      </w:r>
      <w:r w:rsidRPr="0038001F">
        <w:rPr>
          <w:rFonts w:ascii="Times New Roman" w:hAnsi="Times New Roman" w:cs="Times New Roman"/>
          <w:sz w:val="24"/>
          <w:szCs w:val="24"/>
        </w:rPr>
        <w:t xml:space="preserve">Furthermore, the appellant challenged the evidence of the forensic scientist alleging that there was a possibility that the blood found at the crime scene did not belong to </w:t>
      </w:r>
      <w:r w:rsidR="001F55FD">
        <w:rPr>
          <w:rFonts w:ascii="Times New Roman" w:hAnsi="Times New Roman" w:cs="Times New Roman"/>
          <w:sz w:val="24"/>
          <w:szCs w:val="24"/>
        </w:rPr>
        <w:t>him</w:t>
      </w:r>
      <w:r w:rsidRPr="0038001F">
        <w:rPr>
          <w:rFonts w:ascii="Times New Roman" w:hAnsi="Times New Roman" w:cs="Times New Roman"/>
          <w:sz w:val="24"/>
          <w:szCs w:val="24"/>
        </w:rPr>
        <w:t xml:space="preserve"> but could have belonged to anyone who shared the same blood group with </w:t>
      </w:r>
      <w:r w:rsidR="001F55FD">
        <w:rPr>
          <w:rFonts w:ascii="Times New Roman" w:hAnsi="Times New Roman" w:cs="Times New Roman"/>
          <w:sz w:val="24"/>
          <w:szCs w:val="24"/>
        </w:rPr>
        <w:t xml:space="preserve">him. </w:t>
      </w:r>
      <w:r w:rsidRPr="0038001F">
        <w:rPr>
          <w:rFonts w:ascii="Times New Roman" w:hAnsi="Times New Roman" w:cs="Times New Roman"/>
          <w:sz w:val="24"/>
          <w:szCs w:val="24"/>
        </w:rPr>
        <w:t>He also alleged that the investigating officer could have planted the evidence as they had the opportunity when guarding the crime scene.</w:t>
      </w:r>
    </w:p>
    <w:p w14:paraId="60F6C6E4" w14:textId="77777777" w:rsidR="00907A0E" w:rsidRPr="00907A0E" w:rsidRDefault="00907A0E" w:rsidP="00907A0E">
      <w:pPr>
        <w:pStyle w:val="ListParagraph"/>
        <w:rPr>
          <w:rFonts w:ascii="Times New Roman" w:hAnsi="Times New Roman" w:cs="Times New Roman"/>
          <w:sz w:val="24"/>
          <w:szCs w:val="24"/>
        </w:rPr>
      </w:pPr>
    </w:p>
    <w:p w14:paraId="3DD2F466" w14:textId="77777777" w:rsidR="00907A0E" w:rsidRDefault="00907A0E" w:rsidP="00907A0E">
      <w:pPr>
        <w:pStyle w:val="ListParagraph"/>
        <w:spacing w:line="480" w:lineRule="auto"/>
        <w:ind w:left="426"/>
        <w:jc w:val="both"/>
        <w:rPr>
          <w:rFonts w:ascii="Times New Roman" w:hAnsi="Times New Roman" w:cs="Times New Roman"/>
          <w:sz w:val="24"/>
          <w:szCs w:val="24"/>
        </w:rPr>
      </w:pPr>
    </w:p>
    <w:p w14:paraId="0C008347" w14:textId="77777777" w:rsidR="004C64FF" w:rsidRPr="004C64FF" w:rsidRDefault="004C64FF" w:rsidP="004C64FF">
      <w:pPr>
        <w:pStyle w:val="ListParagraph"/>
        <w:rPr>
          <w:rFonts w:ascii="Times New Roman" w:hAnsi="Times New Roman" w:cs="Times New Roman"/>
          <w:sz w:val="24"/>
          <w:szCs w:val="24"/>
        </w:rPr>
      </w:pPr>
    </w:p>
    <w:p w14:paraId="1FBDE9AD" w14:textId="77777777" w:rsidR="002E2E34" w:rsidRPr="0038001F" w:rsidRDefault="002E2E34" w:rsidP="006B4B24">
      <w:pPr>
        <w:spacing w:after="0" w:line="480" w:lineRule="auto"/>
        <w:jc w:val="both"/>
        <w:rPr>
          <w:rFonts w:ascii="Times New Roman" w:hAnsi="Times New Roman" w:cs="Times New Roman"/>
          <w:b/>
          <w:i/>
          <w:sz w:val="24"/>
          <w:szCs w:val="24"/>
          <w:u w:val="single"/>
        </w:rPr>
      </w:pPr>
      <w:r w:rsidRPr="0038001F">
        <w:rPr>
          <w:rFonts w:ascii="Times New Roman" w:hAnsi="Times New Roman" w:cs="Times New Roman"/>
          <w:b/>
          <w:sz w:val="24"/>
          <w:szCs w:val="24"/>
          <w:u w:val="single"/>
        </w:rPr>
        <w:lastRenderedPageBreak/>
        <w:t xml:space="preserve">FINDINGS BY THE COURT </w:t>
      </w:r>
      <w:r w:rsidRPr="0038001F">
        <w:rPr>
          <w:rFonts w:ascii="Times New Roman" w:hAnsi="Times New Roman" w:cs="Times New Roman"/>
          <w:b/>
          <w:i/>
          <w:sz w:val="24"/>
          <w:szCs w:val="24"/>
          <w:u w:val="single"/>
        </w:rPr>
        <w:t>A QUO</w:t>
      </w:r>
    </w:p>
    <w:p w14:paraId="53BA5C67" w14:textId="4F58DE1C" w:rsidR="002E2E34" w:rsidRPr="00CD0CB2" w:rsidRDefault="00BF3D2B" w:rsidP="006F39F3">
      <w:pPr>
        <w:pStyle w:val="ListParagraph"/>
        <w:numPr>
          <w:ilvl w:val="0"/>
          <w:numId w:val="3"/>
        </w:numPr>
        <w:spacing w:line="480" w:lineRule="auto"/>
        <w:ind w:left="450" w:hanging="450"/>
        <w:jc w:val="both"/>
        <w:rPr>
          <w:rFonts w:ascii="Times New Roman" w:hAnsi="Times New Roman" w:cs="Times New Roman"/>
          <w:b/>
          <w:sz w:val="24"/>
          <w:szCs w:val="24"/>
          <w:u w:val="single"/>
        </w:rPr>
      </w:pPr>
      <w:r w:rsidRPr="0038001F">
        <w:rPr>
          <w:rFonts w:ascii="Times New Roman" w:hAnsi="Times New Roman" w:cs="Times New Roman"/>
          <w:sz w:val="24"/>
          <w:szCs w:val="24"/>
        </w:rPr>
        <w:t>The a</w:t>
      </w:r>
      <w:r w:rsidR="00451EC2">
        <w:rPr>
          <w:rFonts w:ascii="Times New Roman" w:hAnsi="Times New Roman" w:cs="Times New Roman"/>
          <w:sz w:val="24"/>
          <w:szCs w:val="24"/>
        </w:rPr>
        <w:t>ppellant</w:t>
      </w:r>
      <w:r w:rsidRPr="0038001F">
        <w:rPr>
          <w:rFonts w:ascii="Times New Roman" w:hAnsi="Times New Roman" w:cs="Times New Roman"/>
          <w:sz w:val="24"/>
          <w:szCs w:val="24"/>
        </w:rPr>
        <w:t xml:space="preserve"> challenged the admissibility of his confirmed warned and cautioned statement on the basis that it was extracted from him under coercion, assault and undue influ</w:t>
      </w:r>
      <w:r w:rsidR="00CD0CB2">
        <w:rPr>
          <w:rFonts w:ascii="Times New Roman" w:hAnsi="Times New Roman" w:cs="Times New Roman"/>
          <w:sz w:val="24"/>
          <w:szCs w:val="24"/>
        </w:rPr>
        <w:t xml:space="preserve">ence.  </w:t>
      </w:r>
      <w:r w:rsidR="005850D4" w:rsidRPr="0038001F">
        <w:rPr>
          <w:rFonts w:ascii="Times New Roman" w:hAnsi="Times New Roman" w:cs="Times New Roman"/>
          <w:sz w:val="24"/>
          <w:szCs w:val="24"/>
        </w:rPr>
        <w:t xml:space="preserve">The court </w:t>
      </w:r>
      <w:r w:rsidR="005850D4" w:rsidRPr="0038001F">
        <w:rPr>
          <w:rFonts w:ascii="Times New Roman" w:hAnsi="Times New Roman" w:cs="Times New Roman"/>
          <w:i/>
          <w:sz w:val="24"/>
          <w:szCs w:val="24"/>
        </w:rPr>
        <w:t>a quo</w:t>
      </w:r>
      <w:r w:rsidR="005850D4" w:rsidRPr="0038001F">
        <w:rPr>
          <w:rFonts w:ascii="Times New Roman" w:hAnsi="Times New Roman" w:cs="Times New Roman"/>
          <w:sz w:val="24"/>
          <w:szCs w:val="24"/>
        </w:rPr>
        <w:t xml:space="preserve"> </w:t>
      </w:r>
      <w:r w:rsidR="002E2E34" w:rsidRPr="0038001F">
        <w:rPr>
          <w:rFonts w:ascii="Times New Roman" w:hAnsi="Times New Roman" w:cs="Times New Roman"/>
          <w:sz w:val="24"/>
          <w:szCs w:val="24"/>
        </w:rPr>
        <w:t>noted that the appellant did not complain during the confirmation proceedings and his allegation that there were six officers during the proceedings whom he was afraid of, appeared to be an afterthought.</w:t>
      </w:r>
    </w:p>
    <w:p w14:paraId="7CB96653" w14:textId="77777777" w:rsidR="00CD0CB2" w:rsidRPr="0038001F" w:rsidRDefault="00CD0CB2" w:rsidP="00CD0CB2">
      <w:pPr>
        <w:pStyle w:val="ListParagraph"/>
        <w:spacing w:after="0" w:line="240" w:lineRule="auto"/>
        <w:ind w:left="450"/>
        <w:jc w:val="both"/>
        <w:rPr>
          <w:rFonts w:ascii="Times New Roman" w:hAnsi="Times New Roman" w:cs="Times New Roman"/>
          <w:b/>
          <w:sz w:val="24"/>
          <w:szCs w:val="24"/>
          <w:u w:val="single"/>
        </w:rPr>
      </w:pPr>
    </w:p>
    <w:p w14:paraId="2F77AAFE" w14:textId="743E5A21" w:rsidR="002E2E34" w:rsidRPr="0038001F" w:rsidRDefault="002E2E34" w:rsidP="004C64FF">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Further, the court </w:t>
      </w:r>
      <w:r w:rsidRPr="0038001F">
        <w:rPr>
          <w:rFonts w:ascii="Times New Roman" w:hAnsi="Times New Roman" w:cs="Times New Roman"/>
          <w:i/>
          <w:sz w:val="24"/>
          <w:szCs w:val="24"/>
        </w:rPr>
        <w:t>a quo</w:t>
      </w:r>
      <w:r w:rsidRPr="0038001F">
        <w:rPr>
          <w:rFonts w:ascii="Times New Roman" w:hAnsi="Times New Roman" w:cs="Times New Roman"/>
          <w:sz w:val="24"/>
          <w:szCs w:val="24"/>
        </w:rPr>
        <w:t xml:space="preserve"> relied heavily on the evidence given by Katie Ndebele.</w:t>
      </w:r>
      <w:r w:rsidR="00503C02" w:rsidRPr="0038001F">
        <w:rPr>
          <w:rFonts w:ascii="Times New Roman" w:hAnsi="Times New Roman" w:cs="Times New Roman"/>
          <w:sz w:val="24"/>
          <w:szCs w:val="24"/>
        </w:rPr>
        <w:t xml:space="preserve"> </w:t>
      </w:r>
      <w:r w:rsidR="004B68E0">
        <w:rPr>
          <w:rFonts w:ascii="Times New Roman" w:hAnsi="Times New Roman" w:cs="Times New Roman"/>
          <w:sz w:val="24"/>
          <w:szCs w:val="24"/>
        </w:rPr>
        <w:t xml:space="preserve"> </w:t>
      </w:r>
      <w:r w:rsidR="00503C02" w:rsidRPr="0038001F">
        <w:rPr>
          <w:rFonts w:ascii="Times New Roman" w:hAnsi="Times New Roman" w:cs="Times New Roman"/>
          <w:sz w:val="24"/>
          <w:szCs w:val="24"/>
        </w:rPr>
        <w:t>It noted that the warned and cautioned statement given by the appellant matche</w:t>
      </w:r>
      <w:r w:rsidR="005850D4" w:rsidRPr="0038001F">
        <w:rPr>
          <w:rFonts w:ascii="Times New Roman" w:hAnsi="Times New Roman" w:cs="Times New Roman"/>
          <w:sz w:val="24"/>
          <w:szCs w:val="24"/>
        </w:rPr>
        <w:t>d</w:t>
      </w:r>
      <w:r w:rsidR="00503C02" w:rsidRPr="0038001F">
        <w:rPr>
          <w:rFonts w:ascii="Times New Roman" w:hAnsi="Times New Roman" w:cs="Times New Roman"/>
          <w:sz w:val="24"/>
          <w:szCs w:val="24"/>
        </w:rPr>
        <w:t xml:space="preserve"> some </w:t>
      </w:r>
      <w:r w:rsidR="005850D4" w:rsidRPr="0038001F">
        <w:rPr>
          <w:rFonts w:ascii="Times New Roman" w:hAnsi="Times New Roman" w:cs="Times New Roman"/>
          <w:sz w:val="24"/>
          <w:szCs w:val="24"/>
        </w:rPr>
        <w:t>of the</w:t>
      </w:r>
      <w:r w:rsidR="00503C02" w:rsidRPr="0038001F">
        <w:rPr>
          <w:rFonts w:ascii="Times New Roman" w:hAnsi="Times New Roman" w:cs="Times New Roman"/>
          <w:sz w:val="24"/>
          <w:szCs w:val="24"/>
        </w:rPr>
        <w:t xml:space="preserve"> evidence given by Katie, such as the fact that he </w:t>
      </w:r>
      <w:r w:rsidRPr="0038001F">
        <w:rPr>
          <w:rFonts w:ascii="Times New Roman" w:hAnsi="Times New Roman" w:cs="Times New Roman"/>
          <w:sz w:val="24"/>
          <w:szCs w:val="24"/>
        </w:rPr>
        <w:t>was carrying a heavy monarch</w:t>
      </w:r>
      <w:r w:rsidR="00503C02" w:rsidRPr="0038001F">
        <w:rPr>
          <w:rFonts w:ascii="Times New Roman" w:hAnsi="Times New Roman" w:cs="Times New Roman"/>
          <w:sz w:val="24"/>
          <w:szCs w:val="24"/>
        </w:rPr>
        <w:t xml:space="preserve"> bag.</w:t>
      </w:r>
      <w:r w:rsidR="00991125" w:rsidRPr="0038001F">
        <w:rPr>
          <w:rFonts w:ascii="Times New Roman" w:hAnsi="Times New Roman" w:cs="Times New Roman"/>
          <w:sz w:val="24"/>
          <w:szCs w:val="24"/>
        </w:rPr>
        <w:t xml:space="preserve">  </w:t>
      </w:r>
      <w:r w:rsidRPr="0038001F">
        <w:rPr>
          <w:rFonts w:ascii="Times New Roman" w:hAnsi="Times New Roman" w:cs="Times New Roman"/>
          <w:sz w:val="24"/>
          <w:szCs w:val="24"/>
        </w:rPr>
        <w:t>The court reasoned that Katie had no reason to lie and under cross-examination she maintained he</w:t>
      </w:r>
      <w:r w:rsidR="004B68E0">
        <w:rPr>
          <w:rFonts w:ascii="Times New Roman" w:hAnsi="Times New Roman" w:cs="Times New Roman"/>
          <w:sz w:val="24"/>
          <w:szCs w:val="24"/>
        </w:rPr>
        <w:t xml:space="preserve">r composure and was not shaken.  </w:t>
      </w:r>
      <w:r w:rsidRPr="0038001F">
        <w:rPr>
          <w:rFonts w:ascii="Times New Roman" w:hAnsi="Times New Roman" w:cs="Times New Roman"/>
          <w:sz w:val="24"/>
          <w:szCs w:val="24"/>
        </w:rPr>
        <w:t xml:space="preserve">Armed with the warned and cautioned </w:t>
      </w:r>
      <w:r w:rsidR="009F0EAA" w:rsidRPr="0038001F">
        <w:rPr>
          <w:rFonts w:ascii="Times New Roman" w:hAnsi="Times New Roman" w:cs="Times New Roman"/>
          <w:sz w:val="24"/>
          <w:szCs w:val="24"/>
        </w:rPr>
        <w:t>statement; the</w:t>
      </w:r>
      <w:r w:rsidR="005850D4" w:rsidRPr="0038001F">
        <w:rPr>
          <w:rFonts w:ascii="Times New Roman" w:hAnsi="Times New Roman" w:cs="Times New Roman"/>
          <w:sz w:val="24"/>
          <w:szCs w:val="24"/>
        </w:rPr>
        <w:t xml:space="preserve"> indications that he made to the police; the postmortem report; the forensic evidence; the</w:t>
      </w:r>
      <w:r w:rsidRPr="0038001F">
        <w:rPr>
          <w:rFonts w:ascii="Times New Roman" w:hAnsi="Times New Roman" w:cs="Times New Roman"/>
          <w:sz w:val="24"/>
          <w:szCs w:val="24"/>
        </w:rPr>
        <w:t xml:space="preserve"> evidence of Katie Ndebele and the body found in the dam, the court concluded that the appellant was guilty of the charge of murder.</w:t>
      </w:r>
    </w:p>
    <w:p w14:paraId="24819A4F" w14:textId="77777777" w:rsidR="00991125" w:rsidRPr="0038001F" w:rsidRDefault="00991125" w:rsidP="004B68E0">
      <w:pPr>
        <w:pStyle w:val="ListParagraph"/>
        <w:spacing w:after="0" w:line="240" w:lineRule="auto"/>
        <w:ind w:left="567"/>
        <w:jc w:val="both"/>
        <w:rPr>
          <w:rFonts w:ascii="Times New Roman" w:hAnsi="Times New Roman" w:cs="Times New Roman"/>
          <w:sz w:val="24"/>
          <w:szCs w:val="24"/>
        </w:rPr>
      </w:pPr>
    </w:p>
    <w:p w14:paraId="52E8C67F" w14:textId="4DC05BEF" w:rsidR="004B18E2" w:rsidRPr="0038001F" w:rsidRDefault="00442FB9" w:rsidP="00357879">
      <w:pPr>
        <w:pStyle w:val="ListParagraph"/>
        <w:numPr>
          <w:ilvl w:val="0"/>
          <w:numId w:val="3"/>
        </w:numPr>
        <w:tabs>
          <w:tab w:val="left" w:pos="450"/>
        </w:tabs>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After establishing that the appellant caused the death of the deceased, the court </w:t>
      </w:r>
      <w:r w:rsidRPr="0038001F">
        <w:rPr>
          <w:rFonts w:ascii="Times New Roman" w:hAnsi="Times New Roman" w:cs="Times New Roman"/>
          <w:i/>
          <w:sz w:val="24"/>
          <w:szCs w:val="24"/>
        </w:rPr>
        <w:t>a quo</w:t>
      </w:r>
      <w:r w:rsidRPr="0038001F">
        <w:rPr>
          <w:rFonts w:ascii="Times New Roman" w:hAnsi="Times New Roman" w:cs="Times New Roman"/>
          <w:sz w:val="24"/>
          <w:szCs w:val="24"/>
        </w:rPr>
        <w:t xml:space="preserve"> </w:t>
      </w:r>
      <w:r w:rsidR="00CE1D9B">
        <w:rPr>
          <w:rFonts w:ascii="Times New Roman" w:hAnsi="Times New Roman" w:cs="Times New Roman"/>
          <w:sz w:val="24"/>
          <w:szCs w:val="24"/>
        </w:rPr>
        <w:t xml:space="preserve">considered </w:t>
      </w:r>
      <w:r w:rsidRPr="0038001F">
        <w:rPr>
          <w:rFonts w:ascii="Times New Roman" w:hAnsi="Times New Roman" w:cs="Times New Roman"/>
          <w:sz w:val="24"/>
          <w:szCs w:val="24"/>
        </w:rPr>
        <w:t xml:space="preserve">whether the appellant had the intention to kill. </w:t>
      </w:r>
      <w:r w:rsidR="00991125" w:rsidRPr="0038001F">
        <w:rPr>
          <w:rFonts w:ascii="Times New Roman" w:hAnsi="Times New Roman" w:cs="Times New Roman"/>
          <w:sz w:val="24"/>
          <w:szCs w:val="24"/>
        </w:rPr>
        <w:t xml:space="preserve"> </w:t>
      </w:r>
      <w:r w:rsidRPr="0038001F">
        <w:rPr>
          <w:rFonts w:ascii="Times New Roman" w:hAnsi="Times New Roman" w:cs="Times New Roman"/>
          <w:sz w:val="24"/>
          <w:szCs w:val="24"/>
        </w:rPr>
        <w:t>In that regard, it was the court’s view that the appellant, in using the weapon he used, and the part of the body he directed the blow</w:t>
      </w:r>
      <w:r w:rsidR="00B62698">
        <w:rPr>
          <w:rFonts w:ascii="Times New Roman" w:hAnsi="Times New Roman" w:cs="Times New Roman"/>
          <w:sz w:val="24"/>
          <w:szCs w:val="24"/>
        </w:rPr>
        <w:t xml:space="preserve"> to</w:t>
      </w:r>
      <w:r w:rsidRPr="0038001F">
        <w:rPr>
          <w:rFonts w:ascii="Times New Roman" w:hAnsi="Times New Roman" w:cs="Times New Roman"/>
          <w:sz w:val="24"/>
          <w:szCs w:val="24"/>
        </w:rPr>
        <w:t>, foresaw the possibility of causing serious bodily harm or the deat</w:t>
      </w:r>
      <w:r w:rsidR="00991125" w:rsidRPr="0038001F">
        <w:rPr>
          <w:rFonts w:ascii="Times New Roman" w:hAnsi="Times New Roman" w:cs="Times New Roman"/>
          <w:sz w:val="24"/>
          <w:szCs w:val="24"/>
        </w:rPr>
        <w:t xml:space="preserve">h of the deceased.  </w:t>
      </w:r>
      <w:r w:rsidRPr="0038001F">
        <w:rPr>
          <w:rFonts w:ascii="Times New Roman" w:hAnsi="Times New Roman" w:cs="Times New Roman"/>
          <w:sz w:val="24"/>
          <w:szCs w:val="24"/>
        </w:rPr>
        <w:t>The court further found that the appellant’s attempt to conceal the murder by dumping the deceased in a suitcase in the dam indicated that he wanted to cover up his crime. Accordingly, the appellant was convicted of the crime of murder with constructive intent and sentenced to 15 years imprisonment.</w:t>
      </w:r>
    </w:p>
    <w:p w14:paraId="10FE9D7D" w14:textId="77777777" w:rsidR="00991125" w:rsidRPr="0038001F" w:rsidRDefault="00991125" w:rsidP="00991125">
      <w:pPr>
        <w:pStyle w:val="ListParagraph"/>
        <w:tabs>
          <w:tab w:val="left" w:pos="567"/>
        </w:tabs>
        <w:spacing w:after="0" w:line="240" w:lineRule="auto"/>
        <w:ind w:left="567"/>
        <w:jc w:val="both"/>
        <w:rPr>
          <w:rFonts w:ascii="Times New Roman" w:hAnsi="Times New Roman" w:cs="Times New Roman"/>
          <w:sz w:val="24"/>
          <w:szCs w:val="24"/>
        </w:rPr>
      </w:pPr>
    </w:p>
    <w:p w14:paraId="621F7DEF" w14:textId="7010FAA9" w:rsidR="00954459" w:rsidRDefault="003B5EB5" w:rsidP="004C64FF">
      <w:pPr>
        <w:pStyle w:val="ListParagraph"/>
        <w:numPr>
          <w:ilvl w:val="0"/>
          <w:numId w:val="3"/>
        </w:numPr>
        <w:tabs>
          <w:tab w:val="left" w:pos="450"/>
        </w:tabs>
        <w:spacing w:line="480" w:lineRule="auto"/>
        <w:jc w:val="both"/>
        <w:rPr>
          <w:rFonts w:ascii="Times New Roman" w:hAnsi="Times New Roman" w:cs="Times New Roman"/>
          <w:sz w:val="24"/>
          <w:szCs w:val="24"/>
        </w:rPr>
      </w:pPr>
      <w:r w:rsidRPr="0038001F">
        <w:rPr>
          <w:rFonts w:ascii="Times New Roman" w:hAnsi="Times New Roman" w:cs="Times New Roman"/>
          <w:sz w:val="24"/>
          <w:szCs w:val="24"/>
        </w:rPr>
        <w:t xml:space="preserve"> </w:t>
      </w:r>
      <w:r w:rsidR="00154B11" w:rsidRPr="0038001F">
        <w:rPr>
          <w:rFonts w:ascii="Times New Roman" w:hAnsi="Times New Roman" w:cs="Times New Roman"/>
          <w:sz w:val="24"/>
          <w:szCs w:val="24"/>
        </w:rPr>
        <w:t xml:space="preserve">It is that conviction which the appellant </w:t>
      </w:r>
      <w:r w:rsidR="00B62698">
        <w:rPr>
          <w:rFonts w:ascii="Times New Roman" w:hAnsi="Times New Roman" w:cs="Times New Roman"/>
          <w:sz w:val="24"/>
          <w:szCs w:val="24"/>
        </w:rPr>
        <w:t xml:space="preserve">is </w:t>
      </w:r>
      <w:proofErr w:type="spellStart"/>
      <w:r w:rsidR="00154B11" w:rsidRPr="0038001F">
        <w:rPr>
          <w:rFonts w:ascii="Times New Roman" w:hAnsi="Times New Roman" w:cs="Times New Roman"/>
          <w:sz w:val="24"/>
          <w:szCs w:val="24"/>
        </w:rPr>
        <w:t>appeal</w:t>
      </w:r>
      <w:r w:rsidR="00B62698">
        <w:rPr>
          <w:rFonts w:ascii="Times New Roman" w:hAnsi="Times New Roman" w:cs="Times New Roman"/>
          <w:sz w:val="24"/>
          <w:szCs w:val="24"/>
        </w:rPr>
        <w:t>ling</w:t>
      </w:r>
      <w:proofErr w:type="spellEnd"/>
      <w:r w:rsidR="00154B11" w:rsidRPr="0038001F">
        <w:rPr>
          <w:rFonts w:ascii="Times New Roman" w:hAnsi="Times New Roman" w:cs="Times New Roman"/>
          <w:sz w:val="24"/>
          <w:szCs w:val="24"/>
        </w:rPr>
        <w:t xml:space="preserve"> against. </w:t>
      </w:r>
      <w:r w:rsidR="00CE1D9B">
        <w:rPr>
          <w:rFonts w:ascii="Times New Roman" w:hAnsi="Times New Roman" w:cs="Times New Roman"/>
          <w:sz w:val="24"/>
          <w:szCs w:val="24"/>
        </w:rPr>
        <w:t xml:space="preserve"> It is noted that by the time this appeal was heard, the appellant had already served his prison term.</w:t>
      </w:r>
    </w:p>
    <w:p w14:paraId="243846B6" w14:textId="77777777" w:rsidR="00357879" w:rsidRPr="00357879" w:rsidRDefault="00357879" w:rsidP="00357879">
      <w:pPr>
        <w:pStyle w:val="ListParagraph"/>
        <w:rPr>
          <w:rFonts w:ascii="Times New Roman" w:hAnsi="Times New Roman" w:cs="Times New Roman"/>
          <w:sz w:val="24"/>
          <w:szCs w:val="24"/>
        </w:rPr>
      </w:pPr>
    </w:p>
    <w:p w14:paraId="3CA86BB1" w14:textId="77777777" w:rsidR="00357879" w:rsidRPr="0038001F" w:rsidRDefault="00357879" w:rsidP="00357879">
      <w:pPr>
        <w:pStyle w:val="ListParagraph"/>
        <w:tabs>
          <w:tab w:val="left" w:pos="450"/>
        </w:tabs>
        <w:spacing w:after="0" w:line="240" w:lineRule="auto"/>
        <w:ind w:left="360"/>
        <w:jc w:val="both"/>
        <w:rPr>
          <w:rFonts w:ascii="Times New Roman" w:hAnsi="Times New Roman" w:cs="Times New Roman"/>
          <w:sz w:val="24"/>
          <w:szCs w:val="24"/>
        </w:rPr>
      </w:pPr>
    </w:p>
    <w:p w14:paraId="6D2F22A5" w14:textId="016558F5" w:rsidR="00954459" w:rsidRPr="0038001F" w:rsidRDefault="005D6200" w:rsidP="00271293">
      <w:pPr>
        <w:spacing w:line="36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t xml:space="preserve">THE </w:t>
      </w:r>
      <w:r w:rsidR="008104CD" w:rsidRPr="0038001F">
        <w:rPr>
          <w:rFonts w:ascii="Times New Roman" w:hAnsi="Times New Roman" w:cs="Times New Roman"/>
          <w:b/>
          <w:sz w:val="24"/>
          <w:szCs w:val="24"/>
          <w:u w:val="single"/>
        </w:rPr>
        <w:t>APPEAL</w:t>
      </w:r>
    </w:p>
    <w:p w14:paraId="62E34662" w14:textId="5305AEC2" w:rsidR="00FE2B74" w:rsidRPr="0038001F" w:rsidRDefault="00154B11" w:rsidP="004C64FF">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It must be noted that the appellant</w:t>
      </w:r>
      <w:r w:rsidR="009C63CA" w:rsidRPr="0038001F">
        <w:rPr>
          <w:rFonts w:ascii="Times New Roman" w:hAnsi="Times New Roman" w:cs="Times New Roman"/>
          <w:sz w:val="24"/>
          <w:szCs w:val="24"/>
        </w:rPr>
        <w:t xml:space="preserve"> applied for and was granted leave to appeal on 6 March 2017 by </w:t>
      </w:r>
      <w:proofErr w:type="spellStart"/>
      <w:r w:rsidR="009C63CA" w:rsidRPr="0038001F">
        <w:rPr>
          <w:rFonts w:ascii="Times New Roman" w:hAnsi="Times New Roman" w:cs="Times New Roman"/>
          <w:sz w:val="24"/>
          <w:szCs w:val="24"/>
        </w:rPr>
        <w:t>Z</w:t>
      </w:r>
      <w:r w:rsidR="00991125" w:rsidRPr="0038001F">
        <w:rPr>
          <w:rFonts w:ascii="Times New Roman" w:hAnsi="Times New Roman" w:cs="Times New Roman"/>
          <w:smallCaps/>
          <w:sz w:val="24"/>
          <w:szCs w:val="24"/>
        </w:rPr>
        <w:t>iyambi</w:t>
      </w:r>
      <w:proofErr w:type="spellEnd"/>
      <w:r w:rsidR="009C63CA" w:rsidRPr="0038001F">
        <w:rPr>
          <w:rFonts w:ascii="Times New Roman" w:hAnsi="Times New Roman" w:cs="Times New Roman"/>
          <w:sz w:val="24"/>
          <w:szCs w:val="24"/>
        </w:rPr>
        <w:t xml:space="preserve"> </w:t>
      </w:r>
      <w:r w:rsidR="00AD2418" w:rsidRPr="0038001F">
        <w:rPr>
          <w:rFonts w:ascii="Times New Roman" w:hAnsi="Times New Roman" w:cs="Times New Roman"/>
          <w:sz w:val="24"/>
          <w:szCs w:val="24"/>
        </w:rPr>
        <w:t>AJA (as she then was</w:t>
      </w:r>
      <w:r w:rsidR="00F71114" w:rsidRPr="0038001F">
        <w:rPr>
          <w:rFonts w:ascii="Times New Roman" w:hAnsi="Times New Roman" w:cs="Times New Roman"/>
          <w:sz w:val="24"/>
          <w:szCs w:val="24"/>
        </w:rPr>
        <w:t xml:space="preserve">). </w:t>
      </w:r>
      <w:r w:rsidR="00991125" w:rsidRPr="0038001F">
        <w:rPr>
          <w:rFonts w:ascii="Times New Roman" w:hAnsi="Times New Roman" w:cs="Times New Roman"/>
          <w:sz w:val="24"/>
          <w:szCs w:val="24"/>
        </w:rPr>
        <w:t xml:space="preserve"> </w:t>
      </w:r>
      <w:r w:rsidR="00F71114" w:rsidRPr="0038001F">
        <w:rPr>
          <w:rFonts w:ascii="Times New Roman" w:hAnsi="Times New Roman" w:cs="Times New Roman"/>
          <w:sz w:val="24"/>
          <w:szCs w:val="24"/>
        </w:rPr>
        <w:t>He</w:t>
      </w:r>
      <w:r w:rsidR="00AD2418" w:rsidRPr="0038001F">
        <w:rPr>
          <w:rFonts w:ascii="Times New Roman" w:hAnsi="Times New Roman" w:cs="Times New Roman"/>
          <w:sz w:val="24"/>
          <w:szCs w:val="24"/>
        </w:rPr>
        <w:t xml:space="preserve"> filed a Notice </w:t>
      </w:r>
      <w:r w:rsidR="007464FB">
        <w:rPr>
          <w:rFonts w:ascii="Times New Roman" w:hAnsi="Times New Roman" w:cs="Times New Roman"/>
          <w:sz w:val="24"/>
          <w:szCs w:val="24"/>
        </w:rPr>
        <w:t xml:space="preserve">of </w:t>
      </w:r>
      <w:r w:rsidR="00AD2418" w:rsidRPr="0038001F">
        <w:rPr>
          <w:rFonts w:ascii="Times New Roman" w:hAnsi="Times New Roman" w:cs="Times New Roman"/>
          <w:sz w:val="24"/>
          <w:szCs w:val="24"/>
        </w:rPr>
        <w:t xml:space="preserve">Appeal in which he </w:t>
      </w:r>
      <w:r w:rsidR="00F71114" w:rsidRPr="0038001F">
        <w:rPr>
          <w:rFonts w:ascii="Times New Roman" w:hAnsi="Times New Roman" w:cs="Times New Roman"/>
          <w:sz w:val="24"/>
          <w:szCs w:val="24"/>
        </w:rPr>
        <w:t>raised 19</w:t>
      </w:r>
      <w:r w:rsidRPr="0038001F">
        <w:rPr>
          <w:rFonts w:ascii="Times New Roman" w:hAnsi="Times New Roman" w:cs="Times New Roman"/>
          <w:sz w:val="24"/>
          <w:szCs w:val="24"/>
        </w:rPr>
        <w:t xml:space="preserve"> grounds of appeal</w:t>
      </w:r>
      <w:r w:rsidR="00F71114" w:rsidRPr="0038001F">
        <w:rPr>
          <w:rFonts w:ascii="Times New Roman" w:hAnsi="Times New Roman" w:cs="Times New Roman"/>
          <w:sz w:val="24"/>
          <w:szCs w:val="24"/>
        </w:rPr>
        <w:t>,</w:t>
      </w:r>
      <w:r w:rsidR="00AD2418" w:rsidRPr="0038001F">
        <w:rPr>
          <w:rFonts w:ascii="Times New Roman" w:hAnsi="Times New Roman" w:cs="Times New Roman"/>
          <w:sz w:val="24"/>
          <w:szCs w:val="24"/>
        </w:rPr>
        <w:t xml:space="preserve"> on 3 November 2017</w:t>
      </w:r>
      <w:r w:rsidR="00991125" w:rsidRPr="0038001F">
        <w:rPr>
          <w:rFonts w:ascii="Times New Roman" w:hAnsi="Times New Roman" w:cs="Times New Roman"/>
          <w:sz w:val="24"/>
          <w:szCs w:val="24"/>
        </w:rPr>
        <w:t xml:space="preserve">. </w:t>
      </w:r>
      <w:r w:rsidR="00566534" w:rsidRPr="0038001F">
        <w:rPr>
          <w:rFonts w:ascii="Times New Roman" w:hAnsi="Times New Roman" w:cs="Times New Roman"/>
          <w:sz w:val="24"/>
          <w:szCs w:val="24"/>
        </w:rPr>
        <w:t>He</w:t>
      </w:r>
      <w:r w:rsidRPr="0038001F">
        <w:rPr>
          <w:rFonts w:ascii="Times New Roman" w:hAnsi="Times New Roman" w:cs="Times New Roman"/>
          <w:sz w:val="24"/>
          <w:szCs w:val="24"/>
        </w:rPr>
        <w:t xml:space="preserve"> then amended the grounds of </w:t>
      </w:r>
      <w:r w:rsidR="00F71114" w:rsidRPr="0038001F">
        <w:rPr>
          <w:rFonts w:ascii="Times New Roman" w:hAnsi="Times New Roman" w:cs="Times New Roman"/>
          <w:sz w:val="24"/>
          <w:szCs w:val="24"/>
        </w:rPr>
        <w:t>appeal, on</w:t>
      </w:r>
      <w:r w:rsidR="00AD2418" w:rsidRPr="0038001F">
        <w:rPr>
          <w:rFonts w:ascii="Times New Roman" w:hAnsi="Times New Roman" w:cs="Times New Roman"/>
          <w:sz w:val="24"/>
          <w:szCs w:val="24"/>
        </w:rPr>
        <w:t xml:space="preserve"> 19</w:t>
      </w:r>
      <w:r w:rsidR="00F71114" w:rsidRPr="0038001F">
        <w:rPr>
          <w:rFonts w:ascii="Times New Roman" w:hAnsi="Times New Roman" w:cs="Times New Roman"/>
          <w:sz w:val="24"/>
          <w:szCs w:val="24"/>
        </w:rPr>
        <w:t xml:space="preserve"> March 2018,</w:t>
      </w:r>
      <w:r w:rsidRPr="0038001F">
        <w:rPr>
          <w:rFonts w:ascii="Times New Roman" w:hAnsi="Times New Roman" w:cs="Times New Roman"/>
          <w:sz w:val="24"/>
          <w:szCs w:val="24"/>
        </w:rPr>
        <w:t xml:space="preserve"> by substituting the initial grounds with 12 new grounds of </w:t>
      </w:r>
      <w:r w:rsidR="00991125" w:rsidRPr="0038001F">
        <w:rPr>
          <w:rFonts w:ascii="Times New Roman" w:hAnsi="Times New Roman" w:cs="Times New Roman"/>
          <w:sz w:val="24"/>
          <w:szCs w:val="24"/>
        </w:rPr>
        <w:t xml:space="preserve">appeal.  </w:t>
      </w:r>
      <w:r w:rsidR="00F74033" w:rsidRPr="0038001F">
        <w:rPr>
          <w:rFonts w:ascii="Times New Roman" w:hAnsi="Times New Roman" w:cs="Times New Roman"/>
          <w:sz w:val="24"/>
          <w:szCs w:val="24"/>
        </w:rPr>
        <w:t>I</w:t>
      </w:r>
      <w:r w:rsidR="008104CD" w:rsidRPr="0038001F">
        <w:rPr>
          <w:rFonts w:ascii="Times New Roman" w:hAnsi="Times New Roman" w:cs="Times New Roman"/>
          <w:sz w:val="24"/>
          <w:szCs w:val="24"/>
        </w:rPr>
        <w:t>n March 2022</w:t>
      </w:r>
      <w:r w:rsidR="00F74033" w:rsidRPr="0038001F">
        <w:rPr>
          <w:rFonts w:ascii="Times New Roman" w:hAnsi="Times New Roman" w:cs="Times New Roman"/>
          <w:sz w:val="24"/>
          <w:szCs w:val="24"/>
        </w:rPr>
        <w:t xml:space="preserve"> </w:t>
      </w:r>
      <w:r w:rsidR="00563B9B" w:rsidRPr="0038001F">
        <w:rPr>
          <w:rFonts w:ascii="Times New Roman" w:hAnsi="Times New Roman" w:cs="Times New Roman"/>
          <w:sz w:val="24"/>
          <w:szCs w:val="24"/>
        </w:rPr>
        <w:t>he</w:t>
      </w:r>
      <w:r w:rsidR="00563B9B">
        <w:rPr>
          <w:rFonts w:ascii="Times New Roman" w:hAnsi="Times New Roman" w:cs="Times New Roman"/>
          <w:sz w:val="24"/>
          <w:szCs w:val="24"/>
        </w:rPr>
        <w:t xml:space="preserve"> </w:t>
      </w:r>
      <w:r w:rsidR="00563B9B" w:rsidRPr="0038001F">
        <w:rPr>
          <w:rFonts w:ascii="Times New Roman" w:hAnsi="Times New Roman" w:cs="Times New Roman"/>
          <w:sz w:val="24"/>
          <w:szCs w:val="24"/>
        </w:rPr>
        <w:t>penned</w:t>
      </w:r>
      <w:r w:rsidR="008104CD" w:rsidRPr="0038001F">
        <w:rPr>
          <w:rFonts w:ascii="Times New Roman" w:hAnsi="Times New Roman" w:cs="Times New Roman"/>
          <w:sz w:val="24"/>
          <w:szCs w:val="24"/>
        </w:rPr>
        <w:t xml:space="preserve"> another amendment to the grounds of appeal wherein he entirely substituted the</w:t>
      </w:r>
      <w:r w:rsidR="00D07CF3" w:rsidRPr="0038001F">
        <w:rPr>
          <w:rFonts w:ascii="Times New Roman" w:hAnsi="Times New Roman" w:cs="Times New Roman"/>
          <w:sz w:val="24"/>
          <w:szCs w:val="24"/>
        </w:rPr>
        <w:t xml:space="preserve"> grounds of appeal again and </w:t>
      </w:r>
      <w:r w:rsidR="00F71114" w:rsidRPr="0038001F">
        <w:rPr>
          <w:rFonts w:ascii="Times New Roman" w:hAnsi="Times New Roman" w:cs="Times New Roman"/>
          <w:sz w:val="24"/>
          <w:szCs w:val="24"/>
        </w:rPr>
        <w:t xml:space="preserve">substituted them </w:t>
      </w:r>
      <w:r w:rsidR="00563B9B" w:rsidRPr="0038001F">
        <w:rPr>
          <w:rFonts w:ascii="Times New Roman" w:hAnsi="Times New Roman" w:cs="Times New Roman"/>
          <w:sz w:val="24"/>
          <w:szCs w:val="24"/>
        </w:rPr>
        <w:t>with</w:t>
      </w:r>
      <w:r w:rsidR="00563B9B">
        <w:rPr>
          <w:rFonts w:ascii="Times New Roman" w:hAnsi="Times New Roman" w:cs="Times New Roman"/>
          <w:sz w:val="24"/>
          <w:szCs w:val="24"/>
        </w:rPr>
        <w:t xml:space="preserve"> </w:t>
      </w:r>
      <w:r w:rsidR="00563B9B" w:rsidRPr="0038001F">
        <w:rPr>
          <w:rFonts w:ascii="Times New Roman" w:hAnsi="Times New Roman" w:cs="Times New Roman"/>
          <w:sz w:val="24"/>
          <w:szCs w:val="24"/>
        </w:rPr>
        <w:t xml:space="preserve">17 </w:t>
      </w:r>
      <w:r w:rsidR="00563B9B">
        <w:rPr>
          <w:rFonts w:ascii="Times New Roman" w:hAnsi="Times New Roman" w:cs="Times New Roman"/>
          <w:sz w:val="24"/>
          <w:szCs w:val="24"/>
        </w:rPr>
        <w:t>new</w:t>
      </w:r>
      <w:r w:rsidR="00CE1D9B">
        <w:rPr>
          <w:rFonts w:ascii="Times New Roman" w:hAnsi="Times New Roman" w:cs="Times New Roman"/>
          <w:sz w:val="24"/>
          <w:szCs w:val="24"/>
        </w:rPr>
        <w:t xml:space="preserve"> </w:t>
      </w:r>
      <w:r w:rsidR="008104CD" w:rsidRPr="0038001F">
        <w:rPr>
          <w:rFonts w:ascii="Times New Roman" w:hAnsi="Times New Roman" w:cs="Times New Roman"/>
          <w:sz w:val="24"/>
          <w:szCs w:val="24"/>
        </w:rPr>
        <w:t xml:space="preserve">grounds. </w:t>
      </w:r>
    </w:p>
    <w:p w14:paraId="0BCF8D19" w14:textId="77777777" w:rsidR="00FE2B74" w:rsidRPr="0038001F" w:rsidRDefault="00FE2B74" w:rsidP="00C643E3">
      <w:pPr>
        <w:pStyle w:val="ListParagraph"/>
        <w:spacing w:after="0" w:line="240" w:lineRule="auto"/>
        <w:jc w:val="both"/>
        <w:rPr>
          <w:rFonts w:ascii="Times New Roman" w:hAnsi="Times New Roman" w:cs="Times New Roman"/>
          <w:sz w:val="24"/>
          <w:szCs w:val="24"/>
        </w:rPr>
      </w:pPr>
    </w:p>
    <w:p w14:paraId="3DDED04B" w14:textId="38733B70" w:rsidR="00FE2B74" w:rsidRPr="0038001F" w:rsidRDefault="00FE2B74" w:rsidP="004C64FF">
      <w:pPr>
        <w:pStyle w:val="ListParagraph"/>
        <w:numPr>
          <w:ilvl w:val="0"/>
          <w:numId w:val="3"/>
        </w:numPr>
        <w:spacing w:after="0"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At the hearing of the appeal, counsel for the respondent raised two preliminary points as follows:</w:t>
      </w:r>
    </w:p>
    <w:p w14:paraId="27E9963A" w14:textId="0E4EC952" w:rsidR="00FE2B74" w:rsidRPr="0038001F" w:rsidRDefault="00FE2B74" w:rsidP="00555D77">
      <w:pPr>
        <w:tabs>
          <w:tab w:val="left" w:pos="1440"/>
        </w:tabs>
        <w:spacing w:line="240" w:lineRule="auto"/>
        <w:ind w:left="1710" w:hanging="270"/>
        <w:jc w:val="both"/>
        <w:rPr>
          <w:rFonts w:ascii="Times New Roman" w:hAnsi="Times New Roman" w:cs="Times New Roman"/>
          <w:sz w:val="24"/>
          <w:szCs w:val="24"/>
        </w:rPr>
      </w:pPr>
      <w:r w:rsidRPr="0038001F">
        <w:rPr>
          <w:rFonts w:ascii="Times New Roman" w:hAnsi="Times New Roman" w:cs="Times New Roman"/>
          <w:sz w:val="24"/>
          <w:szCs w:val="24"/>
        </w:rPr>
        <w:t>(</w:t>
      </w:r>
      <w:proofErr w:type="spellStart"/>
      <w:r w:rsidRPr="0038001F">
        <w:rPr>
          <w:rFonts w:ascii="Times New Roman" w:hAnsi="Times New Roman" w:cs="Times New Roman"/>
          <w:sz w:val="24"/>
          <w:szCs w:val="24"/>
        </w:rPr>
        <w:t>i</w:t>
      </w:r>
      <w:proofErr w:type="spellEnd"/>
      <w:r w:rsidRPr="0038001F">
        <w:rPr>
          <w:rFonts w:ascii="Times New Roman" w:hAnsi="Times New Roman" w:cs="Times New Roman"/>
          <w:sz w:val="24"/>
          <w:szCs w:val="24"/>
        </w:rPr>
        <w:t xml:space="preserve">) that the appellant filed amendments to the grounds of appeal without leave of the </w:t>
      </w:r>
      <w:r w:rsidR="003C5377">
        <w:rPr>
          <w:rFonts w:ascii="Times New Roman" w:hAnsi="Times New Roman" w:cs="Times New Roman"/>
          <w:sz w:val="24"/>
          <w:szCs w:val="24"/>
        </w:rPr>
        <w:t xml:space="preserve">  </w:t>
      </w:r>
      <w:r w:rsidR="00555D77">
        <w:rPr>
          <w:rFonts w:ascii="Times New Roman" w:hAnsi="Times New Roman" w:cs="Times New Roman"/>
          <w:sz w:val="24"/>
          <w:szCs w:val="24"/>
        </w:rPr>
        <w:t>c</w:t>
      </w:r>
      <w:r w:rsidRPr="0038001F">
        <w:rPr>
          <w:rFonts w:ascii="Times New Roman" w:hAnsi="Times New Roman" w:cs="Times New Roman"/>
          <w:sz w:val="24"/>
          <w:szCs w:val="24"/>
        </w:rPr>
        <w:t>ourt and</w:t>
      </w:r>
      <w:r w:rsidR="000F75C4">
        <w:rPr>
          <w:rFonts w:ascii="Times New Roman" w:hAnsi="Times New Roman" w:cs="Times New Roman"/>
          <w:sz w:val="24"/>
          <w:szCs w:val="24"/>
        </w:rPr>
        <w:t>;</w:t>
      </w:r>
    </w:p>
    <w:p w14:paraId="45A7C523" w14:textId="77777777" w:rsidR="00DC7663" w:rsidRPr="0038001F" w:rsidRDefault="00FE2B74" w:rsidP="003C5377">
      <w:pPr>
        <w:spacing w:line="240" w:lineRule="auto"/>
        <w:ind w:left="1800" w:hanging="360"/>
        <w:jc w:val="both"/>
        <w:rPr>
          <w:rFonts w:ascii="Times New Roman" w:hAnsi="Times New Roman" w:cs="Times New Roman"/>
          <w:sz w:val="24"/>
          <w:szCs w:val="24"/>
        </w:rPr>
      </w:pPr>
      <w:r w:rsidRPr="0038001F">
        <w:rPr>
          <w:rFonts w:ascii="Times New Roman" w:hAnsi="Times New Roman" w:cs="Times New Roman"/>
          <w:sz w:val="24"/>
          <w:szCs w:val="24"/>
        </w:rPr>
        <w:t>(ii) that the grounds of appeal were long, winding and no real issues arose from them.</w:t>
      </w:r>
    </w:p>
    <w:p w14:paraId="74E03C27" w14:textId="77777777" w:rsidR="00991125" w:rsidRPr="0038001F" w:rsidRDefault="00991125" w:rsidP="00991125">
      <w:pPr>
        <w:spacing w:line="240" w:lineRule="auto"/>
        <w:ind w:left="1560" w:hanging="426"/>
        <w:jc w:val="both"/>
        <w:rPr>
          <w:rFonts w:ascii="Times New Roman" w:hAnsi="Times New Roman" w:cs="Times New Roman"/>
          <w:sz w:val="24"/>
          <w:szCs w:val="24"/>
        </w:rPr>
      </w:pPr>
    </w:p>
    <w:p w14:paraId="10A74D8D" w14:textId="64793985" w:rsidR="00FE2B74" w:rsidRPr="0038001F" w:rsidRDefault="00451EC2" w:rsidP="004C64FF">
      <w:pPr>
        <w:pStyle w:val="ListParagraph"/>
        <w:numPr>
          <w:ilvl w:val="0"/>
          <w:numId w:val="3"/>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The court </w:t>
      </w:r>
      <w:r w:rsidR="00DC7663" w:rsidRPr="0038001F">
        <w:rPr>
          <w:rFonts w:ascii="Times New Roman" w:hAnsi="Times New Roman" w:cs="Times New Roman"/>
          <w:sz w:val="24"/>
          <w:szCs w:val="24"/>
        </w:rPr>
        <w:t xml:space="preserve">found that there was merit in </w:t>
      </w:r>
      <w:r w:rsidR="0055220C" w:rsidRPr="0038001F">
        <w:rPr>
          <w:rFonts w:ascii="Times New Roman" w:hAnsi="Times New Roman" w:cs="Times New Roman"/>
          <w:sz w:val="24"/>
          <w:szCs w:val="24"/>
        </w:rPr>
        <w:t xml:space="preserve">the </w:t>
      </w:r>
      <w:r w:rsidR="00F71114" w:rsidRPr="0038001F">
        <w:rPr>
          <w:rFonts w:ascii="Times New Roman" w:hAnsi="Times New Roman" w:cs="Times New Roman"/>
          <w:sz w:val="24"/>
          <w:szCs w:val="24"/>
        </w:rPr>
        <w:t xml:space="preserve">points </w:t>
      </w:r>
      <w:r w:rsidR="00F71114" w:rsidRPr="000F75C4">
        <w:rPr>
          <w:rFonts w:ascii="Times New Roman" w:hAnsi="Times New Roman" w:cs="Times New Roman"/>
          <w:i/>
          <w:sz w:val="24"/>
          <w:szCs w:val="24"/>
        </w:rPr>
        <w:t>in</w:t>
      </w:r>
      <w:r w:rsidR="00DC7663" w:rsidRPr="0038001F">
        <w:rPr>
          <w:rFonts w:ascii="Times New Roman" w:hAnsi="Times New Roman" w:cs="Times New Roman"/>
          <w:i/>
          <w:iCs/>
          <w:sz w:val="24"/>
          <w:szCs w:val="24"/>
        </w:rPr>
        <w:t xml:space="preserve"> </w:t>
      </w:r>
      <w:proofErr w:type="spellStart"/>
      <w:r w:rsidR="00DC7663" w:rsidRPr="0038001F">
        <w:rPr>
          <w:rFonts w:ascii="Times New Roman" w:hAnsi="Times New Roman" w:cs="Times New Roman"/>
          <w:i/>
          <w:iCs/>
          <w:sz w:val="24"/>
          <w:szCs w:val="24"/>
        </w:rPr>
        <w:t>limine</w:t>
      </w:r>
      <w:proofErr w:type="spellEnd"/>
      <w:r w:rsidR="00DC7663" w:rsidRPr="0038001F">
        <w:rPr>
          <w:rFonts w:ascii="Times New Roman" w:hAnsi="Times New Roman" w:cs="Times New Roman"/>
          <w:sz w:val="24"/>
          <w:szCs w:val="24"/>
        </w:rPr>
        <w:t xml:space="preserve"> raised by the respondent.</w:t>
      </w:r>
      <w:r w:rsidR="00FE2B74" w:rsidRPr="0038001F">
        <w:rPr>
          <w:rFonts w:ascii="Times New Roman" w:hAnsi="Times New Roman" w:cs="Times New Roman"/>
          <w:sz w:val="24"/>
          <w:szCs w:val="24"/>
        </w:rPr>
        <w:t xml:space="preserve"> </w:t>
      </w:r>
      <w:r w:rsidR="000F75C4">
        <w:rPr>
          <w:rFonts w:ascii="Times New Roman" w:hAnsi="Times New Roman" w:cs="Times New Roman"/>
          <w:sz w:val="24"/>
          <w:szCs w:val="24"/>
        </w:rPr>
        <w:t xml:space="preserve"> </w:t>
      </w:r>
      <w:r w:rsidR="00DC7663" w:rsidRPr="0038001F">
        <w:rPr>
          <w:rFonts w:ascii="Times New Roman" w:hAnsi="Times New Roman" w:cs="Times New Roman"/>
          <w:sz w:val="24"/>
          <w:szCs w:val="24"/>
        </w:rPr>
        <w:t xml:space="preserve">The appellant had sought and had been granted leave to appeal by </w:t>
      </w:r>
      <w:proofErr w:type="spellStart"/>
      <w:r w:rsidR="00DC7663" w:rsidRPr="0038001F">
        <w:rPr>
          <w:rFonts w:ascii="Times New Roman" w:hAnsi="Times New Roman" w:cs="Times New Roman"/>
          <w:sz w:val="24"/>
          <w:szCs w:val="24"/>
        </w:rPr>
        <w:t>Z</w:t>
      </w:r>
      <w:r w:rsidR="00991125" w:rsidRPr="0038001F">
        <w:rPr>
          <w:rFonts w:ascii="Times New Roman" w:hAnsi="Times New Roman" w:cs="Times New Roman"/>
          <w:smallCaps/>
          <w:sz w:val="24"/>
          <w:szCs w:val="24"/>
        </w:rPr>
        <w:t>iyambi</w:t>
      </w:r>
      <w:proofErr w:type="spellEnd"/>
      <w:r w:rsidR="00DC7663" w:rsidRPr="0038001F">
        <w:rPr>
          <w:rFonts w:ascii="Times New Roman" w:hAnsi="Times New Roman" w:cs="Times New Roman"/>
          <w:sz w:val="24"/>
          <w:szCs w:val="24"/>
        </w:rPr>
        <w:t xml:space="preserve"> </w:t>
      </w:r>
      <w:r w:rsidR="00F71114" w:rsidRPr="0038001F">
        <w:rPr>
          <w:rFonts w:ascii="Times New Roman" w:hAnsi="Times New Roman" w:cs="Times New Roman"/>
          <w:sz w:val="24"/>
          <w:szCs w:val="24"/>
        </w:rPr>
        <w:t>A</w:t>
      </w:r>
      <w:r w:rsidR="00DC7663" w:rsidRPr="0038001F">
        <w:rPr>
          <w:rFonts w:ascii="Times New Roman" w:hAnsi="Times New Roman" w:cs="Times New Roman"/>
          <w:sz w:val="24"/>
          <w:szCs w:val="24"/>
        </w:rPr>
        <w:t xml:space="preserve">JA </w:t>
      </w:r>
      <w:r w:rsidR="00F71114" w:rsidRPr="0038001F">
        <w:rPr>
          <w:rFonts w:ascii="Times New Roman" w:hAnsi="Times New Roman" w:cs="Times New Roman"/>
          <w:sz w:val="24"/>
          <w:szCs w:val="24"/>
        </w:rPr>
        <w:t xml:space="preserve">based on a draft Notice of Appeal, with 19 grounds of </w:t>
      </w:r>
      <w:r w:rsidR="00991125" w:rsidRPr="0038001F">
        <w:rPr>
          <w:rFonts w:ascii="Times New Roman" w:hAnsi="Times New Roman" w:cs="Times New Roman"/>
          <w:sz w:val="24"/>
          <w:szCs w:val="24"/>
        </w:rPr>
        <w:t>appeal that</w:t>
      </w:r>
      <w:r w:rsidR="00F71114" w:rsidRPr="0038001F">
        <w:rPr>
          <w:rFonts w:ascii="Times New Roman" w:hAnsi="Times New Roman" w:cs="Times New Roman"/>
          <w:sz w:val="24"/>
          <w:szCs w:val="24"/>
        </w:rPr>
        <w:t xml:space="preserve"> was attached to his </w:t>
      </w:r>
      <w:r w:rsidR="00991125" w:rsidRPr="0038001F">
        <w:rPr>
          <w:rFonts w:ascii="Times New Roman" w:hAnsi="Times New Roman" w:cs="Times New Roman"/>
          <w:sz w:val="24"/>
          <w:szCs w:val="24"/>
        </w:rPr>
        <w:t xml:space="preserve">application for leave. </w:t>
      </w:r>
      <w:r w:rsidR="000F75C4">
        <w:rPr>
          <w:rFonts w:ascii="Times New Roman" w:hAnsi="Times New Roman" w:cs="Times New Roman"/>
          <w:sz w:val="24"/>
          <w:szCs w:val="24"/>
        </w:rPr>
        <w:t xml:space="preserve"> </w:t>
      </w:r>
      <w:r w:rsidR="00F71114" w:rsidRPr="0038001F">
        <w:rPr>
          <w:rFonts w:ascii="Times New Roman" w:hAnsi="Times New Roman" w:cs="Times New Roman"/>
          <w:sz w:val="24"/>
          <w:szCs w:val="24"/>
        </w:rPr>
        <w:t xml:space="preserve">It is on the basis of those grounds that he was granted leave to appeal. </w:t>
      </w:r>
      <w:r w:rsidR="006F0C64">
        <w:rPr>
          <w:rFonts w:ascii="Times New Roman" w:hAnsi="Times New Roman" w:cs="Times New Roman"/>
          <w:sz w:val="24"/>
          <w:szCs w:val="24"/>
        </w:rPr>
        <w:t xml:space="preserve"> </w:t>
      </w:r>
      <w:r w:rsidR="00F71114" w:rsidRPr="0038001F">
        <w:rPr>
          <w:rFonts w:ascii="Times New Roman" w:hAnsi="Times New Roman" w:cs="Times New Roman"/>
          <w:sz w:val="24"/>
          <w:szCs w:val="24"/>
        </w:rPr>
        <w:t xml:space="preserve">He did not seek leave of the </w:t>
      </w:r>
      <w:r w:rsidR="006F0C64">
        <w:rPr>
          <w:rFonts w:ascii="Times New Roman" w:hAnsi="Times New Roman" w:cs="Times New Roman"/>
          <w:sz w:val="24"/>
          <w:szCs w:val="24"/>
        </w:rPr>
        <w:t>C</w:t>
      </w:r>
      <w:r w:rsidR="00F71114" w:rsidRPr="0038001F">
        <w:rPr>
          <w:rFonts w:ascii="Times New Roman" w:hAnsi="Times New Roman" w:cs="Times New Roman"/>
          <w:sz w:val="24"/>
          <w:szCs w:val="24"/>
        </w:rPr>
        <w:t xml:space="preserve">ourt to amend those grounds which was a violation or r 19 (3) of the Supreme </w:t>
      </w:r>
      <w:r w:rsidR="006F0C64">
        <w:rPr>
          <w:rFonts w:ascii="Times New Roman" w:hAnsi="Times New Roman" w:cs="Times New Roman"/>
          <w:sz w:val="24"/>
          <w:szCs w:val="24"/>
        </w:rPr>
        <w:t>Court Rules, 2018 (“the Rules”).</w:t>
      </w:r>
    </w:p>
    <w:p w14:paraId="5CA30EB2" w14:textId="1C0E3B7E" w:rsidR="00FF2CF3" w:rsidRPr="0038001F" w:rsidRDefault="006F0C64" w:rsidP="004C64FF">
      <w:pPr>
        <w:spacing w:after="0" w:line="480" w:lineRule="auto"/>
        <w:ind w:left="1429" w:firstLine="11"/>
        <w:jc w:val="both"/>
        <w:rPr>
          <w:rFonts w:ascii="Times New Roman" w:hAnsi="Times New Roman" w:cs="Times New Roman"/>
          <w:b/>
          <w:sz w:val="24"/>
          <w:szCs w:val="24"/>
        </w:rPr>
      </w:pPr>
      <w:r>
        <w:rPr>
          <w:rFonts w:ascii="Times New Roman" w:hAnsi="Times New Roman" w:cs="Times New Roman"/>
          <w:b/>
          <w:sz w:val="24"/>
          <w:szCs w:val="24"/>
        </w:rPr>
        <w:t>“</w:t>
      </w:r>
      <w:r w:rsidR="00FF2CF3" w:rsidRPr="0038001F">
        <w:rPr>
          <w:rFonts w:ascii="Times New Roman" w:hAnsi="Times New Roman" w:cs="Times New Roman"/>
          <w:b/>
          <w:sz w:val="24"/>
          <w:szCs w:val="24"/>
        </w:rPr>
        <w:t>Rule 19</w:t>
      </w:r>
      <w:r w:rsidR="007464FB">
        <w:rPr>
          <w:rFonts w:ascii="Times New Roman" w:hAnsi="Times New Roman" w:cs="Times New Roman"/>
          <w:b/>
          <w:sz w:val="24"/>
          <w:szCs w:val="24"/>
        </w:rPr>
        <w:t xml:space="preserve"> </w:t>
      </w:r>
      <w:r w:rsidR="00DC7663" w:rsidRPr="0038001F">
        <w:rPr>
          <w:rFonts w:ascii="Times New Roman" w:hAnsi="Times New Roman" w:cs="Times New Roman"/>
          <w:b/>
          <w:sz w:val="24"/>
          <w:szCs w:val="24"/>
        </w:rPr>
        <w:t>(3)</w:t>
      </w:r>
      <w:r w:rsidR="00FF2CF3" w:rsidRPr="0038001F">
        <w:rPr>
          <w:rFonts w:ascii="Times New Roman" w:hAnsi="Times New Roman" w:cs="Times New Roman"/>
          <w:b/>
          <w:sz w:val="24"/>
          <w:szCs w:val="24"/>
        </w:rPr>
        <w:t xml:space="preserve"> provid</w:t>
      </w:r>
      <w:r w:rsidR="00991125" w:rsidRPr="0038001F">
        <w:rPr>
          <w:rFonts w:ascii="Times New Roman" w:hAnsi="Times New Roman" w:cs="Times New Roman"/>
          <w:b/>
          <w:sz w:val="24"/>
          <w:szCs w:val="24"/>
        </w:rPr>
        <w:t>es:</w:t>
      </w:r>
    </w:p>
    <w:p w14:paraId="0C78B871" w14:textId="50D76467" w:rsidR="00DC7663" w:rsidRPr="0038001F" w:rsidRDefault="00FF2CF3" w:rsidP="006F0C64">
      <w:pPr>
        <w:spacing w:after="0" w:line="240" w:lineRule="auto"/>
        <w:ind w:left="1530"/>
        <w:jc w:val="both"/>
        <w:rPr>
          <w:rFonts w:ascii="Times New Roman" w:hAnsi="Times New Roman" w:cs="Times New Roman"/>
          <w:sz w:val="24"/>
          <w:szCs w:val="24"/>
        </w:rPr>
      </w:pPr>
      <w:r w:rsidRPr="0038001F">
        <w:rPr>
          <w:rFonts w:ascii="Times New Roman" w:hAnsi="Times New Roman" w:cs="Times New Roman"/>
          <w:sz w:val="24"/>
          <w:szCs w:val="24"/>
        </w:rPr>
        <w:lastRenderedPageBreak/>
        <w:t>The</w:t>
      </w:r>
      <w:r w:rsidR="00DC7663" w:rsidRPr="0038001F">
        <w:rPr>
          <w:rFonts w:ascii="Times New Roman" w:hAnsi="Times New Roman" w:cs="Times New Roman"/>
          <w:sz w:val="24"/>
          <w:szCs w:val="24"/>
          <w:u w:val="single"/>
        </w:rPr>
        <w:t xml:space="preserve"> appellant shall not, without leave of the Court, urge or be heard in support of any ground of appeal not set out when the appeal was noted or in respect of which leave to appeal was not granted,</w:t>
      </w:r>
      <w:r w:rsidR="00DC7663" w:rsidRPr="0038001F">
        <w:rPr>
          <w:rFonts w:ascii="Times New Roman" w:hAnsi="Times New Roman" w:cs="Times New Roman"/>
          <w:sz w:val="24"/>
          <w:szCs w:val="24"/>
        </w:rPr>
        <w:t xml:space="preserve"> or added under subrule (2), but the court in deciding the appeal shall not be confined to the grounds so stated: </w:t>
      </w:r>
    </w:p>
    <w:p w14:paraId="279BE282" w14:textId="77777777" w:rsidR="003876B4" w:rsidRPr="0038001F" w:rsidRDefault="003876B4" w:rsidP="00991125">
      <w:pPr>
        <w:pStyle w:val="Default"/>
        <w:ind w:firstLine="1134"/>
      </w:pPr>
    </w:p>
    <w:p w14:paraId="0E487AC1" w14:textId="77777777" w:rsidR="00DC7663" w:rsidRPr="0038001F" w:rsidRDefault="00DC7663" w:rsidP="006F0C64">
      <w:pPr>
        <w:pStyle w:val="Default"/>
        <w:ind w:left="396" w:firstLine="1134"/>
      </w:pPr>
      <w:r w:rsidRPr="0038001F">
        <w:t xml:space="preserve">Provided that the court shall not rest its decision on any— </w:t>
      </w:r>
    </w:p>
    <w:p w14:paraId="0D99FE55" w14:textId="1EBD5A08" w:rsidR="00DC7663" w:rsidRPr="0038001F" w:rsidRDefault="00DC7663" w:rsidP="006F0C64">
      <w:pPr>
        <w:pStyle w:val="Default"/>
        <w:tabs>
          <w:tab w:val="left" w:pos="142"/>
        </w:tabs>
        <w:ind w:left="2340" w:hanging="270"/>
      </w:pPr>
      <w:r w:rsidRPr="0038001F">
        <w:t>(</w:t>
      </w:r>
      <w:proofErr w:type="spellStart"/>
      <w:r w:rsidRPr="0038001F">
        <w:t>i</w:t>
      </w:r>
      <w:proofErr w:type="spellEnd"/>
      <w:r w:rsidRPr="0038001F">
        <w:t xml:space="preserve">) other ground unless the parties have had sufficient </w:t>
      </w:r>
      <w:r w:rsidR="00451EC2" w:rsidRPr="0038001F">
        <w:t>opportunity of</w:t>
      </w:r>
      <w:r w:rsidRPr="0038001F">
        <w:t xml:space="preserve"> contesting the case on that ground; </w:t>
      </w:r>
    </w:p>
    <w:p w14:paraId="1B0CFC1F" w14:textId="268D25B5" w:rsidR="00DC7663" w:rsidRPr="0038001F" w:rsidRDefault="00DC7663" w:rsidP="006F0C64">
      <w:pPr>
        <w:spacing w:after="0" w:line="240" w:lineRule="auto"/>
        <w:ind w:left="2340" w:hanging="270"/>
        <w:jc w:val="both"/>
        <w:rPr>
          <w:rFonts w:ascii="Times New Roman" w:hAnsi="Times New Roman" w:cs="Times New Roman"/>
          <w:sz w:val="24"/>
          <w:szCs w:val="24"/>
        </w:rPr>
      </w:pPr>
      <w:r w:rsidRPr="0038001F">
        <w:rPr>
          <w:rFonts w:ascii="Times New Roman" w:hAnsi="Times New Roman" w:cs="Times New Roman"/>
          <w:sz w:val="24"/>
          <w:szCs w:val="24"/>
        </w:rPr>
        <w:t>(ii) ground for which leave to appeal i</w:t>
      </w:r>
      <w:r w:rsidR="00991125" w:rsidRPr="0038001F">
        <w:rPr>
          <w:rFonts w:ascii="Times New Roman" w:hAnsi="Times New Roman" w:cs="Times New Roman"/>
          <w:sz w:val="24"/>
          <w:szCs w:val="24"/>
        </w:rPr>
        <w:t xml:space="preserve">s necessary, if leave to appeal </w:t>
      </w:r>
      <w:r w:rsidRPr="0038001F">
        <w:rPr>
          <w:rFonts w:ascii="Times New Roman" w:hAnsi="Times New Roman" w:cs="Times New Roman"/>
          <w:sz w:val="24"/>
          <w:szCs w:val="24"/>
        </w:rPr>
        <w:t xml:space="preserve">on such </w:t>
      </w:r>
      <w:r w:rsidR="006F0C64">
        <w:rPr>
          <w:rFonts w:ascii="Times New Roman" w:hAnsi="Times New Roman" w:cs="Times New Roman"/>
          <w:sz w:val="24"/>
          <w:szCs w:val="24"/>
        </w:rPr>
        <w:t xml:space="preserve">  </w:t>
      </w:r>
      <w:r w:rsidRPr="0038001F">
        <w:rPr>
          <w:rFonts w:ascii="Times New Roman" w:hAnsi="Times New Roman" w:cs="Times New Roman"/>
          <w:sz w:val="24"/>
          <w:szCs w:val="24"/>
        </w:rPr>
        <w:t xml:space="preserve">ground has not been </w:t>
      </w:r>
      <w:r w:rsidR="0055220C" w:rsidRPr="0038001F">
        <w:rPr>
          <w:rFonts w:ascii="Times New Roman" w:hAnsi="Times New Roman" w:cs="Times New Roman"/>
          <w:sz w:val="24"/>
          <w:szCs w:val="24"/>
        </w:rPr>
        <w:t>granted</w:t>
      </w:r>
      <w:r w:rsidR="00651989">
        <w:rPr>
          <w:rFonts w:ascii="Times New Roman" w:hAnsi="Times New Roman" w:cs="Times New Roman"/>
          <w:sz w:val="24"/>
          <w:szCs w:val="24"/>
        </w:rPr>
        <w:t>.</w:t>
      </w:r>
      <w:r w:rsidR="00FF2CF3" w:rsidRPr="0038001F">
        <w:rPr>
          <w:rFonts w:ascii="Times New Roman" w:hAnsi="Times New Roman" w:cs="Times New Roman"/>
          <w:sz w:val="24"/>
          <w:szCs w:val="24"/>
        </w:rPr>
        <w:t>”</w:t>
      </w:r>
      <w:r w:rsidR="0055220C" w:rsidRPr="0038001F">
        <w:rPr>
          <w:rFonts w:ascii="Times New Roman" w:hAnsi="Times New Roman" w:cs="Times New Roman"/>
          <w:sz w:val="24"/>
          <w:szCs w:val="24"/>
        </w:rPr>
        <w:t xml:space="preserve"> (</w:t>
      </w:r>
      <w:r w:rsidR="00651989">
        <w:rPr>
          <w:rFonts w:ascii="Times New Roman" w:hAnsi="Times New Roman" w:cs="Times New Roman"/>
          <w:sz w:val="24"/>
          <w:szCs w:val="24"/>
        </w:rPr>
        <w:t>M</w:t>
      </w:r>
      <w:r w:rsidRPr="0038001F">
        <w:rPr>
          <w:rFonts w:ascii="Times New Roman" w:hAnsi="Times New Roman" w:cs="Times New Roman"/>
          <w:sz w:val="24"/>
          <w:szCs w:val="24"/>
        </w:rPr>
        <w:t>y emphasis)</w:t>
      </w:r>
    </w:p>
    <w:p w14:paraId="0EF2B921" w14:textId="77777777" w:rsidR="003876B4" w:rsidRPr="0038001F" w:rsidRDefault="003876B4" w:rsidP="00991125">
      <w:pPr>
        <w:spacing w:after="0" w:line="240" w:lineRule="auto"/>
        <w:ind w:left="2268" w:hanging="425"/>
        <w:jc w:val="both"/>
        <w:rPr>
          <w:rFonts w:ascii="Times New Roman" w:hAnsi="Times New Roman" w:cs="Times New Roman"/>
          <w:sz w:val="24"/>
          <w:szCs w:val="24"/>
        </w:rPr>
      </w:pPr>
    </w:p>
    <w:p w14:paraId="357086FC" w14:textId="77777777" w:rsidR="00991125" w:rsidRPr="0038001F" w:rsidRDefault="00991125" w:rsidP="00991125">
      <w:pPr>
        <w:spacing w:after="0" w:line="240" w:lineRule="auto"/>
        <w:ind w:left="2268" w:hanging="425"/>
        <w:jc w:val="both"/>
        <w:rPr>
          <w:rFonts w:ascii="Times New Roman" w:hAnsi="Times New Roman" w:cs="Times New Roman"/>
          <w:sz w:val="24"/>
          <w:szCs w:val="24"/>
        </w:rPr>
      </w:pPr>
    </w:p>
    <w:p w14:paraId="5CEF24E6" w14:textId="01AF87F7" w:rsidR="0055220C" w:rsidRDefault="00DC7663" w:rsidP="00651989">
      <w:pPr>
        <w:pStyle w:val="ListParagraph"/>
        <w:numPr>
          <w:ilvl w:val="0"/>
          <w:numId w:val="3"/>
        </w:numPr>
        <w:tabs>
          <w:tab w:val="left" w:pos="450"/>
        </w:tabs>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R</w:t>
      </w:r>
      <w:r w:rsidR="003876B4" w:rsidRPr="0038001F">
        <w:rPr>
          <w:rFonts w:ascii="Times New Roman" w:hAnsi="Times New Roman" w:cs="Times New Roman"/>
          <w:sz w:val="24"/>
          <w:szCs w:val="24"/>
        </w:rPr>
        <w:t>ule</w:t>
      </w:r>
      <w:r w:rsidR="00BC5600" w:rsidRPr="0038001F">
        <w:rPr>
          <w:rFonts w:ascii="Times New Roman" w:hAnsi="Times New Roman" w:cs="Times New Roman"/>
          <w:sz w:val="24"/>
          <w:szCs w:val="24"/>
        </w:rPr>
        <w:t xml:space="preserve"> 19 of the Rules </w:t>
      </w:r>
      <w:r w:rsidRPr="0038001F">
        <w:rPr>
          <w:rFonts w:ascii="Times New Roman" w:hAnsi="Times New Roman" w:cs="Times New Roman"/>
          <w:sz w:val="24"/>
          <w:szCs w:val="24"/>
        </w:rPr>
        <w:t xml:space="preserve">is couched </w:t>
      </w:r>
      <w:r w:rsidR="0055220C" w:rsidRPr="0038001F">
        <w:rPr>
          <w:rFonts w:ascii="Times New Roman" w:hAnsi="Times New Roman" w:cs="Times New Roman"/>
          <w:sz w:val="24"/>
          <w:szCs w:val="24"/>
        </w:rPr>
        <w:t>in peremptory</w:t>
      </w:r>
      <w:r w:rsidRPr="0038001F">
        <w:rPr>
          <w:rFonts w:ascii="Times New Roman" w:hAnsi="Times New Roman" w:cs="Times New Roman"/>
          <w:sz w:val="24"/>
          <w:szCs w:val="24"/>
        </w:rPr>
        <w:t xml:space="preserve"> terms.</w:t>
      </w:r>
      <w:r w:rsidR="00BC5600" w:rsidRPr="0038001F">
        <w:rPr>
          <w:rFonts w:ascii="Times New Roman" w:hAnsi="Times New Roman" w:cs="Times New Roman"/>
          <w:sz w:val="24"/>
          <w:szCs w:val="24"/>
        </w:rPr>
        <w:t xml:space="preserve"> </w:t>
      </w:r>
      <w:r w:rsidR="00C364D9">
        <w:rPr>
          <w:rFonts w:ascii="Times New Roman" w:hAnsi="Times New Roman" w:cs="Times New Roman"/>
          <w:sz w:val="24"/>
          <w:szCs w:val="24"/>
        </w:rPr>
        <w:t xml:space="preserve"> </w:t>
      </w:r>
      <w:r w:rsidR="00FF2CF3" w:rsidRPr="0038001F">
        <w:rPr>
          <w:rFonts w:ascii="Times New Roman" w:hAnsi="Times New Roman" w:cs="Times New Roman"/>
          <w:sz w:val="24"/>
          <w:szCs w:val="24"/>
        </w:rPr>
        <w:t xml:space="preserve">It obligates a party who intends to rely on grounds of appeal other than those set out when the appeal was noted or in respect of which leave was </w:t>
      </w:r>
      <w:r w:rsidR="00C83489" w:rsidRPr="0038001F">
        <w:rPr>
          <w:rFonts w:ascii="Times New Roman" w:hAnsi="Times New Roman" w:cs="Times New Roman"/>
          <w:sz w:val="24"/>
          <w:szCs w:val="24"/>
        </w:rPr>
        <w:t>not granted</w:t>
      </w:r>
      <w:r w:rsidR="00FF2CF3" w:rsidRPr="0038001F">
        <w:rPr>
          <w:rFonts w:ascii="Times New Roman" w:hAnsi="Times New Roman" w:cs="Times New Roman"/>
          <w:sz w:val="24"/>
          <w:szCs w:val="24"/>
        </w:rPr>
        <w:t xml:space="preserve"> to seek leave of the court.</w:t>
      </w:r>
      <w:r w:rsidR="00C83489" w:rsidRPr="0038001F">
        <w:rPr>
          <w:rFonts w:ascii="Times New Roman" w:hAnsi="Times New Roman" w:cs="Times New Roman"/>
          <w:sz w:val="24"/>
          <w:szCs w:val="24"/>
        </w:rPr>
        <w:t xml:space="preserve"> </w:t>
      </w:r>
      <w:r w:rsidR="00C364D9">
        <w:rPr>
          <w:rFonts w:ascii="Times New Roman" w:hAnsi="Times New Roman" w:cs="Times New Roman"/>
          <w:sz w:val="24"/>
          <w:szCs w:val="24"/>
        </w:rPr>
        <w:t xml:space="preserve"> </w:t>
      </w:r>
      <w:r w:rsidR="00C83489" w:rsidRPr="0038001F">
        <w:rPr>
          <w:rFonts w:ascii="Times New Roman" w:hAnsi="Times New Roman" w:cs="Times New Roman"/>
          <w:sz w:val="24"/>
          <w:szCs w:val="24"/>
        </w:rPr>
        <w:t>The mischief sought to be cured by this rule is to avoid ambushing the court and the respondent.</w:t>
      </w:r>
      <w:r w:rsidR="00FF2CF3" w:rsidRPr="0038001F">
        <w:rPr>
          <w:rFonts w:ascii="Times New Roman" w:hAnsi="Times New Roman" w:cs="Times New Roman"/>
          <w:sz w:val="24"/>
          <w:szCs w:val="24"/>
        </w:rPr>
        <w:t xml:space="preserve"> </w:t>
      </w:r>
      <w:r w:rsidR="00C83489" w:rsidRPr="0038001F">
        <w:rPr>
          <w:rFonts w:ascii="Times New Roman" w:hAnsi="Times New Roman" w:cs="Times New Roman"/>
          <w:sz w:val="24"/>
          <w:szCs w:val="24"/>
        </w:rPr>
        <w:t xml:space="preserve"> Such an approach will clearly cause prejudice to the other party/</w:t>
      </w:r>
      <w:r w:rsidR="009D6CDA" w:rsidRPr="0038001F">
        <w:rPr>
          <w:rFonts w:ascii="Times New Roman" w:hAnsi="Times New Roman" w:cs="Times New Roman"/>
          <w:sz w:val="24"/>
          <w:szCs w:val="24"/>
        </w:rPr>
        <w:t xml:space="preserve">parties. </w:t>
      </w:r>
      <w:r w:rsidR="003876B4" w:rsidRPr="0038001F">
        <w:rPr>
          <w:rFonts w:ascii="Times New Roman" w:hAnsi="Times New Roman" w:cs="Times New Roman"/>
          <w:sz w:val="24"/>
          <w:szCs w:val="24"/>
        </w:rPr>
        <w:t xml:space="preserve"> </w:t>
      </w:r>
      <w:r w:rsidR="009D6CDA" w:rsidRPr="0038001F">
        <w:rPr>
          <w:rFonts w:ascii="Times New Roman" w:hAnsi="Times New Roman" w:cs="Times New Roman"/>
          <w:sz w:val="24"/>
          <w:szCs w:val="24"/>
        </w:rPr>
        <w:t>This</w:t>
      </w:r>
      <w:r w:rsidR="00FE2B74" w:rsidRPr="0038001F">
        <w:rPr>
          <w:rFonts w:ascii="Times New Roman" w:hAnsi="Times New Roman" w:cs="Times New Roman"/>
          <w:sz w:val="24"/>
          <w:szCs w:val="24"/>
        </w:rPr>
        <w:t xml:space="preserve"> Court, </w:t>
      </w:r>
      <w:r w:rsidR="003925CB" w:rsidRPr="0038001F">
        <w:rPr>
          <w:rFonts w:ascii="Times New Roman" w:hAnsi="Times New Roman" w:cs="Times New Roman"/>
          <w:sz w:val="24"/>
          <w:szCs w:val="24"/>
        </w:rPr>
        <w:t>therefore, upheld</w:t>
      </w:r>
      <w:r w:rsidR="009D6CDA" w:rsidRPr="0038001F">
        <w:rPr>
          <w:rFonts w:ascii="Times New Roman" w:hAnsi="Times New Roman" w:cs="Times New Roman"/>
          <w:sz w:val="24"/>
          <w:szCs w:val="24"/>
        </w:rPr>
        <w:t xml:space="preserve"> the point </w:t>
      </w:r>
      <w:r w:rsidR="009D6CDA" w:rsidRPr="0038001F">
        <w:rPr>
          <w:rFonts w:ascii="Times New Roman" w:hAnsi="Times New Roman" w:cs="Times New Roman"/>
          <w:i/>
          <w:iCs/>
          <w:sz w:val="24"/>
          <w:szCs w:val="24"/>
        </w:rPr>
        <w:t xml:space="preserve">in </w:t>
      </w:r>
      <w:proofErr w:type="spellStart"/>
      <w:r w:rsidR="009D6CDA" w:rsidRPr="0038001F">
        <w:rPr>
          <w:rFonts w:ascii="Times New Roman" w:hAnsi="Times New Roman" w:cs="Times New Roman"/>
          <w:i/>
          <w:iCs/>
          <w:sz w:val="24"/>
          <w:szCs w:val="24"/>
        </w:rPr>
        <w:t>limine</w:t>
      </w:r>
      <w:proofErr w:type="spellEnd"/>
      <w:r w:rsidR="009D6CDA" w:rsidRPr="0038001F">
        <w:rPr>
          <w:rFonts w:ascii="Times New Roman" w:hAnsi="Times New Roman" w:cs="Times New Roman"/>
          <w:sz w:val="24"/>
          <w:szCs w:val="24"/>
        </w:rPr>
        <w:t xml:space="preserve"> and held that it will </w:t>
      </w:r>
      <w:r w:rsidR="00FE2B74" w:rsidRPr="0038001F">
        <w:rPr>
          <w:rFonts w:ascii="Times New Roman" w:hAnsi="Times New Roman" w:cs="Times New Roman"/>
          <w:sz w:val="24"/>
          <w:szCs w:val="24"/>
        </w:rPr>
        <w:t>proceed</w:t>
      </w:r>
      <w:r w:rsidR="009D6CDA" w:rsidRPr="0038001F">
        <w:rPr>
          <w:rFonts w:ascii="Times New Roman" w:hAnsi="Times New Roman" w:cs="Times New Roman"/>
          <w:sz w:val="24"/>
          <w:szCs w:val="24"/>
        </w:rPr>
        <w:t xml:space="preserve"> </w:t>
      </w:r>
      <w:r w:rsidR="00FE2B74" w:rsidRPr="0038001F">
        <w:rPr>
          <w:rFonts w:ascii="Times New Roman" w:hAnsi="Times New Roman" w:cs="Times New Roman"/>
          <w:sz w:val="24"/>
          <w:szCs w:val="24"/>
        </w:rPr>
        <w:t>to hear the matter based on the initial</w:t>
      </w:r>
      <w:r w:rsidR="009D6CDA" w:rsidRPr="0038001F">
        <w:rPr>
          <w:rFonts w:ascii="Times New Roman" w:hAnsi="Times New Roman" w:cs="Times New Roman"/>
          <w:sz w:val="24"/>
          <w:szCs w:val="24"/>
        </w:rPr>
        <w:t xml:space="preserve"> Notice of Appeal with the </w:t>
      </w:r>
      <w:r w:rsidR="00FE2B74" w:rsidRPr="0038001F">
        <w:rPr>
          <w:rFonts w:ascii="Times New Roman" w:hAnsi="Times New Roman" w:cs="Times New Roman"/>
          <w:sz w:val="24"/>
          <w:szCs w:val="24"/>
        </w:rPr>
        <w:t xml:space="preserve">19 grounds of appeal. </w:t>
      </w:r>
    </w:p>
    <w:p w14:paraId="45FFC37B" w14:textId="77777777" w:rsidR="00C364D9" w:rsidRPr="0038001F" w:rsidRDefault="00C364D9" w:rsidP="00C364D9">
      <w:pPr>
        <w:pStyle w:val="ListParagraph"/>
        <w:tabs>
          <w:tab w:val="left" w:pos="450"/>
        </w:tabs>
        <w:spacing w:after="0" w:line="240" w:lineRule="auto"/>
        <w:ind w:left="450"/>
        <w:jc w:val="both"/>
        <w:rPr>
          <w:rFonts w:ascii="Times New Roman" w:hAnsi="Times New Roman" w:cs="Times New Roman"/>
          <w:sz w:val="24"/>
          <w:szCs w:val="24"/>
        </w:rPr>
      </w:pPr>
    </w:p>
    <w:p w14:paraId="6DBACD61" w14:textId="6ABC1F7A" w:rsidR="00FE2B74" w:rsidRPr="0038001F" w:rsidRDefault="009D6CDA" w:rsidP="00C364D9">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Regarding the second preliminary issue, t</w:t>
      </w:r>
      <w:r w:rsidR="00FE2B74" w:rsidRPr="0038001F">
        <w:rPr>
          <w:rFonts w:ascii="Times New Roman" w:hAnsi="Times New Roman" w:cs="Times New Roman"/>
          <w:sz w:val="24"/>
          <w:szCs w:val="24"/>
        </w:rPr>
        <w:t>he Court</w:t>
      </w:r>
      <w:r w:rsidR="00BC5600"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was of the view </w:t>
      </w:r>
      <w:r w:rsidR="00BC5600" w:rsidRPr="0038001F">
        <w:rPr>
          <w:rFonts w:ascii="Times New Roman" w:hAnsi="Times New Roman" w:cs="Times New Roman"/>
          <w:sz w:val="24"/>
          <w:szCs w:val="24"/>
        </w:rPr>
        <w:t xml:space="preserve">that though the grounds </w:t>
      </w:r>
      <w:r w:rsidRPr="0038001F">
        <w:rPr>
          <w:rFonts w:ascii="Times New Roman" w:hAnsi="Times New Roman" w:cs="Times New Roman"/>
          <w:sz w:val="24"/>
          <w:szCs w:val="24"/>
        </w:rPr>
        <w:t>were long, winding and therefore not concise</w:t>
      </w:r>
      <w:r w:rsidR="00BC5600" w:rsidRPr="0038001F">
        <w:rPr>
          <w:rFonts w:ascii="Times New Roman" w:hAnsi="Times New Roman" w:cs="Times New Roman"/>
          <w:sz w:val="24"/>
          <w:szCs w:val="24"/>
        </w:rPr>
        <w:t xml:space="preserve">, they raised </w:t>
      </w:r>
      <w:r w:rsidR="00FE2B74" w:rsidRPr="0038001F">
        <w:rPr>
          <w:rFonts w:ascii="Times New Roman" w:hAnsi="Times New Roman" w:cs="Times New Roman"/>
          <w:sz w:val="24"/>
          <w:szCs w:val="24"/>
        </w:rPr>
        <w:t xml:space="preserve">one issue for </w:t>
      </w:r>
      <w:r w:rsidRPr="0038001F">
        <w:rPr>
          <w:rFonts w:ascii="Times New Roman" w:hAnsi="Times New Roman" w:cs="Times New Roman"/>
          <w:sz w:val="24"/>
          <w:szCs w:val="24"/>
        </w:rPr>
        <w:t xml:space="preserve">determination, which </w:t>
      </w:r>
      <w:r w:rsidR="00CE1D9B">
        <w:rPr>
          <w:rFonts w:ascii="Times New Roman" w:hAnsi="Times New Roman" w:cs="Times New Roman"/>
          <w:sz w:val="24"/>
          <w:szCs w:val="24"/>
        </w:rPr>
        <w:t>wa</w:t>
      </w:r>
      <w:r w:rsidRPr="0038001F">
        <w:rPr>
          <w:rFonts w:ascii="Times New Roman" w:hAnsi="Times New Roman" w:cs="Times New Roman"/>
          <w:sz w:val="24"/>
          <w:szCs w:val="24"/>
        </w:rPr>
        <w:t>s</w:t>
      </w:r>
      <w:r w:rsidR="00FE2B74" w:rsidRPr="0038001F">
        <w:rPr>
          <w:rFonts w:ascii="Times New Roman" w:hAnsi="Times New Roman" w:cs="Times New Roman"/>
          <w:sz w:val="24"/>
          <w:szCs w:val="24"/>
        </w:rPr>
        <w:t xml:space="preserve">, whether or not the court </w:t>
      </w:r>
      <w:r w:rsidR="00FE2B74" w:rsidRPr="0038001F">
        <w:rPr>
          <w:rFonts w:ascii="Times New Roman" w:hAnsi="Times New Roman" w:cs="Times New Roman"/>
          <w:i/>
          <w:sz w:val="24"/>
          <w:szCs w:val="24"/>
        </w:rPr>
        <w:t>a quo</w:t>
      </w:r>
      <w:r w:rsidR="00FE2B74" w:rsidRPr="0038001F">
        <w:rPr>
          <w:rFonts w:ascii="Times New Roman" w:hAnsi="Times New Roman" w:cs="Times New Roman"/>
          <w:sz w:val="24"/>
          <w:szCs w:val="24"/>
        </w:rPr>
        <w:t xml:space="preserve"> erred in convicting the appellant</w:t>
      </w:r>
      <w:r w:rsidR="0055220C" w:rsidRPr="0038001F">
        <w:rPr>
          <w:rFonts w:ascii="Times New Roman" w:hAnsi="Times New Roman" w:cs="Times New Roman"/>
          <w:sz w:val="24"/>
          <w:szCs w:val="24"/>
        </w:rPr>
        <w:t xml:space="preserve"> of the murder of the deceased</w:t>
      </w:r>
      <w:r w:rsidR="00FE2B74" w:rsidRPr="0038001F">
        <w:rPr>
          <w:rFonts w:ascii="Times New Roman" w:hAnsi="Times New Roman" w:cs="Times New Roman"/>
          <w:sz w:val="24"/>
          <w:szCs w:val="24"/>
        </w:rPr>
        <w:t>.</w:t>
      </w:r>
      <w:r w:rsidR="00BC5600" w:rsidRPr="0038001F">
        <w:rPr>
          <w:rFonts w:ascii="Times New Roman" w:hAnsi="Times New Roman" w:cs="Times New Roman"/>
          <w:sz w:val="24"/>
          <w:szCs w:val="24"/>
        </w:rPr>
        <w:t xml:space="preserve"> </w:t>
      </w:r>
      <w:r w:rsidR="003876B4" w:rsidRPr="0038001F">
        <w:rPr>
          <w:rFonts w:ascii="Times New Roman" w:hAnsi="Times New Roman" w:cs="Times New Roman"/>
          <w:sz w:val="24"/>
          <w:szCs w:val="24"/>
        </w:rPr>
        <w:t xml:space="preserve"> </w:t>
      </w:r>
      <w:r w:rsidR="008104CD" w:rsidRPr="0038001F">
        <w:rPr>
          <w:rFonts w:ascii="Times New Roman" w:hAnsi="Times New Roman" w:cs="Times New Roman"/>
          <w:sz w:val="24"/>
          <w:szCs w:val="24"/>
        </w:rPr>
        <w:t xml:space="preserve">Due to the </w:t>
      </w:r>
      <w:r w:rsidR="0055220C" w:rsidRPr="0038001F">
        <w:rPr>
          <w:rFonts w:ascii="Times New Roman" w:hAnsi="Times New Roman" w:cs="Times New Roman"/>
          <w:sz w:val="24"/>
          <w:szCs w:val="24"/>
        </w:rPr>
        <w:t xml:space="preserve">prolix </w:t>
      </w:r>
      <w:r w:rsidR="008104CD" w:rsidRPr="0038001F">
        <w:rPr>
          <w:rFonts w:ascii="Times New Roman" w:hAnsi="Times New Roman" w:cs="Times New Roman"/>
          <w:sz w:val="24"/>
          <w:szCs w:val="24"/>
        </w:rPr>
        <w:t xml:space="preserve">nature of the grounds of appeal, </w:t>
      </w:r>
      <w:r w:rsidR="0055220C" w:rsidRPr="0038001F">
        <w:rPr>
          <w:rFonts w:ascii="Times New Roman" w:hAnsi="Times New Roman" w:cs="Times New Roman"/>
          <w:sz w:val="24"/>
          <w:szCs w:val="24"/>
        </w:rPr>
        <w:t xml:space="preserve">it </w:t>
      </w:r>
      <w:r w:rsidR="008104CD" w:rsidRPr="0038001F">
        <w:rPr>
          <w:rFonts w:ascii="Times New Roman" w:hAnsi="Times New Roman" w:cs="Times New Roman"/>
          <w:sz w:val="24"/>
          <w:szCs w:val="24"/>
        </w:rPr>
        <w:t>shall not be</w:t>
      </w:r>
      <w:r w:rsidR="0055220C" w:rsidRPr="0038001F">
        <w:rPr>
          <w:rFonts w:ascii="Times New Roman" w:hAnsi="Times New Roman" w:cs="Times New Roman"/>
          <w:sz w:val="24"/>
          <w:szCs w:val="24"/>
        </w:rPr>
        <w:t xml:space="preserve"> necessary to regurgitate them.</w:t>
      </w:r>
      <w:r w:rsidR="008104CD" w:rsidRPr="0038001F">
        <w:rPr>
          <w:rFonts w:ascii="Times New Roman" w:hAnsi="Times New Roman" w:cs="Times New Roman"/>
          <w:sz w:val="24"/>
          <w:szCs w:val="24"/>
        </w:rPr>
        <w:t xml:space="preserve"> </w:t>
      </w:r>
    </w:p>
    <w:p w14:paraId="13A4E92C" w14:textId="77777777" w:rsidR="007C0F86" w:rsidRPr="0038001F" w:rsidRDefault="007C0F86" w:rsidP="00A22714">
      <w:pPr>
        <w:spacing w:after="0" w:line="240" w:lineRule="auto"/>
        <w:ind w:left="360"/>
        <w:jc w:val="both"/>
        <w:rPr>
          <w:rFonts w:ascii="Times New Roman" w:hAnsi="Times New Roman" w:cs="Times New Roman"/>
          <w:sz w:val="24"/>
          <w:szCs w:val="24"/>
        </w:rPr>
      </w:pPr>
    </w:p>
    <w:p w14:paraId="2E0E9D06" w14:textId="260C897F" w:rsidR="007C0F86" w:rsidRPr="0038001F" w:rsidRDefault="00F34807" w:rsidP="00271293">
      <w:pPr>
        <w:spacing w:line="36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t>SUBMISSIONS BEFORE THIS COURT</w:t>
      </w:r>
    </w:p>
    <w:p w14:paraId="02BCC432" w14:textId="5ECC4B6E" w:rsidR="007C0F86" w:rsidRDefault="00E03A1E" w:rsidP="00A22714">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The appellant argued that the confirmed warned and cautioned statement was not supposed to be taken </w:t>
      </w:r>
      <w:r w:rsidR="005841C7" w:rsidRPr="0038001F">
        <w:rPr>
          <w:rFonts w:ascii="Times New Roman" w:hAnsi="Times New Roman" w:cs="Times New Roman"/>
          <w:sz w:val="24"/>
          <w:szCs w:val="24"/>
        </w:rPr>
        <w:t xml:space="preserve">as evidence in the court </w:t>
      </w:r>
      <w:r w:rsidR="005841C7" w:rsidRPr="0038001F">
        <w:rPr>
          <w:rFonts w:ascii="Times New Roman" w:hAnsi="Times New Roman" w:cs="Times New Roman"/>
          <w:i/>
          <w:sz w:val="24"/>
          <w:szCs w:val="24"/>
        </w:rPr>
        <w:t>a quo</w:t>
      </w:r>
      <w:r w:rsidR="005841C7" w:rsidRPr="0038001F">
        <w:rPr>
          <w:rFonts w:ascii="Times New Roman" w:hAnsi="Times New Roman" w:cs="Times New Roman"/>
          <w:sz w:val="24"/>
          <w:szCs w:val="24"/>
        </w:rPr>
        <w:t xml:space="preserve"> as he was forced to make the statement and subsequently</w:t>
      </w:r>
      <w:r w:rsidR="009D6CDA" w:rsidRPr="0038001F">
        <w:rPr>
          <w:rFonts w:ascii="Times New Roman" w:hAnsi="Times New Roman" w:cs="Times New Roman"/>
          <w:sz w:val="24"/>
          <w:szCs w:val="24"/>
        </w:rPr>
        <w:t xml:space="preserve"> to have it confirmed</w:t>
      </w:r>
      <w:r w:rsidR="003876B4" w:rsidRPr="0038001F">
        <w:rPr>
          <w:rFonts w:ascii="Times New Roman" w:hAnsi="Times New Roman" w:cs="Times New Roman"/>
          <w:sz w:val="24"/>
          <w:szCs w:val="24"/>
        </w:rPr>
        <w:t xml:space="preserve">.  </w:t>
      </w:r>
      <w:r w:rsidR="005841C7" w:rsidRPr="0038001F">
        <w:rPr>
          <w:rFonts w:ascii="Times New Roman" w:hAnsi="Times New Roman" w:cs="Times New Roman"/>
          <w:sz w:val="24"/>
          <w:szCs w:val="24"/>
        </w:rPr>
        <w:t>He also submitted that the pathologist’s evidence</w:t>
      </w:r>
      <w:r w:rsidR="00D07CF3" w:rsidRPr="0038001F">
        <w:rPr>
          <w:rFonts w:ascii="Times New Roman" w:hAnsi="Times New Roman" w:cs="Times New Roman"/>
          <w:sz w:val="24"/>
          <w:szCs w:val="24"/>
        </w:rPr>
        <w:t xml:space="preserve"> </w:t>
      </w:r>
      <w:r w:rsidR="005841C7" w:rsidRPr="0038001F">
        <w:rPr>
          <w:rFonts w:ascii="Times New Roman" w:hAnsi="Times New Roman" w:cs="Times New Roman"/>
          <w:sz w:val="24"/>
          <w:szCs w:val="24"/>
        </w:rPr>
        <w:t xml:space="preserve">was not </w:t>
      </w:r>
      <w:r w:rsidR="005841C7" w:rsidRPr="0038001F">
        <w:rPr>
          <w:rFonts w:ascii="Times New Roman" w:hAnsi="Times New Roman" w:cs="Times New Roman"/>
          <w:sz w:val="24"/>
          <w:szCs w:val="24"/>
        </w:rPr>
        <w:lastRenderedPageBreak/>
        <w:t>enough in the absence of an x-ray showing that the deceased had a skull fracture measuring 10 centimeters long.</w:t>
      </w:r>
      <w:r w:rsidR="00A22714">
        <w:rPr>
          <w:rFonts w:ascii="Times New Roman" w:hAnsi="Times New Roman" w:cs="Times New Roman"/>
          <w:sz w:val="24"/>
          <w:szCs w:val="24"/>
        </w:rPr>
        <w:t xml:space="preserve">  </w:t>
      </w:r>
      <w:r w:rsidR="005841C7" w:rsidRPr="0038001F">
        <w:rPr>
          <w:rFonts w:ascii="Times New Roman" w:hAnsi="Times New Roman" w:cs="Times New Roman"/>
          <w:sz w:val="24"/>
          <w:szCs w:val="24"/>
        </w:rPr>
        <w:t xml:space="preserve">Further, the appellant contended that the pathologist’s affidavit was </w:t>
      </w:r>
      <w:r w:rsidR="009D6CDA" w:rsidRPr="0038001F">
        <w:rPr>
          <w:rFonts w:ascii="Times New Roman" w:hAnsi="Times New Roman" w:cs="Times New Roman"/>
          <w:sz w:val="24"/>
          <w:szCs w:val="24"/>
        </w:rPr>
        <w:t xml:space="preserve">commissioned </w:t>
      </w:r>
      <w:r w:rsidR="005841C7" w:rsidRPr="0038001F">
        <w:rPr>
          <w:rFonts w:ascii="Times New Roman" w:hAnsi="Times New Roman" w:cs="Times New Roman"/>
          <w:sz w:val="24"/>
          <w:szCs w:val="24"/>
        </w:rPr>
        <w:t>a year later and that it was not true that it was a mistake on the date as stated at the trial.</w:t>
      </w:r>
      <w:r w:rsidR="00D07CF3" w:rsidRPr="0038001F">
        <w:rPr>
          <w:rFonts w:ascii="Times New Roman" w:hAnsi="Times New Roman" w:cs="Times New Roman"/>
          <w:sz w:val="24"/>
          <w:szCs w:val="24"/>
        </w:rPr>
        <w:t xml:space="preserve"> </w:t>
      </w:r>
      <w:r w:rsidR="003876B4" w:rsidRPr="0038001F">
        <w:rPr>
          <w:rFonts w:ascii="Times New Roman" w:hAnsi="Times New Roman" w:cs="Times New Roman"/>
          <w:sz w:val="24"/>
          <w:szCs w:val="24"/>
        </w:rPr>
        <w:t xml:space="preserve"> </w:t>
      </w:r>
      <w:r w:rsidR="004F396F" w:rsidRPr="0038001F">
        <w:rPr>
          <w:rFonts w:ascii="Times New Roman" w:hAnsi="Times New Roman" w:cs="Times New Roman"/>
          <w:sz w:val="24"/>
          <w:szCs w:val="24"/>
        </w:rPr>
        <w:t>In addition,</w:t>
      </w:r>
      <w:r w:rsidR="00D07CF3" w:rsidRPr="0038001F">
        <w:rPr>
          <w:rFonts w:ascii="Times New Roman" w:hAnsi="Times New Roman" w:cs="Times New Roman"/>
          <w:sz w:val="24"/>
          <w:szCs w:val="24"/>
        </w:rPr>
        <w:t xml:space="preserve"> </w:t>
      </w:r>
      <w:r w:rsidR="004F396F" w:rsidRPr="0038001F">
        <w:rPr>
          <w:rFonts w:ascii="Times New Roman" w:hAnsi="Times New Roman" w:cs="Times New Roman"/>
          <w:sz w:val="24"/>
          <w:szCs w:val="24"/>
        </w:rPr>
        <w:t>the appellant submitted that the forensic scientist’s evidence that the blood samples from the deceased’s house matched t</w:t>
      </w:r>
      <w:r w:rsidR="00A22714">
        <w:rPr>
          <w:rFonts w:ascii="Times New Roman" w:hAnsi="Times New Roman" w:cs="Times New Roman"/>
          <w:sz w:val="24"/>
          <w:szCs w:val="24"/>
        </w:rPr>
        <w:t xml:space="preserve">he appellant’s blood was false.  </w:t>
      </w:r>
      <w:r w:rsidR="004F396F" w:rsidRPr="0038001F">
        <w:rPr>
          <w:rFonts w:ascii="Times New Roman" w:hAnsi="Times New Roman" w:cs="Times New Roman"/>
          <w:sz w:val="24"/>
          <w:szCs w:val="24"/>
        </w:rPr>
        <w:t xml:space="preserve">Lastly, he argued that the suitcase that was mentioned in Katie Ndebele’s evidence was a different one from the </w:t>
      </w:r>
      <w:r w:rsidR="00A22714" w:rsidRPr="0038001F">
        <w:rPr>
          <w:rFonts w:ascii="Times New Roman" w:hAnsi="Times New Roman" w:cs="Times New Roman"/>
          <w:sz w:val="24"/>
          <w:szCs w:val="24"/>
        </w:rPr>
        <w:t>one the</w:t>
      </w:r>
      <w:r w:rsidR="004F396F" w:rsidRPr="0038001F">
        <w:rPr>
          <w:rFonts w:ascii="Times New Roman" w:hAnsi="Times New Roman" w:cs="Times New Roman"/>
          <w:sz w:val="24"/>
          <w:szCs w:val="24"/>
        </w:rPr>
        <w:t xml:space="preserve"> deceased was found in.</w:t>
      </w:r>
    </w:p>
    <w:p w14:paraId="5E76A548" w14:textId="77777777" w:rsidR="00A22714" w:rsidRPr="0038001F" w:rsidRDefault="00A22714" w:rsidP="00A22714">
      <w:pPr>
        <w:pStyle w:val="ListParagraph"/>
        <w:spacing w:after="0" w:line="240" w:lineRule="auto"/>
        <w:ind w:left="450"/>
        <w:jc w:val="both"/>
        <w:rPr>
          <w:rFonts w:ascii="Times New Roman" w:hAnsi="Times New Roman" w:cs="Times New Roman"/>
          <w:sz w:val="24"/>
          <w:szCs w:val="24"/>
        </w:rPr>
      </w:pPr>
    </w:p>
    <w:p w14:paraId="5BE17250" w14:textId="6D980232" w:rsidR="004F396F" w:rsidRPr="0038001F" w:rsidRDefault="004F396F" w:rsidP="00A22714">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i/>
          <w:sz w:val="24"/>
          <w:szCs w:val="24"/>
        </w:rPr>
        <w:t>Per contra</w:t>
      </w:r>
      <w:r w:rsidRPr="0038001F">
        <w:rPr>
          <w:rFonts w:ascii="Times New Roman" w:hAnsi="Times New Roman" w:cs="Times New Roman"/>
          <w:sz w:val="24"/>
          <w:szCs w:val="24"/>
        </w:rPr>
        <w:t xml:space="preserve">, counsel for the respondent submitted that the confirmed warned and cautioned </w:t>
      </w:r>
      <w:r w:rsidR="00A30EC6" w:rsidRPr="0038001F">
        <w:rPr>
          <w:rFonts w:ascii="Times New Roman" w:hAnsi="Times New Roman" w:cs="Times New Roman"/>
          <w:sz w:val="24"/>
          <w:szCs w:val="24"/>
        </w:rPr>
        <w:t xml:space="preserve">statement was detailed enough and was never challenged by the appellant before the court </w:t>
      </w:r>
      <w:r w:rsidR="00555D77">
        <w:rPr>
          <w:rFonts w:ascii="Times New Roman" w:hAnsi="Times New Roman" w:cs="Times New Roman"/>
          <w:sz w:val="24"/>
          <w:szCs w:val="24"/>
        </w:rPr>
        <w:t xml:space="preserve">                    </w:t>
      </w:r>
      <w:r w:rsidR="00A30EC6" w:rsidRPr="0038001F">
        <w:rPr>
          <w:rFonts w:ascii="Times New Roman" w:hAnsi="Times New Roman" w:cs="Times New Roman"/>
          <w:i/>
          <w:sz w:val="24"/>
          <w:szCs w:val="24"/>
        </w:rPr>
        <w:t xml:space="preserve">a quo. </w:t>
      </w:r>
      <w:r w:rsidR="003876B4" w:rsidRPr="0038001F">
        <w:rPr>
          <w:rFonts w:ascii="Times New Roman" w:hAnsi="Times New Roman" w:cs="Times New Roman"/>
          <w:i/>
          <w:sz w:val="24"/>
          <w:szCs w:val="24"/>
        </w:rPr>
        <w:t xml:space="preserve"> </w:t>
      </w:r>
      <w:proofErr w:type="spellStart"/>
      <w:r w:rsidR="00985655" w:rsidRPr="0038001F">
        <w:rPr>
          <w:rFonts w:ascii="Times New Roman" w:hAnsi="Times New Roman" w:cs="Times New Roman"/>
          <w:iCs/>
          <w:sz w:val="24"/>
          <w:szCs w:val="24"/>
        </w:rPr>
        <w:t>Ms</w:t>
      </w:r>
      <w:proofErr w:type="spellEnd"/>
      <w:r w:rsidR="00985655" w:rsidRPr="0038001F">
        <w:rPr>
          <w:rFonts w:ascii="Times New Roman" w:hAnsi="Times New Roman" w:cs="Times New Roman"/>
          <w:i/>
          <w:sz w:val="24"/>
          <w:szCs w:val="24"/>
        </w:rPr>
        <w:t xml:space="preserve"> </w:t>
      </w:r>
      <w:proofErr w:type="spellStart"/>
      <w:r w:rsidR="00A30EC6" w:rsidRPr="0038001F">
        <w:rPr>
          <w:rFonts w:ascii="Times New Roman" w:hAnsi="Times New Roman" w:cs="Times New Roman"/>
          <w:i/>
          <w:sz w:val="24"/>
          <w:szCs w:val="24"/>
        </w:rPr>
        <w:t>Kachidza</w:t>
      </w:r>
      <w:proofErr w:type="spellEnd"/>
      <w:r w:rsidR="00A30EC6" w:rsidRPr="0038001F">
        <w:rPr>
          <w:rFonts w:ascii="Times New Roman" w:hAnsi="Times New Roman" w:cs="Times New Roman"/>
          <w:sz w:val="24"/>
          <w:szCs w:val="24"/>
        </w:rPr>
        <w:t xml:space="preserve"> further argued that the warned and cautioned statement was corroborated by the pathologist’s post-mortem report, Katie Ndebele’s evidence</w:t>
      </w:r>
      <w:r w:rsidR="00985655" w:rsidRPr="0038001F">
        <w:rPr>
          <w:rFonts w:ascii="Times New Roman" w:hAnsi="Times New Roman" w:cs="Times New Roman"/>
          <w:sz w:val="24"/>
          <w:szCs w:val="24"/>
        </w:rPr>
        <w:t>,</w:t>
      </w:r>
      <w:r w:rsidR="00A30EC6" w:rsidRPr="0038001F">
        <w:rPr>
          <w:rFonts w:ascii="Times New Roman" w:hAnsi="Times New Roman" w:cs="Times New Roman"/>
          <w:sz w:val="24"/>
          <w:szCs w:val="24"/>
        </w:rPr>
        <w:t xml:space="preserve"> and the forensic scientist’s evidence,</w:t>
      </w:r>
      <w:r w:rsidR="009B68B7">
        <w:rPr>
          <w:rFonts w:ascii="Times New Roman" w:hAnsi="Times New Roman" w:cs="Times New Roman"/>
          <w:sz w:val="24"/>
          <w:szCs w:val="24"/>
        </w:rPr>
        <w:t xml:space="preserve"> which cumulatively could not </w:t>
      </w:r>
      <w:r w:rsidR="006503FA">
        <w:rPr>
          <w:rFonts w:ascii="Times New Roman" w:hAnsi="Times New Roman" w:cs="Times New Roman"/>
          <w:sz w:val="24"/>
          <w:szCs w:val="24"/>
        </w:rPr>
        <w:t>be coincidence</w:t>
      </w:r>
      <w:r w:rsidR="004109B3">
        <w:rPr>
          <w:rFonts w:ascii="Times New Roman" w:hAnsi="Times New Roman" w:cs="Times New Roman"/>
          <w:sz w:val="24"/>
          <w:szCs w:val="24"/>
        </w:rPr>
        <w:t xml:space="preserve">.  </w:t>
      </w:r>
      <w:r w:rsidR="00A30EC6" w:rsidRPr="0038001F">
        <w:rPr>
          <w:rFonts w:ascii="Times New Roman" w:hAnsi="Times New Roman" w:cs="Times New Roman"/>
          <w:sz w:val="24"/>
          <w:szCs w:val="24"/>
        </w:rPr>
        <w:t>Counsel for the respondent also submitted that during the trial within a trial</w:t>
      </w:r>
      <w:r w:rsidR="00F35BC0" w:rsidRPr="0038001F">
        <w:rPr>
          <w:rFonts w:ascii="Times New Roman" w:hAnsi="Times New Roman" w:cs="Times New Roman"/>
          <w:sz w:val="24"/>
          <w:szCs w:val="24"/>
        </w:rPr>
        <w:t>,</w:t>
      </w:r>
      <w:r w:rsidR="00A30EC6" w:rsidRPr="0038001F">
        <w:rPr>
          <w:rFonts w:ascii="Times New Roman" w:hAnsi="Times New Roman" w:cs="Times New Roman"/>
          <w:sz w:val="24"/>
          <w:szCs w:val="24"/>
        </w:rPr>
        <w:t xml:space="preserve"> after the appellant had challenged the indications, he was found to have been stable and not injured when he made the indications, hence his allegations of torture and force did not and could not stand.</w:t>
      </w:r>
    </w:p>
    <w:p w14:paraId="12E7BA23" w14:textId="77777777" w:rsidR="004B18E2" w:rsidRPr="0038001F" w:rsidRDefault="004B18E2" w:rsidP="003876B4">
      <w:pPr>
        <w:spacing w:after="0" w:line="240" w:lineRule="auto"/>
        <w:jc w:val="both"/>
        <w:rPr>
          <w:rFonts w:ascii="Times New Roman" w:hAnsi="Times New Roman" w:cs="Times New Roman"/>
          <w:sz w:val="24"/>
          <w:szCs w:val="24"/>
        </w:rPr>
      </w:pPr>
    </w:p>
    <w:p w14:paraId="3C760C4E" w14:textId="3B8156CA" w:rsidR="007C0F86" w:rsidRDefault="00A30EC6" w:rsidP="004109B3">
      <w:pPr>
        <w:spacing w:after="0" w:line="24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t>ISSUE FOR DETERMINATION</w:t>
      </w:r>
    </w:p>
    <w:p w14:paraId="383E2BAE" w14:textId="77777777" w:rsidR="004109B3" w:rsidRPr="0038001F" w:rsidRDefault="004109B3" w:rsidP="004109B3">
      <w:pPr>
        <w:spacing w:after="0" w:line="240" w:lineRule="auto"/>
        <w:jc w:val="both"/>
        <w:rPr>
          <w:rFonts w:ascii="Times New Roman" w:hAnsi="Times New Roman" w:cs="Times New Roman"/>
          <w:b/>
          <w:sz w:val="24"/>
          <w:szCs w:val="24"/>
          <w:u w:val="single"/>
        </w:rPr>
      </w:pPr>
    </w:p>
    <w:p w14:paraId="26FBFE1F" w14:textId="17C2A158" w:rsidR="003876B4" w:rsidRDefault="00A30EC6" w:rsidP="004109B3">
      <w:pPr>
        <w:tabs>
          <w:tab w:val="left" w:pos="567"/>
        </w:tabs>
        <w:spacing w:line="240" w:lineRule="auto"/>
        <w:jc w:val="both"/>
        <w:rPr>
          <w:rFonts w:ascii="Times New Roman" w:hAnsi="Times New Roman" w:cs="Times New Roman"/>
          <w:b/>
          <w:sz w:val="24"/>
          <w:szCs w:val="24"/>
        </w:rPr>
      </w:pPr>
      <w:r w:rsidRPr="0038001F">
        <w:rPr>
          <w:rFonts w:ascii="Times New Roman" w:hAnsi="Times New Roman" w:cs="Times New Roman"/>
          <w:b/>
          <w:sz w:val="24"/>
          <w:szCs w:val="24"/>
        </w:rPr>
        <w:t xml:space="preserve">Whether or not the court </w:t>
      </w:r>
      <w:r w:rsidRPr="0038001F">
        <w:rPr>
          <w:rFonts w:ascii="Times New Roman" w:hAnsi="Times New Roman" w:cs="Times New Roman"/>
          <w:b/>
          <w:i/>
          <w:sz w:val="24"/>
          <w:szCs w:val="24"/>
        </w:rPr>
        <w:t>a quo</w:t>
      </w:r>
      <w:r w:rsidRPr="0038001F">
        <w:rPr>
          <w:rFonts w:ascii="Times New Roman" w:hAnsi="Times New Roman" w:cs="Times New Roman"/>
          <w:b/>
          <w:sz w:val="24"/>
          <w:szCs w:val="24"/>
        </w:rPr>
        <w:t xml:space="preserve"> erred in convicting the appellant.</w:t>
      </w:r>
    </w:p>
    <w:p w14:paraId="441E8C5A" w14:textId="77777777" w:rsidR="004109B3" w:rsidRPr="0038001F" w:rsidRDefault="004109B3" w:rsidP="004109B3">
      <w:pPr>
        <w:tabs>
          <w:tab w:val="left" w:pos="567"/>
        </w:tabs>
        <w:spacing w:after="0" w:line="240" w:lineRule="auto"/>
        <w:jc w:val="both"/>
        <w:rPr>
          <w:rFonts w:ascii="Times New Roman" w:hAnsi="Times New Roman" w:cs="Times New Roman"/>
          <w:b/>
          <w:sz w:val="24"/>
          <w:szCs w:val="24"/>
        </w:rPr>
      </w:pPr>
    </w:p>
    <w:p w14:paraId="5EDC9E44" w14:textId="07B0D0F4" w:rsidR="004B18E2" w:rsidRPr="0038001F" w:rsidRDefault="0017342F" w:rsidP="003876B4">
      <w:pPr>
        <w:spacing w:after="0" w:line="480" w:lineRule="auto"/>
        <w:jc w:val="both"/>
        <w:rPr>
          <w:rFonts w:ascii="Times New Roman" w:hAnsi="Times New Roman" w:cs="Times New Roman"/>
          <w:b/>
          <w:bCs/>
          <w:iCs/>
          <w:sz w:val="24"/>
          <w:szCs w:val="24"/>
          <w:u w:val="single"/>
        </w:rPr>
      </w:pPr>
      <w:r w:rsidRPr="0038001F">
        <w:rPr>
          <w:rFonts w:ascii="Times New Roman" w:hAnsi="Times New Roman" w:cs="Times New Roman"/>
          <w:b/>
          <w:bCs/>
          <w:iCs/>
          <w:sz w:val="24"/>
          <w:szCs w:val="24"/>
          <w:u w:val="single"/>
        </w:rPr>
        <w:t>THE LAW</w:t>
      </w:r>
    </w:p>
    <w:p w14:paraId="4496D38F" w14:textId="5687730D" w:rsidR="003876B4" w:rsidRDefault="009B395F" w:rsidP="00DD607E">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 appellant was convicted </w:t>
      </w:r>
      <w:r w:rsidR="00441DA9" w:rsidRPr="0038001F">
        <w:rPr>
          <w:rFonts w:ascii="Times New Roman" w:hAnsi="Times New Roman" w:cs="Times New Roman"/>
          <w:sz w:val="24"/>
          <w:szCs w:val="24"/>
        </w:rPr>
        <w:t xml:space="preserve">of </w:t>
      </w:r>
      <w:r w:rsidRPr="0038001F">
        <w:rPr>
          <w:rFonts w:ascii="Times New Roman" w:hAnsi="Times New Roman" w:cs="Times New Roman"/>
          <w:sz w:val="24"/>
          <w:szCs w:val="24"/>
        </w:rPr>
        <w:t>murder with constructive intent.</w:t>
      </w:r>
      <w:r w:rsidR="002E5E1C" w:rsidRPr="0038001F">
        <w:rPr>
          <w:rFonts w:ascii="Times New Roman" w:hAnsi="Times New Roman" w:cs="Times New Roman"/>
          <w:sz w:val="24"/>
          <w:szCs w:val="24"/>
        </w:rPr>
        <w:t xml:space="preserve">  </w:t>
      </w:r>
      <w:r w:rsidR="00441DA9" w:rsidRPr="0038001F">
        <w:rPr>
          <w:rFonts w:ascii="Times New Roman" w:hAnsi="Times New Roman" w:cs="Times New Roman"/>
          <w:sz w:val="24"/>
          <w:szCs w:val="24"/>
        </w:rPr>
        <w:t xml:space="preserve">It </w:t>
      </w:r>
      <w:r w:rsidR="00B27A66" w:rsidRPr="0038001F">
        <w:rPr>
          <w:rFonts w:ascii="Times New Roman" w:hAnsi="Times New Roman" w:cs="Times New Roman"/>
          <w:sz w:val="24"/>
          <w:szCs w:val="24"/>
        </w:rPr>
        <w:t xml:space="preserve">must be stated at this point </w:t>
      </w:r>
      <w:r w:rsidR="00441DA9" w:rsidRPr="0038001F">
        <w:rPr>
          <w:rFonts w:ascii="Times New Roman" w:hAnsi="Times New Roman" w:cs="Times New Roman"/>
          <w:sz w:val="24"/>
          <w:szCs w:val="24"/>
        </w:rPr>
        <w:t xml:space="preserve">that although the appellant was convicted on </w:t>
      </w:r>
      <w:r w:rsidR="00B27A66" w:rsidRPr="0038001F">
        <w:rPr>
          <w:rFonts w:ascii="Times New Roman" w:hAnsi="Times New Roman" w:cs="Times New Roman"/>
          <w:sz w:val="24"/>
          <w:szCs w:val="24"/>
        </w:rPr>
        <w:t xml:space="preserve">18 May </w:t>
      </w:r>
      <w:r w:rsidR="00441DA9" w:rsidRPr="0038001F">
        <w:rPr>
          <w:rFonts w:ascii="Times New Roman" w:hAnsi="Times New Roman" w:cs="Times New Roman"/>
          <w:sz w:val="24"/>
          <w:szCs w:val="24"/>
        </w:rPr>
        <w:t>2008</w:t>
      </w:r>
      <w:r w:rsidR="00B27A66" w:rsidRPr="0038001F">
        <w:rPr>
          <w:rFonts w:ascii="Times New Roman" w:hAnsi="Times New Roman" w:cs="Times New Roman"/>
          <w:sz w:val="24"/>
          <w:szCs w:val="24"/>
        </w:rPr>
        <w:t>,</w:t>
      </w:r>
      <w:r w:rsidR="00441DA9" w:rsidRPr="0038001F">
        <w:rPr>
          <w:rFonts w:ascii="Times New Roman" w:hAnsi="Times New Roman" w:cs="Times New Roman"/>
          <w:sz w:val="24"/>
          <w:szCs w:val="24"/>
        </w:rPr>
        <w:t xml:space="preserve"> after the</w:t>
      </w:r>
      <w:r w:rsidR="00CE1D9B">
        <w:rPr>
          <w:rFonts w:ascii="Times New Roman" w:hAnsi="Times New Roman" w:cs="Times New Roman"/>
          <w:sz w:val="24"/>
          <w:szCs w:val="24"/>
        </w:rPr>
        <w:t xml:space="preserve"> </w:t>
      </w:r>
      <w:r w:rsidR="009B68B7">
        <w:rPr>
          <w:rFonts w:ascii="Times New Roman" w:hAnsi="Times New Roman" w:cs="Times New Roman"/>
          <w:sz w:val="24"/>
          <w:szCs w:val="24"/>
        </w:rPr>
        <w:t>Criminal Law (</w:t>
      </w:r>
      <w:r w:rsidR="00DD607E" w:rsidRPr="0038001F">
        <w:rPr>
          <w:rFonts w:ascii="Times New Roman" w:hAnsi="Times New Roman" w:cs="Times New Roman"/>
          <w:sz w:val="24"/>
          <w:szCs w:val="24"/>
        </w:rPr>
        <w:t>Cod</w:t>
      </w:r>
      <w:r w:rsidR="009B68B7">
        <w:rPr>
          <w:rFonts w:ascii="Times New Roman" w:hAnsi="Times New Roman" w:cs="Times New Roman"/>
          <w:sz w:val="24"/>
          <w:szCs w:val="24"/>
        </w:rPr>
        <w:t xml:space="preserve">ification and Reform) Act </w:t>
      </w:r>
      <w:r w:rsidR="009B68B7" w:rsidRPr="009B68B7">
        <w:rPr>
          <w:rFonts w:ascii="Times New Roman" w:hAnsi="Times New Roman" w:cs="Times New Roman"/>
          <w:i/>
          <w:iCs/>
          <w:sz w:val="24"/>
          <w:szCs w:val="24"/>
        </w:rPr>
        <w:t>[Chapter 9:23</w:t>
      </w:r>
      <w:r w:rsidR="009B68B7">
        <w:rPr>
          <w:rFonts w:ascii="Times New Roman" w:hAnsi="Times New Roman" w:cs="Times New Roman"/>
          <w:sz w:val="24"/>
          <w:szCs w:val="24"/>
        </w:rPr>
        <w:t xml:space="preserve">] (The Code) </w:t>
      </w:r>
      <w:r w:rsidR="009B68B7" w:rsidRPr="0038001F">
        <w:rPr>
          <w:rFonts w:ascii="Times New Roman" w:hAnsi="Times New Roman" w:cs="Times New Roman"/>
          <w:sz w:val="24"/>
          <w:szCs w:val="24"/>
        </w:rPr>
        <w:t>had</w:t>
      </w:r>
      <w:r w:rsidR="00441DA9" w:rsidRPr="0038001F">
        <w:rPr>
          <w:rFonts w:ascii="Times New Roman" w:hAnsi="Times New Roman" w:cs="Times New Roman"/>
          <w:sz w:val="24"/>
          <w:szCs w:val="24"/>
        </w:rPr>
        <w:t xml:space="preserve"> come into force on</w:t>
      </w:r>
      <w:r w:rsidR="009B68B7">
        <w:rPr>
          <w:rFonts w:ascii="Times New Roman" w:hAnsi="Times New Roman" w:cs="Times New Roman"/>
          <w:sz w:val="24"/>
          <w:szCs w:val="24"/>
        </w:rPr>
        <w:t xml:space="preserve"> 1 July 2006</w:t>
      </w:r>
      <w:r w:rsidR="00441DA9" w:rsidRPr="0038001F">
        <w:rPr>
          <w:rFonts w:ascii="Times New Roman" w:hAnsi="Times New Roman" w:cs="Times New Roman"/>
          <w:sz w:val="24"/>
          <w:szCs w:val="24"/>
        </w:rPr>
        <w:t xml:space="preserve">, </w:t>
      </w:r>
      <w:r w:rsidR="00441DA9" w:rsidRPr="0038001F">
        <w:rPr>
          <w:rFonts w:ascii="Times New Roman" w:hAnsi="Times New Roman" w:cs="Times New Roman"/>
          <w:sz w:val="24"/>
          <w:szCs w:val="24"/>
        </w:rPr>
        <w:lastRenderedPageBreak/>
        <w:t xml:space="preserve">the </w:t>
      </w:r>
      <w:r w:rsidR="00B27A66" w:rsidRPr="0038001F">
        <w:rPr>
          <w:rFonts w:ascii="Times New Roman" w:hAnsi="Times New Roman" w:cs="Times New Roman"/>
          <w:sz w:val="24"/>
          <w:szCs w:val="24"/>
        </w:rPr>
        <w:t xml:space="preserve">offence, </w:t>
      </w:r>
      <w:r w:rsidR="00B27A66" w:rsidRPr="0038001F">
        <w:rPr>
          <w:rFonts w:ascii="Times New Roman" w:hAnsi="Times New Roman" w:cs="Times New Roman"/>
          <w:i/>
          <w:sz w:val="24"/>
          <w:szCs w:val="24"/>
        </w:rPr>
        <w:t>in</w:t>
      </w:r>
      <w:r w:rsidR="00B27A66" w:rsidRPr="0038001F">
        <w:rPr>
          <w:rFonts w:ascii="Times New Roman" w:hAnsi="Times New Roman" w:cs="Times New Roman"/>
          <w:sz w:val="24"/>
          <w:szCs w:val="24"/>
        </w:rPr>
        <w:t xml:space="preserve"> </w:t>
      </w:r>
      <w:proofErr w:type="spellStart"/>
      <w:r w:rsidR="00B27A66" w:rsidRPr="0038001F">
        <w:rPr>
          <w:rFonts w:ascii="Times New Roman" w:hAnsi="Times New Roman" w:cs="Times New Roman"/>
          <w:i/>
          <w:iCs/>
          <w:sz w:val="24"/>
          <w:szCs w:val="24"/>
        </w:rPr>
        <w:t>casu</w:t>
      </w:r>
      <w:proofErr w:type="spellEnd"/>
      <w:r w:rsidR="00B27A66" w:rsidRPr="0038001F">
        <w:rPr>
          <w:rFonts w:ascii="Times New Roman" w:hAnsi="Times New Roman" w:cs="Times New Roman"/>
          <w:i/>
          <w:iCs/>
          <w:sz w:val="24"/>
          <w:szCs w:val="24"/>
        </w:rPr>
        <w:t>,</w:t>
      </w:r>
      <w:r w:rsidR="00B27A66" w:rsidRPr="0038001F">
        <w:rPr>
          <w:rFonts w:ascii="Times New Roman" w:hAnsi="Times New Roman" w:cs="Times New Roman"/>
          <w:sz w:val="24"/>
          <w:szCs w:val="24"/>
        </w:rPr>
        <w:t xml:space="preserve"> was</w:t>
      </w:r>
      <w:r w:rsidR="00441DA9" w:rsidRPr="0038001F">
        <w:rPr>
          <w:rFonts w:ascii="Times New Roman" w:hAnsi="Times New Roman" w:cs="Times New Roman"/>
          <w:sz w:val="24"/>
          <w:szCs w:val="24"/>
        </w:rPr>
        <w:t xml:space="preserve"> committed </w:t>
      </w:r>
      <w:r w:rsidR="00B27A66" w:rsidRPr="0038001F">
        <w:rPr>
          <w:rFonts w:ascii="Times New Roman" w:hAnsi="Times New Roman" w:cs="Times New Roman"/>
          <w:sz w:val="24"/>
          <w:szCs w:val="24"/>
        </w:rPr>
        <w:t>in 2005</w:t>
      </w:r>
      <w:r w:rsidR="00441DA9" w:rsidRPr="0038001F">
        <w:rPr>
          <w:rFonts w:ascii="Times New Roman" w:hAnsi="Times New Roman" w:cs="Times New Roman"/>
          <w:sz w:val="24"/>
          <w:szCs w:val="24"/>
        </w:rPr>
        <w:t>.</w:t>
      </w:r>
      <w:r w:rsidRPr="0038001F">
        <w:rPr>
          <w:rFonts w:ascii="Times New Roman" w:hAnsi="Times New Roman" w:cs="Times New Roman"/>
          <w:sz w:val="24"/>
          <w:szCs w:val="24"/>
        </w:rPr>
        <w:t xml:space="preserve"> </w:t>
      </w:r>
      <w:r w:rsidR="003876B4" w:rsidRPr="0038001F">
        <w:rPr>
          <w:rFonts w:ascii="Times New Roman" w:hAnsi="Times New Roman" w:cs="Times New Roman"/>
          <w:sz w:val="24"/>
          <w:szCs w:val="24"/>
        </w:rPr>
        <w:t xml:space="preserve"> </w:t>
      </w:r>
      <w:r w:rsidR="00B27A66" w:rsidRPr="0038001F">
        <w:rPr>
          <w:rFonts w:ascii="Times New Roman" w:hAnsi="Times New Roman" w:cs="Times New Roman"/>
          <w:sz w:val="24"/>
          <w:szCs w:val="24"/>
        </w:rPr>
        <w:t>The law applicable, therefore, is the common law.</w:t>
      </w:r>
    </w:p>
    <w:p w14:paraId="7B991E70" w14:textId="77777777" w:rsidR="006503FA" w:rsidRPr="00DD607E" w:rsidRDefault="006503FA" w:rsidP="006503FA">
      <w:pPr>
        <w:pStyle w:val="ListParagraph"/>
        <w:spacing w:after="0" w:line="240" w:lineRule="auto"/>
        <w:ind w:left="426"/>
        <w:jc w:val="both"/>
        <w:rPr>
          <w:rFonts w:ascii="Times New Roman" w:hAnsi="Times New Roman" w:cs="Times New Roman"/>
          <w:sz w:val="24"/>
          <w:szCs w:val="24"/>
        </w:rPr>
      </w:pPr>
    </w:p>
    <w:p w14:paraId="019AB1A2" w14:textId="611C70CF" w:rsidR="0046561E" w:rsidRPr="0038001F" w:rsidRDefault="0046561E" w:rsidP="004109B3">
      <w:pPr>
        <w:pStyle w:val="ListParagraph"/>
        <w:numPr>
          <w:ilvl w:val="0"/>
          <w:numId w:val="3"/>
        </w:numPr>
        <w:spacing w:after="0"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In </w:t>
      </w:r>
      <w:r w:rsidRPr="0038001F">
        <w:rPr>
          <w:rFonts w:ascii="Times New Roman" w:hAnsi="Times New Roman" w:cs="Times New Roman"/>
          <w:i/>
          <w:sz w:val="24"/>
          <w:szCs w:val="24"/>
        </w:rPr>
        <w:t xml:space="preserve">S </w:t>
      </w:r>
      <w:r w:rsidRPr="0038001F">
        <w:rPr>
          <w:rFonts w:ascii="Times New Roman" w:hAnsi="Times New Roman" w:cs="Times New Roman"/>
          <w:sz w:val="24"/>
          <w:szCs w:val="24"/>
        </w:rPr>
        <w:t>v</w:t>
      </w:r>
      <w:r w:rsidRPr="0038001F">
        <w:rPr>
          <w:rFonts w:ascii="Times New Roman" w:hAnsi="Times New Roman" w:cs="Times New Roman"/>
          <w:i/>
          <w:sz w:val="24"/>
          <w:szCs w:val="24"/>
        </w:rPr>
        <w:t xml:space="preserve"> Dube</w:t>
      </w:r>
      <w:r w:rsidR="00E05AFF" w:rsidRPr="0038001F">
        <w:rPr>
          <w:rFonts w:ascii="Times New Roman" w:hAnsi="Times New Roman" w:cs="Times New Roman"/>
          <w:sz w:val="24"/>
          <w:szCs w:val="24"/>
        </w:rPr>
        <w:t xml:space="preserve"> </w:t>
      </w:r>
      <w:r w:rsidRPr="0038001F">
        <w:rPr>
          <w:rFonts w:ascii="Times New Roman" w:hAnsi="Times New Roman" w:cs="Times New Roman"/>
          <w:sz w:val="24"/>
          <w:szCs w:val="24"/>
        </w:rPr>
        <w:t>HB 26-18 at p 3-4 the court explained what murder with constructive intent means wherein it was stated as follows:</w:t>
      </w:r>
    </w:p>
    <w:p w14:paraId="269D447C" w14:textId="238B252D" w:rsidR="0046561E" w:rsidRDefault="0046561E" w:rsidP="004109B3">
      <w:pPr>
        <w:spacing w:after="0" w:line="240" w:lineRule="auto"/>
        <w:ind w:left="1440"/>
        <w:jc w:val="both"/>
        <w:rPr>
          <w:rFonts w:ascii="Times New Roman" w:hAnsi="Times New Roman" w:cs="Times New Roman"/>
          <w:sz w:val="24"/>
          <w:szCs w:val="24"/>
        </w:rPr>
      </w:pPr>
      <w:r w:rsidRPr="0038001F">
        <w:rPr>
          <w:rFonts w:ascii="Times New Roman" w:hAnsi="Times New Roman" w:cs="Times New Roman"/>
          <w:sz w:val="24"/>
          <w:szCs w:val="24"/>
        </w:rPr>
        <w:t>“In murder with constructive intent an accused must have legal intention to commit murder even if he does not have actual inten</w:t>
      </w:r>
      <w:r w:rsidR="002E5E1C" w:rsidRPr="0038001F">
        <w:rPr>
          <w:rFonts w:ascii="Times New Roman" w:hAnsi="Times New Roman" w:cs="Times New Roman"/>
          <w:sz w:val="24"/>
          <w:szCs w:val="24"/>
        </w:rPr>
        <w:t xml:space="preserve">tion.  </w:t>
      </w:r>
      <w:r w:rsidRPr="0038001F">
        <w:rPr>
          <w:rFonts w:ascii="Times New Roman" w:hAnsi="Times New Roman" w:cs="Times New Roman"/>
          <w:sz w:val="24"/>
          <w:szCs w:val="24"/>
        </w:rPr>
        <w:t xml:space="preserve">Legal intention, known also as </w:t>
      </w:r>
      <w:proofErr w:type="spellStart"/>
      <w:r w:rsidRPr="0038001F">
        <w:rPr>
          <w:rFonts w:ascii="Times New Roman" w:hAnsi="Times New Roman" w:cs="Times New Roman"/>
          <w:i/>
          <w:sz w:val="24"/>
          <w:szCs w:val="24"/>
        </w:rPr>
        <w:t>dolus</w:t>
      </w:r>
      <w:proofErr w:type="spellEnd"/>
      <w:r w:rsidRPr="0038001F">
        <w:rPr>
          <w:rFonts w:ascii="Times New Roman" w:hAnsi="Times New Roman" w:cs="Times New Roman"/>
          <w:i/>
          <w:sz w:val="24"/>
          <w:szCs w:val="24"/>
        </w:rPr>
        <w:t xml:space="preserve"> </w:t>
      </w:r>
      <w:proofErr w:type="spellStart"/>
      <w:r w:rsidRPr="0038001F">
        <w:rPr>
          <w:rFonts w:ascii="Times New Roman" w:hAnsi="Times New Roman" w:cs="Times New Roman"/>
          <w:i/>
          <w:sz w:val="24"/>
          <w:szCs w:val="24"/>
        </w:rPr>
        <w:t>eventualis</w:t>
      </w:r>
      <w:proofErr w:type="spellEnd"/>
      <w:r w:rsidRPr="0038001F">
        <w:rPr>
          <w:rFonts w:ascii="Times New Roman" w:hAnsi="Times New Roman" w:cs="Times New Roman"/>
          <w:sz w:val="24"/>
          <w:szCs w:val="24"/>
        </w:rPr>
        <w:t xml:space="preserve"> is defined in many respects as:</w:t>
      </w:r>
    </w:p>
    <w:p w14:paraId="0E160C96" w14:textId="77777777" w:rsidR="004109B3" w:rsidRPr="0038001F" w:rsidRDefault="004109B3" w:rsidP="004109B3">
      <w:pPr>
        <w:spacing w:after="0" w:line="240" w:lineRule="auto"/>
        <w:ind w:left="1440"/>
        <w:jc w:val="both"/>
        <w:rPr>
          <w:rFonts w:ascii="Times New Roman" w:hAnsi="Times New Roman" w:cs="Times New Roman"/>
          <w:sz w:val="24"/>
          <w:szCs w:val="24"/>
        </w:rPr>
      </w:pPr>
    </w:p>
    <w:p w14:paraId="7A590679" w14:textId="16F74C40" w:rsidR="0046561E" w:rsidRPr="0038001F" w:rsidRDefault="0046561E" w:rsidP="004109B3">
      <w:pPr>
        <w:spacing w:line="240" w:lineRule="auto"/>
        <w:ind w:left="2160"/>
        <w:jc w:val="both"/>
        <w:rPr>
          <w:rFonts w:ascii="Times New Roman" w:hAnsi="Times New Roman" w:cs="Times New Roman"/>
          <w:sz w:val="24"/>
          <w:szCs w:val="24"/>
        </w:rPr>
      </w:pPr>
      <w:r w:rsidRPr="0038001F">
        <w:rPr>
          <w:rFonts w:ascii="Times New Roman" w:hAnsi="Times New Roman" w:cs="Times New Roman"/>
          <w:sz w:val="24"/>
          <w:szCs w:val="24"/>
        </w:rPr>
        <w:t xml:space="preserve">Professor </w:t>
      </w:r>
      <w:proofErr w:type="spellStart"/>
      <w:r w:rsidRPr="0038001F">
        <w:rPr>
          <w:rFonts w:ascii="Times New Roman" w:hAnsi="Times New Roman" w:cs="Times New Roman"/>
          <w:sz w:val="24"/>
          <w:szCs w:val="24"/>
        </w:rPr>
        <w:t>Feltoe</w:t>
      </w:r>
      <w:proofErr w:type="spellEnd"/>
      <w:r w:rsidRPr="0038001F">
        <w:rPr>
          <w:rFonts w:ascii="Times New Roman" w:hAnsi="Times New Roman" w:cs="Times New Roman"/>
          <w:sz w:val="24"/>
          <w:szCs w:val="24"/>
        </w:rPr>
        <w:t xml:space="preserve"> in the </w:t>
      </w:r>
      <w:r w:rsidRPr="0038001F">
        <w:rPr>
          <w:rFonts w:ascii="Times New Roman" w:hAnsi="Times New Roman" w:cs="Times New Roman"/>
          <w:i/>
          <w:sz w:val="24"/>
          <w:szCs w:val="24"/>
        </w:rPr>
        <w:t>Guide to Criminal Law in Zimbabwe</w:t>
      </w:r>
      <w:r w:rsidR="002E5E1C" w:rsidRPr="0038001F">
        <w:rPr>
          <w:rFonts w:ascii="Times New Roman" w:hAnsi="Times New Roman" w:cs="Times New Roman"/>
          <w:sz w:val="24"/>
          <w:szCs w:val="24"/>
        </w:rPr>
        <w:t xml:space="preserve"> 2005 Edition at p</w:t>
      </w:r>
      <w:r w:rsidRPr="0038001F">
        <w:rPr>
          <w:rFonts w:ascii="Times New Roman" w:hAnsi="Times New Roman" w:cs="Times New Roman"/>
          <w:sz w:val="24"/>
          <w:szCs w:val="24"/>
        </w:rPr>
        <w:t xml:space="preserve"> 96 explains legal intention as:</w:t>
      </w:r>
    </w:p>
    <w:p w14:paraId="445A42AC" w14:textId="77777777" w:rsidR="0046561E" w:rsidRPr="0038001F" w:rsidRDefault="0046561E" w:rsidP="004109B3">
      <w:pPr>
        <w:spacing w:line="240" w:lineRule="auto"/>
        <w:ind w:left="2880"/>
        <w:jc w:val="both"/>
        <w:rPr>
          <w:rFonts w:ascii="Times New Roman" w:hAnsi="Times New Roman" w:cs="Times New Roman"/>
          <w:sz w:val="24"/>
          <w:szCs w:val="24"/>
        </w:rPr>
      </w:pPr>
      <w:r w:rsidRPr="0038001F">
        <w:rPr>
          <w:rFonts w:ascii="Times New Roman" w:hAnsi="Times New Roman" w:cs="Times New Roman"/>
          <w:sz w:val="24"/>
          <w:szCs w:val="24"/>
        </w:rPr>
        <w:t>‘Accused does not mean to bring about death but he engages in an activity after he foresees that there is a real risk that the activity will result in the death of a person.’</w:t>
      </w:r>
    </w:p>
    <w:p w14:paraId="55BC9DEB" w14:textId="77777777" w:rsidR="0046561E" w:rsidRPr="0038001F" w:rsidRDefault="0046561E" w:rsidP="004109B3">
      <w:pPr>
        <w:spacing w:line="240" w:lineRule="auto"/>
        <w:ind w:left="2160"/>
        <w:jc w:val="both"/>
        <w:rPr>
          <w:rFonts w:ascii="Times New Roman" w:hAnsi="Times New Roman" w:cs="Times New Roman"/>
          <w:sz w:val="24"/>
          <w:szCs w:val="24"/>
        </w:rPr>
      </w:pPr>
      <w:r w:rsidRPr="0038001F">
        <w:rPr>
          <w:rFonts w:ascii="Times New Roman" w:hAnsi="Times New Roman" w:cs="Times New Roman"/>
          <w:sz w:val="24"/>
          <w:szCs w:val="24"/>
        </w:rPr>
        <w:t xml:space="preserve">Professor </w:t>
      </w:r>
      <w:proofErr w:type="spellStart"/>
      <w:r w:rsidRPr="0038001F">
        <w:rPr>
          <w:rFonts w:ascii="Times New Roman" w:hAnsi="Times New Roman" w:cs="Times New Roman"/>
          <w:sz w:val="24"/>
          <w:szCs w:val="24"/>
        </w:rPr>
        <w:t>Feltoe</w:t>
      </w:r>
      <w:proofErr w:type="spellEnd"/>
      <w:r w:rsidRPr="0038001F">
        <w:rPr>
          <w:rFonts w:ascii="Times New Roman" w:hAnsi="Times New Roman" w:cs="Times New Roman"/>
          <w:sz w:val="24"/>
          <w:szCs w:val="24"/>
        </w:rPr>
        <w:t xml:space="preserve"> goes further to state that:</w:t>
      </w:r>
    </w:p>
    <w:p w14:paraId="40032D9E" w14:textId="3CCC5C92" w:rsidR="0046561E" w:rsidRPr="0038001F" w:rsidRDefault="0046561E" w:rsidP="004109B3">
      <w:pPr>
        <w:spacing w:line="240" w:lineRule="auto"/>
        <w:ind w:left="2880"/>
        <w:jc w:val="both"/>
        <w:rPr>
          <w:rFonts w:ascii="Times New Roman" w:hAnsi="Times New Roman" w:cs="Times New Roman"/>
          <w:sz w:val="24"/>
          <w:szCs w:val="24"/>
        </w:rPr>
      </w:pPr>
      <w:r w:rsidRPr="0038001F">
        <w:rPr>
          <w:rFonts w:ascii="Times New Roman" w:hAnsi="Times New Roman" w:cs="Times New Roman"/>
          <w:sz w:val="24"/>
          <w:szCs w:val="24"/>
        </w:rPr>
        <w:t xml:space="preserve">‘Where it is alleged that accused had legal intention to kill accused will usually deny that he foresaw that his actions would result in death. </w:t>
      </w:r>
      <w:r w:rsidR="002E5E1C"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The question then is whether, as a matter of inference he did have such foresight despite his </w:t>
      </w:r>
      <w:r w:rsidR="00D07CF3" w:rsidRPr="0038001F">
        <w:rPr>
          <w:rFonts w:ascii="Times New Roman" w:hAnsi="Times New Roman" w:cs="Times New Roman"/>
          <w:sz w:val="24"/>
          <w:szCs w:val="24"/>
        </w:rPr>
        <w:t xml:space="preserve">denial. </w:t>
      </w:r>
      <w:r w:rsidR="002E5E1C" w:rsidRPr="0038001F">
        <w:rPr>
          <w:rFonts w:ascii="Times New Roman" w:hAnsi="Times New Roman" w:cs="Times New Roman"/>
          <w:sz w:val="24"/>
          <w:szCs w:val="24"/>
        </w:rPr>
        <w:t xml:space="preserve"> </w:t>
      </w:r>
      <w:r w:rsidR="00D07CF3" w:rsidRPr="0038001F">
        <w:rPr>
          <w:rFonts w:ascii="Times New Roman" w:hAnsi="Times New Roman" w:cs="Times New Roman"/>
          <w:sz w:val="24"/>
          <w:szCs w:val="24"/>
        </w:rPr>
        <w:t>He</w:t>
      </w:r>
      <w:r w:rsidRPr="0038001F">
        <w:rPr>
          <w:rFonts w:ascii="Times New Roman" w:hAnsi="Times New Roman" w:cs="Times New Roman"/>
          <w:sz w:val="24"/>
          <w:szCs w:val="24"/>
        </w:rPr>
        <w:t xml:space="preserve"> can only be convicted of murder if the only reasonable inference that can be drawn from the facts is that he had legal intention to kill. If the court draws this inference, the court decides that he must have and did foresee the possibility of death.’</w:t>
      </w:r>
    </w:p>
    <w:p w14:paraId="54F9D9CB" w14:textId="3DE7F53E" w:rsidR="0046561E" w:rsidRPr="0038001F" w:rsidRDefault="00E05AFF" w:rsidP="004109B3">
      <w:pPr>
        <w:spacing w:line="240" w:lineRule="auto"/>
        <w:ind w:left="1440"/>
        <w:jc w:val="both"/>
        <w:rPr>
          <w:rFonts w:ascii="Times New Roman" w:hAnsi="Times New Roman" w:cs="Times New Roman"/>
          <w:sz w:val="24"/>
          <w:szCs w:val="24"/>
        </w:rPr>
      </w:pPr>
      <w:r w:rsidRPr="0038001F">
        <w:rPr>
          <w:rFonts w:ascii="Times New Roman" w:hAnsi="Times New Roman" w:cs="Times New Roman"/>
          <w:sz w:val="24"/>
          <w:szCs w:val="24"/>
        </w:rPr>
        <w:t xml:space="preserve">In the article, the concept of </w:t>
      </w:r>
      <w:proofErr w:type="spellStart"/>
      <w:r w:rsidRPr="0038001F">
        <w:rPr>
          <w:rFonts w:ascii="Times New Roman" w:hAnsi="Times New Roman" w:cs="Times New Roman"/>
          <w:i/>
          <w:sz w:val="24"/>
          <w:szCs w:val="24"/>
        </w:rPr>
        <w:t>dolus</w:t>
      </w:r>
      <w:proofErr w:type="spellEnd"/>
      <w:r w:rsidRPr="0038001F">
        <w:rPr>
          <w:rFonts w:ascii="Times New Roman" w:hAnsi="Times New Roman" w:cs="Times New Roman"/>
          <w:i/>
          <w:sz w:val="24"/>
          <w:szCs w:val="24"/>
        </w:rPr>
        <w:t xml:space="preserve"> </w:t>
      </w:r>
      <w:proofErr w:type="spellStart"/>
      <w:r w:rsidRPr="0038001F">
        <w:rPr>
          <w:rFonts w:ascii="Times New Roman" w:hAnsi="Times New Roman" w:cs="Times New Roman"/>
          <w:i/>
          <w:sz w:val="24"/>
          <w:szCs w:val="24"/>
        </w:rPr>
        <w:t>eventualis</w:t>
      </w:r>
      <w:proofErr w:type="spellEnd"/>
      <w:r w:rsidRPr="0038001F">
        <w:rPr>
          <w:rFonts w:ascii="Times New Roman" w:hAnsi="Times New Roman" w:cs="Times New Roman"/>
          <w:sz w:val="24"/>
          <w:szCs w:val="24"/>
        </w:rPr>
        <w:t xml:space="preserve"> in </w:t>
      </w:r>
      <w:r w:rsidRPr="0038001F">
        <w:rPr>
          <w:rFonts w:ascii="Times New Roman" w:hAnsi="Times New Roman" w:cs="Times New Roman"/>
          <w:i/>
          <w:sz w:val="24"/>
          <w:szCs w:val="24"/>
        </w:rPr>
        <w:t>South African Law</w:t>
      </w:r>
      <w:r w:rsidRPr="0038001F">
        <w:rPr>
          <w:rFonts w:ascii="Times New Roman" w:hAnsi="Times New Roman" w:cs="Times New Roman"/>
          <w:sz w:val="24"/>
          <w:szCs w:val="24"/>
        </w:rPr>
        <w:t xml:space="preserve"> by Shannon Hoctor, a Professor of Law at the University of </w:t>
      </w:r>
      <w:proofErr w:type="spellStart"/>
      <w:r w:rsidRPr="0038001F">
        <w:rPr>
          <w:rFonts w:ascii="Times New Roman" w:hAnsi="Times New Roman" w:cs="Times New Roman"/>
          <w:sz w:val="24"/>
          <w:szCs w:val="24"/>
        </w:rPr>
        <w:t>KwaZulu</w:t>
      </w:r>
      <w:proofErr w:type="spellEnd"/>
      <w:r w:rsidRPr="0038001F">
        <w:rPr>
          <w:rFonts w:ascii="Times New Roman" w:hAnsi="Times New Roman" w:cs="Times New Roman"/>
          <w:sz w:val="24"/>
          <w:szCs w:val="24"/>
        </w:rPr>
        <w:t xml:space="preserve"> Natal, </w:t>
      </w:r>
      <w:proofErr w:type="spellStart"/>
      <w:r w:rsidR="009B68B7">
        <w:rPr>
          <w:rFonts w:ascii="Times New Roman" w:hAnsi="Times New Roman" w:cs="Times New Roman"/>
          <w:i/>
          <w:sz w:val="24"/>
          <w:szCs w:val="24"/>
        </w:rPr>
        <w:t>do</w:t>
      </w:r>
      <w:r w:rsidRPr="0038001F">
        <w:rPr>
          <w:rFonts w:ascii="Times New Roman" w:hAnsi="Times New Roman" w:cs="Times New Roman"/>
          <w:i/>
          <w:sz w:val="24"/>
          <w:szCs w:val="24"/>
        </w:rPr>
        <w:t>lus</w:t>
      </w:r>
      <w:proofErr w:type="spellEnd"/>
      <w:r w:rsidRPr="0038001F">
        <w:rPr>
          <w:rFonts w:ascii="Times New Roman" w:hAnsi="Times New Roman" w:cs="Times New Roman"/>
          <w:i/>
          <w:sz w:val="24"/>
          <w:szCs w:val="24"/>
        </w:rPr>
        <w:t xml:space="preserve"> </w:t>
      </w:r>
      <w:proofErr w:type="spellStart"/>
      <w:r w:rsidRPr="0038001F">
        <w:rPr>
          <w:rFonts w:ascii="Times New Roman" w:hAnsi="Times New Roman" w:cs="Times New Roman"/>
          <w:i/>
          <w:sz w:val="24"/>
          <w:szCs w:val="24"/>
        </w:rPr>
        <w:t>eventualis</w:t>
      </w:r>
      <w:proofErr w:type="spellEnd"/>
      <w:r w:rsidRPr="0038001F">
        <w:rPr>
          <w:rFonts w:ascii="Times New Roman" w:hAnsi="Times New Roman" w:cs="Times New Roman"/>
          <w:sz w:val="24"/>
          <w:szCs w:val="24"/>
        </w:rPr>
        <w:t xml:space="preserve"> is circumscribed in the following manner:</w:t>
      </w:r>
    </w:p>
    <w:p w14:paraId="75960177" w14:textId="050E272F" w:rsidR="009809D8" w:rsidRDefault="00E05AFF" w:rsidP="004109B3">
      <w:pPr>
        <w:spacing w:line="240" w:lineRule="auto"/>
        <w:ind w:left="2268"/>
        <w:jc w:val="both"/>
        <w:rPr>
          <w:rFonts w:ascii="Times New Roman" w:hAnsi="Times New Roman" w:cs="Times New Roman"/>
          <w:sz w:val="24"/>
          <w:szCs w:val="24"/>
        </w:rPr>
      </w:pPr>
      <w:r w:rsidRPr="0038001F">
        <w:rPr>
          <w:rFonts w:ascii="Times New Roman" w:hAnsi="Times New Roman" w:cs="Times New Roman"/>
          <w:sz w:val="24"/>
          <w:szCs w:val="24"/>
        </w:rPr>
        <w:t xml:space="preserve">‘It, </w:t>
      </w:r>
      <w:proofErr w:type="spellStart"/>
      <w:r w:rsidRPr="0038001F">
        <w:rPr>
          <w:rFonts w:ascii="Times New Roman" w:hAnsi="Times New Roman" w:cs="Times New Roman"/>
          <w:i/>
          <w:sz w:val="24"/>
          <w:szCs w:val="24"/>
        </w:rPr>
        <w:t>mens</w:t>
      </w:r>
      <w:proofErr w:type="spellEnd"/>
      <w:r w:rsidRPr="0038001F">
        <w:rPr>
          <w:rFonts w:ascii="Times New Roman" w:hAnsi="Times New Roman" w:cs="Times New Roman"/>
          <w:i/>
          <w:sz w:val="24"/>
          <w:szCs w:val="24"/>
        </w:rPr>
        <w:t xml:space="preserve"> rea</w:t>
      </w:r>
      <w:r w:rsidRPr="0038001F">
        <w:rPr>
          <w:rFonts w:ascii="Times New Roman" w:hAnsi="Times New Roman" w:cs="Times New Roman"/>
          <w:sz w:val="24"/>
          <w:szCs w:val="24"/>
        </w:rPr>
        <w:t xml:space="preserve"> is a less and mediate degree found in those cases in which an offender, without specific malice or intention directed to the crime charged, consciously sets forth upon a wrongful or unlawful design, and in the execution of it reaches a criminal result greater than, or short of, or otherwise different from that </w:t>
      </w:r>
      <w:r w:rsidR="00D07CF3" w:rsidRPr="0038001F">
        <w:rPr>
          <w:rFonts w:ascii="Times New Roman" w:hAnsi="Times New Roman" w:cs="Times New Roman"/>
          <w:sz w:val="24"/>
          <w:szCs w:val="24"/>
        </w:rPr>
        <w:t>proposed, but</w:t>
      </w:r>
      <w:r w:rsidRPr="0038001F">
        <w:rPr>
          <w:rFonts w:ascii="Times New Roman" w:hAnsi="Times New Roman" w:cs="Times New Roman"/>
          <w:sz w:val="24"/>
          <w:szCs w:val="24"/>
        </w:rPr>
        <w:t xml:space="preserve"> which he should reasonably have contemplated as a possible consequence of his conduct.</w:t>
      </w:r>
      <w:r w:rsidR="004109B3">
        <w:rPr>
          <w:rFonts w:ascii="Times New Roman" w:hAnsi="Times New Roman" w:cs="Times New Roman"/>
          <w:sz w:val="24"/>
          <w:szCs w:val="24"/>
        </w:rPr>
        <w:t>’”</w:t>
      </w:r>
    </w:p>
    <w:p w14:paraId="0B01FB16" w14:textId="77777777" w:rsidR="004109B3" w:rsidRPr="0038001F" w:rsidRDefault="004109B3" w:rsidP="004109B3">
      <w:pPr>
        <w:spacing w:line="240" w:lineRule="auto"/>
        <w:ind w:left="2268"/>
        <w:jc w:val="both"/>
        <w:rPr>
          <w:rFonts w:ascii="Times New Roman" w:hAnsi="Times New Roman" w:cs="Times New Roman"/>
          <w:sz w:val="24"/>
          <w:szCs w:val="24"/>
        </w:rPr>
      </w:pPr>
    </w:p>
    <w:p w14:paraId="551B11FD" w14:textId="6D02036E" w:rsidR="009809D8" w:rsidRPr="0038001F" w:rsidRDefault="009809D8" w:rsidP="004C64FF">
      <w:pPr>
        <w:pStyle w:val="Default"/>
        <w:numPr>
          <w:ilvl w:val="0"/>
          <w:numId w:val="3"/>
        </w:numPr>
        <w:spacing w:line="480" w:lineRule="auto"/>
        <w:ind w:left="450" w:hanging="450"/>
        <w:jc w:val="both"/>
      </w:pPr>
      <w:r w:rsidRPr="0038001F">
        <w:rPr>
          <w:color w:val="auto"/>
        </w:rPr>
        <w:t xml:space="preserve">The common </w:t>
      </w:r>
      <w:r w:rsidRPr="0038001F">
        <w:t xml:space="preserve">law approach was admirably summarized by </w:t>
      </w:r>
      <w:r w:rsidR="0073765B" w:rsidRPr="0038001F">
        <w:rPr>
          <w:bCs/>
          <w:smallCaps/>
        </w:rPr>
        <w:t>Leach JA</w:t>
      </w:r>
      <w:r w:rsidR="0073765B" w:rsidRPr="0038001F">
        <w:rPr>
          <w:b/>
          <w:bCs/>
        </w:rPr>
        <w:t xml:space="preserve"> </w:t>
      </w:r>
      <w:r w:rsidRPr="0038001F">
        <w:t xml:space="preserve">in </w:t>
      </w:r>
      <w:bookmarkStart w:id="1" w:name="_Hlk190097957"/>
      <w:r w:rsidRPr="009B68B7">
        <w:rPr>
          <w:bCs/>
          <w:i/>
          <w:iCs/>
        </w:rPr>
        <w:t>Director of Public Prosecutions</w:t>
      </w:r>
      <w:r w:rsidRPr="0038001F">
        <w:rPr>
          <w:bCs/>
        </w:rPr>
        <w:t>,</w:t>
      </w:r>
      <w:r w:rsidRPr="0038001F">
        <w:rPr>
          <w:b/>
          <w:bCs/>
        </w:rPr>
        <w:t xml:space="preserve"> </w:t>
      </w:r>
      <w:r w:rsidRPr="0038001F">
        <w:rPr>
          <w:bCs/>
          <w:i/>
        </w:rPr>
        <w:t>Gauteng</w:t>
      </w:r>
      <w:r w:rsidRPr="0038001F">
        <w:rPr>
          <w:b/>
          <w:bCs/>
        </w:rPr>
        <w:t xml:space="preserve"> </w:t>
      </w:r>
      <w:r w:rsidRPr="0038001F">
        <w:rPr>
          <w:bCs/>
        </w:rPr>
        <w:t xml:space="preserve">v </w:t>
      </w:r>
      <w:r w:rsidRPr="0038001F">
        <w:rPr>
          <w:bCs/>
          <w:i/>
        </w:rPr>
        <w:t>Oscar Leonard Carl Pistorius</w:t>
      </w:r>
      <w:r w:rsidRPr="0038001F">
        <w:rPr>
          <w:b/>
          <w:bCs/>
        </w:rPr>
        <w:t xml:space="preserve"> </w:t>
      </w:r>
      <w:r w:rsidRPr="0038001F">
        <w:rPr>
          <w:bCs/>
        </w:rPr>
        <w:t>[2015] ZASCA 204</w:t>
      </w:r>
      <w:r w:rsidRPr="0038001F">
        <w:rPr>
          <w:b/>
          <w:bCs/>
        </w:rPr>
        <w:t xml:space="preserve"> </w:t>
      </w:r>
      <w:bookmarkEnd w:id="1"/>
      <w:r w:rsidRPr="0038001F">
        <w:t xml:space="preserve">as follows: </w:t>
      </w:r>
    </w:p>
    <w:p w14:paraId="77E38CCF" w14:textId="77777777" w:rsidR="002B008B" w:rsidRDefault="009809D8" w:rsidP="00407E41">
      <w:pPr>
        <w:pStyle w:val="Default"/>
        <w:ind w:left="1440"/>
        <w:jc w:val="both"/>
        <w:rPr>
          <w:bCs/>
          <w:u w:val="single"/>
        </w:rPr>
      </w:pPr>
      <w:r w:rsidRPr="0038001F">
        <w:rPr>
          <w:bCs/>
          <w:iCs/>
        </w:rPr>
        <w:lastRenderedPageBreak/>
        <w:t xml:space="preserve">“In cases of murder, there are principally two forms of </w:t>
      </w:r>
      <w:proofErr w:type="spellStart"/>
      <w:r w:rsidRPr="0038001F">
        <w:rPr>
          <w:bCs/>
          <w:iCs/>
        </w:rPr>
        <w:t>dolus</w:t>
      </w:r>
      <w:proofErr w:type="spellEnd"/>
      <w:r w:rsidRPr="0038001F">
        <w:rPr>
          <w:bCs/>
          <w:iCs/>
        </w:rPr>
        <w:t xml:space="preserve"> which arise: </w:t>
      </w:r>
      <w:proofErr w:type="spellStart"/>
      <w:r w:rsidRPr="0038001F">
        <w:rPr>
          <w:bCs/>
          <w:i/>
          <w:iCs/>
        </w:rPr>
        <w:t>dolus</w:t>
      </w:r>
      <w:proofErr w:type="spellEnd"/>
      <w:r w:rsidRPr="0038001F">
        <w:rPr>
          <w:bCs/>
          <w:i/>
          <w:iCs/>
        </w:rPr>
        <w:t xml:space="preserve"> </w:t>
      </w:r>
      <w:proofErr w:type="spellStart"/>
      <w:r w:rsidRPr="0038001F">
        <w:rPr>
          <w:bCs/>
          <w:i/>
          <w:iCs/>
        </w:rPr>
        <w:t>directus</w:t>
      </w:r>
      <w:proofErr w:type="spellEnd"/>
      <w:r w:rsidRPr="0038001F">
        <w:rPr>
          <w:bCs/>
          <w:iCs/>
        </w:rPr>
        <w:t xml:space="preserve"> and </w:t>
      </w:r>
      <w:proofErr w:type="spellStart"/>
      <w:r w:rsidRPr="0038001F">
        <w:rPr>
          <w:bCs/>
          <w:i/>
          <w:iCs/>
        </w:rPr>
        <w:t>dolus</w:t>
      </w:r>
      <w:proofErr w:type="spellEnd"/>
      <w:r w:rsidRPr="0038001F">
        <w:rPr>
          <w:bCs/>
          <w:i/>
          <w:iCs/>
        </w:rPr>
        <w:t xml:space="preserve"> </w:t>
      </w:r>
      <w:proofErr w:type="spellStart"/>
      <w:r w:rsidRPr="0038001F">
        <w:rPr>
          <w:bCs/>
          <w:i/>
          <w:iCs/>
        </w:rPr>
        <w:t>eventualis</w:t>
      </w:r>
      <w:proofErr w:type="spellEnd"/>
      <w:r w:rsidRPr="0038001F">
        <w:rPr>
          <w:bCs/>
          <w:iCs/>
        </w:rPr>
        <w:t xml:space="preserve">. These terms are nothing more than labels used by lawyers to connote a particular form of intention on the part of a person who commits a criminal act. In the case of murder, a person acts with </w:t>
      </w:r>
      <w:proofErr w:type="spellStart"/>
      <w:r w:rsidRPr="0038001F">
        <w:rPr>
          <w:bCs/>
          <w:i/>
          <w:iCs/>
        </w:rPr>
        <w:t>dolus</w:t>
      </w:r>
      <w:proofErr w:type="spellEnd"/>
      <w:r w:rsidRPr="0038001F">
        <w:rPr>
          <w:bCs/>
          <w:i/>
          <w:iCs/>
        </w:rPr>
        <w:t xml:space="preserve"> </w:t>
      </w:r>
      <w:proofErr w:type="spellStart"/>
      <w:r w:rsidRPr="0038001F">
        <w:rPr>
          <w:bCs/>
          <w:i/>
          <w:iCs/>
        </w:rPr>
        <w:t>directus</w:t>
      </w:r>
      <w:proofErr w:type="spellEnd"/>
      <w:r w:rsidRPr="0038001F">
        <w:rPr>
          <w:bCs/>
          <w:iCs/>
        </w:rPr>
        <w:t xml:space="preserve"> if he or she committed the offence with the object and purpose of killing the deceased. </w:t>
      </w:r>
      <w:proofErr w:type="spellStart"/>
      <w:r w:rsidRPr="0038001F">
        <w:rPr>
          <w:bCs/>
          <w:i/>
          <w:iCs/>
        </w:rPr>
        <w:t>Dolus</w:t>
      </w:r>
      <w:proofErr w:type="spellEnd"/>
      <w:r w:rsidRPr="0038001F">
        <w:rPr>
          <w:bCs/>
          <w:i/>
          <w:iCs/>
        </w:rPr>
        <w:t xml:space="preserve"> </w:t>
      </w:r>
      <w:proofErr w:type="spellStart"/>
      <w:r w:rsidRPr="0038001F">
        <w:rPr>
          <w:bCs/>
          <w:i/>
          <w:iCs/>
        </w:rPr>
        <w:t>eventualis</w:t>
      </w:r>
      <w:proofErr w:type="spellEnd"/>
      <w:r w:rsidRPr="0038001F">
        <w:rPr>
          <w:bCs/>
          <w:iCs/>
        </w:rPr>
        <w:t>, on the other hand, although a relatively straightforward concept, is somewhat different</w:t>
      </w:r>
      <w:r w:rsidRPr="0038001F">
        <w:rPr>
          <w:bCs/>
          <w:iCs/>
          <w:u w:val="single"/>
        </w:rPr>
        <w:t xml:space="preserve">. In contrast to </w:t>
      </w:r>
      <w:proofErr w:type="spellStart"/>
      <w:r w:rsidRPr="0038001F">
        <w:rPr>
          <w:bCs/>
          <w:i/>
          <w:iCs/>
          <w:u w:val="single"/>
        </w:rPr>
        <w:t>dolus</w:t>
      </w:r>
      <w:proofErr w:type="spellEnd"/>
      <w:r w:rsidRPr="0038001F">
        <w:rPr>
          <w:bCs/>
          <w:i/>
          <w:iCs/>
          <w:u w:val="single"/>
        </w:rPr>
        <w:t xml:space="preserve"> </w:t>
      </w:r>
      <w:proofErr w:type="spellStart"/>
      <w:r w:rsidRPr="0038001F">
        <w:rPr>
          <w:bCs/>
          <w:i/>
          <w:iCs/>
          <w:u w:val="single"/>
        </w:rPr>
        <w:t>directus</w:t>
      </w:r>
      <w:proofErr w:type="spellEnd"/>
      <w:r w:rsidRPr="0038001F">
        <w:rPr>
          <w:bCs/>
          <w:iCs/>
          <w:u w:val="single"/>
        </w:rPr>
        <w:t xml:space="preserve">, in a case of murder where the object and purpose of the perpetrator is specifically to cause death, a person`s intention in the form of </w:t>
      </w:r>
      <w:proofErr w:type="spellStart"/>
      <w:r w:rsidRPr="0038001F">
        <w:rPr>
          <w:bCs/>
          <w:i/>
          <w:iCs/>
          <w:u w:val="single"/>
        </w:rPr>
        <w:t>dolus</w:t>
      </w:r>
      <w:proofErr w:type="spellEnd"/>
      <w:r w:rsidRPr="0038001F">
        <w:rPr>
          <w:bCs/>
          <w:i/>
          <w:iCs/>
          <w:u w:val="single"/>
        </w:rPr>
        <w:t xml:space="preserve"> </w:t>
      </w:r>
      <w:proofErr w:type="spellStart"/>
      <w:r w:rsidRPr="0038001F">
        <w:rPr>
          <w:bCs/>
          <w:i/>
          <w:iCs/>
          <w:u w:val="single"/>
        </w:rPr>
        <w:t>eventualis</w:t>
      </w:r>
      <w:proofErr w:type="spellEnd"/>
      <w:r w:rsidRPr="0038001F">
        <w:rPr>
          <w:bCs/>
          <w:iCs/>
          <w:u w:val="single"/>
        </w:rPr>
        <w:t xml:space="preserve"> arises if the perpetrator foresees the risk of death occurring, but nevertheless continues to act appreciating that death might well occur, therefore `gambling` as it were with the life of the person against whom the act is directed. </w:t>
      </w:r>
      <w:bookmarkStart w:id="2" w:name="_Hlk190098308"/>
      <w:r w:rsidRPr="0038001F">
        <w:rPr>
          <w:bCs/>
          <w:iCs/>
          <w:u w:val="single"/>
        </w:rPr>
        <w:t xml:space="preserve">It therefore consists of two parts: (1) foresight of the possibility of death occurring; and (2) reconciliation with that </w:t>
      </w:r>
      <w:proofErr w:type="spellStart"/>
      <w:r w:rsidRPr="0038001F">
        <w:rPr>
          <w:bCs/>
          <w:iCs/>
          <w:u w:val="single"/>
        </w:rPr>
        <w:t>foressen</w:t>
      </w:r>
      <w:proofErr w:type="spellEnd"/>
      <w:r w:rsidRPr="0038001F">
        <w:rPr>
          <w:bCs/>
          <w:iCs/>
          <w:u w:val="single"/>
        </w:rPr>
        <w:t xml:space="preserve"> possibility. This second element has been expressed in various ways.</w:t>
      </w:r>
      <w:r w:rsidRPr="0038001F">
        <w:rPr>
          <w:bCs/>
          <w:iCs/>
        </w:rPr>
        <w:t xml:space="preserve"> </w:t>
      </w:r>
      <w:bookmarkEnd w:id="2"/>
      <w:r w:rsidRPr="0038001F">
        <w:rPr>
          <w:bCs/>
          <w:iCs/>
        </w:rPr>
        <w:t>For example, it has been said that the person must act `reckless as to the consequences</w:t>
      </w:r>
      <w:proofErr w:type="gramStart"/>
      <w:r w:rsidRPr="0038001F">
        <w:rPr>
          <w:bCs/>
          <w:iCs/>
        </w:rPr>
        <w:t>`(</w:t>
      </w:r>
      <w:proofErr w:type="gramEnd"/>
      <w:r w:rsidRPr="0038001F">
        <w:rPr>
          <w:bCs/>
          <w:iCs/>
        </w:rPr>
        <w:t xml:space="preserve">a phrase that has caused some confusion as some have interpreted it to mean with gross negligence) or must have been `reconciled` with the foreseeable outcome. Terminology aside, it is necessary to stress that the wrongdoer does not have to foresee death as a probable consequence of his or her actions. </w:t>
      </w:r>
      <w:r w:rsidRPr="0038001F">
        <w:rPr>
          <w:bCs/>
          <w:iCs/>
          <w:u w:val="single"/>
        </w:rPr>
        <w:t xml:space="preserve">It is sufficient that the possibility of death is foreseen which, coupled with a disregard of that consequence, is sufficient to constitute the necessary criminal intent.” </w:t>
      </w:r>
      <w:r w:rsidR="008A026B" w:rsidRPr="0038001F">
        <w:rPr>
          <w:bCs/>
          <w:u w:val="single"/>
        </w:rPr>
        <w:t>[para</w:t>
      </w:r>
      <w:r w:rsidRPr="0038001F">
        <w:rPr>
          <w:bCs/>
          <w:u w:val="single"/>
        </w:rPr>
        <w:t xml:space="preserve"> 26]</w:t>
      </w:r>
    </w:p>
    <w:p w14:paraId="1678629E" w14:textId="77777777" w:rsidR="002B008B" w:rsidRDefault="002B008B" w:rsidP="00407E41">
      <w:pPr>
        <w:pStyle w:val="Default"/>
        <w:ind w:left="1440"/>
        <w:jc w:val="both"/>
        <w:rPr>
          <w:bCs/>
          <w:u w:val="single"/>
        </w:rPr>
      </w:pPr>
    </w:p>
    <w:p w14:paraId="17506803" w14:textId="194E7FF3" w:rsidR="009809D8" w:rsidRPr="002B008B" w:rsidRDefault="002B008B" w:rsidP="00407E41">
      <w:pPr>
        <w:pStyle w:val="Default"/>
        <w:ind w:left="1440"/>
        <w:jc w:val="both"/>
      </w:pPr>
      <w:r w:rsidRPr="002B008B">
        <w:rPr>
          <w:bCs/>
        </w:rPr>
        <w:t>See</w:t>
      </w:r>
      <w:r>
        <w:rPr>
          <w:bCs/>
        </w:rPr>
        <w:t xml:space="preserve"> also</w:t>
      </w:r>
      <w:r w:rsidRPr="002B008B">
        <w:rPr>
          <w:bCs/>
        </w:rPr>
        <w:t xml:space="preserve"> S v </w:t>
      </w:r>
      <w:proofErr w:type="spellStart"/>
      <w:r w:rsidRPr="002B008B">
        <w:rPr>
          <w:bCs/>
        </w:rPr>
        <w:t>Mugwanda</w:t>
      </w:r>
      <w:proofErr w:type="spellEnd"/>
      <w:r w:rsidRPr="002B008B">
        <w:rPr>
          <w:bCs/>
        </w:rPr>
        <w:t xml:space="preserve"> 2002 (1) ZLR 574 (S) at 579F-580B And 580H-581F.</w:t>
      </w:r>
      <w:r w:rsidR="009809D8" w:rsidRPr="002B008B">
        <w:t xml:space="preserve"> </w:t>
      </w:r>
    </w:p>
    <w:p w14:paraId="161154B3" w14:textId="77777777" w:rsidR="0073765B" w:rsidRPr="0038001F" w:rsidRDefault="0073765B" w:rsidP="008A026B">
      <w:pPr>
        <w:pStyle w:val="ListParagraph"/>
        <w:spacing w:after="0" w:line="480" w:lineRule="auto"/>
        <w:ind w:left="360"/>
        <w:jc w:val="both"/>
        <w:rPr>
          <w:rFonts w:ascii="Times New Roman" w:hAnsi="Times New Roman" w:cs="Times New Roman"/>
          <w:sz w:val="24"/>
          <w:szCs w:val="24"/>
        </w:rPr>
      </w:pPr>
    </w:p>
    <w:p w14:paraId="693F6280" w14:textId="3C4F6FB7" w:rsidR="00E21E91" w:rsidRPr="0038001F" w:rsidRDefault="008A026B" w:rsidP="005705F5">
      <w:pPr>
        <w:pStyle w:val="Default"/>
        <w:numPr>
          <w:ilvl w:val="0"/>
          <w:numId w:val="3"/>
        </w:numPr>
        <w:tabs>
          <w:tab w:val="left" w:pos="450"/>
        </w:tabs>
        <w:spacing w:line="480" w:lineRule="auto"/>
        <w:ind w:left="450" w:hanging="450"/>
      </w:pPr>
      <w:bookmarkStart w:id="3" w:name="_Hlk190161447"/>
      <w:r>
        <w:t>I</w:t>
      </w:r>
      <w:r w:rsidR="00E21E91" w:rsidRPr="0038001F">
        <w:t xml:space="preserve">n line with the jurisprudence that </w:t>
      </w:r>
      <w:r w:rsidR="00F22A37">
        <w:t xml:space="preserve">was </w:t>
      </w:r>
      <w:r w:rsidR="00E21E91" w:rsidRPr="0038001F">
        <w:t>developed under the common law, each component has its own legal requirements and a court cannot convict without specifically and properly applying its mind to the requirements of each component</w:t>
      </w:r>
      <w:bookmarkEnd w:id="3"/>
      <w:r w:rsidR="00E21E91" w:rsidRPr="0038001F">
        <w:t xml:space="preserve">. </w:t>
      </w:r>
    </w:p>
    <w:p w14:paraId="3FB2B020" w14:textId="77777777" w:rsidR="00E21E91" w:rsidRPr="0038001F" w:rsidRDefault="00E21E91" w:rsidP="004602E0">
      <w:pPr>
        <w:pStyle w:val="Default"/>
      </w:pPr>
    </w:p>
    <w:p w14:paraId="3ECD33A1" w14:textId="0CB0C5D0" w:rsidR="0029114C" w:rsidRDefault="00E21E91" w:rsidP="006503FA">
      <w:pPr>
        <w:pStyle w:val="Default"/>
        <w:numPr>
          <w:ilvl w:val="0"/>
          <w:numId w:val="3"/>
        </w:numPr>
        <w:spacing w:line="480" w:lineRule="auto"/>
        <w:ind w:left="450" w:hanging="450"/>
        <w:jc w:val="both"/>
      </w:pPr>
      <w:bookmarkStart w:id="4" w:name="_Hlk190163357"/>
      <w:r w:rsidRPr="0038001F">
        <w:t>It is important to state</w:t>
      </w:r>
      <w:r w:rsidR="0073591A">
        <w:t>, at this juncture,</w:t>
      </w:r>
      <w:r w:rsidRPr="0038001F">
        <w:t xml:space="preserve"> the law regarding how a court is expected to make findings of fact on the state of mind of an accused person. The law is that a court makes a finding of fact on the state of mind of an accused person by inferential reasoning: it infers the state of </w:t>
      </w:r>
      <w:r w:rsidRPr="0038001F">
        <w:rPr>
          <w:i/>
          <w:iCs/>
        </w:rPr>
        <w:t xml:space="preserve">actus reus </w:t>
      </w:r>
      <w:r w:rsidRPr="0038001F">
        <w:t xml:space="preserve">as well as the surrounding circumstances to the extent that these have a bearing on the state of mind: </w:t>
      </w:r>
      <w:r w:rsidRPr="0038001F">
        <w:rPr>
          <w:bCs/>
          <w:i/>
        </w:rPr>
        <w:t xml:space="preserve">S </w:t>
      </w:r>
      <w:r w:rsidRPr="0038001F">
        <w:rPr>
          <w:bCs/>
        </w:rPr>
        <w:t xml:space="preserve">v </w:t>
      </w:r>
      <w:r w:rsidRPr="0038001F">
        <w:rPr>
          <w:bCs/>
          <w:i/>
        </w:rPr>
        <w:t xml:space="preserve">Masawi </w:t>
      </w:r>
      <w:r w:rsidRPr="00B901AA">
        <w:rPr>
          <w:bCs/>
        </w:rPr>
        <w:t>1996</w:t>
      </w:r>
      <w:r w:rsidR="00B901AA">
        <w:rPr>
          <w:bCs/>
        </w:rPr>
        <w:t xml:space="preserve"> </w:t>
      </w:r>
      <w:r w:rsidRPr="00B901AA">
        <w:rPr>
          <w:bCs/>
        </w:rPr>
        <w:t>(2) ZLR 472</w:t>
      </w:r>
      <w:r w:rsidR="00B901AA">
        <w:rPr>
          <w:bCs/>
        </w:rPr>
        <w:t xml:space="preserve"> </w:t>
      </w:r>
      <w:r w:rsidRPr="00B901AA">
        <w:rPr>
          <w:bCs/>
        </w:rPr>
        <w:t>(S) at 525B;</w:t>
      </w:r>
      <w:r w:rsidRPr="0038001F">
        <w:rPr>
          <w:bCs/>
          <w:i/>
        </w:rPr>
        <w:t xml:space="preserve"> S </w:t>
      </w:r>
      <w:r w:rsidRPr="0038001F">
        <w:rPr>
          <w:bCs/>
        </w:rPr>
        <w:t>v</w:t>
      </w:r>
      <w:r w:rsidRPr="0038001F">
        <w:rPr>
          <w:bCs/>
          <w:i/>
        </w:rPr>
        <w:t xml:space="preserve"> Malinga </w:t>
      </w:r>
      <w:r w:rsidRPr="00B901AA">
        <w:rPr>
          <w:bCs/>
        </w:rPr>
        <w:t>1963</w:t>
      </w:r>
      <w:r w:rsidR="00B901AA">
        <w:rPr>
          <w:bCs/>
        </w:rPr>
        <w:t xml:space="preserve"> </w:t>
      </w:r>
      <w:r w:rsidRPr="00B901AA">
        <w:rPr>
          <w:bCs/>
        </w:rPr>
        <w:t>(3) SA 692</w:t>
      </w:r>
      <w:r w:rsidR="00B901AA">
        <w:rPr>
          <w:bCs/>
        </w:rPr>
        <w:t xml:space="preserve"> </w:t>
      </w:r>
      <w:r w:rsidRPr="00B901AA">
        <w:rPr>
          <w:bCs/>
        </w:rPr>
        <w:t>(A) at 694;</w:t>
      </w:r>
      <w:r w:rsidRPr="0038001F">
        <w:rPr>
          <w:bCs/>
          <w:i/>
        </w:rPr>
        <w:t xml:space="preserve"> S</w:t>
      </w:r>
      <w:r w:rsidRPr="0038001F">
        <w:rPr>
          <w:bCs/>
        </w:rPr>
        <w:t xml:space="preserve"> v</w:t>
      </w:r>
      <w:r w:rsidRPr="0038001F">
        <w:rPr>
          <w:bCs/>
          <w:i/>
        </w:rPr>
        <w:t xml:space="preserve"> Mini </w:t>
      </w:r>
      <w:r w:rsidRPr="00B901AA">
        <w:rPr>
          <w:bCs/>
        </w:rPr>
        <w:t>1963</w:t>
      </w:r>
      <w:r w:rsidR="00B901AA">
        <w:rPr>
          <w:bCs/>
        </w:rPr>
        <w:t xml:space="preserve"> </w:t>
      </w:r>
      <w:r w:rsidRPr="00B901AA">
        <w:rPr>
          <w:bCs/>
        </w:rPr>
        <w:t>(3) SA 188</w:t>
      </w:r>
      <w:r w:rsidR="00B901AA">
        <w:rPr>
          <w:bCs/>
        </w:rPr>
        <w:t xml:space="preserve"> </w:t>
      </w:r>
      <w:r w:rsidRPr="00B901AA">
        <w:rPr>
          <w:bCs/>
        </w:rPr>
        <w:t>(A) at 192;</w:t>
      </w:r>
      <w:r w:rsidRPr="0038001F">
        <w:rPr>
          <w:bCs/>
          <w:i/>
        </w:rPr>
        <w:t xml:space="preserve"> S </w:t>
      </w:r>
      <w:r w:rsidRPr="0038001F">
        <w:rPr>
          <w:bCs/>
        </w:rPr>
        <w:t>v</w:t>
      </w:r>
      <w:r w:rsidRPr="0038001F">
        <w:rPr>
          <w:bCs/>
          <w:i/>
        </w:rPr>
        <w:t xml:space="preserve"> </w:t>
      </w:r>
      <w:proofErr w:type="spellStart"/>
      <w:r w:rsidRPr="0038001F">
        <w:rPr>
          <w:bCs/>
          <w:i/>
        </w:rPr>
        <w:t>Sigwala</w:t>
      </w:r>
      <w:proofErr w:type="spellEnd"/>
      <w:r w:rsidRPr="0038001F">
        <w:rPr>
          <w:bCs/>
          <w:i/>
        </w:rPr>
        <w:t xml:space="preserve"> </w:t>
      </w:r>
      <w:r w:rsidRPr="00B901AA">
        <w:rPr>
          <w:bCs/>
        </w:rPr>
        <w:t>1967</w:t>
      </w:r>
      <w:r w:rsidR="00B901AA">
        <w:rPr>
          <w:bCs/>
        </w:rPr>
        <w:t xml:space="preserve"> </w:t>
      </w:r>
      <w:r w:rsidRPr="00B901AA">
        <w:rPr>
          <w:bCs/>
        </w:rPr>
        <w:t>(4) SA 566</w:t>
      </w:r>
      <w:r w:rsidR="00B901AA">
        <w:rPr>
          <w:bCs/>
        </w:rPr>
        <w:t xml:space="preserve"> </w:t>
      </w:r>
      <w:r w:rsidRPr="00B901AA">
        <w:rPr>
          <w:bCs/>
        </w:rPr>
        <w:t>(A) at 570.</w:t>
      </w:r>
      <w:r w:rsidRPr="0038001F">
        <w:rPr>
          <w:bCs/>
          <w:i/>
        </w:rPr>
        <w:t xml:space="preserve"> </w:t>
      </w:r>
    </w:p>
    <w:bookmarkEnd w:id="4"/>
    <w:p w14:paraId="661DF76D" w14:textId="1A62A736" w:rsidR="00E21E91" w:rsidRPr="006503FA" w:rsidRDefault="00E21E91" w:rsidP="00E21E91">
      <w:pPr>
        <w:pStyle w:val="Default"/>
        <w:numPr>
          <w:ilvl w:val="0"/>
          <w:numId w:val="3"/>
        </w:numPr>
        <w:spacing w:line="480" w:lineRule="auto"/>
        <w:ind w:left="426" w:hanging="426"/>
        <w:jc w:val="both"/>
        <w:rPr>
          <w:color w:val="auto"/>
        </w:rPr>
      </w:pPr>
      <w:r w:rsidRPr="0038001F">
        <w:rPr>
          <w:color w:val="auto"/>
        </w:rPr>
        <w:lastRenderedPageBreak/>
        <w:t xml:space="preserve">In determining the state of mind by inference, the test is purely subjective and is never whether the accused should have foreseen the result but whether he/she foresaw it as an actual fact. A court must avoid basing its findings on what the judge or magistrate or ordinary person would have thought had he/she been in the accused`s shoes at the time of the </w:t>
      </w:r>
      <w:r w:rsidRPr="0038001F">
        <w:rPr>
          <w:i/>
          <w:iCs/>
          <w:color w:val="auto"/>
        </w:rPr>
        <w:t>actus reus</w:t>
      </w:r>
      <w:r w:rsidRPr="0038001F">
        <w:rPr>
          <w:color w:val="auto"/>
        </w:rPr>
        <w:t xml:space="preserve">: </w:t>
      </w:r>
      <w:r w:rsidRPr="00EA6B84">
        <w:rPr>
          <w:bCs/>
          <w:i/>
          <w:color w:val="auto"/>
        </w:rPr>
        <w:t>S</w:t>
      </w:r>
      <w:r w:rsidRPr="00EA6B84">
        <w:rPr>
          <w:bCs/>
          <w:color w:val="auto"/>
        </w:rPr>
        <w:t xml:space="preserve"> v </w:t>
      </w:r>
      <w:r w:rsidRPr="00EA6B84">
        <w:rPr>
          <w:bCs/>
          <w:i/>
          <w:color w:val="auto"/>
        </w:rPr>
        <w:t>Mini</w:t>
      </w:r>
      <w:r w:rsidRPr="00EA6B84">
        <w:rPr>
          <w:bCs/>
          <w:color w:val="auto"/>
        </w:rPr>
        <w:t xml:space="preserve"> </w:t>
      </w:r>
      <w:r w:rsidR="00F22A37">
        <w:rPr>
          <w:bCs/>
          <w:color w:val="auto"/>
        </w:rPr>
        <w:t xml:space="preserve"> </w:t>
      </w:r>
      <w:r w:rsidR="00F22A37" w:rsidRPr="00F22A37">
        <w:rPr>
          <w:bCs/>
          <w:i/>
          <w:iCs/>
          <w:color w:val="auto"/>
        </w:rPr>
        <w:t>supra</w:t>
      </w:r>
      <w:r w:rsidR="00F22A37">
        <w:rPr>
          <w:bCs/>
          <w:color w:val="auto"/>
        </w:rPr>
        <w:t xml:space="preserve"> </w:t>
      </w:r>
      <w:r w:rsidRPr="00EA6B84">
        <w:rPr>
          <w:bCs/>
          <w:color w:val="auto"/>
        </w:rPr>
        <w:t xml:space="preserve">at </w:t>
      </w:r>
      <w:r w:rsidR="00F22A37">
        <w:rPr>
          <w:bCs/>
          <w:color w:val="auto"/>
        </w:rPr>
        <w:t>p</w:t>
      </w:r>
      <w:r w:rsidRPr="00EA6B84">
        <w:rPr>
          <w:bCs/>
          <w:color w:val="auto"/>
        </w:rPr>
        <w:t xml:space="preserve">196. </w:t>
      </w:r>
    </w:p>
    <w:p w14:paraId="74A164DF" w14:textId="77777777" w:rsidR="006503FA" w:rsidRPr="005705F5" w:rsidRDefault="006503FA" w:rsidP="006503FA">
      <w:pPr>
        <w:pStyle w:val="Default"/>
        <w:ind w:left="426"/>
        <w:jc w:val="both"/>
        <w:rPr>
          <w:color w:val="auto"/>
        </w:rPr>
      </w:pPr>
    </w:p>
    <w:p w14:paraId="50448EC5" w14:textId="2448E70E" w:rsidR="00E21E91" w:rsidRPr="0038001F" w:rsidRDefault="00E21E91" w:rsidP="006A548E">
      <w:pPr>
        <w:pStyle w:val="Default"/>
        <w:numPr>
          <w:ilvl w:val="0"/>
          <w:numId w:val="3"/>
        </w:numPr>
        <w:spacing w:line="480" w:lineRule="auto"/>
        <w:ind w:left="450" w:hanging="411"/>
        <w:jc w:val="both"/>
      </w:pPr>
      <w:bookmarkStart w:id="5" w:name="_Hlk190164340"/>
      <w:r w:rsidRPr="0038001F">
        <w:rPr>
          <w:bCs/>
        </w:rPr>
        <w:t>The</w:t>
      </w:r>
      <w:r w:rsidRPr="0038001F">
        <w:rPr>
          <w:b/>
          <w:bCs/>
        </w:rPr>
        <w:t xml:space="preserve"> </w:t>
      </w:r>
      <w:r w:rsidRPr="0038001F">
        <w:t xml:space="preserve">inference sought to be drawn must be the only one that can reasonably be drawn from the proved facts: </w:t>
      </w:r>
      <w:r w:rsidRPr="0038001F">
        <w:rPr>
          <w:bCs/>
          <w:i/>
        </w:rPr>
        <w:t xml:space="preserve">S </w:t>
      </w:r>
      <w:r w:rsidRPr="0038001F">
        <w:rPr>
          <w:bCs/>
        </w:rPr>
        <w:t>v</w:t>
      </w:r>
      <w:r w:rsidRPr="0038001F">
        <w:rPr>
          <w:bCs/>
          <w:i/>
        </w:rPr>
        <w:t xml:space="preserve"> Masawi </w:t>
      </w:r>
      <w:r w:rsidR="00F22A37">
        <w:rPr>
          <w:bCs/>
          <w:i/>
        </w:rPr>
        <w:t xml:space="preserve">supra </w:t>
      </w:r>
      <w:r w:rsidRPr="0038001F">
        <w:rPr>
          <w:bCs/>
        </w:rPr>
        <w:t>at 525.</w:t>
      </w:r>
      <w:r w:rsidRPr="0038001F">
        <w:rPr>
          <w:b/>
          <w:bCs/>
        </w:rPr>
        <w:t xml:space="preserve"> </w:t>
      </w:r>
      <w:r w:rsidR="0019742F">
        <w:rPr>
          <w:b/>
          <w:bCs/>
        </w:rPr>
        <w:t xml:space="preserve"> </w:t>
      </w:r>
      <w:r w:rsidRPr="0038001F">
        <w:t>As said by H</w:t>
      </w:r>
      <w:r w:rsidR="003901AA" w:rsidRPr="0038001F">
        <w:rPr>
          <w:smallCaps/>
        </w:rPr>
        <w:t>olmes</w:t>
      </w:r>
      <w:r w:rsidRPr="0038001F">
        <w:t xml:space="preserve"> JA in </w:t>
      </w:r>
      <w:r w:rsidRPr="0038001F">
        <w:rPr>
          <w:bCs/>
          <w:i/>
        </w:rPr>
        <w:t xml:space="preserve">S </w:t>
      </w:r>
      <w:r w:rsidRPr="0038001F">
        <w:rPr>
          <w:bCs/>
        </w:rPr>
        <w:t>v</w:t>
      </w:r>
      <w:r w:rsidRPr="0038001F">
        <w:rPr>
          <w:bCs/>
          <w:i/>
        </w:rPr>
        <w:t xml:space="preserve"> </w:t>
      </w:r>
      <w:proofErr w:type="spellStart"/>
      <w:r w:rsidRPr="0038001F">
        <w:rPr>
          <w:bCs/>
          <w:i/>
        </w:rPr>
        <w:t>Sigwala</w:t>
      </w:r>
      <w:proofErr w:type="spellEnd"/>
      <w:r w:rsidRPr="0038001F">
        <w:rPr>
          <w:b/>
          <w:bCs/>
        </w:rPr>
        <w:t xml:space="preserve"> </w:t>
      </w:r>
      <w:r w:rsidRPr="0038001F">
        <w:rPr>
          <w:bCs/>
        </w:rPr>
        <w:t>1967</w:t>
      </w:r>
      <w:r w:rsidR="0019742F">
        <w:rPr>
          <w:bCs/>
        </w:rPr>
        <w:t xml:space="preserve"> </w:t>
      </w:r>
      <w:r w:rsidRPr="0038001F">
        <w:rPr>
          <w:bCs/>
        </w:rPr>
        <w:t>(4) SA 566</w:t>
      </w:r>
      <w:r w:rsidR="0019742F">
        <w:rPr>
          <w:bCs/>
        </w:rPr>
        <w:t xml:space="preserve"> </w:t>
      </w:r>
      <w:r w:rsidRPr="0038001F">
        <w:rPr>
          <w:bCs/>
        </w:rPr>
        <w:t xml:space="preserve">(A) at 570: </w:t>
      </w:r>
    </w:p>
    <w:p w14:paraId="5A0A9405" w14:textId="77777777" w:rsidR="00E21E91" w:rsidRDefault="00E21E91" w:rsidP="003901AA">
      <w:pPr>
        <w:pStyle w:val="Default"/>
        <w:ind w:left="1276" w:hanging="142"/>
        <w:rPr>
          <w:bCs/>
          <w:iCs/>
        </w:rPr>
      </w:pPr>
      <w:r w:rsidRPr="0038001F">
        <w:rPr>
          <w:bCs/>
          <w:iCs/>
        </w:rPr>
        <w:t xml:space="preserve">“Subjective foresight, like any other factual issue, may be proved by inference. To constitute proof beyond reasonable doubt, the inference must be the only one which can reasonably be drawn. It cannot be so drawn if there is a reasonable possibility that subjectively the accused did not foresee, even if he ought reasonably to have done so, even if he probably did do so.” </w:t>
      </w:r>
    </w:p>
    <w:p w14:paraId="6D7D1616" w14:textId="77777777" w:rsidR="0019742F" w:rsidRPr="0038001F" w:rsidRDefault="0019742F" w:rsidP="003901AA">
      <w:pPr>
        <w:pStyle w:val="Default"/>
        <w:ind w:left="1276" w:hanging="142"/>
        <w:rPr>
          <w:bCs/>
          <w:iCs/>
        </w:rPr>
      </w:pPr>
    </w:p>
    <w:p w14:paraId="14CDAFE9" w14:textId="77777777" w:rsidR="003901AA" w:rsidRPr="0038001F" w:rsidRDefault="003901AA" w:rsidP="003901AA">
      <w:pPr>
        <w:pStyle w:val="Default"/>
      </w:pPr>
    </w:p>
    <w:bookmarkEnd w:id="5"/>
    <w:p w14:paraId="03FA46EB" w14:textId="10FF3273" w:rsidR="003D7DFB" w:rsidRPr="0038001F" w:rsidRDefault="003D7DFB" w:rsidP="003D7DFB">
      <w:pPr>
        <w:pStyle w:val="ListParagraph"/>
        <w:numPr>
          <w:ilvl w:val="0"/>
          <w:numId w:val="3"/>
        </w:numPr>
        <w:spacing w:after="0" w:line="480" w:lineRule="auto"/>
        <w:jc w:val="both"/>
        <w:rPr>
          <w:rFonts w:ascii="Times New Roman" w:hAnsi="Times New Roman" w:cs="Times New Roman"/>
          <w:sz w:val="24"/>
          <w:szCs w:val="24"/>
        </w:rPr>
      </w:pPr>
      <w:r w:rsidRPr="0038001F">
        <w:rPr>
          <w:rFonts w:ascii="Times New Roman" w:hAnsi="Times New Roman" w:cs="Times New Roman"/>
          <w:sz w:val="24"/>
          <w:szCs w:val="24"/>
        </w:rPr>
        <w:t xml:space="preserve">The law on confirmed warned and cautioned statements was set out in the case of </w:t>
      </w:r>
      <w:proofErr w:type="spellStart"/>
      <w:r w:rsidRPr="0038001F">
        <w:rPr>
          <w:rFonts w:ascii="Times New Roman" w:hAnsi="Times New Roman" w:cs="Times New Roman"/>
          <w:i/>
          <w:sz w:val="24"/>
          <w:szCs w:val="24"/>
        </w:rPr>
        <w:t>Mapfoche</w:t>
      </w:r>
      <w:proofErr w:type="spellEnd"/>
      <w:r w:rsidRPr="0038001F">
        <w:rPr>
          <w:rFonts w:ascii="Times New Roman" w:hAnsi="Times New Roman" w:cs="Times New Roman"/>
          <w:sz w:val="24"/>
          <w:szCs w:val="24"/>
        </w:rPr>
        <w:t xml:space="preserve"> v </w:t>
      </w:r>
      <w:r w:rsidRPr="0038001F">
        <w:rPr>
          <w:rFonts w:ascii="Times New Roman" w:hAnsi="Times New Roman" w:cs="Times New Roman"/>
          <w:i/>
          <w:sz w:val="24"/>
          <w:szCs w:val="24"/>
        </w:rPr>
        <w:t>The State</w:t>
      </w:r>
      <w:r w:rsidRPr="0038001F">
        <w:rPr>
          <w:rFonts w:ascii="Times New Roman" w:hAnsi="Times New Roman" w:cs="Times New Roman"/>
          <w:sz w:val="24"/>
          <w:szCs w:val="24"/>
        </w:rPr>
        <w:t xml:space="preserve"> SC 84-21 at p</w:t>
      </w:r>
      <w:r w:rsidR="00BD1CC2">
        <w:rPr>
          <w:rFonts w:ascii="Times New Roman" w:hAnsi="Times New Roman" w:cs="Times New Roman"/>
          <w:sz w:val="24"/>
          <w:szCs w:val="24"/>
        </w:rPr>
        <w:t>p</w:t>
      </w:r>
      <w:r w:rsidRPr="0038001F">
        <w:rPr>
          <w:rFonts w:ascii="Times New Roman" w:hAnsi="Times New Roman" w:cs="Times New Roman"/>
          <w:sz w:val="24"/>
          <w:szCs w:val="24"/>
        </w:rPr>
        <w:t xml:space="preserve"> 5-6 as follows:</w:t>
      </w:r>
    </w:p>
    <w:p w14:paraId="337F5BC5" w14:textId="00A8A2F5" w:rsidR="003D7DFB" w:rsidRPr="0038001F" w:rsidRDefault="00BD1CC2" w:rsidP="00BD1CC2">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D7DFB" w:rsidRPr="0038001F">
        <w:rPr>
          <w:rFonts w:ascii="Times New Roman" w:hAnsi="Times New Roman" w:cs="Times New Roman"/>
          <w:sz w:val="24"/>
          <w:szCs w:val="24"/>
        </w:rPr>
        <w:t xml:space="preserve">“The law on the admissibility of confirmed statements is codified. </w:t>
      </w:r>
      <w:bookmarkStart w:id="6" w:name="_Hlk191565831"/>
      <w:r w:rsidR="003D7DFB" w:rsidRPr="0038001F">
        <w:rPr>
          <w:rFonts w:ascii="Times New Roman" w:hAnsi="Times New Roman" w:cs="Times New Roman"/>
          <w:sz w:val="24"/>
          <w:szCs w:val="24"/>
        </w:rPr>
        <w:t xml:space="preserve">It is settled. </w:t>
      </w:r>
      <w:r>
        <w:rPr>
          <w:rFonts w:ascii="Times New Roman" w:hAnsi="Times New Roman" w:cs="Times New Roman"/>
          <w:sz w:val="24"/>
          <w:szCs w:val="24"/>
        </w:rPr>
        <w:t xml:space="preserve"> </w:t>
      </w:r>
      <w:r w:rsidR="003D7DFB" w:rsidRPr="0038001F">
        <w:rPr>
          <w:rFonts w:ascii="Times New Roman" w:hAnsi="Times New Roman" w:cs="Times New Roman"/>
          <w:sz w:val="24"/>
          <w:szCs w:val="24"/>
        </w:rPr>
        <w:t>Section 256 (2) of the Criminal Evidence Act [</w:t>
      </w:r>
      <w:r w:rsidR="003D7DFB" w:rsidRPr="0038001F">
        <w:rPr>
          <w:rFonts w:ascii="Times New Roman" w:hAnsi="Times New Roman" w:cs="Times New Roman"/>
          <w:i/>
          <w:sz w:val="24"/>
          <w:szCs w:val="24"/>
        </w:rPr>
        <w:t>Chapter 9:07</w:t>
      </w:r>
      <w:r w:rsidR="003D7DFB" w:rsidRPr="0038001F">
        <w:rPr>
          <w:rFonts w:ascii="Times New Roman" w:hAnsi="Times New Roman" w:cs="Times New Roman"/>
          <w:sz w:val="24"/>
          <w:szCs w:val="24"/>
        </w:rPr>
        <w:t>] provides that a confession or statement made by an accused person and confirmed before a magistrate following the procedures la</w:t>
      </w:r>
      <w:r w:rsidR="00D7400D">
        <w:rPr>
          <w:rFonts w:ascii="Times New Roman" w:hAnsi="Times New Roman" w:cs="Times New Roman"/>
          <w:sz w:val="24"/>
          <w:szCs w:val="24"/>
        </w:rPr>
        <w:t xml:space="preserve">id down in </w:t>
      </w:r>
      <w:r w:rsidR="003D7DFB" w:rsidRPr="0038001F">
        <w:rPr>
          <w:rFonts w:ascii="Times New Roman" w:hAnsi="Times New Roman" w:cs="Times New Roman"/>
          <w:sz w:val="24"/>
          <w:szCs w:val="24"/>
        </w:rPr>
        <w:t>s 113(3) of the Act is admissible in evidence before any court upon its mere production by the prosecutor without further proof.</w:t>
      </w:r>
      <w:bookmarkEnd w:id="6"/>
      <w:r w:rsidR="003D7DFB" w:rsidRPr="0038001F">
        <w:rPr>
          <w:rFonts w:ascii="Times New Roman" w:hAnsi="Times New Roman" w:cs="Times New Roman"/>
          <w:sz w:val="24"/>
          <w:szCs w:val="24"/>
        </w:rPr>
        <w:t xml:space="preserve"> However, the confession or statement shall not be used as evidence against the accused if he proves that the statement was not made by him or was not made freely and voluntarily without his having been unduly influenced thereto.”</w:t>
      </w:r>
    </w:p>
    <w:p w14:paraId="3C8EB7BF" w14:textId="77777777" w:rsidR="003D7DFB" w:rsidRDefault="003D7DFB" w:rsidP="003D7DFB">
      <w:pPr>
        <w:pStyle w:val="Default"/>
        <w:rPr>
          <w:b/>
          <w:bCs/>
          <w:u w:val="single"/>
        </w:rPr>
      </w:pPr>
    </w:p>
    <w:p w14:paraId="55B581EE" w14:textId="77777777" w:rsidR="005705F5" w:rsidRPr="0038001F" w:rsidRDefault="005705F5" w:rsidP="005705F5">
      <w:pPr>
        <w:pStyle w:val="Default"/>
        <w:rPr>
          <w:b/>
          <w:bCs/>
          <w:u w:val="single"/>
        </w:rPr>
      </w:pPr>
    </w:p>
    <w:p w14:paraId="468ABF61" w14:textId="7998E363" w:rsidR="004B18E2" w:rsidRPr="0038001F" w:rsidRDefault="0017342F" w:rsidP="003F6B97">
      <w:pPr>
        <w:spacing w:after="0" w:line="48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t>APPLICATION OF THE LAW TO THE FACTS</w:t>
      </w:r>
    </w:p>
    <w:p w14:paraId="7B6E132B" w14:textId="0819076A" w:rsidR="00E05AFF" w:rsidRPr="0038001F" w:rsidRDefault="00E05AFF" w:rsidP="00DD5B3F">
      <w:pPr>
        <w:pStyle w:val="ListParagraph"/>
        <w:numPr>
          <w:ilvl w:val="0"/>
          <w:numId w:val="3"/>
        </w:numPr>
        <w:spacing w:after="0" w:line="480" w:lineRule="auto"/>
        <w:ind w:left="450" w:hanging="450"/>
        <w:jc w:val="both"/>
        <w:rPr>
          <w:rFonts w:ascii="Times New Roman" w:hAnsi="Times New Roman" w:cs="Times New Roman"/>
          <w:sz w:val="24"/>
          <w:szCs w:val="24"/>
        </w:rPr>
      </w:pPr>
      <w:r w:rsidRPr="0038001F">
        <w:rPr>
          <w:rFonts w:ascii="Times New Roman" w:hAnsi="Times New Roman" w:cs="Times New Roman"/>
          <w:i/>
          <w:sz w:val="24"/>
          <w:szCs w:val="24"/>
        </w:rPr>
        <w:t xml:space="preserve">In </w:t>
      </w:r>
      <w:proofErr w:type="spellStart"/>
      <w:r w:rsidRPr="0038001F">
        <w:rPr>
          <w:rFonts w:ascii="Times New Roman" w:hAnsi="Times New Roman" w:cs="Times New Roman"/>
          <w:i/>
          <w:sz w:val="24"/>
          <w:szCs w:val="24"/>
        </w:rPr>
        <w:t>casu</w:t>
      </w:r>
      <w:proofErr w:type="spellEnd"/>
      <w:r w:rsidRPr="0038001F">
        <w:rPr>
          <w:rFonts w:ascii="Times New Roman" w:hAnsi="Times New Roman" w:cs="Times New Roman"/>
          <w:sz w:val="24"/>
          <w:szCs w:val="24"/>
        </w:rPr>
        <w:t xml:space="preserve">, the appellant was convicted of murder with constructive </w:t>
      </w:r>
      <w:r w:rsidR="00D63BAE" w:rsidRPr="0038001F">
        <w:rPr>
          <w:rFonts w:ascii="Times New Roman" w:hAnsi="Times New Roman" w:cs="Times New Roman"/>
          <w:sz w:val="24"/>
          <w:szCs w:val="24"/>
        </w:rPr>
        <w:t>intent. There</w:t>
      </w:r>
      <w:r w:rsidR="009809D8" w:rsidRPr="0038001F">
        <w:rPr>
          <w:rFonts w:ascii="Times New Roman" w:hAnsi="Times New Roman" w:cs="Times New Roman"/>
          <w:sz w:val="24"/>
          <w:szCs w:val="24"/>
        </w:rPr>
        <w:t xml:space="preserve"> </w:t>
      </w:r>
      <w:r w:rsidR="00CE1D9B">
        <w:rPr>
          <w:rFonts w:ascii="Times New Roman" w:hAnsi="Times New Roman" w:cs="Times New Roman"/>
          <w:sz w:val="24"/>
          <w:szCs w:val="24"/>
        </w:rPr>
        <w:t>wa</w:t>
      </w:r>
      <w:r w:rsidR="009809D8" w:rsidRPr="0038001F">
        <w:rPr>
          <w:rFonts w:ascii="Times New Roman" w:hAnsi="Times New Roman" w:cs="Times New Roman"/>
          <w:sz w:val="24"/>
          <w:szCs w:val="24"/>
        </w:rPr>
        <w:t xml:space="preserve">s no eye witness to the murder. </w:t>
      </w:r>
      <w:r w:rsidR="00F27493" w:rsidRPr="0038001F">
        <w:rPr>
          <w:rFonts w:ascii="Times New Roman" w:hAnsi="Times New Roman" w:cs="Times New Roman"/>
          <w:sz w:val="24"/>
          <w:szCs w:val="24"/>
        </w:rPr>
        <w:t xml:space="preserve"> </w:t>
      </w:r>
      <w:r w:rsidR="0018189C" w:rsidRPr="0038001F">
        <w:rPr>
          <w:rFonts w:ascii="Times New Roman" w:hAnsi="Times New Roman" w:cs="Times New Roman"/>
          <w:sz w:val="24"/>
          <w:szCs w:val="24"/>
        </w:rPr>
        <w:t>In such circumstances the court convicting a person</w:t>
      </w:r>
      <w:r w:rsidR="007464FB">
        <w:rPr>
          <w:rFonts w:ascii="Times New Roman" w:hAnsi="Times New Roman" w:cs="Times New Roman"/>
          <w:sz w:val="24"/>
          <w:szCs w:val="24"/>
        </w:rPr>
        <w:t xml:space="preserve"> of</w:t>
      </w:r>
      <w:r w:rsidR="0018189C" w:rsidRPr="0038001F">
        <w:rPr>
          <w:rFonts w:ascii="Times New Roman" w:hAnsi="Times New Roman" w:cs="Times New Roman"/>
          <w:sz w:val="24"/>
          <w:szCs w:val="24"/>
        </w:rPr>
        <w:t xml:space="preserve"> murder must rely on inferences to find th</w:t>
      </w:r>
      <w:r w:rsidR="009B68B7">
        <w:rPr>
          <w:rFonts w:ascii="Times New Roman" w:hAnsi="Times New Roman" w:cs="Times New Roman"/>
          <w:sz w:val="24"/>
          <w:szCs w:val="24"/>
        </w:rPr>
        <w:t>3</w:t>
      </w:r>
      <w:r w:rsidR="0018189C" w:rsidRPr="0038001F">
        <w:rPr>
          <w:rFonts w:ascii="Times New Roman" w:hAnsi="Times New Roman" w:cs="Times New Roman"/>
          <w:sz w:val="24"/>
          <w:szCs w:val="24"/>
        </w:rPr>
        <w:t xml:space="preserve">t the appellant had the requisite </w:t>
      </w:r>
      <w:proofErr w:type="spellStart"/>
      <w:r w:rsidR="0018189C" w:rsidRPr="00B62698">
        <w:rPr>
          <w:rFonts w:ascii="Times New Roman" w:hAnsi="Times New Roman" w:cs="Times New Roman"/>
          <w:sz w:val="24"/>
          <w:szCs w:val="24"/>
        </w:rPr>
        <w:t>mens</w:t>
      </w:r>
      <w:proofErr w:type="spellEnd"/>
      <w:r w:rsidR="0018189C" w:rsidRPr="0038001F">
        <w:rPr>
          <w:rFonts w:ascii="Times New Roman" w:hAnsi="Times New Roman" w:cs="Times New Roman"/>
          <w:i/>
          <w:iCs/>
          <w:sz w:val="24"/>
          <w:szCs w:val="24"/>
        </w:rPr>
        <w:t xml:space="preserve"> rea</w:t>
      </w:r>
      <w:r w:rsidR="00263E0B" w:rsidRPr="0038001F">
        <w:rPr>
          <w:rFonts w:ascii="Times New Roman" w:hAnsi="Times New Roman" w:cs="Times New Roman"/>
          <w:i/>
          <w:iCs/>
          <w:sz w:val="24"/>
          <w:szCs w:val="24"/>
        </w:rPr>
        <w:t xml:space="preserve"> and the actus reus</w:t>
      </w:r>
      <w:r w:rsidR="0018189C" w:rsidRPr="0038001F">
        <w:rPr>
          <w:rFonts w:ascii="Times New Roman" w:hAnsi="Times New Roman" w:cs="Times New Roman"/>
          <w:sz w:val="24"/>
          <w:szCs w:val="24"/>
        </w:rPr>
        <w:t>.</w:t>
      </w:r>
      <w:r w:rsidR="005705F5">
        <w:rPr>
          <w:rFonts w:ascii="Times New Roman" w:hAnsi="Times New Roman" w:cs="Times New Roman"/>
          <w:sz w:val="24"/>
          <w:szCs w:val="24"/>
        </w:rPr>
        <w:t xml:space="preserve">  </w:t>
      </w:r>
      <w:r w:rsidR="00F27493" w:rsidRPr="0038001F">
        <w:rPr>
          <w:rFonts w:ascii="Times New Roman" w:hAnsi="Times New Roman" w:cs="Times New Roman"/>
          <w:sz w:val="24"/>
          <w:szCs w:val="24"/>
        </w:rPr>
        <w:t xml:space="preserve">In </w:t>
      </w:r>
      <w:r w:rsidR="00F27493" w:rsidRPr="0038001F">
        <w:rPr>
          <w:rFonts w:ascii="Times New Roman" w:hAnsi="Times New Roman" w:cs="Times New Roman"/>
          <w:sz w:val="24"/>
          <w:szCs w:val="24"/>
        </w:rPr>
        <w:lastRenderedPageBreak/>
        <w:t xml:space="preserve">the case of </w:t>
      </w:r>
      <w:r w:rsidR="00F27493" w:rsidRPr="0038001F">
        <w:rPr>
          <w:rFonts w:ascii="Times New Roman" w:hAnsi="Times New Roman" w:cs="Times New Roman"/>
          <w:i/>
          <w:sz w:val="24"/>
          <w:szCs w:val="24"/>
        </w:rPr>
        <w:t xml:space="preserve">S </w:t>
      </w:r>
      <w:r w:rsidR="00F27493" w:rsidRPr="0038001F">
        <w:rPr>
          <w:rFonts w:ascii="Times New Roman" w:hAnsi="Times New Roman" w:cs="Times New Roman"/>
          <w:sz w:val="24"/>
          <w:szCs w:val="24"/>
        </w:rPr>
        <w:t xml:space="preserve">v </w:t>
      </w:r>
      <w:r w:rsidR="00F27493" w:rsidRPr="0038001F">
        <w:rPr>
          <w:rFonts w:ascii="Times New Roman" w:hAnsi="Times New Roman" w:cs="Times New Roman"/>
          <w:i/>
          <w:sz w:val="24"/>
          <w:szCs w:val="24"/>
        </w:rPr>
        <w:t>Humphreys</w:t>
      </w:r>
      <w:r w:rsidR="00F27493" w:rsidRPr="0038001F">
        <w:rPr>
          <w:rFonts w:ascii="Times New Roman" w:hAnsi="Times New Roman" w:cs="Times New Roman"/>
          <w:sz w:val="24"/>
          <w:szCs w:val="24"/>
        </w:rPr>
        <w:t xml:space="preserve"> 20</w:t>
      </w:r>
      <w:r w:rsidR="003F6B97" w:rsidRPr="0038001F">
        <w:rPr>
          <w:rFonts w:ascii="Times New Roman" w:hAnsi="Times New Roman" w:cs="Times New Roman"/>
          <w:sz w:val="24"/>
          <w:szCs w:val="24"/>
        </w:rPr>
        <w:t>1</w:t>
      </w:r>
      <w:r w:rsidR="00E05268">
        <w:rPr>
          <w:rFonts w:ascii="Times New Roman" w:hAnsi="Times New Roman" w:cs="Times New Roman"/>
          <w:sz w:val="24"/>
          <w:szCs w:val="24"/>
        </w:rPr>
        <w:t>3</w:t>
      </w:r>
      <w:r w:rsidR="003F6B97" w:rsidRPr="0038001F">
        <w:rPr>
          <w:rFonts w:ascii="Times New Roman" w:hAnsi="Times New Roman" w:cs="Times New Roman"/>
          <w:sz w:val="24"/>
          <w:szCs w:val="24"/>
        </w:rPr>
        <w:t xml:space="preserve"> (</w:t>
      </w:r>
      <w:r w:rsidR="00E05268">
        <w:rPr>
          <w:rFonts w:ascii="Times New Roman" w:hAnsi="Times New Roman" w:cs="Times New Roman"/>
          <w:sz w:val="24"/>
          <w:szCs w:val="24"/>
        </w:rPr>
        <w:t>2)</w:t>
      </w:r>
      <w:r w:rsidR="003F6B97" w:rsidRPr="0038001F">
        <w:rPr>
          <w:rFonts w:ascii="Times New Roman" w:hAnsi="Times New Roman" w:cs="Times New Roman"/>
          <w:sz w:val="24"/>
          <w:szCs w:val="24"/>
        </w:rPr>
        <w:t xml:space="preserve"> SA</w:t>
      </w:r>
      <w:r w:rsidR="00E05268">
        <w:rPr>
          <w:rFonts w:ascii="Times New Roman" w:hAnsi="Times New Roman" w:cs="Times New Roman"/>
          <w:sz w:val="24"/>
          <w:szCs w:val="24"/>
        </w:rPr>
        <w:t>CR</w:t>
      </w:r>
      <w:r w:rsidR="003F6B97" w:rsidRPr="0038001F">
        <w:rPr>
          <w:rFonts w:ascii="Times New Roman" w:hAnsi="Times New Roman" w:cs="Times New Roman"/>
          <w:sz w:val="24"/>
          <w:szCs w:val="24"/>
        </w:rPr>
        <w:t xml:space="preserve"> 491 (SCA) at p</w:t>
      </w:r>
      <w:r w:rsidR="009B68B7">
        <w:rPr>
          <w:rFonts w:ascii="Times New Roman" w:hAnsi="Times New Roman" w:cs="Times New Roman"/>
          <w:sz w:val="24"/>
          <w:szCs w:val="24"/>
        </w:rPr>
        <w:t>ara</w:t>
      </w:r>
      <w:r w:rsidR="003F6B97" w:rsidRPr="0038001F">
        <w:rPr>
          <w:rFonts w:ascii="Times New Roman" w:hAnsi="Times New Roman" w:cs="Times New Roman"/>
          <w:sz w:val="24"/>
          <w:szCs w:val="24"/>
        </w:rPr>
        <w:t xml:space="preserve"> </w:t>
      </w:r>
      <w:r w:rsidR="00E05268" w:rsidRPr="0038001F">
        <w:rPr>
          <w:rFonts w:ascii="Times New Roman" w:hAnsi="Times New Roman" w:cs="Times New Roman"/>
          <w:sz w:val="24"/>
          <w:szCs w:val="24"/>
        </w:rPr>
        <w:t xml:space="preserve">13 </w:t>
      </w:r>
      <w:r w:rsidR="00E05268">
        <w:rPr>
          <w:rFonts w:ascii="Times New Roman" w:hAnsi="Times New Roman" w:cs="Times New Roman"/>
          <w:sz w:val="24"/>
          <w:szCs w:val="24"/>
        </w:rPr>
        <w:t xml:space="preserve">also referred to in S v </w:t>
      </w:r>
      <w:proofErr w:type="spellStart"/>
      <w:r w:rsidR="00E05268">
        <w:rPr>
          <w:rFonts w:ascii="Times New Roman" w:hAnsi="Times New Roman" w:cs="Times New Roman"/>
          <w:sz w:val="24"/>
          <w:szCs w:val="24"/>
        </w:rPr>
        <w:t>Maarohanye</w:t>
      </w:r>
      <w:proofErr w:type="spellEnd"/>
      <w:r w:rsidR="00E05268">
        <w:rPr>
          <w:rFonts w:ascii="Times New Roman" w:hAnsi="Times New Roman" w:cs="Times New Roman"/>
          <w:sz w:val="24"/>
          <w:szCs w:val="24"/>
        </w:rPr>
        <w:t xml:space="preserve"> &amp; Anor 2015 (20 SA 73 (G) at paras 15,17,21 and </w:t>
      </w:r>
      <w:r w:rsidR="007464FB">
        <w:rPr>
          <w:rFonts w:ascii="Times New Roman" w:hAnsi="Times New Roman" w:cs="Times New Roman"/>
          <w:sz w:val="24"/>
          <w:szCs w:val="24"/>
        </w:rPr>
        <w:t>26 where</w:t>
      </w:r>
      <w:r w:rsidR="00E05268">
        <w:rPr>
          <w:rFonts w:ascii="Times New Roman" w:hAnsi="Times New Roman" w:cs="Times New Roman"/>
          <w:sz w:val="24"/>
          <w:szCs w:val="24"/>
        </w:rPr>
        <w:t xml:space="preserve"> it was </w:t>
      </w:r>
      <w:r w:rsidR="007464FB">
        <w:rPr>
          <w:rFonts w:ascii="Times New Roman" w:hAnsi="Times New Roman" w:cs="Times New Roman"/>
          <w:sz w:val="24"/>
          <w:szCs w:val="24"/>
        </w:rPr>
        <w:t>applied,</w:t>
      </w:r>
      <w:r w:rsidR="007464FB" w:rsidRPr="0038001F">
        <w:rPr>
          <w:rFonts w:ascii="Times New Roman" w:hAnsi="Times New Roman" w:cs="Times New Roman"/>
          <w:sz w:val="24"/>
          <w:szCs w:val="24"/>
        </w:rPr>
        <w:t xml:space="preserve"> the</w:t>
      </w:r>
      <w:r w:rsidR="00F27493" w:rsidRPr="0038001F">
        <w:rPr>
          <w:rFonts w:ascii="Times New Roman" w:hAnsi="Times New Roman" w:cs="Times New Roman"/>
          <w:sz w:val="24"/>
          <w:szCs w:val="24"/>
        </w:rPr>
        <w:t xml:space="preserve"> court reasoned as follows:</w:t>
      </w:r>
    </w:p>
    <w:p w14:paraId="48E2535A" w14:textId="683D9283" w:rsidR="00F27493" w:rsidRDefault="007464FB" w:rsidP="00DD5B3F">
      <w:pPr>
        <w:spacing w:after="0" w:line="240" w:lineRule="auto"/>
        <w:ind w:left="1134"/>
        <w:jc w:val="both"/>
        <w:rPr>
          <w:rFonts w:ascii="Times New Roman" w:hAnsi="Times New Roman" w:cs="Times New Roman"/>
          <w:sz w:val="24"/>
          <w:szCs w:val="24"/>
        </w:rPr>
      </w:pPr>
      <w:r w:rsidRPr="0038001F">
        <w:rPr>
          <w:rFonts w:ascii="Times New Roman" w:hAnsi="Times New Roman" w:cs="Times New Roman"/>
          <w:sz w:val="24"/>
          <w:szCs w:val="24"/>
        </w:rPr>
        <w:t>“</w:t>
      </w:r>
      <w:r>
        <w:rPr>
          <w:rFonts w:ascii="Times New Roman" w:hAnsi="Times New Roman" w:cs="Times New Roman"/>
          <w:sz w:val="24"/>
          <w:szCs w:val="24"/>
        </w:rPr>
        <w:t>On</w:t>
      </w:r>
      <w:r w:rsidR="00E05268">
        <w:rPr>
          <w:rFonts w:ascii="Times New Roman" w:hAnsi="Times New Roman" w:cs="Times New Roman"/>
          <w:sz w:val="24"/>
          <w:szCs w:val="24"/>
        </w:rPr>
        <w:t xml:space="preserve"> the other hand, li</w:t>
      </w:r>
      <w:r w:rsidR="00F27493" w:rsidRPr="0038001F">
        <w:rPr>
          <w:rFonts w:ascii="Times New Roman" w:hAnsi="Times New Roman" w:cs="Times New Roman"/>
          <w:sz w:val="24"/>
          <w:szCs w:val="24"/>
        </w:rPr>
        <w:t>ke any other fact, subjective foresight can be proved by inference. Moreover, common sense dictates that the process of inferential reasoning may start out from the premise that, in accordance with common human experience, the possibility of the consequences that ensued would have been obvious to any person of normal intelligence. The next logical step would then be to ask whether, in the light of all the facts and circumstances of this case, there is any reason to think that the appellant would not have shared this foresight, derived from common human experience</w:t>
      </w:r>
      <w:r w:rsidR="00E05268">
        <w:rPr>
          <w:rFonts w:ascii="Times New Roman" w:hAnsi="Times New Roman" w:cs="Times New Roman"/>
          <w:sz w:val="24"/>
          <w:szCs w:val="24"/>
        </w:rPr>
        <w:t xml:space="preserve"> with other members of the general population.</w:t>
      </w:r>
      <w:r w:rsidR="00DE70A8" w:rsidRPr="0038001F">
        <w:rPr>
          <w:rFonts w:ascii="Times New Roman" w:hAnsi="Times New Roman" w:cs="Times New Roman"/>
          <w:sz w:val="24"/>
          <w:szCs w:val="24"/>
        </w:rPr>
        <w:t>”</w:t>
      </w:r>
    </w:p>
    <w:p w14:paraId="68AD1419" w14:textId="77777777" w:rsidR="00442576" w:rsidRPr="0038001F" w:rsidRDefault="00442576" w:rsidP="00DD5B3F">
      <w:pPr>
        <w:spacing w:after="0" w:line="240" w:lineRule="auto"/>
        <w:ind w:left="1134"/>
        <w:jc w:val="both"/>
        <w:rPr>
          <w:rFonts w:ascii="Times New Roman" w:hAnsi="Times New Roman" w:cs="Times New Roman"/>
          <w:sz w:val="24"/>
          <w:szCs w:val="24"/>
        </w:rPr>
      </w:pPr>
    </w:p>
    <w:p w14:paraId="05BD07E9" w14:textId="77777777" w:rsidR="00410EC1" w:rsidRPr="0038001F" w:rsidRDefault="00410EC1" w:rsidP="006503FA">
      <w:pPr>
        <w:spacing w:after="0" w:line="240" w:lineRule="auto"/>
        <w:ind w:left="1440"/>
        <w:jc w:val="both"/>
        <w:rPr>
          <w:rFonts w:ascii="Times New Roman" w:hAnsi="Times New Roman" w:cs="Times New Roman"/>
          <w:sz w:val="24"/>
          <w:szCs w:val="24"/>
        </w:rPr>
      </w:pPr>
    </w:p>
    <w:p w14:paraId="690F29CF" w14:textId="566D12DD" w:rsidR="003925CB" w:rsidRPr="0038001F" w:rsidRDefault="005572D2" w:rsidP="005705F5">
      <w:pPr>
        <w:pStyle w:val="ListParagraph"/>
        <w:numPr>
          <w:ilvl w:val="0"/>
          <w:numId w:val="3"/>
        </w:numPr>
        <w:spacing w:line="480" w:lineRule="auto"/>
        <w:ind w:left="426" w:hanging="450"/>
        <w:jc w:val="both"/>
        <w:rPr>
          <w:rFonts w:ascii="Times New Roman" w:hAnsi="Times New Roman" w:cs="Times New Roman"/>
          <w:sz w:val="24"/>
          <w:szCs w:val="24"/>
        </w:rPr>
      </w:pPr>
      <w:r w:rsidRPr="0038001F">
        <w:rPr>
          <w:rFonts w:ascii="Times New Roman" w:hAnsi="Times New Roman" w:cs="Times New Roman"/>
          <w:sz w:val="24"/>
          <w:szCs w:val="24"/>
        </w:rPr>
        <w:t>Regarding</w:t>
      </w:r>
      <w:r w:rsidR="00C339C6" w:rsidRPr="0038001F">
        <w:rPr>
          <w:rFonts w:ascii="Times New Roman" w:hAnsi="Times New Roman" w:cs="Times New Roman"/>
          <w:sz w:val="24"/>
          <w:szCs w:val="24"/>
        </w:rPr>
        <w:t xml:space="preserve"> </w:t>
      </w:r>
      <w:r w:rsidR="00C339C6" w:rsidRPr="0038001F">
        <w:rPr>
          <w:rFonts w:ascii="Times New Roman" w:hAnsi="Times New Roman" w:cs="Times New Roman"/>
          <w:i/>
          <w:iCs/>
          <w:sz w:val="24"/>
          <w:szCs w:val="24"/>
        </w:rPr>
        <w:t>actus reus</w:t>
      </w:r>
      <w:r w:rsidR="00C339C6" w:rsidRPr="0038001F">
        <w:rPr>
          <w:rFonts w:ascii="Times New Roman" w:hAnsi="Times New Roman" w:cs="Times New Roman"/>
          <w:sz w:val="24"/>
          <w:szCs w:val="24"/>
        </w:rPr>
        <w:t xml:space="preserve"> the findings of fact made by the court </w:t>
      </w:r>
      <w:r w:rsidR="00C339C6" w:rsidRPr="006C2C11">
        <w:rPr>
          <w:rFonts w:ascii="Times New Roman" w:hAnsi="Times New Roman" w:cs="Times New Roman"/>
          <w:i/>
          <w:sz w:val="24"/>
          <w:szCs w:val="24"/>
        </w:rPr>
        <w:t>a quo</w:t>
      </w:r>
      <w:r w:rsidR="00C339C6" w:rsidRPr="0038001F">
        <w:rPr>
          <w:rFonts w:ascii="Times New Roman" w:hAnsi="Times New Roman" w:cs="Times New Roman"/>
          <w:sz w:val="24"/>
          <w:szCs w:val="24"/>
        </w:rPr>
        <w:t xml:space="preserve"> cannot be fault</w:t>
      </w:r>
      <w:r w:rsidR="003F6B97" w:rsidRPr="0038001F">
        <w:rPr>
          <w:rFonts w:ascii="Times New Roman" w:hAnsi="Times New Roman" w:cs="Times New Roman"/>
          <w:sz w:val="24"/>
          <w:szCs w:val="24"/>
        </w:rPr>
        <w:t xml:space="preserve">ed.  </w:t>
      </w:r>
      <w:r w:rsidR="00E716D0" w:rsidRPr="0038001F">
        <w:rPr>
          <w:rFonts w:ascii="Times New Roman" w:hAnsi="Times New Roman" w:cs="Times New Roman"/>
          <w:sz w:val="24"/>
          <w:szCs w:val="24"/>
        </w:rPr>
        <w:t xml:space="preserve">The court </w:t>
      </w:r>
      <w:r w:rsidR="00E716D0" w:rsidRPr="006C2C11">
        <w:rPr>
          <w:rFonts w:ascii="Times New Roman" w:hAnsi="Times New Roman" w:cs="Times New Roman"/>
          <w:i/>
          <w:sz w:val="24"/>
          <w:szCs w:val="24"/>
        </w:rPr>
        <w:t>a quo</w:t>
      </w:r>
      <w:r w:rsidR="00E716D0" w:rsidRPr="0038001F">
        <w:rPr>
          <w:rFonts w:ascii="Times New Roman" w:hAnsi="Times New Roman" w:cs="Times New Roman"/>
          <w:sz w:val="24"/>
          <w:szCs w:val="24"/>
        </w:rPr>
        <w:t xml:space="preserve"> relied </w:t>
      </w:r>
      <w:r w:rsidR="00E716D0" w:rsidRPr="0038001F">
        <w:rPr>
          <w:rFonts w:ascii="Times New Roman" w:hAnsi="Times New Roman" w:cs="Times New Roman"/>
          <w:i/>
          <w:iCs/>
          <w:sz w:val="24"/>
          <w:szCs w:val="24"/>
        </w:rPr>
        <w:t>inter alia</w:t>
      </w:r>
      <w:r w:rsidR="00E716D0" w:rsidRPr="0038001F">
        <w:rPr>
          <w:rFonts w:ascii="Times New Roman" w:hAnsi="Times New Roman" w:cs="Times New Roman"/>
          <w:sz w:val="24"/>
          <w:szCs w:val="24"/>
        </w:rPr>
        <w:t xml:space="preserve"> on the </w:t>
      </w:r>
      <w:r w:rsidR="003925CB" w:rsidRPr="0038001F">
        <w:rPr>
          <w:rFonts w:ascii="Times New Roman" w:hAnsi="Times New Roman" w:cs="Times New Roman"/>
          <w:sz w:val="24"/>
          <w:szCs w:val="24"/>
        </w:rPr>
        <w:t>confirmed</w:t>
      </w:r>
      <w:r w:rsidR="00E716D0" w:rsidRPr="0038001F">
        <w:rPr>
          <w:rFonts w:ascii="Times New Roman" w:hAnsi="Times New Roman" w:cs="Times New Roman"/>
          <w:sz w:val="24"/>
          <w:szCs w:val="24"/>
        </w:rPr>
        <w:t xml:space="preserve"> warned and cautioned statement</w:t>
      </w:r>
      <w:r w:rsidR="006C2C11">
        <w:rPr>
          <w:rFonts w:ascii="Times New Roman" w:hAnsi="Times New Roman" w:cs="Times New Roman"/>
          <w:sz w:val="24"/>
          <w:szCs w:val="24"/>
        </w:rPr>
        <w:t xml:space="preserve"> to convict the appellant.  </w:t>
      </w:r>
      <w:r w:rsidR="00C339C6" w:rsidRPr="0038001F">
        <w:rPr>
          <w:rFonts w:ascii="Times New Roman" w:hAnsi="Times New Roman" w:cs="Times New Roman"/>
          <w:sz w:val="24"/>
          <w:szCs w:val="24"/>
        </w:rPr>
        <w:t xml:space="preserve">Upon his arrest the appellant confessed to </w:t>
      </w:r>
      <w:r w:rsidRPr="0038001F">
        <w:rPr>
          <w:rFonts w:ascii="Times New Roman" w:hAnsi="Times New Roman" w:cs="Times New Roman"/>
          <w:sz w:val="24"/>
          <w:szCs w:val="24"/>
        </w:rPr>
        <w:t>committing</w:t>
      </w:r>
      <w:r w:rsidR="00C339C6" w:rsidRPr="0038001F">
        <w:rPr>
          <w:rFonts w:ascii="Times New Roman" w:hAnsi="Times New Roman" w:cs="Times New Roman"/>
          <w:sz w:val="24"/>
          <w:szCs w:val="24"/>
        </w:rPr>
        <w:t xml:space="preserve"> the crime in a warned cautioned </w:t>
      </w:r>
      <w:r w:rsidR="006C2C11">
        <w:rPr>
          <w:rFonts w:ascii="Times New Roman" w:hAnsi="Times New Roman" w:cs="Times New Roman"/>
          <w:sz w:val="24"/>
          <w:szCs w:val="24"/>
        </w:rPr>
        <w:t xml:space="preserve">statement.  </w:t>
      </w:r>
      <w:r w:rsidRPr="0038001F">
        <w:rPr>
          <w:rFonts w:ascii="Times New Roman" w:hAnsi="Times New Roman" w:cs="Times New Roman"/>
          <w:sz w:val="24"/>
          <w:szCs w:val="24"/>
        </w:rPr>
        <w:t>The</w:t>
      </w:r>
      <w:r w:rsidR="00BE196C" w:rsidRPr="0038001F">
        <w:rPr>
          <w:rFonts w:ascii="Times New Roman" w:hAnsi="Times New Roman" w:cs="Times New Roman"/>
          <w:sz w:val="24"/>
          <w:szCs w:val="24"/>
        </w:rPr>
        <w:t xml:space="preserve"> statement was later </w:t>
      </w:r>
      <w:r w:rsidRPr="0038001F">
        <w:rPr>
          <w:rFonts w:ascii="Times New Roman" w:hAnsi="Times New Roman" w:cs="Times New Roman"/>
          <w:sz w:val="24"/>
          <w:szCs w:val="24"/>
        </w:rPr>
        <w:t>confirmed</w:t>
      </w:r>
      <w:r w:rsidR="00BE196C" w:rsidRPr="0038001F">
        <w:rPr>
          <w:rFonts w:ascii="Times New Roman" w:hAnsi="Times New Roman" w:cs="Times New Roman"/>
          <w:sz w:val="24"/>
          <w:szCs w:val="24"/>
        </w:rPr>
        <w:t xml:space="preserve"> by a </w:t>
      </w:r>
      <w:r w:rsidR="006C2C11">
        <w:rPr>
          <w:rFonts w:ascii="Times New Roman" w:hAnsi="Times New Roman" w:cs="Times New Roman"/>
          <w:sz w:val="24"/>
          <w:szCs w:val="24"/>
        </w:rPr>
        <w:t>M</w:t>
      </w:r>
      <w:r w:rsidR="00BE196C" w:rsidRPr="0038001F">
        <w:rPr>
          <w:rFonts w:ascii="Times New Roman" w:hAnsi="Times New Roman" w:cs="Times New Roman"/>
          <w:sz w:val="24"/>
          <w:szCs w:val="24"/>
        </w:rPr>
        <w:t>agistrate.</w:t>
      </w:r>
      <w:r w:rsidR="006C2C11">
        <w:rPr>
          <w:rFonts w:ascii="Times New Roman" w:hAnsi="Times New Roman" w:cs="Times New Roman"/>
          <w:sz w:val="24"/>
          <w:szCs w:val="24"/>
        </w:rPr>
        <w:t xml:space="preserve">  </w:t>
      </w:r>
      <w:r w:rsidRPr="0038001F">
        <w:rPr>
          <w:rFonts w:ascii="Times New Roman" w:hAnsi="Times New Roman" w:cs="Times New Roman"/>
          <w:sz w:val="24"/>
          <w:szCs w:val="24"/>
        </w:rPr>
        <w:t xml:space="preserve">The </w:t>
      </w:r>
      <w:r w:rsidR="00E716D0" w:rsidRPr="0038001F">
        <w:rPr>
          <w:rFonts w:ascii="Times New Roman" w:hAnsi="Times New Roman" w:cs="Times New Roman"/>
          <w:sz w:val="24"/>
          <w:szCs w:val="24"/>
        </w:rPr>
        <w:t xml:space="preserve">appellant did not seriously challenge the recording and the confirmation of the warned and cautioned </w:t>
      </w:r>
      <w:r w:rsidR="00863D93" w:rsidRPr="0038001F">
        <w:rPr>
          <w:rFonts w:ascii="Times New Roman" w:hAnsi="Times New Roman" w:cs="Times New Roman"/>
          <w:sz w:val="24"/>
          <w:szCs w:val="24"/>
        </w:rPr>
        <w:t xml:space="preserve">statement. </w:t>
      </w:r>
      <w:r w:rsidR="006C2C11">
        <w:rPr>
          <w:rFonts w:ascii="Times New Roman" w:hAnsi="Times New Roman" w:cs="Times New Roman"/>
          <w:sz w:val="24"/>
          <w:szCs w:val="24"/>
        </w:rPr>
        <w:t xml:space="preserve"> </w:t>
      </w:r>
      <w:r w:rsidR="00863D93" w:rsidRPr="0038001F">
        <w:rPr>
          <w:rFonts w:ascii="Times New Roman" w:hAnsi="Times New Roman" w:cs="Times New Roman"/>
          <w:sz w:val="24"/>
          <w:szCs w:val="24"/>
        </w:rPr>
        <w:t>He belatedly sought to do so during cross-examination</w:t>
      </w:r>
      <w:r w:rsidR="003D7DFB" w:rsidRPr="0038001F">
        <w:rPr>
          <w:rFonts w:ascii="Times New Roman" w:hAnsi="Times New Roman" w:cs="Times New Roman"/>
          <w:sz w:val="24"/>
          <w:szCs w:val="24"/>
        </w:rPr>
        <w:t>.</w:t>
      </w:r>
      <w:r w:rsidR="006C2C11">
        <w:rPr>
          <w:rFonts w:ascii="Times New Roman" w:hAnsi="Times New Roman" w:cs="Times New Roman"/>
          <w:sz w:val="24"/>
          <w:szCs w:val="24"/>
        </w:rPr>
        <w:t xml:space="preserve">  </w:t>
      </w:r>
      <w:r w:rsidR="00E716D0" w:rsidRPr="0038001F">
        <w:rPr>
          <w:rFonts w:ascii="Times New Roman" w:hAnsi="Times New Roman" w:cs="Times New Roman"/>
          <w:sz w:val="24"/>
          <w:szCs w:val="24"/>
        </w:rPr>
        <w:t xml:space="preserve">He however challenged the indications he made to the police wherein he indicated how and where he committed the offence and how he disposed of the body. </w:t>
      </w:r>
      <w:r w:rsidR="003F6B97" w:rsidRPr="0038001F">
        <w:rPr>
          <w:rFonts w:ascii="Times New Roman" w:hAnsi="Times New Roman" w:cs="Times New Roman"/>
          <w:sz w:val="24"/>
          <w:szCs w:val="24"/>
        </w:rPr>
        <w:t xml:space="preserve"> </w:t>
      </w:r>
      <w:r w:rsidR="006C2C11">
        <w:rPr>
          <w:rFonts w:ascii="Times New Roman" w:hAnsi="Times New Roman" w:cs="Times New Roman"/>
          <w:sz w:val="24"/>
          <w:szCs w:val="24"/>
        </w:rPr>
        <w:t xml:space="preserve"> </w:t>
      </w:r>
      <w:r w:rsidR="00E716D0" w:rsidRPr="0038001F">
        <w:rPr>
          <w:rFonts w:ascii="Times New Roman" w:hAnsi="Times New Roman" w:cs="Times New Roman"/>
          <w:sz w:val="24"/>
          <w:szCs w:val="24"/>
        </w:rPr>
        <w:t xml:space="preserve">As a result, a trial within a trial was held. </w:t>
      </w:r>
      <w:r w:rsidR="003F6B97" w:rsidRPr="0038001F">
        <w:rPr>
          <w:rFonts w:ascii="Times New Roman" w:hAnsi="Times New Roman" w:cs="Times New Roman"/>
          <w:sz w:val="24"/>
          <w:szCs w:val="24"/>
        </w:rPr>
        <w:t xml:space="preserve"> </w:t>
      </w:r>
      <w:r w:rsidR="00E716D0" w:rsidRPr="0038001F">
        <w:rPr>
          <w:rFonts w:ascii="Times New Roman" w:hAnsi="Times New Roman" w:cs="Times New Roman"/>
          <w:sz w:val="24"/>
          <w:szCs w:val="24"/>
        </w:rPr>
        <w:t xml:space="preserve">The court </w:t>
      </w:r>
      <w:r w:rsidR="00E716D0" w:rsidRPr="0038001F">
        <w:rPr>
          <w:rFonts w:ascii="Times New Roman" w:hAnsi="Times New Roman" w:cs="Times New Roman"/>
          <w:i/>
          <w:sz w:val="24"/>
          <w:szCs w:val="24"/>
        </w:rPr>
        <w:t>a quo</w:t>
      </w:r>
      <w:r w:rsidR="00E716D0" w:rsidRPr="0038001F">
        <w:rPr>
          <w:rFonts w:ascii="Times New Roman" w:hAnsi="Times New Roman" w:cs="Times New Roman"/>
          <w:sz w:val="24"/>
          <w:szCs w:val="24"/>
        </w:rPr>
        <w:t xml:space="preserve"> found that the indications had been done freely and voluntarily.</w:t>
      </w:r>
      <w:r w:rsidR="00722FAA" w:rsidRPr="0038001F">
        <w:rPr>
          <w:rFonts w:ascii="Times New Roman" w:hAnsi="Times New Roman" w:cs="Times New Roman"/>
          <w:sz w:val="24"/>
          <w:szCs w:val="24"/>
        </w:rPr>
        <w:t xml:space="preserve"> </w:t>
      </w:r>
      <w:r w:rsidR="006C2C11">
        <w:rPr>
          <w:rFonts w:ascii="Times New Roman" w:hAnsi="Times New Roman" w:cs="Times New Roman"/>
          <w:sz w:val="24"/>
          <w:szCs w:val="24"/>
        </w:rPr>
        <w:t xml:space="preserve"> </w:t>
      </w:r>
      <w:r w:rsidR="00722FAA" w:rsidRPr="0038001F">
        <w:rPr>
          <w:rFonts w:ascii="Times New Roman" w:hAnsi="Times New Roman" w:cs="Times New Roman"/>
          <w:sz w:val="24"/>
          <w:szCs w:val="24"/>
        </w:rPr>
        <w:t xml:space="preserve">Both the warned and cautioned statement and the indications contained </w:t>
      </w:r>
      <w:r w:rsidR="00104601" w:rsidRPr="0038001F">
        <w:rPr>
          <w:rFonts w:ascii="Times New Roman" w:hAnsi="Times New Roman" w:cs="Times New Roman"/>
          <w:sz w:val="24"/>
          <w:szCs w:val="24"/>
        </w:rPr>
        <w:t xml:space="preserve">facts </w:t>
      </w:r>
      <w:r w:rsidR="00722FAA" w:rsidRPr="0038001F">
        <w:rPr>
          <w:rFonts w:ascii="Times New Roman" w:hAnsi="Times New Roman" w:cs="Times New Roman"/>
          <w:sz w:val="24"/>
          <w:szCs w:val="24"/>
        </w:rPr>
        <w:t>which only the appellant</w:t>
      </w:r>
      <w:r w:rsidR="00104601" w:rsidRPr="0038001F">
        <w:rPr>
          <w:rFonts w:ascii="Times New Roman" w:hAnsi="Times New Roman" w:cs="Times New Roman"/>
          <w:sz w:val="24"/>
          <w:szCs w:val="24"/>
        </w:rPr>
        <w:t xml:space="preserve"> was privy to</w:t>
      </w:r>
      <w:r w:rsidR="00B62698">
        <w:rPr>
          <w:rFonts w:ascii="Times New Roman" w:hAnsi="Times New Roman" w:cs="Times New Roman"/>
          <w:sz w:val="24"/>
          <w:szCs w:val="24"/>
        </w:rPr>
        <w:t>,</w:t>
      </w:r>
      <w:r w:rsidR="003925CB" w:rsidRPr="0038001F">
        <w:rPr>
          <w:rFonts w:ascii="Times New Roman" w:hAnsi="Times New Roman" w:cs="Times New Roman"/>
          <w:sz w:val="24"/>
          <w:szCs w:val="24"/>
        </w:rPr>
        <w:t xml:space="preserve"> such as the fact that he went to a service station in Machipisa where he left </w:t>
      </w:r>
      <w:r w:rsidR="00F22A37">
        <w:rPr>
          <w:rFonts w:ascii="Times New Roman" w:hAnsi="Times New Roman" w:cs="Times New Roman"/>
          <w:sz w:val="24"/>
          <w:szCs w:val="24"/>
        </w:rPr>
        <w:t xml:space="preserve">a </w:t>
      </w:r>
      <w:r w:rsidR="003925CB" w:rsidRPr="0038001F">
        <w:rPr>
          <w:rFonts w:ascii="Times New Roman" w:hAnsi="Times New Roman" w:cs="Times New Roman"/>
          <w:sz w:val="24"/>
          <w:szCs w:val="24"/>
        </w:rPr>
        <w:t xml:space="preserve">monarch bag whilst he looked for a taxi. </w:t>
      </w:r>
      <w:r w:rsidR="003F6B97" w:rsidRPr="0038001F">
        <w:rPr>
          <w:rFonts w:ascii="Times New Roman" w:hAnsi="Times New Roman" w:cs="Times New Roman"/>
          <w:sz w:val="24"/>
          <w:szCs w:val="24"/>
        </w:rPr>
        <w:t xml:space="preserve"> </w:t>
      </w:r>
      <w:r w:rsidR="003925CB" w:rsidRPr="0038001F">
        <w:rPr>
          <w:rFonts w:ascii="Times New Roman" w:hAnsi="Times New Roman" w:cs="Times New Roman"/>
          <w:sz w:val="24"/>
          <w:szCs w:val="24"/>
        </w:rPr>
        <w:t>If he had not led the police to the service station</w:t>
      </w:r>
      <w:r w:rsidR="00E358E3" w:rsidRPr="0038001F">
        <w:rPr>
          <w:rFonts w:ascii="Times New Roman" w:hAnsi="Times New Roman" w:cs="Times New Roman"/>
          <w:sz w:val="24"/>
          <w:szCs w:val="24"/>
        </w:rPr>
        <w:t>,</w:t>
      </w:r>
      <w:r w:rsidR="003925CB" w:rsidRPr="0038001F">
        <w:rPr>
          <w:rFonts w:ascii="Times New Roman" w:hAnsi="Times New Roman" w:cs="Times New Roman"/>
          <w:sz w:val="24"/>
          <w:szCs w:val="24"/>
        </w:rPr>
        <w:t xml:space="preserve"> during indications, they would not have</w:t>
      </w:r>
      <w:r w:rsidR="00E358E3" w:rsidRPr="0038001F">
        <w:rPr>
          <w:rFonts w:ascii="Times New Roman" w:hAnsi="Times New Roman" w:cs="Times New Roman"/>
          <w:sz w:val="24"/>
          <w:szCs w:val="24"/>
        </w:rPr>
        <w:t xml:space="preserve"> known</w:t>
      </w:r>
      <w:r w:rsidR="003925CB" w:rsidRPr="0038001F">
        <w:rPr>
          <w:rFonts w:ascii="Times New Roman" w:hAnsi="Times New Roman" w:cs="Times New Roman"/>
          <w:sz w:val="24"/>
          <w:szCs w:val="24"/>
        </w:rPr>
        <w:t xml:space="preserve"> about a crucial witness Katie N</w:t>
      </w:r>
      <w:r w:rsidR="00E358E3" w:rsidRPr="0038001F">
        <w:rPr>
          <w:rFonts w:ascii="Times New Roman" w:hAnsi="Times New Roman" w:cs="Times New Roman"/>
          <w:sz w:val="24"/>
          <w:szCs w:val="24"/>
        </w:rPr>
        <w:t>debele</w:t>
      </w:r>
      <w:r w:rsidR="003925CB" w:rsidRPr="0038001F">
        <w:rPr>
          <w:rFonts w:ascii="Times New Roman" w:hAnsi="Times New Roman" w:cs="Times New Roman"/>
          <w:sz w:val="24"/>
          <w:szCs w:val="24"/>
        </w:rPr>
        <w:t>.</w:t>
      </w:r>
    </w:p>
    <w:p w14:paraId="0DAA67C3" w14:textId="77777777" w:rsidR="003F6B97" w:rsidRPr="0038001F" w:rsidRDefault="003F6B97" w:rsidP="003F6B97">
      <w:pPr>
        <w:pStyle w:val="ListParagraph"/>
        <w:spacing w:line="240" w:lineRule="auto"/>
        <w:ind w:left="567"/>
        <w:jc w:val="both"/>
        <w:rPr>
          <w:rFonts w:ascii="Times New Roman" w:hAnsi="Times New Roman" w:cs="Times New Roman"/>
          <w:sz w:val="24"/>
          <w:szCs w:val="24"/>
        </w:rPr>
      </w:pPr>
    </w:p>
    <w:p w14:paraId="5F8BD332" w14:textId="631B6932" w:rsidR="00C339C6" w:rsidRDefault="003925CB" w:rsidP="00094BC8">
      <w:pPr>
        <w:pStyle w:val="ListParagraph"/>
        <w:numPr>
          <w:ilvl w:val="0"/>
          <w:numId w:val="3"/>
        </w:numPr>
        <w:tabs>
          <w:tab w:val="left" w:pos="450"/>
        </w:tabs>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Katie’s evidence mirrored what the appellant said happened at the service station on the day in question.</w:t>
      </w:r>
      <w:r w:rsidR="00104601" w:rsidRPr="0038001F">
        <w:rPr>
          <w:rFonts w:ascii="Times New Roman" w:hAnsi="Times New Roman" w:cs="Times New Roman"/>
          <w:sz w:val="24"/>
          <w:szCs w:val="24"/>
        </w:rPr>
        <w:t xml:space="preserve"> </w:t>
      </w:r>
      <w:r w:rsidR="003F6B97" w:rsidRPr="0038001F">
        <w:rPr>
          <w:rFonts w:ascii="Times New Roman" w:hAnsi="Times New Roman" w:cs="Times New Roman"/>
          <w:sz w:val="24"/>
          <w:szCs w:val="24"/>
        </w:rPr>
        <w:t xml:space="preserve"> </w:t>
      </w:r>
      <w:r w:rsidR="006077A9" w:rsidRPr="0038001F">
        <w:rPr>
          <w:rFonts w:ascii="Times New Roman" w:hAnsi="Times New Roman" w:cs="Times New Roman"/>
          <w:sz w:val="24"/>
          <w:szCs w:val="24"/>
        </w:rPr>
        <w:t>She confirmed his evidence that he approached the</w:t>
      </w:r>
      <w:r w:rsidR="009C4833" w:rsidRPr="0038001F">
        <w:rPr>
          <w:rFonts w:ascii="Times New Roman" w:hAnsi="Times New Roman" w:cs="Times New Roman"/>
          <w:sz w:val="24"/>
          <w:szCs w:val="24"/>
        </w:rPr>
        <w:t xml:space="preserve"> kiosk</w:t>
      </w:r>
      <w:r w:rsidR="003D7DFB" w:rsidRPr="0038001F">
        <w:rPr>
          <w:rFonts w:ascii="Times New Roman" w:hAnsi="Times New Roman" w:cs="Times New Roman"/>
          <w:sz w:val="24"/>
          <w:szCs w:val="24"/>
        </w:rPr>
        <w:t>,</w:t>
      </w:r>
      <w:r w:rsidR="009C4833" w:rsidRPr="0038001F">
        <w:rPr>
          <w:rFonts w:ascii="Times New Roman" w:hAnsi="Times New Roman" w:cs="Times New Roman"/>
          <w:sz w:val="24"/>
          <w:szCs w:val="24"/>
        </w:rPr>
        <w:t xml:space="preserve"> where she was</w:t>
      </w:r>
      <w:r w:rsidR="00F22A37">
        <w:rPr>
          <w:rFonts w:ascii="Times New Roman" w:hAnsi="Times New Roman" w:cs="Times New Roman"/>
          <w:sz w:val="24"/>
          <w:szCs w:val="24"/>
        </w:rPr>
        <w:t xml:space="preserve"> on duty</w:t>
      </w:r>
      <w:r w:rsidR="003D7DFB" w:rsidRPr="0038001F">
        <w:rPr>
          <w:rFonts w:ascii="Times New Roman" w:hAnsi="Times New Roman" w:cs="Times New Roman"/>
          <w:sz w:val="24"/>
          <w:szCs w:val="24"/>
        </w:rPr>
        <w:t>,</w:t>
      </w:r>
      <w:r w:rsidR="006077A9" w:rsidRPr="0038001F">
        <w:rPr>
          <w:rFonts w:ascii="Times New Roman" w:hAnsi="Times New Roman" w:cs="Times New Roman"/>
          <w:sz w:val="24"/>
          <w:szCs w:val="24"/>
        </w:rPr>
        <w:t xml:space="preserve"> </w:t>
      </w:r>
      <w:r w:rsidR="006077A9" w:rsidRPr="0038001F">
        <w:rPr>
          <w:rFonts w:ascii="Times New Roman" w:hAnsi="Times New Roman" w:cs="Times New Roman"/>
          <w:sz w:val="24"/>
          <w:szCs w:val="24"/>
        </w:rPr>
        <w:lastRenderedPageBreak/>
        <w:t>carrying a monarch bag which appeared very heavy</w:t>
      </w:r>
      <w:r w:rsidR="009C4833" w:rsidRPr="0038001F">
        <w:rPr>
          <w:rFonts w:ascii="Times New Roman" w:hAnsi="Times New Roman" w:cs="Times New Roman"/>
          <w:sz w:val="24"/>
          <w:szCs w:val="24"/>
        </w:rPr>
        <w:t xml:space="preserve"> from the way he was pulling it</w:t>
      </w:r>
      <w:r w:rsidR="006C2C11">
        <w:rPr>
          <w:rFonts w:ascii="Times New Roman" w:hAnsi="Times New Roman" w:cs="Times New Roman"/>
          <w:sz w:val="24"/>
          <w:szCs w:val="24"/>
        </w:rPr>
        <w:t xml:space="preserve">.  </w:t>
      </w:r>
      <w:r w:rsidR="006077A9" w:rsidRPr="0038001F">
        <w:rPr>
          <w:rFonts w:ascii="Times New Roman" w:hAnsi="Times New Roman" w:cs="Times New Roman"/>
          <w:sz w:val="24"/>
          <w:szCs w:val="24"/>
        </w:rPr>
        <w:t xml:space="preserve">The appellant attributed the heaviness to a duvet, </w:t>
      </w:r>
      <w:r w:rsidR="00CB1DF7" w:rsidRPr="0038001F">
        <w:rPr>
          <w:rFonts w:ascii="Times New Roman" w:hAnsi="Times New Roman" w:cs="Times New Roman"/>
          <w:sz w:val="24"/>
          <w:szCs w:val="24"/>
        </w:rPr>
        <w:t xml:space="preserve">seven packets of sugar and some potatoes which he had been given by the </w:t>
      </w:r>
      <w:r w:rsidR="009C4833" w:rsidRPr="0038001F">
        <w:rPr>
          <w:rFonts w:ascii="Times New Roman" w:hAnsi="Times New Roman" w:cs="Times New Roman"/>
          <w:sz w:val="24"/>
          <w:szCs w:val="24"/>
        </w:rPr>
        <w:t>deceased</w:t>
      </w:r>
      <w:r w:rsidR="00863D93" w:rsidRPr="0038001F">
        <w:rPr>
          <w:rFonts w:ascii="Times New Roman" w:hAnsi="Times New Roman" w:cs="Times New Roman"/>
          <w:sz w:val="24"/>
          <w:szCs w:val="24"/>
        </w:rPr>
        <w:t xml:space="preserve"> for their son’s consumption</w:t>
      </w:r>
      <w:r w:rsidR="003F24F4">
        <w:rPr>
          <w:rFonts w:ascii="Times New Roman" w:hAnsi="Times New Roman" w:cs="Times New Roman"/>
          <w:sz w:val="24"/>
          <w:szCs w:val="24"/>
        </w:rPr>
        <w:t xml:space="preserve">.  </w:t>
      </w:r>
      <w:r w:rsidR="009C4833" w:rsidRPr="0038001F">
        <w:rPr>
          <w:rFonts w:ascii="Times New Roman" w:hAnsi="Times New Roman" w:cs="Times New Roman"/>
          <w:sz w:val="24"/>
          <w:szCs w:val="24"/>
        </w:rPr>
        <w:t>The</w:t>
      </w:r>
      <w:r w:rsidR="00CB1DF7" w:rsidRPr="0038001F">
        <w:rPr>
          <w:rFonts w:ascii="Times New Roman" w:hAnsi="Times New Roman" w:cs="Times New Roman"/>
          <w:sz w:val="24"/>
          <w:szCs w:val="24"/>
        </w:rPr>
        <w:t xml:space="preserve"> appellant sought to challenge her evidence</w:t>
      </w:r>
      <w:r w:rsidR="00CB1E51" w:rsidRPr="0038001F">
        <w:rPr>
          <w:rFonts w:ascii="Times New Roman" w:hAnsi="Times New Roman" w:cs="Times New Roman"/>
          <w:sz w:val="24"/>
          <w:szCs w:val="24"/>
        </w:rPr>
        <w:t xml:space="preserve"> on the basis that the </w:t>
      </w:r>
      <w:r w:rsidR="009C4833" w:rsidRPr="0038001F">
        <w:rPr>
          <w:rFonts w:ascii="Times New Roman" w:hAnsi="Times New Roman" w:cs="Times New Roman"/>
          <w:sz w:val="24"/>
          <w:szCs w:val="24"/>
        </w:rPr>
        <w:t>colo</w:t>
      </w:r>
      <w:r w:rsidR="00E05268">
        <w:rPr>
          <w:rFonts w:ascii="Times New Roman" w:hAnsi="Times New Roman" w:cs="Times New Roman"/>
          <w:sz w:val="24"/>
          <w:szCs w:val="24"/>
        </w:rPr>
        <w:t>u</w:t>
      </w:r>
      <w:r w:rsidR="009C4833" w:rsidRPr="0038001F">
        <w:rPr>
          <w:rFonts w:ascii="Times New Roman" w:hAnsi="Times New Roman" w:cs="Times New Roman"/>
          <w:sz w:val="24"/>
          <w:szCs w:val="24"/>
        </w:rPr>
        <w:t>r</w:t>
      </w:r>
      <w:r w:rsidR="00CB1E51" w:rsidRPr="0038001F">
        <w:rPr>
          <w:rFonts w:ascii="Times New Roman" w:hAnsi="Times New Roman" w:cs="Times New Roman"/>
          <w:sz w:val="24"/>
          <w:szCs w:val="24"/>
        </w:rPr>
        <w:t xml:space="preserve"> of the </w:t>
      </w:r>
      <w:r w:rsidR="00E05268">
        <w:rPr>
          <w:rFonts w:ascii="Times New Roman" w:hAnsi="Times New Roman" w:cs="Times New Roman"/>
          <w:sz w:val="24"/>
          <w:szCs w:val="24"/>
        </w:rPr>
        <w:t xml:space="preserve">monarch bag </w:t>
      </w:r>
      <w:r w:rsidR="00CB1E51" w:rsidRPr="0038001F">
        <w:rPr>
          <w:rFonts w:ascii="Times New Roman" w:hAnsi="Times New Roman" w:cs="Times New Roman"/>
          <w:sz w:val="24"/>
          <w:szCs w:val="24"/>
        </w:rPr>
        <w:t>she</w:t>
      </w:r>
      <w:r w:rsidR="00E05268">
        <w:rPr>
          <w:rFonts w:ascii="Times New Roman" w:hAnsi="Times New Roman" w:cs="Times New Roman"/>
          <w:sz w:val="24"/>
          <w:szCs w:val="24"/>
        </w:rPr>
        <w:t xml:space="preserve"> saw at the kiosk,</w:t>
      </w:r>
      <w:r w:rsidR="00CB1E51" w:rsidRPr="0038001F">
        <w:rPr>
          <w:rFonts w:ascii="Times New Roman" w:hAnsi="Times New Roman" w:cs="Times New Roman"/>
          <w:sz w:val="24"/>
          <w:szCs w:val="24"/>
        </w:rPr>
        <w:t xml:space="preserve"> stated was different from the one recovered </w:t>
      </w:r>
      <w:r w:rsidR="00E05268">
        <w:rPr>
          <w:rFonts w:ascii="Times New Roman" w:hAnsi="Times New Roman" w:cs="Times New Roman"/>
          <w:sz w:val="24"/>
          <w:szCs w:val="24"/>
        </w:rPr>
        <w:t xml:space="preserve">from </w:t>
      </w:r>
      <w:r w:rsidR="00CB1E51" w:rsidRPr="0038001F">
        <w:rPr>
          <w:rFonts w:ascii="Times New Roman" w:hAnsi="Times New Roman" w:cs="Times New Roman"/>
          <w:sz w:val="24"/>
          <w:szCs w:val="24"/>
        </w:rPr>
        <w:t xml:space="preserve">the </w:t>
      </w:r>
      <w:r w:rsidR="009C4833" w:rsidRPr="0038001F">
        <w:rPr>
          <w:rFonts w:ascii="Times New Roman" w:hAnsi="Times New Roman" w:cs="Times New Roman"/>
          <w:sz w:val="24"/>
          <w:szCs w:val="24"/>
        </w:rPr>
        <w:t>dam,</w:t>
      </w:r>
      <w:r w:rsidR="0047733C">
        <w:rPr>
          <w:rFonts w:ascii="Times New Roman" w:hAnsi="Times New Roman" w:cs="Times New Roman"/>
          <w:sz w:val="24"/>
          <w:szCs w:val="24"/>
        </w:rPr>
        <w:t xml:space="preserve"> h</w:t>
      </w:r>
      <w:r w:rsidR="00E05268">
        <w:rPr>
          <w:rFonts w:ascii="Times New Roman" w:hAnsi="Times New Roman" w:cs="Times New Roman"/>
          <w:sz w:val="24"/>
          <w:szCs w:val="24"/>
        </w:rPr>
        <w:t xml:space="preserve">e also </w:t>
      </w:r>
      <w:r w:rsidR="0047733C">
        <w:rPr>
          <w:rFonts w:ascii="Times New Roman" w:hAnsi="Times New Roman" w:cs="Times New Roman"/>
          <w:sz w:val="24"/>
          <w:szCs w:val="24"/>
        </w:rPr>
        <w:t xml:space="preserve">challenged </w:t>
      </w:r>
      <w:r w:rsidR="0047733C" w:rsidRPr="0038001F">
        <w:rPr>
          <w:rFonts w:ascii="Times New Roman" w:hAnsi="Times New Roman" w:cs="Times New Roman"/>
          <w:sz w:val="24"/>
          <w:szCs w:val="24"/>
        </w:rPr>
        <w:t>the</w:t>
      </w:r>
      <w:r w:rsidR="003F24F4">
        <w:rPr>
          <w:rFonts w:ascii="Times New Roman" w:hAnsi="Times New Roman" w:cs="Times New Roman"/>
          <w:sz w:val="24"/>
          <w:szCs w:val="24"/>
        </w:rPr>
        <w:t xml:space="preserve"> time he</w:t>
      </w:r>
      <w:r w:rsidR="00494E8D">
        <w:rPr>
          <w:rFonts w:ascii="Times New Roman" w:hAnsi="Times New Roman" w:cs="Times New Roman"/>
          <w:sz w:val="24"/>
          <w:szCs w:val="24"/>
        </w:rPr>
        <w:t xml:space="preserve"> was said to have</w:t>
      </w:r>
      <w:r w:rsidR="003F24F4">
        <w:rPr>
          <w:rFonts w:ascii="Times New Roman" w:hAnsi="Times New Roman" w:cs="Times New Roman"/>
          <w:sz w:val="24"/>
          <w:szCs w:val="24"/>
        </w:rPr>
        <w:t xml:space="preserve"> arrived at the kiosk.  </w:t>
      </w:r>
      <w:r w:rsidR="009C4833" w:rsidRPr="0038001F">
        <w:rPr>
          <w:rFonts w:ascii="Times New Roman" w:hAnsi="Times New Roman" w:cs="Times New Roman"/>
          <w:sz w:val="24"/>
          <w:szCs w:val="24"/>
        </w:rPr>
        <w:t xml:space="preserve">The court </w:t>
      </w:r>
      <w:r w:rsidR="009C4833" w:rsidRPr="0038001F">
        <w:rPr>
          <w:rFonts w:ascii="Times New Roman" w:hAnsi="Times New Roman" w:cs="Times New Roman"/>
          <w:i/>
          <w:sz w:val="24"/>
          <w:szCs w:val="24"/>
        </w:rPr>
        <w:t>a quo</w:t>
      </w:r>
      <w:r w:rsidR="009C4833" w:rsidRPr="0038001F">
        <w:rPr>
          <w:rFonts w:ascii="Times New Roman" w:hAnsi="Times New Roman" w:cs="Times New Roman"/>
          <w:sz w:val="24"/>
          <w:szCs w:val="24"/>
        </w:rPr>
        <w:t xml:space="preserve"> correctly found that what was important was the fact that the deceased was placed in a suitcase and nothing turns on the color of the</w:t>
      </w:r>
      <w:r w:rsidR="00494E8D">
        <w:rPr>
          <w:rFonts w:ascii="Times New Roman" w:hAnsi="Times New Roman" w:cs="Times New Roman"/>
          <w:sz w:val="24"/>
          <w:szCs w:val="24"/>
        </w:rPr>
        <w:t xml:space="preserve"> monarch bag</w:t>
      </w:r>
      <w:r w:rsidR="009C4833" w:rsidRPr="0038001F">
        <w:rPr>
          <w:rFonts w:ascii="Times New Roman" w:hAnsi="Times New Roman" w:cs="Times New Roman"/>
          <w:sz w:val="24"/>
          <w:szCs w:val="24"/>
        </w:rPr>
        <w:t>.</w:t>
      </w:r>
      <w:r w:rsidR="003F24F4">
        <w:rPr>
          <w:rFonts w:ascii="Times New Roman" w:hAnsi="Times New Roman" w:cs="Times New Roman"/>
          <w:sz w:val="24"/>
          <w:szCs w:val="24"/>
        </w:rPr>
        <w:t xml:space="preserve">  </w:t>
      </w:r>
      <w:r w:rsidR="009C4833" w:rsidRPr="0038001F">
        <w:rPr>
          <w:rFonts w:ascii="Times New Roman" w:hAnsi="Times New Roman" w:cs="Times New Roman"/>
          <w:sz w:val="24"/>
          <w:szCs w:val="24"/>
        </w:rPr>
        <w:t>We can also add that it was not in dispute that the appellant a</w:t>
      </w:r>
      <w:r w:rsidR="00863D93" w:rsidRPr="0038001F">
        <w:rPr>
          <w:rFonts w:ascii="Times New Roman" w:hAnsi="Times New Roman" w:cs="Times New Roman"/>
          <w:sz w:val="24"/>
          <w:szCs w:val="24"/>
        </w:rPr>
        <w:t>ttende</w:t>
      </w:r>
      <w:r w:rsidR="009C4833" w:rsidRPr="0038001F">
        <w:rPr>
          <w:rFonts w:ascii="Times New Roman" w:hAnsi="Times New Roman" w:cs="Times New Roman"/>
          <w:sz w:val="24"/>
          <w:szCs w:val="24"/>
        </w:rPr>
        <w:t>d at the kiosk</w:t>
      </w:r>
      <w:r w:rsidR="00494E8D">
        <w:rPr>
          <w:rFonts w:ascii="Times New Roman" w:hAnsi="Times New Roman" w:cs="Times New Roman"/>
          <w:sz w:val="24"/>
          <w:szCs w:val="24"/>
        </w:rPr>
        <w:t xml:space="preserve"> in the early hours of the morning</w:t>
      </w:r>
      <w:r w:rsidR="009C4833" w:rsidRPr="0038001F">
        <w:rPr>
          <w:rFonts w:ascii="Times New Roman" w:hAnsi="Times New Roman" w:cs="Times New Roman"/>
          <w:sz w:val="24"/>
          <w:szCs w:val="24"/>
        </w:rPr>
        <w:t xml:space="preserve"> carrying a monarch bag which was heavy</w:t>
      </w:r>
      <w:r w:rsidR="00494E8D">
        <w:rPr>
          <w:rFonts w:ascii="Times New Roman" w:hAnsi="Times New Roman" w:cs="Times New Roman"/>
          <w:sz w:val="24"/>
          <w:szCs w:val="24"/>
        </w:rPr>
        <w:t>.</w:t>
      </w:r>
      <w:r w:rsidR="00E716D0" w:rsidRPr="0038001F">
        <w:rPr>
          <w:rFonts w:ascii="Times New Roman" w:hAnsi="Times New Roman" w:cs="Times New Roman"/>
          <w:sz w:val="24"/>
          <w:szCs w:val="24"/>
        </w:rPr>
        <w:t xml:space="preserve">  </w:t>
      </w:r>
      <w:r w:rsidR="00FE2B74" w:rsidRPr="0038001F">
        <w:rPr>
          <w:rFonts w:ascii="Times New Roman" w:hAnsi="Times New Roman" w:cs="Times New Roman"/>
          <w:sz w:val="24"/>
          <w:szCs w:val="24"/>
        </w:rPr>
        <w:t xml:space="preserve"> </w:t>
      </w:r>
    </w:p>
    <w:p w14:paraId="73B40ECB" w14:textId="77777777" w:rsidR="003F24F4" w:rsidRPr="003F24F4" w:rsidRDefault="003F24F4" w:rsidP="003F24F4">
      <w:pPr>
        <w:pStyle w:val="ListParagraph"/>
        <w:rPr>
          <w:rFonts w:ascii="Times New Roman" w:hAnsi="Times New Roman" w:cs="Times New Roman"/>
          <w:sz w:val="24"/>
          <w:szCs w:val="24"/>
        </w:rPr>
      </w:pPr>
    </w:p>
    <w:p w14:paraId="7399DF63" w14:textId="5837D398" w:rsidR="00471C2F" w:rsidRDefault="00DE70A8" w:rsidP="005F3768">
      <w:pPr>
        <w:pStyle w:val="ListParagraph"/>
        <w:numPr>
          <w:ilvl w:val="0"/>
          <w:numId w:val="3"/>
        </w:numPr>
        <w:spacing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The appellant challenged the evidence that was placed before the court </w:t>
      </w:r>
      <w:r w:rsidRPr="0038001F">
        <w:rPr>
          <w:rFonts w:ascii="Times New Roman" w:hAnsi="Times New Roman" w:cs="Times New Roman"/>
          <w:i/>
          <w:sz w:val="24"/>
          <w:szCs w:val="24"/>
        </w:rPr>
        <w:t>a quo</w:t>
      </w:r>
      <w:r w:rsidRPr="0038001F">
        <w:rPr>
          <w:rFonts w:ascii="Times New Roman" w:hAnsi="Times New Roman" w:cs="Times New Roman"/>
          <w:sz w:val="24"/>
          <w:szCs w:val="24"/>
        </w:rPr>
        <w:t xml:space="preserve"> including his warned and cautioned statement and the expert evidence adduced by the pathologist and forensic scientist. </w:t>
      </w:r>
      <w:r w:rsidR="003F6B97"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The appellant alleged that the statement was not freely and voluntarily made and that the expert evidence was fraudulently crafted to pin him to the crime. </w:t>
      </w:r>
    </w:p>
    <w:p w14:paraId="2BFF6FDD" w14:textId="77777777" w:rsidR="008F7E0D" w:rsidRPr="008F7E0D" w:rsidRDefault="008F7E0D" w:rsidP="008F7E0D">
      <w:pPr>
        <w:pStyle w:val="ListParagraph"/>
        <w:rPr>
          <w:rFonts w:ascii="Times New Roman" w:hAnsi="Times New Roman" w:cs="Times New Roman"/>
          <w:sz w:val="24"/>
          <w:szCs w:val="24"/>
        </w:rPr>
      </w:pPr>
    </w:p>
    <w:p w14:paraId="711BC4A2" w14:textId="5FF31E2A" w:rsidR="00471C2F" w:rsidRPr="0038001F" w:rsidRDefault="00471C2F" w:rsidP="000217A0">
      <w:pPr>
        <w:pStyle w:val="ListParagraph"/>
        <w:numPr>
          <w:ilvl w:val="0"/>
          <w:numId w:val="3"/>
        </w:numPr>
        <w:spacing w:after="0"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 xml:space="preserve">In the case of </w:t>
      </w:r>
      <w:r w:rsidRPr="0038001F">
        <w:rPr>
          <w:rFonts w:ascii="Times New Roman" w:hAnsi="Times New Roman" w:cs="Times New Roman"/>
          <w:i/>
          <w:sz w:val="24"/>
          <w:szCs w:val="24"/>
        </w:rPr>
        <w:t xml:space="preserve">S </w:t>
      </w:r>
      <w:r w:rsidRPr="0038001F">
        <w:rPr>
          <w:rFonts w:ascii="Times New Roman" w:hAnsi="Times New Roman" w:cs="Times New Roman"/>
          <w:sz w:val="24"/>
          <w:szCs w:val="24"/>
        </w:rPr>
        <w:t xml:space="preserve">v </w:t>
      </w:r>
      <w:proofErr w:type="spellStart"/>
      <w:r w:rsidRPr="0038001F">
        <w:rPr>
          <w:rFonts w:ascii="Times New Roman" w:hAnsi="Times New Roman" w:cs="Times New Roman"/>
          <w:i/>
          <w:sz w:val="24"/>
          <w:szCs w:val="24"/>
        </w:rPr>
        <w:t>Scenara</w:t>
      </w:r>
      <w:proofErr w:type="spellEnd"/>
      <w:r w:rsidRPr="0038001F">
        <w:rPr>
          <w:rFonts w:ascii="Times New Roman" w:hAnsi="Times New Roman" w:cs="Times New Roman"/>
          <w:sz w:val="24"/>
          <w:szCs w:val="24"/>
        </w:rPr>
        <w:t xml:space="preserve"> HH 849-22, </w:t>
      </w:r>
      <w:proofErr w:type="spellStart"/>
      <w:r w:rsidRPr="0038001F">
        <w:rPr>
          <w:rFonts w:ascii="Times New Roman" w:hAnsi="Times New Roman" w:cs="Times New Roman"/>
          <w:sz w:val="24"/>
          <w:szCs w:val="24"/>
        </w:rPr>
        <w:t>M</w:t>
      </w:r>
      <w:r w:rsidR="003F6B97" w:rsidRPr="0038001F">
        <w:rPr>
          <w:rFonts w:ascii="Times New Roman" w:hAnsi="Times New Roman" w:cs="Times New Roman"/>
          <w:smallCaps/>
          <w:sz w:val="24"/>
          <w:szCs w:val="24"/>
        </w:rPr>
        <w:t>utevedzi</w:t>
      </w:r>
      <w:proofErr w:type="spellEnd"/>
      <w:r w:rsidRPr="0038001F">
        <w:rPr>
          <w:rFonts w:ascii="Times New Roman" w:hAnsi="Times New Roman" w:cs="Times New Roman"/>
          <w:sz w:val="24"/>
          <w:szCs w:val="24"/>
        </w:rPr>
        <w:t xml:space="preserve"> J discussed the procedure of and an accused’s participation in the confirmation of warned and cautioned statements and concluded at p 4 of the cyclostyled judgment that:</w:t>
      </w:r>
    </w:p>
    <w:p w14:paraId="51537BCD" w14:textId="77777777" w:rsidR="00471C2F" w:rsidRDefault="00471C2F" w:rsidP="008F7E0D">
      <w:pPr>
        <w:spacing w:line="240" w:lineRule="auto"/>
        <w:ind w:left="1440"/>
        <w:jc w:val="both"/>
        <w:rPr>
          <w:rFonts w:ascii="Times New Roman" w:hAnsi="Times New Roman" w:cs="Times New Roman"/>
          <w:sz w:val="24"/>
          <w:szCs w:val="24"/>
        </w:rPr>
      </w:pPr>
      <w:r w:rsidRPr="0038001F">
        <w:rPr>
          <w:rFonts w:ascii="Times New Roman" w:hAnsi="Times New Roman" w:cs="Times New Roman"/>
          <w:sz w:val="24"/>
          <w:szCs w:val="24"/>
        </w:rPr>
        <w:t>“… it is undoubted that confirmation of a warned and cautioned statement is a procedure which is painstakingly followed by the courts to ensure that an accused person understands the implications and that he /she opens up if the statement was illegally obtained from him. As already said the procedure is carried out in the absence of police officers. Accused persons who are genuine in their complaints more often than not open up to the magistrate and reveal any form of undue influence exerted upon them to make the statement. An accused who deliberately spurns that opportunity can only have themselves to blame for it.”</w:t>
      </w:r>
    </w:p>
    <w:p w14:paraId="0DF6B822" w14:textId="77777777" w:rsidR="000217A0" w:rsidRPr="0038001F" w:rsidRDefault="000217A0" w:rsidP="008F7E0D">
      <w:pPr>
        <w:spacing w:line="240" w:lineRule="auto"/>
        <w:ind w:left="1440"/>
        <w:jc w:val="both"/>
        <w:rPr>
          <w:rFonts w:ascii="Times New Roman" w:hAnsi="Times New Roman" w:cs="Times New Roman"/>
          <w:sz w:val="24"/>
          <w:szCs w:val="24"/>
        </w:rPr>
      </w:pPr>
    </w:p>
    <w:p w14:paraId="34E296D4" w14:textId="1FD244E3" w:rsidR="004B18E2" w:rsidRDefault="00471C2F" w:rsidP="005705F5">
      <w:pPr>
        <w:pStyle w:val="ListParagraph"/>
        <w:numPr>
          <w:ilvl w:val="0"/>
          <w:numId w:val="3"/>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lastRenderedPageBreak/>
        <w:t>In the present case, the appellant had the opportunity to advise the magistrate that he had not made the statement that was sought to be confirmed freely and voluntarily, but he did not.</w:t>
      </w:r>
      <w:r w:rsidR="001C6C77" w:rsidRPr="0038001F">
        <w:rPr>
          <w:rFonts w:ascii="Times New Roman" w:hAnsi="Times New Roman" w:cs="Times New Roman"/>
          <w:sz w:val="24"/>
          <w:szCs w:val="24"/>
        </w:rPr>
        <w:t xml:space="preserve"> Instead, he confirmed to the </w:t>
      </w:r>
      <w:r w:rsidR="00022DF0">
        <w:rPr>
          <w:rFonts w:ascii="Times New Roman" w:hAnsi="Times New Roman" w:cs="Times New Roman"/>
          <w:sz w:val="24"/>
          <w:szCs w:val="24"/>
        </w:rPr>
        <w:t>M</w:t>
      </w:r>
      <w:r w:rsidR="001C6C77" w:rsidRPr="0038001F">
        <w:rPr>
          <w:rFonts w:ascii="Times New Roman" w:hAnsi="Times New Roman" w:cs="Times New Roman"/>
          <w:sz w:val="24"/>
          <w:szCs w:val="24"/>
        </w:rPr>
        <w:t>agistrate that he had done so freely and voluntarily w</w:t>
      </w:r>
      <w:r w:rsidR="00022DF0">
        <w:rPr>
          <w:rFonts w:ascii="Times New Roman" w:hAnsi="Times New Roman" w:cs="Times New Roman"/>
          <w:sz w:val="24"/>
          <w:szCs w:val="24"/>
        </w:rPr>
        <w:t xml:space="preserve">ithout being unduly influenced.  </w:t>
      </w:r>
      <w:r w:rsidR="001C6C77" w:rsidRPr="0038001F">
        <w:rPr>
          <w:rFonts w:ascii="Times New Roman" w:hAnsi="Times New Roman" w:cs="Times New Roman"/>
          <w:sz w:val="24"/>
          <w:szCs w:val="24"/>
        </w:rPr>
        <w:t xml:space="preserve">His </w:t>
      </w:r>
      <w:r w:rsidR="00494E8D">
        <w:rPr>
          <w:rFonts w:ascii="Times New Roman" w:hAnsi="Times New Roman" w:cs="Times New Roman"/>
          <w:sz w:val="24"/>
          <w:szCs w:val="24"/>
        </w:rPr>
        <w:t>feeble</w:t>
      </w:r>
      <w:r w:rsidR="001C6C77" w:rsidRPr="0038001F">
        <w:rPr>
          <w:rFonts w:ascii="Times New Roman" w:hAnsi="Times New Roman" w:cs="Times New Roman"/>
          <w:sz w:val="24"/>
          <w:szCs w:val="24"/>
        </w:rPr>
        <w:t xml:space="preserve"> challenge of the propriety of the statement can be construed as nothing but an afterthought during the trial in the court </w:t>
      </w:r>
      <w:r w:rsidR="001C6C77" w:rsidRPr="0038001F">
        <w:rPr>
          <w:rFonts w:ascii="Times New Roman" w:hAnsi="Times New Roman" w:cs="Times New Roman"/>
          <w:i/>
          <w:sz w:val="24"/>
          <w:szCs w:val="24"/>
        </w:rPr>
        <w:t>a quo.</w:t>
      </w:r>
      <w:r w:rsidR="001C6C77" w:rsidRPr="0038001F">
        <w:rPr>
          <w:rFonts w:ascii="Times New Roman" w:hAnsi="Times New Roman" w:cs="Times New Roman"/>
          <w:sz w:val="24"/>
          <w:szCs w:val="24"/>
        </w:rPr>
        <w:t xml:space="preserve"> </w:t>
      </w:r>
      <w:r w:rsidR="00FE5285" w:rsidRPr="0038001F">
        <w:rPr>
          <w:rFonts w:ascii="Times New Roman" w:hAnsi="Times New Roman" w:cs="Times New Roman"/>
          <w:sz w:val="24"/>
          <w:szCs w:val="24"/>
        </w:rPr>
        <w:t xml:space="preserve">It is settled </w:t>
      </w:r>
      <w:r w:rsidR="00FE5285">
        <w:rPr>
          <w:rFonts w:ascii="Times New Roman" w:hAnsi="Times New Roman" w:cs="Times New Roman"/>
          <w:sz w:val="24"/>
          <w:szCs w:val="24"/>
        </w:rPr>
        <w:t>that</w:t>
      </w:r>
      <w:r w:rsidR="00FE5285" w:rsidRPr="0038001F">
        <w:rPr>
          <w:rFonts w:ascii="Times New Roman" w:hAnsi="Times New Roman" w:cs="Times New Roman"/>
          <w:sz w:val="24"/>
          <w:szCs w:val="24"/>
        </w:rPr>
        <w:t xml:space="preserve"> a confession or statement made by an accused person and confirmed before a magistrate following the procedures la</w:t>
      </w:r>
      <w:r w:rsidR="00FE5285">
        <w:rPr>
          <w:rFonts w:ascii="Times New Roman" w:hAnsi="Times New Roman" w:cs="Times New Roman"/>
          <w:sz w:val="24"/>
          <w:szCs w:val="24"/>
        </w:rPr>
        <w:t xml:space="preserve">id down in </w:t>
      </w:r>
      <w:r w:rsidR="00FE5285" w:rsidRPr="0038001F">
        <w:rPr>
          <w:rFonts w:ascii="Times New Roman" w:hAnsi="Times New Roman" w:cs="Times New Roman"/>
          <w:sz w:val="24"/>
          <w:szCs w:val="24"/>
        </w:rPr>
        <w:t>s 113</w:t>
      </w:r>
      <w:r w:rsidR="005705F5">
        <w:rPr>
          <w:rFonts w:ascii="Times New Roman" w:hAnsi="Times New Roman" w:cs="Times New Roman"/>
          <w:sz w:val="24"/>
          <w:szCs w:val="24"/>
        </w:rPr>
        <w:t xml:space="preserve"> </w:t>
      </w:r>
      <w:r w:rsidR="00FE5285" w:rsidRPr="0038001F">
        <w:rPr>
          <w:rFonts w:ascii="Times New Roman" w:hAnsi="Times New Roman" w:cs="Times New Roman"/>
          <w:sz w:val="24"/>
          <w:szCs w:val="24"/>
        </w:rPr>
        <w:t xml:space="preserve">(3) of the </w:t>
      </w:r>
      <w:r w:rsidR="00494E8D">
        <w:rPr>
          <w:rFonts w:ascii="Times New Roman" w:hAnsi="Times New Roman" w:cs="Times New Roman"/>
          <w:sz w:val="24"/>
          <w:szCs w:val="24"/>
        </w:rPr>
        <w:t>Criminal Procedure and Evidence Act [</w:t>
      </w:r>
      <w:r w:rsidR="00494E8D" w:rsidRPr="00494E8D">
        <w:rPr>
          <w:rFonts w:ascii="Times New Roman" w:hAnsi="Times New Roman" w:cs="Times New Roman"/>
          <w:i/>
          <w:iCs/>
          <w:sz w:val="24"/>
          <w:szCs w:val="24"/>
        </w:rPr>
        <w:t>Chapter 9:07</w:t>
      </w:r>
      <w:r w:rsidR="00494E8D">
        <w:rPr>
          <w:rFonts w:ascii="Times New Roman" w:hAnsi="Times New Roman" w:cs="Times New Roman"/>
          <w:sz w:val="24"/>
          <w:szCs w:val="24"/>
        </w:rPr>
        <w:t>]</w:t>
      </w:r>
      <w:r w:rsidR="00FE5285" w:rsidRPr="0038001F">
        <w:rPr>
          <w:rFonts w:ascii="Times New Roman" w:hAnsi="Times New Roman" w:cs="Times New Roman"/>
          <w:sz w:val="24"/>
          <w:szCs w:val="24"/>
        </w:rPr>
        <w:t xml:space="preserve"> is admissible in evidence before any court upon its mere production by the prosecutor without further proof.</w:t>
      </w:r>
      <w:r w:rsidR="00022DF0">
        <w:rPr>
          <w:rFonts w:ascii="Times New Roman" w:hAnsi="Times New Roman" w:cs="Times New Roman"/>
          <w:sz w:val="24"/>
          <w:szCs w:val="24"/>
        </w:rPr>
        <w:t xml:space="preserve"> </w:t>
      </w:r>
      <w:r w:rsidR="001C6C77" w:rsidRPr="0038001F">
        <w:rPr>
          <w:rFonts w:ascii="Times New Roman" w:hAnsi="Times New Roman" w:cs="Times New Roman"/>
          <w:sz w:val="24"/>
          <w:szCs w:val="24"/>
        </w:rPr>
        <w:t>He failed</w:t>
      </w:r>
      <w:r w:rsidR="00F22A37">
        <w:rPr>
          <w:rFonts w:ascii="Times New Roman" w:hAnsi="Times New Roman" w:cs="Times New Roman"/>
          <w:sz w:val="24"/>
          <w:szCs w:val="24"/>
        </w:rPr>
        <w:t xml:space="preserve"> therefore</w:t>
      </w:r>
      <w:r w:rsidR="001C6C77" w:rsidRPr="0038001F">
        <w:rPr>
          <w:rFonts w:ascii="Times New Roman" w:hAnsi="Times New Roman" w:cs="Times New Roman"/>
          <w:sz w:val="24"/>
          <w:szCs w:val="24"/>
        </w:rPr>
        <w:t xml:space="preserve"> </w:t>
      </w:r>
      <w:r w:rsidR="00FE5285" w:rsidRPr="0038001F">
        <w:rPr>
          <w:rFonts w:ascii="Times New Roman" w:hAnsi="Times New Roman" w:cs="Times New Roman"/>
          <w:sz w:val="24"/>
          <w:szCs w:val="24"/>
        </w:rPr>
        <w:t xml:space="preserve">to </w:t>
      </w:r>
      <w:r w:rsidR="00FE5285">
        <w:rPr>
          <w:rFonts w:ascii="Times New Roman" w:hAnsi="Times New Roman" w:cs="Times New Roman"/>
          <w:sz w:val="24"/>
          <w:szCs w:val="24"/>
        </w:rPr>
        <w:t xml:space="preserve">discharge the onus placed on him, </w:t>
      </w:r>
      <w:r w:rsidR="00FE5285" w:rsidRPr="0038001F">
        <w:rPr>
          <w:rFonts w:ascii="Times New Roman" w:hAnsi="Times New Roman" w:cs="Times New Roman"/>
          <w:sz w:val="24"/>
          <w:szCs w:val="24"/>
        </w:rPr>
        <w:t>as</w:t>
      </w:r>
      <w:r w:rsidR="001C6C77" w:rsidRPr="0038001F">
        <w:rPr>
          <w:rFonts w:ascii="Times New Roman" w:hAnsi="Times New Roman" w:cs="Times New Roman"/>
          <w:sz w:val="24"/>
          <w:szCs w:val="24"/>
        </w:rPr>
        <w:t xml:space="preserve"> required by the </w:t>
      </w:r>
      <w:r w:rsidR="00537E52" w:rsidRPr="0038001F">
        <w:rPr>
          <w:rFonts w:ascii="Times New Roman" w:hAnsi="Times New Roman" w:cs="Times New Roman"/>
          <w:sz w:val="24"/>
          <w:szCs w:val="24"/>
        </w:rPr>
        <w:t>law,</w:t>
      </w:r>
      <w:r w:rsidR="00537E52">
        <w:rPr>
          <w:rFonts w:ascii="Times New Roman" w:hAnsi="Times New Roman" w:cs="Times New Roman"/>
          <w:sz w:val="24"/>
          <w:szCs w:val="24"/>
        </w:rPr>
        <w:t xml:space="preserve"> to prove that</w:t>
      </w:r>
      <w:r w:rsidR="00FE5285">
        <w:rPr>
          <w:rFonts w:ascii="Times New Roman" w:hAnsi="Times New Roman" w:cs="Times New Roman"/>
          <w:sz w:val="24"/>
          <w:szCs w:val="24"/>
        </w:rPr>
        <w:t xml:space="preserve"> the statement was not made freely and voluntarily.</w:t>
      </w:r>
      <w:r w:rsidR="001C6C77" w:rsidRPr="0038001F">
        <w:rPr>
          <w:rFonts w:ascii="Times New Roman" w:hAnsi="Times New Roman" w:cs="Times New Roman"/>
          <w:sz w:val="24"/>
          <w:szCs w:val="24"/>
        </w:rPr>
        <w:t xml:space="preserve"> </w:t>
      </w:r>
      <w:r w:rsidR="00537E52">
        <w:rPr>
          <w:rFonts w:ascii="Times New Roman" w:hAnsi="Times New Roman" w:cs="Times New Roman"/>
          <w:sz w:val="24"/>
          <w:szCs w:val="24"/>
        </w:rPr>
        <w:t>T</w:t>
      </w:r>
      <w:r w:rsidR="00537E52" w:rsidRPr="0038001F">
        <w:rPr>
          <w:rFonts w:ascii="Times New Roman" w:hAnsi="Times New Roman" w:cs="Times New Roman"/>
          <w:sz w:val="24"/>
          <w:szCs w:val="24"/>
        </w:rPr>
        <w:t>hus,</w:t>
      </w:r>
      <w:r w:rsidR="001C6C77" w:rsidRPr="0038001F">
        <w:rPr>
          <w:rFonts w:ascii="Times New Roman" w:hAnsi="Times New Roman" w:cs="Times New Roman"/>
          <w:sz w:val="24"/>
          <w:szCs w:val="24"/>
        </w:rPr>
        <w:t xml:space="preserve"> all the grounds of appeal challenging his conviction on the basis that the warned and cautioned statement was made under duress lack merit.</w:t>
      </w:r>
    </w:p>
    <w:p w14:paraId="41E80A68" w14:textId="77777777" w:rsidR="00022DF0" w:rsidRPr="0038001F" w:rsidRDefault="00022DF0" w:rsidP="00022DF0">
      <w:pPr>
        <w:pStyle w:val="ListParagraph"/>
        <w:tabs>
          <w:tab w:val="left" w:pos="567"/>
        </w:tabs>
        <w:spacing w:line="240" w:lineRule="auto"/>
        <w:ind w:left="567"/>
        <w:jc w:val="both"/>
        <w:rPr>
          <w:rFonts w:ascii="Times New Roman" w:hAnsi="Times New Roman" w:cs="Times New Roman"/>
          <w:sz w:val="24"/>
          <w:szCs w:val="24"/>
        </w:rPr>
      </w:pPr>
    </w:p>
    <w:p w14:paraId="3BEDB622" w14:textId="3D746A35" w:rsidR="00007782" w:rsidRPr="0038001F" w:rsidRDefault="00AD41AD" w:rsidP="000217A0">
      <w:pPr>
        <w:pStyle w:val="ListParagraph"/>
        <w:numPr>
          <w:ilvl w:val="0"/>
          <w:numId w:val="3"/>
        </w:numPr>
        <w:spacing w:after="0" w:line="480" w:lineRule="auto"/>
        <w:ind w:left="450" w:hanging="450"/>
        <w:jc w:val="both"/>
        <w:rPr>
          <w:rFonts w:ascii="Times New Roman" w:hAnsi="Times New Roman" w:cs="Times New Roman"/>
          <w:sz w:val="24"/>
          <w:szCs w:val="24"/>
        </w:rPr>
      </w:pPr>
      <w:r w:rsidRPr="0038001F">
        <w:rPr>
          <w:rFonts w:ascii="Times New Roman" w:hAnsi="Times New Roman" w:cs="Times New Roman"/>
          <w:sz w:val="24"/>
          <w:szCs w:val="24"/>
        </w:rPr>
        <w:t>The appellant’s challenge on th</w:t>
      </w:r>
      <w:r w:rsidR="003D7DFB" w:rsidRPr="0038001F">
        <w:rPr>
          <w:rFonts w:ascii="Times New Roman" w:hAnsi="Times New Roman" w:cs="Times New Roman"/>
          <w:sz w:val="24"/>
          <w:szCs w:val="24"/>
        </w:rPr>
        <w:t xml:space="preserve">e expert evidence has no basis as </w:t>
      </w:r>
      <w:r w:rsidRPr="0038001F">
        <w:rPr>
          <w:rFonts w:ascii="Times New Roman" w:hAnsi="Times New Roman" w:cs="Times New Roman"/>
          <w:sz w:val="24"/>
          <w:szCs w:val="24"/>
        </w:rPr>
        <w:t xml:space="preserve">he merely alleges that the evidence was fraudulently crafted to pin him to the crime since no one saw him committing the crime. </w:t>
      </w:r>
      <w:r w:rsidR="003F6B97" w:rsidRPr="0038001F">
        <w:rPr>
          <w:rFonts w:ascii="Times New Roman" w:hAnsi="Times New Roman" w:cs="Times New Roman"/>
          <w:sz w:val="24"/>
          <w:szCs w:val="24"/>
        </w:rPr>
        <w:t xml:space="preserve"> </w:t>
      </w:r>
      <w:r w:rsidRPr="0038001F">
        <w:rPr>
          <w:rFonts w:ascii="Times New Roman" w:hAnsi="Times New Roman" w:cs="Times New Roman"/>
          <w:sz w:val="24"/>
          <w:szCs w:val="24"/>
        </w:rPr>
        <w:t xml:space="preserve">In the case of </w:t>
      </w:r>
      <w:r w:rsidRPr="0038001F">
        <w:rPr>
          <w:rFonts w:ascii="Times New Roman" w:hAnsi="Times New Roman" w:cs="Times New Roman"/>
          <w:i/>
          <w:sz w:val="24"/>
          <w:szCs w:val="24"/>
        </w:rPr>
        <w:t xml:space="preserve">S </w:t>
      </w:r>
      <w:r w:rsidRPr="0038001F">
        <w:rPr>
          <w:rFonts w:ascii="Times New Roman" w:hAnsi="Times New Roman" w:cs="Times New Roman"/>
          <w:sz w:val="24"/>
          <w:szCs w:val="24"/>
        </w:rPr>
        <w:t xml:space="preserve">v </w:t>
      </w:r>
      <w:r w:rsidRPr="0038001F">
        <w:rPr>
          <w:rFonts w:ascii="Times New Roman" w:hAnsi="Times New Roman" w:cs="Times New Roman"/>
          <w:i/>
          <w:sz w:val="24"/>
          <w:szCs w:val="24"/>
        </w:rPr>
        <w:t xml:space="preserve">Nyandoro </w:t>
      </w:r>
      <w:r w:rsidRPr="0038001F">
        <w:rPr>
          <w:rFonts w:ascii="Times New Roman" w:hAnsi="Times New Roman" w:cs="Times New Roman"/>
          <w:sz w:val="24"/>
          <w:szCs w:val="24"/>
        </w:rPr>
        <w:t>HH 8-17 at p 3, the court reiterated the following regarding a court’s approach to expert evidence:</w:t>
      </w:r>
    </w:p>
    <w:p w14:paraId="29711570" w14:textId="77777777" w:rsidR="00AD41AD" w:rsidRPr="0038001F" w:rsidRDefault="00AD41AD" w:rsidP="00410EC1">
      <w:pPr>
        <w:spacing w:line="240" w:lineRule="auto"/>
        <w:ind w:left="1440"/>
        <w:jc w:val="both"/>
        <w:rPr>
          <w:rFonts w:ascii="Times New Roman" w:hAnsi="Times New Roman" w:cs="Times New Roman"/>
          <w:sz w:val="24"/>
          <w:szCs w:val="24"/>
        </w:rPr>
      </w:pPr>
      <w:r w:rsidRPr="0038001F">
        <w:rPr>
          <w:rFonts w:ascii="Times New Roman" w:hAnsi="Times New Roman" w:cs="Times New Roman"/>
          <w:sz w:val="24"/>
          <w:szCs w:val="24"/>
        </w:rPr>
        <w:t xml:space="preserve">“When a court relies on the evidence of an expert, it must be satisfied that the expert evidence is sound in light of the totality of the evidence before it. (See </w:t>
      </w:r>
      <w:r w:rsidRPr="0038001F">
        <w:rPr>
          <w:rFonts w:ascii="Times New Roman" w:hAnsi="Times New Roman" w:cs="Times New Roman"/>
          <w:i/>
          <w:sz w:val="24"/>
          <w:szCs w:val="24"/>
        </w:rPr>
        <w:t>S</w:t>
      </w:r>
      <w:r w:rsidRPr="0038001F">
        <w:rPr>
          <w:rFonts w:ascii="Times New Roman" w:hAnsi="Times New Roman" w:cs="Times New Roman"/>
          <w:sz w:val="24"/>
          <w:szCs w:val="24"/>
        </w:rPr>
        <w:t xml:space="preserve"> v </w:t>
      </w:r>
      <w:r w:rsidRPr="0038001F">
        <w:rPr>
          <w:rFonts w:ascii="Times New Roman" w:hAnsi="Times New Roman" w:cs="Times New Roman"/>
          <w:i/>
          <w:sz w:val="24"/>
          <w:szCs w:val="24"/>
        </w:rPr>
        <w:t>Tendai &amp;</w:t>
      </w:r>
      <w:r w:rsidRPr="0038001F">
        <w:rPr>
          <w:rFonts w:ascii="Times New Roman" w:hAnsi="Times New Roman" w:cs="Times New Roman"/>
          <w:sz w:val="24"/>
          <w:szCs w:val="24"/>
        </w:rPr>
        <w:t xml:space="preserve"> </w:t>
      </w:r>
      <w:r w:rsidRPr="0038001F">
        <w:rPr>
          <w:rFonts w:ascii="Times New Roman" w:hAnsi="Times New Roman" w:cs="Times New Roman"/>
          <w:i/>
          <w:sz w:val="24"/>
          <w:szCs w:val="24"/>
        </w:rPr>
        <w:t>Anor</w:t>
      </w:r>
      <w:r w:rsidRPr="0038001F">
        <w:rPr>
          <w:rFonts w:ascii="Times New Roman" w:hAnsi="Times New Roman" w:cs="Times New Roman"/>
          <w:sz w:val="24"/>
          <w:szCs w:val="24"/>
        </w:rPr>
        <w:t xml:space="preserve"> (</w:t>
      </w:r>
      <w:r w:rsidRPr="0038001F">
        <w:rPr>
          <w:rFonts w:ascii="Times New Roman" w:hAnsi="Times New Roman" w:cs="Times New Roman"/>
          <w:i/>
          <w:sz w:val="24"/>
          <w:szCs w:val="24"/>
        </w:rPr>
        <w:t>Juveniles)</w:t>
      </w:r>
      <w:r w:rsidRPr="0038001F">
        <w:rPr>
          <w:rFonts w:ascii="Times New Roman" w:hAnsi="Times New Roman" w:cs="Times New Roman"/>
          <w:sz w:val="24"/>
          <w:szCs w:val="24"/>
        </w:rPr>
        <w:t xml:space="preserve"> 1998 (2) ZLR 423 (H) at 427 B-C and </w:t>
      </w:r>
      <w:r w:rsidRPr="0038001F">
        <w:rPr>
          <w:rFonts w:ascii="Times New Roman" w:hAnsi="Times New Roman" w:cs="Times New Roman"/>
          <w:i/>
          <w:sz w:val="24"/>
          <w:szCs w:val="24"/>
        </w:rPr>
        <w:t>Levy</w:t>
      </w:r>
      <w:r w:rsidRPr="0038001F">
        <w:rPr>
          <w:rFonts w:ascii="Times New Roman" w:hAnsi="Times New Roman" w:cs="Times New Roman"/>
          <w:sz w:val="24"/>
          <w:szCs w:val="24"/>
        </w:rPr>
        <w:t xml:space="preserve"> v </w:t>
      </w:r>
      <w:r w:rsidRPr="0038001F">
        <w:rPr>
          <w:rFonts w:ascii="Times New Roman" w:hAnsi="Times New Roman" w:cs="Times New Roman"/>
          <w:i/>
          <w:sz w:val="24"/>
          <w:szCs w:val="24"/>
        </w:rPr>
        <w:t>Tune-O-Mizer Centre</w:t>
      </w:r>
      <w:r w:rsidRPr="0038001F">
        <w:rPr>
          <w:rFonts w:ascii="Times New Roman" w:hAnsi="Times New Roman" w:cs="Times New Roman"/>
          <w:sz w:val="24"/>
          <w:szCs w:val="24"/>
        </w:rPr>
        <w:t xml:space="preserve"> </w:t>
      </w:r>
      <w:r w:rsidRPr="0038001F">
        <w:rPr>
          <w:rFonts w:ascii="Times New Roman" w:hAnsi="Times New Roman" w:cs="Times New Roman"/>
          <w:i/>
          <w:sz w:val="24"/>
          <w:szCs w:val="24"/>
        </w:rPr>
        <w:t>(Pvt) Ltd</w:t>
      </w:r>
      <w:r w:rsidRPr="0038001F">
        <w:rPr>
          <w:rFonts w:ascii="Times New Roman" w:hAnsi="Times New Roman" w:cs="Times New Roman"/>
          <w:sz w:val="24"/>
          <w:szCs w:val="24"/>
        </w:rPr>
        <w:t xml:space="preserve"> 1993 (2) ZLR 378 (SC) at 380 F-381 E).”</w:t>
      </w:r>
    </w:p>
    <w:p w14:paraId="34CD5CCC" w14:textId="77777777" w:rsidR="004B18E2" w:rsidRPr="0038001F" w:rsidRDefault="004B18E2" w:rsidP="000C5005">
      <w:pPr>
        <w:spacing w:after="0" w:line="240" w:lineRule="auto"/>
        <w:jc w:val="both"/>
        <w:rPr>
          <w:rFonts w:ascii="Times New Roman" w:hAnsi="Times New Roman" w:cs="Times New Roman"/>
          <w:sz w:val="24"/>
          <w:szCs w:val="24"/>
        </w:rPr>
      </w:pPr>
    </w:p>
    <w:p w14:paraId="22C867EB" w14:textId="261218E5" w:rsidR="002C296B" w:rsidRDefault="000C5005" w:rsidP="005705F5">
      <w:pPr>
        <w:spacing w:line="480" w:lineRule="auto"/>
        <w:ind w:left="426" w:hanging="426"/>
        <w:jc w:val="both"/>
        <w:rPr>
          <w:rFonts w:ascii="Times New Roman" w:hAnsi="Times New Roman" w:cs="Times New Roman"/>
          <w:iCs/>
          <w:sz w:val="24"/>
          <w:szCs w:val="24"/>
        </w:rPr>
      </w:pPr>
      <w:r>
        <w:rPr>
          <w:rFonts w:ascii="Times New Roman" w:hAnsi="Times New Roman" w:cs="Times New Roman"/>
          <w:sz w:val="24"/>
          <w:szCs w:val="24"/>
        </w:rPr>
        <w:t>41</w:t>
      </w:r>
      <w:r w:rsidR="003F6B97" w:rsidRPr="0038001F">
        <w:rPr>
          <w:rFonts w:ascii="Times New Roman" w:hAnsi="Times New Roman" w:cs="Times New Roman"/>
          <w:sz w:val="24"/>
          <w:szCs w:val="24"/>
        </w:rPr>
        <w:t xml:space="preserve">. </w:t>
      </w:r>
      <w:r w:rsidR="005705F5">
        <w:rPr>
          <w:rFonts w:ascii="Times New Roman" w:hAnsi="Times New Roman" w:cs="Times New Roman"/>
          <w:sz w:val="24"/>
          <w:szCs w:val="24"/>
        </w:rPr>
        <w:t xml:space="preserve"> </w:t>
      </w:r>
      <w:r w:rsidR="00AD41AD" w:rsidRPr="0038001F">
        <w:rPr>
          <w:rFonts w:ascii="Times New Roman" w:hAnsi="Times New Roman" w:cs="Times New Roman"/>
          <w:sz w:val="24"/>
          <w:szCs w:val="24"/>
        </w:rPr>
        <w:t xml:space="preserve">The court </w:t>
      </w:r>
      <w:r w:rsidR="00AD41AD" w:rsidRPr="0038001F">
        <w:rPr>
          <w:rFonts w:ascii="Times New Roman" w:hAnsi="Times New Roman" w:cs="Times New Roman"/>
          <w:i/>
          <w:sz w:val="24"/>
          <w:szCs w:val="24"/>
        </w:rPr>
        <w:t>a quo</w:t>
      </w:r>
      <w:r w:rsidR="00AD41AD" w:rsidRPr="0038001F">
        <w:rPr>
          <w:rFonts w:ascii="Times New Roman" w:hAnsi="Times New Roman" w:cs="Times New Roman"/>
          <w:sz w:val="24"/>
          <w:szCs w:val="24"/>
        </w:rPr>
        <w:t xml:space="preserve"> assesse</w:t>
      </w:r>
      <w:r w:rsidR="00022DF0">
        <w:rPr>
          <w:rFonts w:ascii="Times New Roman" w:hAnsi="Times New Roman" w:cs="Times New Roman"/>
          <w:sz w:val="24"/>
          <w:szCs w:val="24"/>
        </w:rPr>
        <w:t xml:space="preserve">d the expert evidence </w:t>
      </w:r>
      <w:r w:rsidR="00AD41AD" w:rsidRPr="0038001F">
        <w:rPr>
          <w:rFonts w:ascii="Times New Roman" w:hAnsi="Times New Roman" w:cs="Times New Roman"/>
          <w:sz w:val="24"/>
          <w:szCs w:val="24"/>
        </w:rPr>
        <w:t xml:space="preserve">together with the evidence that the appellant was seen with a suitcase at the service station in the early hours of the morning, a few days before the deceased was found in </w:t>
      </w:r>
      <w:r w:rsidR="00BF3CE6" w:rsidRPr="0038001F">
        <w:rPr>
          <w:rFonts w:ascii="Times New Roman" w:hAnsi="Times New Roman" w:cs="Times New Roman"/>
          <w:sz w:val="24"/>
          <w:szCs w:val="24"/>
        </w:rPr>
        <w:t xml:space="preserve">a </w:t>
      </w:r>
      <w:r w:rsidR="00AD41AD" w:rsidRPr="0038001F">
        <w:rPr>
          <w:rFonts w:ascii="Times New Roman" w:hAnsi="Times New Roman" w:cs="Times New Roman"/>
          <w:sz w:val="24"/>
          <w:szCs w:val="24"/>
        </w:rPr>
        <w:t xml:space="preserve">suitcase floating in the Epworth Quarry Dam. </w:t>
      </w:r>
      <w:r w:rsidR="00022DF0">
        <w:rPr>
          <w:rFonts w:ascii="Times New Roman" w:hAnsi="Times New Roman" w:cs="Times New Roman"/>
          <w:sz w:val="24"/>
          <w:szCs w:val="24"/>
        </w:rPr>
        <w:t xml:space="preserve"> </w:t>
      </w:r>
      <w:r w:rsidR="00AD41AD" w:rsidRPr="0038001F">
        <w:rPr>
          <w:rFonts w:ascii="Times New Roman" w:hAnsi="Times New Roman" w:cs="Times New Roman"/>
          <w:sz w:val="24"/>
          <w:szCs w:val="24"/>
        </w:rPr>
        <w:t xml:space="preserve">Further, it </w:t>
      </w:r>
      <w:r w:rsidR="0013635B" w:rsidRPr="0038001F">
        <w:rPr>
          <w:rFonts w:ascii="Times New Roman" w:hAnsi="Times New Roman" w:cs="Times New Roman"/>
          <w:sz w:val="24"/>
          <w:szCs w:val="24"/>
        </w:rPr>
        <w:t xml:space="preserve">analyzed </w:t>
      </w:r>
      <w:r w:rsidR="00AD41AD" w:rsidRPr="0038001F">
        <w:rPr>
          <w:rFonts w:ascii="Times New Roman" w:hAnsi="Times New Roman" w:cs="Times New Roman"/>
          <w:sz w:val="24"/>
          <w:szCs w:val="24"/>
        </w:rPr>
        <w:t xml:space="preserve">the evidence in </w:t>
      </w:r>
      <w:r w:rsidR="0013635B" w:rsidRPr="0038001F">
        <w:rPr>
          <w:rFonts w:ascii="Times New Roman" w:hAnsi="Times New Roman" w:cs="Times New Roman"/>
          <w:sz w:val="24"/>
          <w:szCs w:val="24"/>
        </w:rPr>
        <w:t xml:space="preserve">such </w:t>
      </w:r>
      <w:r w:rsidR="00AD41AD" w:rsidRPr="0038001F">
        <w:rPr>
          <w:rFonts w:ascii="Times New Roman" w:hAnsi="Times New Roman" w:cs="Times New Roman"/>
          <w:sz w:val="24"/>
          <w:szCs w:val="24"/>
        </w:rPr>
        <w:t xml:space="preserve">a manner that the expert evidence corroborated the narration of events </w:t>
      </w:r>
      <w:r w:rsidR="00AD41AD" w:rsidRPr="0038001F">
        <w:rPr>
          <w:rFonts w:ascii="Times New Roman" w:hAnsi="Times New Roman" w:cs="Times New Roman"/>
          <w:sz w:val="24"/>
          <w:szCs w:val="24"/>
        </w:rPr>
        <w:lastRenderedPageBreak/>
        <w:t>from the warned and cautioned statement</w:t>
      </w:r>
      <w:r w:rsidR="0070738F">
        <w:rPr>
          <w:rFonts w:ascii="Times New Roman" w:hAnsi="Times New Roman" w:cs="Times New Roman"/>
          <w:sz w:val="24"/>
          <w:szCs w:val="24"/>
        </w:rPr>
        <w:t xml:space="preserve">, </w:t>
      </w:r>
      <w:r w:rsidR="00BF3CE6" w:rsidRPr="0038001F">
        <w:rPr>
          <w:rFonts w:ascii="Times New Roman" w:hAnsi="Times New Roman" w:cs="Times New Roman"/>
          <w:sz w:val="24"/>
          <w:szCs w:val="24"/>
        </w:rPr>
        <w:t xml:space="preserve">the indications made </w:t>
      </w:r>
      <w:r w:rsidR="001D5F3C" w:rsidRPr="0038001F">
        <w:rPr>
          <w:rFonts w:ascii="Times New Roman" w:hAnsi="Times New Roman" w:cs="Times New Roman"/>
          <w:sz w:val="24"/>
          <w:szCs w:val="24"/>
        </w:rPr>
        <w:t>and the</w:t>
      </w:r>
      <w:r w:rsidR="00AD41AD" w:rsidRPr="0038001F">
        <w:rPr>
          <w:rFonts w:ascii="Times New Roman" w:hAnsi="Times New Roman" w:cs="Times New Roman"/>
          <w:sz w:val="24"/>
          <w:szCs w:val="24"/>
        </w:rPr>
        <w:t xml:space="preserve"> </w:t>
      </w:r>
      <w:r w:rsidR="001D5F3C" w:rsidRPr="0038001F">
        <w:rPr>
          <w:rFonts w:ascii="Times New Roman" w:hAnsi="Times New Roman" w:cs="Times New Roman"/>
          <w:sz w:val="24"/>
          <w:szCs w:val="24"/>
        </w:rPr>
        <w:t>evidence</w:t>
      </w:r>
      <w:r w:rsidR="00595A50">
        <w:rPr>
          <w:rFonts w:ascii="Times New Roman" w:hAnsi="Times New Roman" w:cs="Times New Roman"/>
          <w:sz w:val="24"/>
          <w:szCs w:val="24"/>
        </w:rPr>
        <w:t xml:space="preserve"> of </w:t>
      </w:r>
      <w:r w:rsidR="00595A50" w:rsidRPr="0038001F">
        <w:rPr>
          <w:rFonts w:ascii="Times New Roman" w:hAnsi="Times New Roman" w:cs="Times New Roman"/>
          <w:sz w:val="24"/>
          <w:szCs w:val="24"/>
        </w:rPr>
        <w:t>Katie</w:t>
      </w:r>
      <w:r w:rsidR="00AD41AD" w:rsidRPr="0038001F">
        <w:rPr>
          <w:rFonts w:ascii="Times New Roman" w:hAnsi="Times New Roman" w:cs="Times New Roman"/>
          <w:sz w:val="24"/>
          <w:szCs w:val="24"/>
        </w:rPr>
        <w:t xml:space="preserve"> Ndebele</w:t>
      </w:r>
      <w:r w:rsidR="00BF3CE6" w:rsidRPr="0038001F">
        <w:rPr>
          <w:rFonts w:ascii="Times New Roman" w:hAnsi="Times New Roman" w:cs="Times New Roman"/>
          <w:sz w:val="24"/>
          <w:szCs w:val="24"/>
        </w:rPr>
        <w:t>.</w:t>
      </w:r>
      <w:r w:rsidR="00AD41AD" w:rsidRPr="0038001F">
        <w:rPr>
          <w:rFonts w:ascii="Times New Roman" w:hAnsi="Times New Roman" w:cs="Times New Roman"/>
          <w:sz w:val="24"/>
          <w:szCs w:val="24"/>
        </w:rPr>
        <w:t xml:space="preserve"> </w:t>
      </w:r>
      <w:r w:rsidR="003F6B97" w:rsidRPr="0038001F">
        <w:rPr>
          <w:rFonts w:ascii="Times New Roman" w:hAnsi="Times New Roman" w:cs="Times New Roman"/>
          <w:sz w:val="24"/>
          <w:szCs w:val="24"/>
        </w:rPr>
        <w:t xml:space="preserve"> </w:t>
      </w:r>
      <w:r w:rsidR="00AD41AD" w:rsidRPr="0038001F">
        <w:rPr>
          <w:rFonts w:ascii="Times New Roman" w:hAnsi="Times New Roman" w:cs="Times New Roman"/>
          <w:sz w:val="24"/>
          <w:szCs w:val="24"/>
        </w:rPr>
        <w:t xml:space="preserve">The court </w:t>
      </w:r>
      <w:r w:rsidR="00AD41AD" w:rsidRPr="0038001F">
        <w:rPr>
          <w:rFonts w:ascii="Times New Roman" w:hAnsi="Times New Roman" w:cs="Times New Roman"/>
          <w:i/>
          <w:sz w:val="24"/>
          <w:szCs w:val="24"/>
        </w:rPr>
        <w:t>a quo,</w:t>
      </w:r>
      <w:r w:rsidR="00AD41AD" w:rsidRPr="0038001F">
        <w:rPr>
          <w:rFonts w:ascii="Times New Roman" w:hAnsi="Times New Roman" w:cs="Times New Roman"/>
          <w:sz w:val="24"/>
          <w:szCs w:val="24"/>
        </w:rPr>
        <w:t xml:space="preserve"> therefore, did not err in accepting the expert evidence</w:t>
      </w:r>
      <w:r w:rsidR="0013635B" w:rsidRPr="0038001F">
        <w:rPr>
          <w:rFonts w:ascii="Times New Roman" w:hAnsi="Times New Roman" w:cs="Times New Roman"/>
          <w:sz w:val="24"/>
          <w:szCs w:val="24"/>
        </w:rPr>
        <w:t xml:space="preserve"> and convicting the appellant of murder with constructive intent</w:t>
      </w:r>
      <w:r w:rsidR="00BF3CE6" w:rsidRPr="0038001F">
        <w:rPr>
          <w:rFonts w:ascii="Times New Roman" w:hAnsi="Times New Roman" w:cs="Times New Roman"/>
          <w:sz w:val="24"/>
          <w:szCs w:val="24"/>
        </w:rPr>
        <w:t xml:space="preserve">. </w:t>
      </w:r>
      <w:r w:rsidR="00022DF0">
        <w:rPr>
          <w:rFonts w:ascii="Times New Roman" w:hAnsi="Times New Roman" w:cs="Times New Roman"/>
          <w:sz w:val="24"/>
          <w:szCs w:val="24"/>
        </w:rPr>
        <w:t xml:space="preserve"> </w:t>
      </w:r>
      <w:r w:rsidR="001D5F3C" w:rsidRPr="0038001F">
        <w:rPr>
          <w:rFonts w:ascii="Times New Roman" w:hAnsi="Times New Roman" w:cs="Times New Roman"/>
          <w:sz w:val="24"/>
          <w:szCs w:val="24"/>
        </w:rPr>
        <w:t>Regarding the postmortem report the appellant’s only challenge</w:t>
      </w:r>
      <w:r w:rsidR="009276DD" w:rsidRPr="0038001F">
        <w:rPr>
          <w:rFonts w:ascii="Times New Roman" w:hAnsi="Times New Roman" w:cs="Times New Roman"/>
          <w:sz w:val="24"/>
          <w:szCs w:val="24"/>
        </w:rPr>
        <w:t xml:space="preserve"> during trial concerned the discrepancy </w:t>
      </w:r>
      <w:r w:rsidR="009A24C3" w:rsidRPr="0038001F">
        <w:rPr>
          <w:rFonts w:ascii="Times New Roman" w:hAnsi="Times New Roman" w:cs="Times New Roman"/>
          <w:sz w:val="24"/>
          <w:szCs w:val="24"/>
        </w:rPr>
        <w:t>in dates</w:t>
      </w:r>
      <w:r w:rsidR="009276DD" w:rsidRPr="0038001F">
        <w:rPr>
          <w:rFonts w:ascii="Times New Roman" w:hAnsi="Times New Roman" w:cs="Times New Roman"/>
          <w:sz w:val="24"/>
          <w:szCs w:val="24"/>
        </w:rPr>
        <w:t xml:space="preserve"> as contained in the report. </w:t>
      </w:r>
      <w:r w:rsidR="00022DF0">
        <w:rPr>
          <w:rFonts w:ascii="Times New Roman" w:hAnsi="Times New Roman" w:cs="Times New Roman"/>
          <w:sz w:val="24"/>
          <w:szCs w:val="24"/>
        </w:rPr>
        <w:t xml:space="preserve"> </w:t>
      </w:r>
      <w:r w:rsidR="009276DD" w:rsidRPr="0038001F">
        <w:rPr>
          <w:rFonts w:ascii="Times New Roman" w:hAnsi="Times New Roman" w:cs="Times New Roman"/>
          <w:sz w:val="24"/>
          <w:szCs w:val="24"/>
        </w:rPr>
        <w:t>The postmortem report indicated that the process was carried out on 20 May 2005.</w:t>
      </w:r>
      <w:r w:rsidR="003F6B97" w:rsidRPr="0038001F">
        <w:rPr>
          <w:rFonts w:ascii="Times New Roman" w:hAnsi="Times New Roman" w:cs="Times New Roman"/>
          <w:sz w:val="24"/>
          <w:szCs w:val="24"/>
        </w:rPr>
        <w:t xml:space="preserve"> </w:t>
      </w:r>
      <w:r w:rsidR="009276DD" w:rsidRPr="0038001F">
        <w:rPr>
          <w:rFonts w:ascii="Times New Roman" w:hAnsi="Times New Roman" w:cs="Times New Roman"/>
          <w:sz w:val="24"/>
          <w:szCs w:val="24"/>
        </w:rPr>
        <w:t>The doctor who compiled the rep</w:t>
      </w:r>
      <w:r w:rsidR="003F6B97" w:rsidRPr="0038001F">
        <w:rPr>
          <w:rFonts w:ascii="Times New Roman" w:hAnsi="Times New Roman" w:cs="Times New Roman"/>
          <w:sz w:val="24"/>
          <w:szCs w:val="24"/>
        </w:rPr>
        <w:t xml:space="preserve">ort signed it on the same day. </w:t>
      </w:r>
      <w:r w:rsidR="009276DD" w:rsidRPr="0038001F">
        <w:rPr>
          <w:rFonts w:ascii="Times New Roman" w:hAnsi="Times New Roman" w:cs="Times New Roman"/>
          <w:sz w:val="24"/>
          <w:szCs w:val="24"/>
        </w:rPr>
        <w:t xml:space="preserve">The commissioning reflects that </w:t>
      </w:r>
      <w:r w:rsidR="009A24C3" w:rsidRPr="0038001F">
        <w:rPr>
          <w:rFonts w:ascii="Times New Roman" w:hAnsi="Times New Roman" w:cs="Times New Roman"/>
          <w:sz w:val="24"/>
          <w:szCs w:val="24"/>
        </w:rPr>
        <w:t>it was</w:t>
      </w:r>
      <w:r w:rsidR="009276DD" w:rsidRPr="0038001F">
        <w:rPr>
          <w:rFonts w:ascii="Times New Roman" w:hAnsi="Times New Roman" w:cs="Times New Roman"/>
          <w:sz w:val="24"/>
          <w:szCs w:val="24"/>
        </w:rPr>
        <w:t xml:space="preserve"> done on </w:t>
      </w:r>
      <w:r w:rsidR="009A24C3" w:rsidRPr="0038001F">
        <w:rPr>
          <w:rFonts w:ascii="Times New Roman" w:hAnsi="Times New Roman" w:cs="Times New Roman"/>
          <w:sz w:val="24"/>
          <w:szCs w:val="24"/>
        </w:rPr>
        <w:t>an earlier date which is 6</w:t>
      </w:r>
      <w:r w:rsidR="009276DD" w:rsidRPr="0038001F">
        <w:rPr>
          <w:rFonts w:ascii="Times New Roman" w:hAnsi="Times New Roman" w:cs="Times New Roman"/>
          <w:sz w:val="24"/>
          <w:szCs w:val="24"/>
        </w:rPr>
        <w:t xml:space="preserve"> March 2005</w:t>
      </w:r>
      <w:r w:rsidR="009A24C3" w:rsidRPr="0038001F">
        <w:rPr>
          <w:rFonts w:ascii="Times New Roman" w:hAnsi="Times New Roman" w:cs="Times New Roman"/>
          <w:sz w:val="24"/>
          <w:szCs w:val="24"/>
        </w:rPr>
        <w:t xml:space="preserve">. </w:t>
      </w:r>
      <w:r w:rsidR="003F6B97" w:rsidRPr="0038001F">
        <w:rPr>
          <w:rFonts w:ascii="Times New Roman" w:hAnsi="Times New Roman" w:cs="Times New Roman"/>
          <w:sz w:val="24"/>
          <w:szCs w:val="24"/>
        </w:rPr>
        <w:t xml:space="preserve"> </w:t>
      </w:r>
      <w:r w:rsidR="009A24C3" w:rsidRPr="0038001F">
        <w:rPr>
          <w:rFonts w:ascii="Times New Roman" w:hAnsi="Times New Roman" w:cs="Times New Roman"/>
          <w:sz w:val="24"/>
          <w:szCs w:val="24"/>
        </w:rPr>
        <w:t>In our view the discrepancy was cured by calling the doctor who carried out the postmortem to testify in court.</w:t>
      </w:r>
      <w:r w:rsidR="003F6B97" w:rsidRPr="0038001F">
        <w:rPr>
          <w:rFonts w:ascii="Times New Roman" w:hAnsi="Times New Roman" w:cs="Times New Roman"/>
          <w:sz w:val="24"/>
          <w:szCs w:val="24"/>
        </w:rPr>
        <w:t xml:space="preserve"> </w:t>
      </w:r>
      <w:r w:rsidR="009A24C3" w:rsidRPr="0038001F">
        <w:rPr>
          <w:rFonts w:ascii="Times New Roman" w:hAnsi="Times New Roman" w:cs="Times New Roman"/>
          <w:sz w:val="24"/>
          <w:szCs w:val="24"/>
        </w:rPr>
        <w:t xml:space="preserve"> He clarified the discrepanc</w:t>
      </w:r>
      <w:r w:rsidR="00B918AC" w:rsidRPr="0038001F">
        <w:rPr>
          <w:rFonts w:ascii="Times New Roman" w:hAnsi="Times New Roman" w:cs="Times New Roman"/>
          <w:sz w:val="24"/>
          <w:szCs w:val="24"/>
        </w:rPr>
        <w:t>ies</w:t>
      </w:r>
      <w:r w:rsidR="009A24C3" w:rsidRPr="0038001F">
        <w:rPr>
          <w:rFonts w:ascii="Times New Roman" w:hAnsi="Times New Roman" w:cs="Times New Roman"/>
          <w:sz w:val="24"/>
          <w:szCs w:val="24"/>
        </w:rPr>
        <w:t xml:space="preserve">. </w:t>
      </w:r>
      <w:r w:rsidR="00022DF0">
        <w:rPr>
          <w:rFonts w:ascii="Times New Roman" w:hAnsi="Times New Roman" w:cs="Times New Roman"/>
          <w:sz w:val="24"/>
          <w:szCs w:val="24"/>
        </w:rPr>
        <w:t xml:space="preserve"> </w:t>
      </w:r>
      <w:r w:rsidR="00B918AC" w:rsidRPr="0038001F">
        <w:rPr>
          <w:rFonts w:ascii="Times New Roman" w:hAnsi="Times New Roman" w:cs="Times New Roman"/>
          <w:sz w:val="24"/>
          <w:szCs w:val="24"/>
        </w:rPr>
        <w:t xml:space="preserve">As a result, </w:t>
      </w:r>
      <w:r w:rsidR="009A24C3" w:rsidRPr="0038001F">
        <w:rPr>
          <w:rFonts w:ascii="Times New Roman" w:hAnsi="Times New Roman" w:cs="Times New Roman"/>
          <w:sz w:val="24"/>
          <w:szCs w:val="24"/>
        </w:rPr>
        <w:t xml:space="preserve">the State did not rely solely on the report but on the doctor’s </w:t>
      </w:r>
      <w:r w:rsidR="009A24C3" w:rsidRPr="0038001F">
        <w:rPr>
          <w:rFonts w:ascii="Times New Roman" w:hAnsi="Times New Roman" w:cs="Times New Roman"/>
          <w:i/>
          <w:iCs/>
          <w:sz w:val="24"/>
          <w:szCs w:val="24"/>
        </w:rPr>
        <w:t xml:space="preserve">viva voce </w:t>
      </w:r>
      <w:r w:rsidR="009A24C3" w:rsidRPr="0038001F">
        <w:rPr>
          <w:rFonts w:ascii="Times New Roman" w:hAnsi="Times New Roman" w:cs="Times New Roman"/>
          <w:sz w:val="24"/>
          <w:szCs w:val="24"/>
        </w:rPr>
        <w:t>evidence.</w:t>
      </w:r>
      <w:r w:rsidR="00CF621A" w:rsidRPr="0038001F">
        <w:rPr>
          <w:rFonts w:ascii="Times New Roman" w:hAnsi="Times New Roman" w:cs="Times New Roman"/>
          <w:sz w:val="24"/>
          <w:szCs w:val="24"/>
        </w:rPr>
        <w:t xml:space="preserve"> </w:t>
      </w:r>
      <w:r w:rsidR="00022DF0">
        <w:rPr>
          <w:rFonts w:ascii="Times New Roman" w:hAnsi="Times New Roman" w:cs="Times New Roman"/>
          <w:sz w:val="24"/>
          <w:szCs w:val="24"/>
        </w:rPr>
        <w:t xml:space="preserve"> </w:t>
      </w:r>
      <w:r w:rsidR="00B918AC" w:rsidRPr="0038001F">
        <w:rPr>
          <w:rFonts w:ascii="Times New Roman" w:hAnsi="Times New Roman" w:cs="Times New Roman"/>
          <w:sz w:val="24"/>
          <w:szCs w:val="24"/>
        </w:rPr>
        <w:t xml:space="preserve">The doctor testified that the deceased had a 10 cm </w:t>
      </w:r>
      <w:r w:rsidR="00E40BFC" w:rsidRPr="0038001F">
        <w:rPr>
          <w:rFonts w:ascii="Times New Roman" w:hAnsi="Times New Roman" w:cs="Times New Roman"/>
          <w:sz w:val="24"/>
          <w:szCs w:val="24"/>
        </w:rPr>
        <w:t>fracture on</w:t>
      </w:r>
      <w:r w:rsidR="00B918AC" w:rsidRPr="0038001F">
        <w:rPr>
          <w:rFonts w:ascii="Times New Roman" w:hAnsi="Times New Roman" w:cs="Times New Roman"/>
          <w:sz w:val="24"/>
          <w:szCs w:val="24"/>
        </w:rPr>
        <w:t xml:space="preserve"> </w:t>
      </w:r>
      <w:r w:rsidR="00E40BFC" w:rsidRPr="0038001F">
        <w:rPr>
          <w:rFonts w:ascii="Times New Roman" w:hAnsi="Times New Roman" w:cs="Times New Roman"/>
          <w:sz w:val="24"/>
          <w:szCs w:val="24"/>
        </w:rPr>
        <w:t>t</w:t>
      </w:r>
      <w:r w:rsidR="00B918AC" w:rsidRPr="0038001F">
        <w:rPr>
          <w:rFonts w:ascii="Times New Roman" w:hAnsi="Times New Roman" w:cs="Times New Roman"/>
          <w:sz w:val="24"/>
          <w:szCs w:val="24"/>
        </w:rPr>
        <w:t xml:space="preserve">he back of her head. </w:t>
      </w:r>
      <w:r w:rsidR="00022DF0">
        <w:rPr>
          <w:rFonts w:ascii="Times New Roman" w:hAnsi="Times New Roman" w:cs="Times New Roman"/>
          <w:sz w:val="24"/>
          <w:szCs w:val="24"/>
        </w:rPr>
        <w:t xml:space="preserve"> </w:t>
      </w:r>
      <w:r w:rsidR="00B918AC" w:rsidRPr="0038001F">
        <w:rPr>
          <w:rFonts w:ascii="Times New Roman" w:hAnsi="Times New Roman" w:cs="Times New Roman"/>
          <w:sz w:val="24"/>
          <w:szCs w:val="24"/>
        </w:rPr>
        <w:t>It was his opinion that severe force was used as the bones of the skull are strong</w:t>
      </w:r>
      <w:r w:rsidR="00E40BFC" w:rsidRPr="0038001F">
        <w:rPr>
          <w:rFonts w:ascii="Times New Roman" w:hAnsi="Times New Roman" w:cs="Times New Roman"/>
          <w:sz w:val="24"/>
          <w:szCs w:val="24"/>
        </w:rPr>
        <w:t xml:space="preserve"> and that it was a single blow</w:t>
      </w:r>
      <w:r w:rsidR="00B918AC" w:rsidRPr="0038001F">
        <w:rPr>
          <w:rFonts w:ascii="Times New Roman" w:hAnsi="Times New Roman" w:cs="Times New Roman"/>
          <w:sz w:val="24"/>
          <w:szCs w:val="24"/>
        </w:rPr>
        <w:t>.</w:t>
      </w:r>
      <w:r w:rsidR="00E40BFC" w:rsidRPr="0038001F">
        <w:rPr>
          <w:rFonts w:ascii="Times New Roman" w:hAnsi="Times New Roman" w:cs="Times New Roman"/>
          <w:sz w:val="24"/>
          <w:szCs w:val="24"/>
        </w:rPr>
        <w:t xml:space="preserve"> </w:t>
      </w:r>
      <w:r w:rsidR="00022DF0">
        <w:rPr>
          <w:rFonts w:ascii="Times New Roman" w:hAnsi="Times New Roman" w:cs="Times New Roman"/>
          <w:sz w:val="24"/>
          <w:szCs w:val="24"/>
        </w:rPr>
        <w:t xml:space="preserve"> </w:t>
      </w:r>
      <w:r w:rsidR="00E40BFC" w:rsidRPr="0038001F">
        <w:rPr>
          <w:rFonts w:ascii="Times New Roman" w:hAnsi="Times New Roman" w:cs="Times New Roman"/>
          <w:sz w:val="24"/>
          <w:szCs w:val="24"/>
        </w:rPr>
        <w:t xml:space="preserve">On </w:t>
      </w:r>
      <w:r w:rsidR="00595A50">
        <w:rPr>
          <w:rFonts w:ascii="Times New Roman" w:hAnsi="Times New Roman" w:cs="Times New Roman"/>
          <w:sz w:val="24"/>
          <w:szCs w:val="24"/>
        </w:rPr>
        <w:t xml:space="preserve">conducting </w:t>
      </w:r>
      <w:r w:rsidR="00E40BFC" w:rsidRPr="0038001F">
        <w:rPr>
          <w:rFonts w:ascii="Times New Roman" w:hAnsi="Times New Roman" w:cs="Times New Roman"/>
          <w:sz w:val="24"/>
          <w:szCs w:val="24"/>
        </w:rPr>
        <w:t>an internal examination he discovered there was bleeding in the cavity of the brain which he attributed to be the cause of death.</w:t>
      </w:r>
      <w:r w:rsidR="00FE5285">
        <w:rPr>
          <w:rFonts w:ascii="Times New Roman" w:hAnsi="Times New Roman" w:cs="Times New Roman"/>
          <w:sz w:val="24"/>
          <w:szCs w:val="24"/>
        </w:rPr>
        <w:t xml:space="preserve"> The fact that there was no X-ray showing the 10cm fracture does not take the appellant’s case anywhere as the doctor who carried out the test confirmed the existence of the fracture.</w:t>
      </w:r>
      <w:r w:rsidR="003F6B97" w:rsidRPr="0038001F">
        <w:rPr>
          <w:rFonts w:ascii="Times New Roman" w:hAnsi="Times New Roman" w:cs="Times New Roman"/>
          <w:sz w:val="24"/>
          <w:szCs w:val="24"/>
        </w:rPr>
        <w:t xml:space="preserve"> </w:t>
      </w:r>
      <w:r w:rsidR="00022DF0">
        <w:rPr>
          <w:rFonts w:ascii="Times New Roman" w:hAnsi="Times New Roman" w:cs="Times New Roman"/>
          <w:sz w:val="24"/>
          <w:szCs w:val="24"/>
        </w:rPr>
        <w:t xml:space="preserve"> </w:t>
      </w:r>
      <w:r w:rsidR="002C296B" w:rsidRPr="0038001F">
        <w:rPr>
          <w:rFonts w:ascii="Times New Roman" w:hAnsi="Times New Roman" w:cs="Times New Roman"/>
          <w:sz w:val="24"/>
          <w:szCs w:val="24"/>
        </w:rPr>
        <w:t xml:space="preserve">The court </w:t>
      </w:r>
      <w:r w:rsidR="002C296B" w:rsidRPr="0038001F">
        <w:rPr>
          <w:rFonts w:ascii="Times New Roman" w:hAnsi="Times New Roman" w:cs="Times New Roman"/>
          <w:i/>
          <w:sz w:val="24"/>
          <w:szCs w:val="24"/>
        </w:rPr>
        <w:t>a quo</w:t>
      </w:r>
      <w:r w:rsidR="002C296B" w:rsidRPr="0038001F">
        <w:rPr>
          <w:rFonts w:ascii="Times New Roman" w:hAnsi="Times New Roman" w:cs="Times New Roman"/>
          <w:sz w:val="24"/>
          <w:szCs w:val="24"/>
        </w:rPr>
        <w:t xml:space="preserve"> was therefore correct to find that </w:t>
      </w:r>
      <w:r w:rsidR="009520D8" w:rsidRPr="0038001F">
        <w:rPr>
          <w:rFonts w:ascii="Times New Roman" w:hAnsi="Times New Roman" w:cs="Times New Roman"/>
          <w:sz w:val="24"/>
          <w:szCs w:val="24"/>
        </w:rPr>
        <w:t xml:space="preserve">the </w:t>
      </w:r>
      <w:r w:rsidR="009520D8" w:rsidRPr="00C11DCE">
        <w:rPr>
          <w:rFonts w:ascii="Times New Roman" w:hAnsi="Times New Roman" w:cs="Times New Roman"/>
          <w:i/>
          <w:sz w:val="24"/>
          <w:szCs w:val="24"/>
        </w:rPr>
        <w:t>actus</w:t>
      </w:r>
      <w:r w:rsidR="002C296B" w:rsidRPr="0038001F">
        <w:rPr>
          <w:rFonts w:ascii="Times New Roman" w:hAnsi="Times New Roman" w:cs="Times New Roman"/>
          <w:i/>
          <w:iCs/>
          <w:sz w:val="24"/>
          <w:szCs w:val="24"/>
        </w:rPr>
        <w:t xml:space="preserve"> </w:t>
      </w:r>
      <w:proofErr w:type="spellStart"/>
      <w:proofErr w:type="gramStart"/>
      <w:r w:rsidR="002C296B" w:rsidRPr="0038001F">
        <w:rPr>
          <w:rFonts w:ascii="Times New Roman" w:hAnsi="Times New Roman" w:cs="Times New Roman"/>
          <w:i/>
          <w:iCs/>
          <w:sz w:val="24"/>
          <w:szCs w:val="24"/>
        </w:rPr>
        <w:t>reus</w:t>
      </w:r>
      <w:proofErr w:type="spellEnd"/>
      <w:proofErr w:type="gramEnd"/>
      <w:r w:rsidR="003D7DFB" w:rsidRPr="0038001F">
        <w:rPr>
          <w:rFonts w:ascii="Times New Roman" w:hAnsi="Times New Roman" w:cs="Times New Roman"/>
          <w:i/>
          <w:iCs/>
          <w:sz w:val="24"/>
          <w:szCs w:val="24"/>
        </w:rPr>
        <w:t xml:space="preserve"> </w:t>
      </w:r>
      <w:r w:rsidR="003D7DFB" w:rsidRPr="0038001F">
        <w:rPr>
          <w:rFonts w:ascii="Times New Roman" w:hAnsi="Times New Roman" w:cs="Times New Roman"/>
          <w:iCs/>
          <w:sz w:val="24"/>
          <w:szCs w:val="24"/>
        </w:rPr>
        <w:t>was established.</w:t>
      </w:r>
    </w:p>
    <w:p w14:paraId="5301D4E1" w14:textId="77777777" w:rsidR="005E0BD8" w:rsidRPr="0038001F" w:rsidRDefault="005E0BD8" w:rsidP="005E0BD8">
      <w:pPr>
        <w:spacing w:after="0" w:line="240" w:lineRule="auto"/>
        <w:ind w:left="426" w:hanging="426"/>
        <w:jc w:val="both"/>
        <w:rPr>
          <w:rFonts w:ascii="Times New Roman" w:hAnsi="Times New Roman" w:cs="Times New Roman"/>
          <w:sz w:val="24"/>
          <w:szCs w:val="24"/>
        </w:rPr>
      </w:pPr>
    </w:p>
    <w:p w14:paraId="1D2A0CC7" w14:textId="1FAF7E36" w:rsidR="003F6B97" w:rsidRPr="00022DF0" w:rsidRDefault="002C296B" w:rsidP="005705F5">
      <w:pPr>
        <w:pStyle w:val="Default"/>
        <w:numPr>
          <w:ilvl w:val="0"/>
          <w:numId w:val="35"/>
        </w:numPr>
        <w:spacing w:line="480" w:lineRule="auto"/>
        <w:ind w:left="426" w:hanging="426"/>
        <w:jc w:val="both"/>
        <w:rPr>
          <w:color w:val="FF0000"/>
        </w:rPr>
      </w:pPr>
      <w:r w:rsidRPr="0038001F">
        <w:t xml:space="preserve">Having found that the </w:t>
      </w:r>
      <w:r w:rsidRPr="002C7BD0">
        <w:rPr>
          <w:i/>
        </w:rPr>
        <w:t>actus</w:t>
      </w:r>
      <w:r w:rsidRPr="0038001F">
        <w:t xml:space="preserve"> </w:t>
      </w:r>
      <w:proofErr w:type="gramStart"/>
      <w:r w:rsidRPr="0038001F">
        <w:rPr>
          <w:i/>
        </w:rPr>
        <w:t>reus</w:t>
      </w:r>
      <w:proofErr w:type="gramEnd"/>
      <w:r w:rsidRPr="0038001F">
        <w:t xml:space="preserve"> existed the next step </w:t>
      </w:r>
      <w:r w:rsidR="00FE5285">
        <w:t>was</w:t>
      </w:r>
      <w:r w:rsidRPr="0038001F">
        <w:t xml:space="preserve"> to ascertain whether the appellant had the requisite </w:t>
      </w:r>
      <w:proofErr w:type="spellStart"/>
      <w:r w:rsidRPr="00B62698">
        <w:t>mens</w:t>
      </w:r>
      <w:proofErr w:type="spellEnd"/>
      <w:r w:rsidRPr="0038001F">
        <w:rPr>
          <w:i/>
          <w:iCs/>
        </w:rPr>
        <w:t xml:space="preserve"> rea</w:t>
      </w:r>
      <w:r w:rsidR="003D7DFB" w:rsidRPr="0038001F">
        <w:rPr>
          <w:i/>
          <w:iCs/>
        </w:rPr>
        <w:t xml:space="preserve"> </w:t>
      </w:r>
      <w:r w:rsidR="003D7DFB" w:rsidRPr="0038001F">
        <w:rPr>
          <w:iCs/>
        </w:rPr>
        <w:t>to commit the murder</w:t>
      </w:r>
      <w:r w:rsidRPr="0038001F">
        <w:rPr>
          <w:i/>
          <w:iCs/>
        </w:rPr>
        <w:t xml:space="preserve">. </w:t>
      </w:r>
      <w:r w:rsidR="00830CF9" w:rsidRPr="0038001F">
        <w:rPr>
          <w:i/>
        </w:rPr>
        <w:t>In</w:t>
      </w:r>
      <w:r w:rsidR="00830CF9" w:rsidRPr="0038001F">
        <w:rPr>
          <w:i/>
          <w:iCs/>
        </w:rPr>
        <w:t xml:space="preserve"> </w:t>
      </w:r>
      <w:proofErr w:type="spellStart"/>
      <w:r w:rsidR="00830CF9" w:rsidRPr="0038001F">
        <w:rPr>
          <w:i/>
          <w:iCs/>
        </w:rPr>
        <w:t>casu</w:t>
      </w:r>
      <w:proofErr w:type="spellEnd"/>
      <w:r w:rsidR="00830CF9" w:rsidRPr="0038001F">
        <w:rPr>
          <w:i/>
          <w:iCs/>
        </w:rPr>
        <w:t xml:space="preserve"> </w:t>
      </w:r>
      <w:r w:rsidR="00FE5285">
        <w:t xml:space="preserve">the court </w:t>
      </w:r>
      <w:r w:rsidR="005705F5">
        <w:t xml:space="preserve">was </w:t>
      </w:r>
      <w:r w:rsidR="005705F5" w:rsidRPr="0038001F">
        <w:t>concerned</w:t>
      </w:r>
      <w:r w:rsidR="00830CF9" w:rsidRPr="0038001F">
        <w:t xml:space="preserve"> with</w:t>
      </w:r>
      <w:r w:rsidR="00830CF9" w:rsidRPr="0038001F">
        <w:rPr>
          <w:i/>
          <w:iCs/>
        </w:rPr>
        <w:t xml:space="preserve"> </w:t>
      </w:r>
      <w:proofErr w:type="spellStart"/>
      <w:r w:rsidR="00830CF9" w:rsidRPr="0038001F">
        <w:rPr>
          <w:i/>
          <w:iCs/>
        </w:rPr>
        <w:t>dolus</w:t>
      </w:r>
      <w:proofErr w:type="spellEnd"/>
      <w:r w:rsidR="00830CF9" w:rsidRPr="0038001F">
        <w:rPr>
          <w:i/>
          <w:iCs/>
        </w:rPr>
        <w:t xml:space="preserve"> </w:t>
      </w:r>
      <w:proofErr w:type="spellStart"/>
      <w:r w:rsidR="00830CF9" w:rsidRPr="0038001F">
        <w:rPr>
          <w:i/>
          <w:iCs/>
        </w:rPr>
        <w:t>eventualis</w:t>
      </w:r>
      <w:proofErr w:type="spellEnd"/>
      <w:r w:rsidR="00830CF9" w:rsidRPr="0038001F">
        <w:rPr>
          <w:i/>
          <w:iCs/>
        </w:rPr>
        <w:t>.</w:t>
      </w:r>
      <w:r w:rsidR="00830CF9" w:rsidRPr="0038001F">
        <w:t xml:space="preserve"> </w:t>
      </w:r>
      <w:r w:rsidR="00022DF0">
        <w:t xml:space="preserve"> </w:t>
      </w:r>
      <w:r w:rsidR="00830CF9" w:rsidRPr="0038001F">
        <w:t xml:space="preserve">As elucidated in </w:t>
      </w:r>
      <w:r w:rsidR="00830CF9" w:rsidRPr="0038001F">
        <w:rPr>
          <w:i/>
          <w:iCs/>
        </w:rPr>
        <w:t xml:space="preserve">Director of Public Prosecutions, Gauteng </w:t>
      </w:r>
      <w:r w:rsidR="00830CF9" w:rsidRPr="0038001F">
        <w:rPr>
          <w:iCs/>
        </w:rPr>
        <w:t>v</w:t>
      </w:r>
      <w:r w:rsidR="00830CF9" w:rsidRPr="0038001F">
        <w:rPr>
          <w:i/>
          <w:iCs/>
        </w:rPr>
        <w:t xml:space="preserve"> Oscar Leonard Carl Pistorius</w:t>
      </w:r>
      <w:r w:rsidR="00B62698">
        <w:rPr>
          <w:i/>
          <w:iCs/>
        </w:rPr>
        <w:t>,</w:t>
      </w:r>
      <w:r w:rsidR="00830CF9" w:rsidRPr="0038001F">
        <w:rPr>
          <w:i/>
          <w:iCs/>
        </w:rPr>
        <w:t xml:space="preserve"> supra</w:t>
      </w:r>
      <w:r w:rsidR="00B62698">
        <w:rPr>
          <w:i/>
          <w:iCs/>
        </w:rPr>
        <w:t>,</w:t>
      </w:r>
      <w:r w:rsidR="00830CF9" w:rsidRPr="0038001F">
        <w:t xml:space="preserve"> it is a two staged</w:t>
      </w:r>
      <w:r w:rsidR="002B355E" w:rsidRPr="0038001F">
        <w:t xml:space="preserve"> enquiry</w:t>
      </w:r>
      <w:r w:rsidR="00830CF9" w:rsidRPr="0038001F">
        <w:t xml:space="preserve">. </w:t>
      </w:r>
      <w:r w:rsidR="00022DF0">
        <w:t xml:space="preserve"> </w:t>
      </w:r>
      <w:r w:rsidR="00830CF9" w:rsidRPr="0038001F">
        <w:t>The court must engage in the two stages</w:t>
      </w:r>
      <w:r w:rsidR="002B355E" w:rsidRPr="0038001F">
        <w:t xml:space="preserve"> of the enquiry</w:t>
      </w:r>
      <w:r w:rsidR="00830CF9" w:rsidRPr="0038001F">
        <w:t xml:space="preserve"> before arriving at a conclusion whether </w:t>
      </w:r>
      <w:proofErr w:type="spellStart"/>
      <w:r w:rsidR="00830CF9" w:rsidRPr="0038001F">
        <w:rPr>
          <w:i/>
          <w:iCs/>
        </w:rPr>
        <w:t>dolus</w:t>
      </w:r>
      <w:proofErr w:type="spellEnd"/>
      <w:r w:rsidR="00830CF9" w:rsidRPr="0038001F">
        <w:rPr>
          <w:i/>
          <w:iCs/>
        </w:rPr>
        <w:t xml:space="preserve"> </w:t>
      </w:r>
      <w:proofErr w:type="spellStart"/>
      <w:r w:rsidR="00830CF9" w:rsidRPr="0038001F">
        <w:rPr>
          <w:i/>
          <w:iCs/>
        </w:rPr>
        <w:t>eventualis</w:t>
      </w:r>
      <w:proofErr w:type="spellEnd"/>
      <w:r w:rsidR="00830CF9" w:rsidRPr="0038001F">
        <w:t xml:space="preserve"> was </w:t>
      </w:r>
      <w:r w:rsidR="009520D8" w:rsidRPr="0038001F">
        <w:t>established.</w:t>
      </w:r>
      <w:r w:rsidR="002B355E" w:rsidRPr="0038001F">
        <w:t xml:space="preserve"> </w:t>
      </w:r>
      <w:r w:rsidR="00022DF0">
        <w:t xml:space="preserve"> </w:t>
      </w:r>
      <w:r w:rsidR="002B355E" w:rsidRPr="0038001F">
        <w:t xml:space="preserve">The two stages </w:t>
      </w:r>
      <w:r w:rsidR="008D0680" w:rsidRPr="0038001F">
        <w:t>are:</w:t>
      </w:r>
      <w:r w:rsidR="009520D8" w:rsidRPr="0038001F">
        <w:rPr>
          <w:bCs/>
          <w:iCs/>
        </w:rPr>
        <w:t xml:space="preserve"> (1)</w:t>
      </w:r>
      <w:r w:rsidR="009520D8" w:rsidRPr="0038001F">
        <w:rPr>
          <w:b/>
          <w:bCs/>
          <w:i/>
          <w:iCs/>
        </w:rPr>
        <w:t xml:space="preserve"> </w:t>
      </w:r>
      <w:r w:rsidR="009520D8" w:rsidRPr="0038001F">
        <w:t>foresight of the possibility of death occurring</w:t>
      </w:r>
      <w:r w:rsidR="009520D8" w:rsidRPr="0038001F">
        <w:rPr>
          <w:b/>
          <w:bCs/>
          <w:i/>
          <w:iCs/>
        </w:rPr>
        <w:t xml:space="preserve">; </w:t>
      </w:r>
      <w:r w:rsidR="009520D8" w:rsidRPr="0038001F">
        <w:t xml:space="preserve">and (2) reconciliation with that </w:t>
      </w:r>
      <w:r w:rsidR="002B355E" w:rsidRPr="0038001F">
        <w:lastRenderedPageBreak/>
        <w:t>foreseen</w:t>
      </w:r>
      <w:r w:rsidR="009520D8" w:rsidRPr="0038001F">
        <w:t xml:space="preserve"> possibility</w:t>
      </w:r>
      <w:r w:rsidR="002B355E" w:rsidRPr="0038001F">
        <w:t xml:space="preserve"> or put </w:t>
      </w:r>
      <w:r w:rsidR="008D0680" w:rsidRPr="0038001F">
        <w:t>differently: did</w:t>
      </w:r>
      <w:r w:rsidR="002B355E" w:rsidRPr="0038001F">
        <w:rPr>
          <w:color w:val="auto"/>
        </w:rPr>
        <w:t xml:space="preserve"> the accused continue to engage in that conduct despite the risk or possibility? </w:t>
      </w:r>
      <w:r w:rsidR="008D0680" w:rsidRPr="0038001F">
        <w:rPr>
          <w:color w:val="auto"/>
        </w:rPr>
        <w:t xml:space="preserve"> </w:t>
      </w:r>
    </w:p>
    <w:p w14:paraId="17938707" w14:textId="77777777" w:rsidR="00022DF0" w:rsidRPr="0038001F" w:rsidRDefault="00022DF0" w:rsidP="00022DF0">
      <w:pPr>
        <w:pStyle w:val="Default"/>
        <w:ind w:left="567"/>
        <w:jc w:val="both"/>
        <w:rPr>
          <w:color w:val="FF0000"/>
        </w:rPr>
      </w:pPr>
    </w:p>
    <w:p w14:paraId="2AD44145" w14:textId="7F430FBC" w:rsidR="0084040F" w:rsidRPr="0038001F" w:rsidRDefault="00621E9F" w:rsidP="005705F5">
      <w:pPr>
        <w:pStyle w:val="Default"/>
        <w:spacing w:line="480" w:lineRule="auto"/>
        <w:ind w:left="426" w:hanging="402"/>
        <w:jc w:val="both"/>
        <w:rPr>
          <w:color w:val="auto"/>
        </w:rPr>
      </w:pPr>
      <w:r>
        <w:rPr>
          <w:color w:val="auto"/>
        </w:rPr>
        <w:t>43</w:t>
      </w:r>
      <w:r w:rsidR="003F6B97" w:rsidRPr="0038001F">
        <w:rPr>
          <w:color w:val="auto"/>
        </w:rPr>
        <w:t xml:space="preserve">. </w:t>
      </w:r>
      <w:r w:rsidR="00C74B63" w:rsidRPr="0038001F">
        <w:rPr>
          <w:color w:val="auto"/>
        </w:rPr>
        <w:t xml:space="preserve">It is settled that the </w:t>
      </w:r>
      <w:r w:rsidR="003F3086" w:rsidRPr="0038001F">
        <w:rPr>
          <w:color w:val="auto"/>
        </w:rPr>
        <w:t xml:space="preserve">test whether </w:t>
      </w:r>
      <w:proofErr w:type="spellStart"/>
      <w:r w:rsidR="003F3086" w:rsidRPr="0038001F">
        <w:rPr>
          <w:i/>
          <w:iCs/>
          <w:color w:val="auto"/>
        </w:rPr>
        <w:t>dolus</w:t>
      </w:r>
      <w:proofErr w:type="spellEnd"/>
      <w:r w:rsidR="003F3086" w:rsidRPr="0038001F">
        <w:rPr>
          <w:i/>
          <w:iCs/>
          <w:color w:val="auto"/>
        </w:rPr>
        <w:t xml:space="preserve"> </w:t>
      </w:r>
      <w:proofErr w:type="spellStart"/>
      <w:r w:rsidR="003F3086" w:rsidRPr="0038001F">
        <w:rPr>
          <w:i/>
          <w:iCs/>
          <w:color w:val="auto"/>
        </w:rPr>
        <w:t>eventualis</w:t>
      </w:r>
      <w:proofErr w:type="spellEnd"/>
      <w:r w:rsidR="003F3086" w:rsidRPr="0038001F">
        <w:rPr>
          <w:color w:val="auto"/>
        </w:rPr>
        <w:t xml:space="preserve"> was established </w:t>
      </w:r>
      <w:r w:rsidR="00C74B63" w:rsidRPr="0038001F">
        <w:rPr>
          <w:color w:val="auto"/>
        </w:rPr>
        <w:t>is subjective</w:t>
      </w:r>
      <w:r w:rsidR="003F3086" w:rsidRPr="0038001F">
        <w:rPr>
          <w:color w:val="auto"/>
        </w:rPr>
        <w:t xml:space="preserve">. </w:t>
      </w:r>
      <w:r w:rsidR="00B83984">
        <w:rPr>
          <w:color w:val="auto"/>
        </w:rPr>
        <w:t xml:space="preserve"> </w:t>
      </w:r>
      <w:r w:rsidR="0084040F" w:rsidRPr="0038001F">
        <w:t xml:space="preserve">According to </w:t>
      </w:r>
      <w:proofErr w:type="spellStart"/>
      <w:r w:rsidR="0084040F" w:rsidRPr="0038001F">
        <w:t>Synman</w:t>
      </w:r>
      <w:proofErr w:type="spellEnd"/>
      <w:r w:rsidR="0084040F" w:rsidRPr="0038001F">
        <w:t xml:space="preserve"> </w:t>
      </w:r>
      <w:r w:rsidR="0084040F" w:rsidRPr="0038001F">
        <w:rPr>
          <w:i/>
        </w:rPr>
        <w:t>Criminal Law</w:t>
      </w:r>
      <w:r w:rsidR="0084040F" w:rsidRPr="0038001F">
        <w:t xml:space="preserve"> 6</w:t>
      </w:r>
      <w:r w:rsidR="0084040F" w:rsidRPr="0038001F">
        <w:rPr>
          <w:vertAlign w:val="superscript"/>
        </w:rPr>
        <w:t>th</w:t>
      </w:r>
      <w:r w:rsidR="00B83984">
        <w:t xml:space="preserve"> ed</w:t>
      </w:r>
      <w:r w:rsidR="00037C14" w:rsidRPr="0038001F">
        <w:t>, 2014 at p</w:t>
      </w:r>
      <w:r w:rsidR="0084040F" w:rsidRPr="0038001F">
        <w:t xml:space="preserve"> 178, a person commits a crime with intention in the form of </w:t>
      </w:r>
      <w:proofErr w:type="spellStart"/>
      <w:r w:rsidR="0084040F" w:rsidRPr="0038001F">
        <w:rPr>
          <w:i/>
        </w:rPr>
        <w:t>dolus</w:t>
      </w:r>
      <w:proofErr w:type="spellEnd"/>
      <w:r w:rsidR="0084040F" w:rsidRPr="0038001F">
        <w:rPr>
          <w:i/>
        </w:rPr>
        <w:t xml:space="preserve"> </w:t>
      </w:r>
      <w:proofErr w:type="spellStart"/>
      <w:r w:rsidR="0084040F" w:rsidRPr="0038001F">
        <w:rPr>
          <w:i/>
        </w:rPr>
        <w:t>eventualis</w:t>
      </w:r>
      <w:proofErr w:type="spellEnd"/>
      <w:r w:rsidR="0084040F" w:rsidRPr="0038001F">
        <w:t xml:space="preserve"> if the commission of the unlawful act or the causing of the unlawful result is not his main aim, but: </w:t>
      </w:r>
    </w:p>
    <w:p w14:paraId="2BD8B1E2" w14:textId="4A8A3568" w:rsidR="0084040F" w:rsidRDefault="00037C14" w:rsidP="00737FF6">
      <w:pPr>
        <w:spacing w:after="0" w:line="240" w:lineRule="auto"/>
        <w:ind w:left="1800" w:hanging="360"/>
        <w:jc w:val="both"/>
        <w:rPr>
          <w:rFonts w:ascii="Times New Roman" w:hAnsi="Times New Roman" w:cs="Times New Roman"/>
          <w:sz w:val="24"/>
          <w:szCs w:val="24"/>
        </w:rPr>
      </w:pPr>
      <w:r w:rsidRPr="0038001F">
        <w:rPr>
          <w:rFonts w:ascii="Times New Roman" w:hAnsi="Times New Roman" w:cs="Times New Roman"/>
          <w:sz w:val="24"/>
          <w:szCs w:val="24"/>
        </w:rPr>
        <w:t>(</w:t>
      </w:r>
      <w:r w:rsidR="0084040F" w:rsidRPr="0038001F">
        <w:rPr>
          <w:rFonts w:ascii="Times New Roman" w:hAnsi="Times New Roman" w:cs="Times New Roman"/>
          <w:sz w:val="24"/>
          <w:szCs w:val="24"/>
        </w:rPr>
        <w:t xml:space="preserve">a) he subjectively foresees the possibility that, in striving towards his main aim, the unlawful act may be committed, or the unlawful result may be caused (cognitive element) and; </w:t>
      </w:r>
    </w:p>
    <w:p w14:paraId="649AE888" w14:textId="77777777" w:rsidR="00B83984" w:rsidRPr="0038001F" w:rsidRDefault="00B83984" w:rsidP="00B83984">
      <w:pPr>
        <w:spacing w:after="0" w:line="240" w:lineRule="auto"/>
        <w:ind w:left="1560" w:hanging="120"/>
        <w:jc w:val="both"/>
        <w:rPr>
          <w:rFonts w:ascii="Times New Roman" w:hAnsi="Times New Roman" w:cs="Times New Roman"/>
          <w:sz w:val="24"/>
          <w:szCs w:val="24"/>
        </w:rPr>
      </w:pPr>
    </w:p>
    <w:p w14:paraId="332CFF52" w14:textId="398CC965" w:rsidR="0084040F" w:rsidRPr="0038001F" w:rsidRDefault="00037C14" w:rsidP="00737FF6">
      <w:pPr>
        <w:spacing w:line="360" w:lineRule="auto"/>
        <w:ind w:firstLine="1440"/>
        <w:jc w:val="both"/>
        <w:rPr>
          <w:rFonts w:ascii="Times New Roman" w:hAnsi="Times New Roman" w:cs="Times New Roman"/>
          <w:sz w:val="24"/>
          <w:szCs w:val="24"/>
        </w:rPr>
      </w:pPr>
      <w:r w:rsidRPr="0038001F">
        <w:rPr>
          <w:rFonts w:ascii="Times New Roman" w:hAnsi="Times New Roman" w:cs="Times New Roman"/>
          <w:sz w:val="24"/>
          <w:szCs w:val="24"/>
        </w:rPr>
        <w:t>(</w:t>
      </w:r>
      <w:r w:rsidR="0084040F" w:rsidRPr="0038001F">
        <w:rPr>
          <w:rFonts w:ascii="Times New Roman" w:hAnsi="Times New Roman" w:cs="Times New Roman"/>
          <w:sz w:val="24"/>
          <w:szCs w:val="24"/>
        </w:rPr>
        <w:t>b) he reconciles himself to this possibility (conative element).</w:t>
      </w:r>
    </w:p>
    <w:p w14:paraId="49DC37C0" w14:textId="77777777" w:rsidR="0084040F" w:rsidRPr="0038001F" w:rsidRDefault="0084040F" w:rsidP="00C74B63">
      <w:pPr>
        <w:pStyle w:val="Default"/>
        <w:rPr>
          <w:color w:val="FF0000"/>
        </w:rPr>
      </w:pPr>
    </w:p>
    <w:p w14:paraId="011FB389" w14:textId="5411B191" w:rsidR="000D15C2" w:rsidRPr="00621E9F" w:rsidRDefault="000D15C2" w:rsidP="005705F5">
      <w:pPr>
        <w:pStyle w:val="ListParagraph"/>
        <w:numPr>
          <w:ilvl w:val="0"/>
          <w:numId w:val="36"/>
        </w:numPr>
        <w:spacing w:after="0" w:line="360" w:lineRule="auto"/>
        <w:ind w:left="426" w:hanging="426"/>
        <w:jc w:val="both"/>
        <w:rPr>
          <w:rFonts w:ascii="Times New Roman" w:hAnsi="Times New Roman" w:cs="Times New Roman"/>
          <w:sz w:val="24"/>
          <w:szCs w:val="24"/>
          <w:lang w:val="en-GB"/>
        </w:rPr>
      </w:pPr>
      <w:r w:rsidRPr="00621E9F">
        <w:rPr>
          <w:rFonts w:ascii="Times New Roman" w:hAnsi="Times New Roman" w:cs="Times New Roman"/>
          <w:sz w:val="24"/>
          <w:szCs w:val="24"/>
          <w:lang w:val="en-GB"/>
        </w:rPr>
        <w:t xml:space="preserve">In </w:t>
      </w:r>
      <w:r w:rsidRPr="00621E9F">
        <w:rPr>
          <w:rFonts w:ascii="Times New Roman" w:hAnsi="Times New Roman" w:cs="Times New Roman"/>
          <w:i/>
          <w:sz w:val="24"/>
          <w:szCs w:val="24"/>
          <w:lang w:val="en-GB"/>
        </w:rPr>
        <w:t>S</w:t>
      </w:r>
      <w:r w:rsidRPr="00621E9F">
        <w:rPr>
          <w:rFonts w:ascii="Times New Roman" w:hAnsi="Times New Roman" w:cs="Times New Roman"/>
          <w:sz w:val="24"/>
          <w:szCs w:val="24"/>
          <w:lang w:val="en-GB"/>
        </w:rPr>
        <w:t xml:space="preserve"> v </w:t>
      </w:r>
      <w:proofErr w:type="spellStart"/>
      <w:r w:rsidRPr="00621E9F">
        <w:rPr>
          <w:rFonts w:ascii="Times New Roman" w:hAnsi="Times New Roman" w:cs="Times New Roman"/>
          <w:i/>
          <w:sz w:val="24"/>
          <w:szCs w:val="24"/>
          <w:lang w:val="en-GB"/>
        </w:rPr>
        <w:t>Sigwahla</w:t>
      </w:r>
      <w:proofErr w:type="spellEnd"/>
      <w:r w:rsidRPr="00621E9F">
        <w:rPr>
          <w:rFonts w:ascii="Times New Roman" w:hAnsi="Times New Roman" w:cs="Times New Roman"/>
          <w:i/>
          <w:sz w:val="24"/>
          <w:szCs w:val="24"/>
          <w:lang w:val="en-GB"/>
        </w:rPr>
        <w:t xml:space="preserve"> </w:t>
      </w:r>
      <w:r w:rsidR="00FE5285">
        <w:rPr>
          <w:rFonts w:ascii="Times New Roman" w:hAnsi="Times New Roman" w:cs="Times New Roman"/>
          <w:i/>
          <w:sz w:val="24"/>
          <w:szCs w:val="24"/>
          <w:lang w:val="en-GB"/>
        </w:rPr>
        <w:t xml:space="preserve">supra </w:t>
      </w:r>
      <w:r w:rsidRPr="00621E9F">
        <w:rPr>
          <w:rFonts w:ascii="Times New Roman" w:hAnsi="Times New Roman" w:cs="Times New Roman"/>
          <w:sz w:val="24"/>
          <w:szCs w:val="24"/>
          <w:lang w:val="en-GB"/>
        </w:rPr>
        <w:t xml:space="preserve">at p 570 B-D, </w:t>
      </w:r>
      <w:proofErr w:type="spellStart"/>
      <w:r w:rsidRPr="00621E9F">
        <w:rPr>
          <w:rFonts w:ascii="Times New Roman" w:hAnsi="Times New Roman" w:cs="Times New Roman"/>
          <w:i/>
          <w:sz w:val="24"/>
          <w:szCs w:val="24"/>
          <w:lang w:val="en-GB"/>
        </w:rPr>
        <w:t>dolus</w:t>
      </w:r>
      <w:proofErr w:type="spellEnd"/>
      <w:r w:rsidRPr="00621E9F">
        <w:rPr>
          <w:rFonts w:ascii="Times New Roman" w:hAnsi="Times New Roman" w:cs="Times New Roman"/>
          <w:i/>
          <w:sz w:val="24"/>
          <w:szCs w:val="24"/>
          <w:lang w:val="en-GB"/>
        </w:rPr>
        <w:t xml:space="preserve"> </w:t>
      </w:r>
      <w:proofErr w:type="spellStart"/>
      <w:r w:rsidRPr="00621E9F">
        <w:rPr>
          <w:rFonts w:ascii="Times New Roman" w:hAnsi="Times New Roman" w:cs="Times New Roman"/>
          <w:i/>
          <w:sz w:val="24"/>
          <w:szCs w:val="24"/>
          <w:lang w:val="en-GB"/>
        </w:rPr>
        <w:t>eventualis</w:t>
      </w:r>
      <w:proofErr w:type="spellEnd"/>
      <w:r w:rsidRPr="00621E9F">
        <w:rPr>
          <w:rFonts w:ascii="Times New Roman" w:hAnsi="Times New Roman" w:cs="Times New Roman"/>
          <w:sz w:val="24"/>
          <w:szCs w:val="24"/>
          <w:lang w:val="en-GB"/>
        </w:rPr>
        <w:t xml:space="preserve"> was defined as follows:</w:t>
      </w:r>
    </w:p>
    <w:p w14:paraId="38372E51" w14:textId="4B967231" w:rsidR="000D15C2" w:rsidRPr="0038001F" w:rsidRDefault="00737FF6" w:rsidP="00B35BF8">
      <w:pPr>
        <w:spacing w:after="0" w:line="240" w:lineRule="auto"/>
        <w:ind w:left="1440" w:hanging="306"/>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0D15C2" w:rsidRPr="0038001F">
        <w:rPr>
          <w:rFonts w:ascii="Times New Roman" w:hAnsi="Times New Roman" w:cs="Times New Roman"/>
          <w:sz w:val="24"/>
          <w:szCs w:val="24"/>
          <w:lang w:val="en-GB"/>
        </w:rPr>
        <w:t xml:space="preserve">“The expression “intention to kill” does not, in law, necessarily require that the accused should have applied his will to compassing the death of the deceased. </w:t>
      </w:r>
      <w:r w:rsidR="000D15C2" w:rsidRPr="0038001F">
        <w:rPr>
          <w:rFonts w:ascii="Times New Roman" w:hAnsi="Times New Roman" w:cs="Times New Roman"/>
          <w:sz w:val="24"/>
          <w:szCs w:val="24"/>
          <w:u w:val="single"/>
          <w:lang w:val="en-GB"/>
        </w:rPr>
        <w:t>It is sufficient if the accused subjectively foresaw the possibility of his act causing death and was reckless of such result.</w:t>
      </w:r>
      <w:r w:rsidR="000D15C2" w:rsidRPr="0038001F">
        <w:rPr>
          <w:rFonts w:ascii="Times New Roman" w:hAnsi="Times New Roman" w:cs="Times New Roman"/>
          <w:sz w:val="24"/>
          <w:szCs w:val="24"/>
          <w:lang w:val="en-GB"/>
        </w:rPr>
        <w:t xml:space="preserve"> This form of intention is known as </w:t>
      </w:r>
      <w:proofErr w:type="spellStart"/>
      <w:r w:rsidR="000D15C2" w:rsidRPr="0038001F">
        <w:rPr>
          <w:rFonts w:ascii="Times New Roman" w:hAnsi="Times New Roman" w:cs="Times New Roman"/>
          <w:i/>
          <w:iCs/>
          <w:sz w:val="24"/>
          <w:szCs w:val="24"/>
          <w:lang w:val="en-GB"/>
        </w:rPr>
        <w:t>dolus</w:t>
      </w:r>
      <w:proofErr w:type="spellEnd"/>
      <w:r w:rsidR="000D15C2" w:rsidRPr="0038001F">
        <w:rPr>
          <w:rFonts w:ascii="Times New Roman" w:hAnsi="Times New Roman" w:cs="Times New Roman"/>
          <w:i/>
          <w:iCs/>
          <w:sz w:val="24"/>
          <w:szCs w:val="24"/>
          <w:lang w:val="en-GB"/>
        </w:rPr>
        <w:t xml:space="preserve"> </w:t>
      </w:r>
      <w:proofErr w:type="spellStart"/>
      <w:r w:rsidR="000D15C2" w:rsidRPr="0038001F">
        <w:rPr>
          <w:rFonts w:ascii="Times New Roman" w:hAnsi="Times New Roman" w:cs="Times New Roman"/>
          <w:i/>
          <w:iCs/>
          <w:sz w:val="24"/>
          <w:szCs w:val="24"/>
          <w:lang w:val="en-GB"/>
        </w:rPr>
        <w:t>eventualis</w:t>
      </w:r>
      <w:proofErr w:type="spellEnd"/>
      <w:r w:rsidR="000D15C2" w:rsidRPr="0038001F">
        <w:rPr>
          <w:rFonts w:ascii="Times New Roman" w:hAnsi="Times New Roman" w:cs="Times New Roman"/>
          <w:sz w:val="24"/>
          <w:szCs w:val="24"/>
        </w:rPr>
        <w:t> </w:t>
      </w:r>
      <w:r w:rsidR="000D15C2" w:rsidRPr="0038001F">
        <w:rPr>
          <w:rFonts w:ascii="Times New Roman" w:hAnsi="Times New Roman" w:cs="Times New Roman"/>
          <w:sz w:val="24"/>
          <w:szCs w:val="24"/>
          <w:lang w:val="en-GB"/>
        </w:rPr>
        <w:t>as distinct from </w:t>
      </w:r>
      <w:proofErr w:type="spellStart"/>
      <w:r w:rsidR="000D15C2" w:rsidRPr="0038001F">
        <w:rPr>
          <w:rFonts w:ascii="Times New Roman" w:hAnsi="Times New Roman" w:cs="Times New Roman"/>
          <w:i/>
          <w:iCs/>
          <w:sz w:val="24"/>
          <w:szCs w:val="24"/>
          <w:lang w:val="en-GB"/>
        </w:rPr>
        <w:t>dolus</w:t>
      </w:r>
      <w:proofErr w:type="spellEnd"/>
      <w:r w:rsidR="000D15C2" w:rsidRPr="0038001F">
        <w:rPr>
          <w:rFonts w:ascii="Times New Roman" w:hAnsi="Times New Roman" w:cs="Times New Roman"/>
          <w:i/>
          <w:iCs/>
          <w:sz w:val="24"/>
          <w:szCs w:val="24"/>
          <w:lang w:val="en-GB"/>
        </w:rPr>
        <w:t xml:space="preserve"> </w:t>
      </w:r>
      <w:proofErr w:type="spellStart"/>
      <w:r w:rsidR="000D15C2" w:rsidRPr="0038001F">
        <w:rPr>
          <w:rFonts w:ascii="Times New Roman" w:hAnsi="Times New Roman" w:cs="Times New Roman"/>
          <w:i/>
          <w:iCs/>
          <w:sz w:val="24"/>
          <w:szCs w:val="24"/>
          <w:lang w:val="en-GB"/>
        </w:rPr>
        <w:t>directus</w:t>
      </w:r>
      <w:proofErr w:type="spellEnd"/>
      <w:r w:rsidR="000D15C2" w:rsidRPr="0038001F">
        <w:rPr>
          <w:rFonts w:ascii="Times New Roman" w:hAnsi="Times New Roman" w:cs="Times New Roman"/>
          <w:sz w:val="24"/>
          <w:szCs w:val="24"/>
          <w:lang w:val="en-GB"/>
        </w:rPr>
        <w:t>. The fact that objectively the accused ought reasonably</w:t>
      </w:r>
      <w:r w:rsidR="003F3086" w:rsidRPr="0038001F">
        <w:rPr>
          <w:rFonts w:ascii="Times New Roman" w:hAnsi="Times New Roman" w:cs="Times New Roman"/>
          <w:sz w:val="24"/>
          <w:szCs w:val="24"/>
          <w:lang w:val="en-GB"/>
        </w:rPr>
        <w:t xml:space="preserve"> to have</w:t>
      </w:r>
      <w:r w:rsidR="000D15C2" w:rsidRPr="0038001F">
        <w:rPr>
          <w:rFonts w:ascii="Times New Roman" w:hAnsi="Times New Roman" w:cs="Times New Roman"/>
          <w:sz w:val="24"/>
          <w:szCs w:val="24"/>
          <w:lang w:val="en-GB"/>
        </w:rPr>
        <w:t xml:space="preserve"> foreseen such possibility is not sufficient. </w:t>
      </w:r>
      <w:r w:rsidR="000D15C2" w:rsidRPr="0038001F">
        <w:rPr>
          <w:rFonts w:ascii="Times New Roman" w:hAnsi="Times New Roman" w:cs="Times New Roman"/>
          <w:sz w:val="24"/>
          <w:szCs w:val="24"/>
          <w:u w:val="single"/>
          <w:lang w:val="en-GB"/>
        </w:rPr>
        <w:t>The distinction must be observed between what actually went on in the mind of the accused and what would have gone on in the mind of a </w:t>
      </w:r>
      <w:r w:rsidR="000D15C2" w:rsidRPr="0038001F">
        <w:rPr>
          <w:rFonts w:ascii="Times New Roman" w:hAnsi="Times New Roman" w:cs="Times New Roman"/>
          <w:i/>
          <w:iCs/>
          <w:sz w:val="24"/>
          <w:szCs w:val="24"/>
          <w:u w:val="single"/>
          <w:lang w:val="en-GB"/>
        </w:rPr>
        <w:t>bonus paterfamilias</w:t>
      </w:r>
      <w:r w:rsidR="000D15C2" w:rsidRPr="0038001F">
        <w:rPr>
          <w:rFonts w:ascii="Times New Roman" w:hAnsi="Times New Roman" w:cs="Times New Roman"/>
          <w:sz w:val="24"/>
          <w:szCs w:val="24"/>
          <w:u w:val="single"/>
        </w:rPr>
        <w:t> </w:t>
      </w:r>
      <w:r w:rsidR="000D15C2" w:rsidRPr="0038001F">
        <w:rPr>
          <w:rFonts w:ascii="Times New Roman" w:hAnsi="Times New Roman" w:cs="Times New Roman"/>
          <w:sz w:val="24"/>
          <w:szCs w:val="24"/>
          <w:u w:val="single"/>
          <w:lang w:val="en-GB"/>
        </w:rPr>
        <w:t>in the position of the accused.</w:t>
      </w:r>
      <w:r w:rsidR="000D15C2" w:rsidRPr="0038001F">
        <w:rPr>
          <w:rFonts w:ascii="Times New Roman" w:hAnsi="Times New Roman" w:cs="Times New Roman"/>
          <w:sz w:val="24"/>
          <w:szCs w:val="24"/>
          <w:lang w:val="en-GB"/>
        </w:rPr>
        <w:t xml:space="preserve"> </w:t>
      </w:r>
      <w:r w:rsidR="000D15C2" w:rsidRPr="0038001F">
        <w:rPr>
          <w:rFonts w:ascii="Times New Roman" w:hAnsi="Times New Roman" w:cs="Times New Roman"/>
          <w:sz w:val="24"/>
          <w:szCs w:val="24"/>
          <w:u w:val="single"/>
          <w:lang w:val="en-GB"/>
        </w:rPr>
        <w:t xml:space="preserve">In other words, the distinction between subjective foresight and objective foreseeability must not become blurred. </w:t>
      </w:r>
      <w:r w:rsidR="000D15C2" w:rsidRPr="0038001F">
        <w:rPr>
          <w:rFonts w:ascii="Times New Roman" w:hAnsi="Times New Roman" w:cs="Times New Roman"/>
          <w:sz w:val="24"/>
          <w:szCs w:val="24"/>
          <w:lang w:val="en-GB"/>
        </w:rPr>
        <w:t>The </w:t>
      </w:r>
      <w:r w:rsidR="000D15C2" w:rsidRPr="0038001F">
        <w:rPr>
          <w:rFonts w:ascii="Times New Roman" w:hAnsi="Times New Roman" w:cs="Times New Roman"/>
          <w:i/>
          <w:iCs/>
          <w:sz w:val="24"/>
          <w:szCs w:val="24"/>
          <w:lang w:val="en-GB"/>
        </w:rPr>
        <w:t xml:space="preserve">factum </w:t>
      </w:r>
      <w:proofErr w:type="spellStart"/>
      <w:r w:rsidR="000D15C2" w:rsidRPr="0038001F">
        <w:rPr>
          <w:rFonts w:ascii="Times New Roman" w:hAnsi="Times New Roman" w:cs="Times New Roman"/>
          <w:i/>
          <w:iCs/>
          <w:sz w:val="24"/>
          <w:szCs w:val="24"/>
          <w:lang w:val="en-GB"/>
        </w:rPr>
        <w:t>probandum</w:t>
      </w:r>
      <w:proofErr w:type="spellEnd"/>
      <w:r w:rsidR="000D15C2" w:rsidRPr="0038001F">
        <w:rPr>
          <w:rFonts w:ascii="Times New Roman" w:hAnsi="Times New Roman" w:cs="Times New Roman"/>
          <w:sz w:val="24"/>
          <w:szCs w:val="24"/>
        </w:rPr>
        <w:t> </w:t>
      </w:r>
      <w:r w:rsidR="000D15C2" w:rsidRPr="0038001F">
        <w:rPr>
          <w:rFonts w:ascii="Times New Roman" w:hAnsi="Times New Roman" w:cs="Times New Roman"/>
          <w:sz w:val="24"/>
          <w:szCs w:val="24"/>
          <w:lang w:val="en-GB"/>
        </w:rPr>
        <w:t>is </w:t>
      </w:r>
      <w:proofErr w:type="spellStart"/>
      <w:r w:rsidR="000D15C2" w:rsidRPr="0038001F">
        <w:rPr>
          <w:rFonts w:ascii="Times New Roman" w:hAnsi="Times New Roman" w:cs="Times New Roman"/>
          <w:i/>
          <w:iCs/>
          <w:sz w:val="24"/>
          <w:szCs w:val="24"/>
          <w:lang w:val="en-GB"/>
        </w:rPr>
        <w:t>dolus</w:t>
      </w:r>
      <w:proofErr w:type="spellEnd"/>
      <w:r w:rsidR="000D15C2" w:rsidRPr="0038001F">
        <w:rPr>
          <w:rFonts w:ascii="Times New Roman" w:hAnsi="Times New Roman" w:cs="Times New Roman"/>
          <w:sz w:val="24"/>
          <w:szCs w:val="24"/>
          <w:lang w:val="en-GB"/>
        </w:rPr>
        <w:t>, not </w:t>
      </w:r>
      <w:r w:rsidR="000D15C2" w:rsidRPr="0038001F">
        <w:rPr>
          <w:rFonts w:ascii="Times New Roman" w:hAnsi="Times New Roman" w:cs="Times New Roman"/>
          <w:i/>
          <w:iCs/>
          <w:sz w:val="24"/>
          <w:szCs w:val="24"/>
          <w:lang w:val="en-GB"/>
        </w:rPr>
        <w:t>culpa</w:t>
      </w:r>
      <w:r w:rsidR="000D15C2" w:rsidRPr="0038001F">
        <w:rPr>
          <w:rFonts w:ascii="Times New Roman" w:hAnsi="Times New Roman" w:cs="Times New Roman"/>
          <w:sz w:val="24"/>
          <w:szCs w:val="24"/>
          <w:lang w:val="en-GB"/>
        </w:rPr>
        <w:t>. These two different concepts never coincide.”</w:t>
      </w:r>
    </w:p>
    <w:p w14:paraId="70F5C882" w14:textId="77777777" w:rsidR="00037C14" w:rsidRPr="0038001F" w:rsidRDefault="00037C14" w:rsidP="00037C14">
      <w:pPr>
        <w:spacing w:line="240" w:lineRule="auto"/>
        <w:ind w:left="1134"/>
        <w:jc w:val="both"/>
        <w:rPr>
          <w:rFonts w:ascii="Times New Roman" w:hAnsi="Times New Roman" w:cs="Times New Roman"/>
          <w:sz w:val="24"/>
          <w:szCs w:val="24"/>
          <w:lang w:val="en-GB"/>
        </w:rPr>
      </w:pPr>
    </w:p>
    <w:p w14:paraId="7F97299B" w14:textId="38910EAE" w:rsidR="0084040F" w:rsidRPr="0038001F" w:rsidRDefault="0084040F" w:rsidP="005705F5">
      <w:pPr>
        <w:pStyle w:val="ListParagraph"/>
        <w:numPr>
          <w:ilvl w:val="0"/>
          <w:numId w:val="36"/>
        </w:numPr>
        <w:spacing w:line="36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Therefore, in a test for </w:t>
      </w:r>
      <w:proofErr w:type="spellStart"/>
      <w:r w:rsidRPr="0038001F">
        <w:rPr>
          <w:rFonts w:ascii="Times New Roman" w:hAnsi="Times New Roman" w:cs="Times New Roman"/>
          <w:i/>
          <w:sz w:val="24"/>
          <w:szCs w:val="24"/>
        </w:rPr>
        <w:t>dolus</w:t>
      </w:r>
      <w:proofErr w:type="spellEnd"/>
      <w:r w:rsidRPr="0038001F">
        <w:rPr>
          <w:rFonts w:ascii="Times New Roman" w:hAnsi="Times New Roman" w:cs="Times New Roman"/>
          <w:i/>
          <w:sz w:val="24"/>
          <w:szCs w:val="24"/>
        </w:rPr>
        <w:t xml:space="preserve"> </w:t>
      </w:r>
      <w:proofErr w:type="spellStart"/>
      <w:r w:rsidRPr="0038001F">
        <w:rPr>
          <w:rFonts w:ascii="Times New Roman" w:hAnsi="Times New Roman" w:cs="Times New Roman"/>
          <w:i/>
          <w:sz w:val="24"/>
          <w:szCs w:val="24"/>
        </w:rPr>
        <w:t>eventualis</w:t>
      </w:r>
      <w:proofErr w:type="spellEnd"/>
      <w:r w:rsidRPr="0038001F">
        <w:rPr>
          <w:rFonts w:ascii="Times New Roman" w:hAnsi="Times New Roman" w:cs="Times New Roman"/>
          <w:sz w:val="24"/>
          <w:szCs w:val="24"/>
        </w:rPr>
        <w:t xml:space="preserve">, the court must consider subjectively the state of mind of the accused, at the time of committing the offence and whether or not he or she could have foreseen the possibility of the unlawful act occurring and reconciling themselves to that possibility. </w:t>
      </w:r>
      <w:r w:rsidR="0096634C">
        <w:rPr>
          <w:rFonts w:ascii="Times New Roman" w:hAnsi="Times New Roman" w:cs="Times New Roman"/>
          <w:sz w:val="24"/>
          <w:szCs w:val="24"/>
        </w:rPr>
        <w:t xml:space="preserve"> </w:t>
      </w:r>
      <w:r w:rsidRPr="0038001F">
        <w:rPr>
          <w:rFonts w:ascii="Times New Roman" w:hAnsi="Times New Roman" w:cs="Times New Roman"/>
          <w:sz w:val="24"/>
          <w:szCs w:val="24"/>
        </w:rPr>
        <w:t>The test is not concerned with what a reasonable man in a similar position would have done.</w:t>
      </w:r>
    </w:p>
    <w:p w14:paraId="0F5CD6FC" w14:textId="77777777" w:rsidR="00C74B63" w:rsidRPr="0038001F" w:rsidRDefault="00C74B63" w:rsidP="00C74B63">
      <w:pPr>
        <w:pStyle w:val="Default"/>
      </w:pPr>
    </w:p>
    <w:p w14:paraId="1B811E44" w14:textId="21D98AF2" w:rsidR="00391B39" w:rsidRPr="0038001F" w:rsidRDefault="00C74B63" w:rsidP="005705F5">
      <w:pPr>
        <w:pStyle w:val="Default"/>
        <w:numPr>
          <w:ilvl w:val="0"/>
          <w:numId w:val="36"/>
        </w:numPr>
        <w:spacing w:line="480" w:lineRule="auto"/>
        <w:ind w:left="426" w:hanging="426"/>
        <w:jc w:val="both"/>
      </w:pPr>
      <w:r w:rsidRPr="0038001F">
        <w:lastRenderedPageBreak/>
        <w:t xml:space="preserve">The law is </w:t>
      </w:r>
      <w:r w:rsidR="00391B39" w:rsidRPr="0038001F">
        <w:t xml:space="preserve">settled </w:t>
      </w:r>
      <w:r w:rsidRPr="0038001F">
        <w:t>that a court makes a finding of fact on the state of mind of an accused person by inferential reasoning</w:t>
      </w:r>
      <w:r w:rsidR="0096634C">
        <w:t xml:space="preserve">. </w:t>
      </w:r>
      <w:r w:rsidRPr="0038001F">
        <w:t xml:space="preserve"> </w:t>
      </w:r>
      <w:r w:rsidR="00391B39" w:rsidRPr="0038001F">
        <w:t>The</w:t>
      </w:r>
      <w:r w:rsidR="00391B39" w:rsidRPr="0038001F">
        <w:rPr>
          <w:b/>
          <w:bCs/>
        </w:rPr>
        <w:t xml:space="preserve"> </w:t>
      </w:r>
      <w:r w:rsidR="00391B39" w:rsidRPr="0038001F">
        <w:t>inference sought to be drawn must be the only one that can reasonably be drawn from the proved facts</w:t>
      </w:r>
      <w:r w:rsidR="00391B39" w:rsidRPr="0096634C">
        <w:rPr>
          <w:bCs/>
        </w:rPr>
        <w:t xml:space="preserve">. </w:t>
      </w:r>
      <w:r w:rsidR="0096634C">
        <w:rPr>
          <w:b/>
          <w:bCs/>
        </w:rPr>
        <w:t xml:space="preserve">  </w:t>
      </w:r>
      <w:r w:rsidR="00040E9C" w:rsidRPr="00040E9C">
        <w:t>See</w:t>
      </w:r>
      <w:r w:rsidR="00040E9C">
        <w:rPr>
          <w:b/>
          <w:bCs/>
        </w:rPr>
        <w:t xml:space="preserve"> </w:t>
      </w:r>
      <w:r w:rsidR="00391B39" w:rsidRPr="0038001F">
        <w:rPr>
          <w:bCs/>
          <w:i/>
        </w:rPr>
        <w:t>S</w:t>
      </w:r>
      <w:r w:rsidR="00391B39" w:rsidRPr="0038001F">
        <w:rPr>
          <w:bCs/>
        </w:rPr>
        <w:t xml:space="preserve"> v </w:t>
      </w:r>
      <w:proofErr w:type="spellStart"/>
      <w:r w:rsidR="00385260" w:rsidRPr="0038001F">
        <w:rPr>
          <w:bCs/>
          <w:i/>
        </w:rPr>
        <w:t>Sigwala</w:t>
      </w:r>
      <w:proofErr w:type="spellEnd"/>
      <w:r w:rsidR="00385260" w:rsidRPr="0038001F">
        <w:rPr>
          <w:bCs/>
        </w:rPr>
        <w:t xml:space="preserve"> </w:t>
      </w:r>
      <w:r w:rsidR="00385260" w:rsidRPr="0038001F">
        <w:rPr>
          <w:bCs/>
          <w:i/>
        </w:rPr>
        <w:t>supra</w:t>
      </w:r>
      <w:r w:rsidR="00385260" w:rsidRPr="0038001F">
        <w:rPr>
          <w:bCs/>
        </w:rPr>
        <w:t xml:space="preserve"> </w:t>
      </w:r>
      <w:r w:rsidR="00391B39" w:rsidRPr="0038001F">
        <w:rPr>
          <w:bCs/>
        </w:rPr>
        <w:t>at 570:</w:t>
      </w:r>
      <w:r w:rsidR="00391B39" w:rsidRPr="0038001F">
        <w:rPr>
          <w:b/>
          <w:bCs/>
        </w:rPr>
        <w:t xml:space="preserve"> </w:t>
      </w:r>
    </w:p>
    <w:p w14:paraId="4BC42CE6" w14:textId="77777777" w:rsidR="00037C14" w:rsidRPr="0038001F" w:rsidRDefault="00037C14" w:rsidP="0044324C">
      <w:pPr>
        <w:pStyle w:val="Default"/>
      </w:pPr>
    </w:p>
    <w:p w14:paraId="01B3BF18" w14:textId="4D490CE3" w:rsidR="00037C14" w:rsidRPr="0038001F" w:rsidRDefault="00391B39" w:rsidP="000836DA">
      <w:pPr>
        <w:pStyle w:val="Default"/>
        <w:numPr>
          <w:ilvl w:val="0"/>
          <w:numId w:val="36"/>
        </w:numPr>
        <w:tabs>
          <w:tab w:val="left" w:pos="1134"/>
        </w:tabs>
        <w:spacing w:line="480" w:lineRule="auto"/>
        <w:ind w:left="426" w:hanging="426"/>
      </w:pPr>
      <w:r w:rsidRPr="0038001F">
        <w:t>The court</w:t>
      </w:r>
      <w:r w:rsidR="008E4C89" w:rsidRPr="0038001F">
        <w:t xml:space="preserve"> must </w:t>
      </w:r>
      <w:r w:rsidR="00595A50" w:rsidRPr="0038001F">
        <w:t>not too</w:t>
      </w:r>
      <w:r w:rsidRPr="0038001F">
        <w:t xml:space="preserve"> easily</w:t>
      </w:r>
      <w:r w:rsidR="008E4C89" w:rsidRPr="0038001F">
        <w:t xml:space="preserve"> </w:t>
      </w:r>
      <w:r w:rsidR="00595A50" w:rsidRPr="0038001F">
        <w:t>conclude without</w:t>
      </w:r>
      <w:r w:rsidRPr="0038001F">
        <w:t xml:space="preserve"> regard to the warning by W</w:t>
      </w:r>
      <w:r w:rsidR="00037C14" w:rsidRPr="0038001F">
        <w:rPr>
          <w:i/>
          <w:smallCaps/>
        </w:rPr>
        <w:t xml:space="preserve">essels </w:t>
      </w:r>
      <w:r w:rsidRPr="0038001F">
        <w:t xml:space="preserve">JA in </w:t>
      </w:r>
      <w:r w:rsidRPr="0038001F">
        <w:rPr>
          <w:i/>
        </w:rPr>
        <w:t xml:space="preserve">S </w:t>
      </w:r>
      <w:r w:rsidRPr="0038001F">
        <w:t xml:space="preserve">v </w:t>
      </w:r>
      <w:r w:rsidRPr="00AB1AD8">
        <w:rPr>
          <w:i/>
        </w:rPr>
        <w:t>Bradshaw</w:t>
      </w:r>
      <w:r w:rsidRPr="0038001F">
        <w:t xml:space="preserve"> 1977</w:t>
      </w:r>
      <w:r w:rsidR="00AB1AD8">
        <w:t xml:space="preserve"> </w:t>
      </w:r>
      <w:r w:rsidRPr="0038001F">
        <w:t>(1) PH H 60</w:t>
      </w:r>
      <w:r w:rsidR="00AB1AD8">
        <w:t xml:space="preserve"> </w:t>
      </w:r>
      <w:r w:rsidRPr="0038001F">
        <w:t xml:space="preserve">(A) that: </w:t>
      </w:r>
    </w:p>
    <w:p w14:paraId="44CB0BA7" w14:textId="77777777" w:rsidR="00037C14" w:rsidRPr="0038001F" w:rsidRDefault="00391B39" w:rsidP="000836DA">
      <w:pPr>
        <w:pStyle w:val="Default"/>
        <w:ind w:left="1134"/>
        <w:jc w:val="both"/>
        <w:rPr>
          <w:i/>
          <w:iCs/>
        </w:rPr>
      </w:pPr>
      <w:r w:rsidRPr="0038001F">
        <w:rPr>
          <w:iCs/>
        </w:rPr>
        <w:t>“</w:t>
      </w:r>
      <w:bookmarkStart w:id="7" w:name="_Hlk190427725"/>
      <w:r w:rsidRPr="0038001F">
        <w:rPr>
          <w:iCs/>
        </w:rPr>
        <w:t>The court should guard against proceeding too readily from “</w:t>
      </w:r>
      <w:r w:rsidRPr="0038001F">
        <w:rPr>
          <w:iCs/>
          <w:u w:val="single"/>
        </w:rPr>
        <w:t xml:space="preserve">ought to have </w:t>
      </w:r>
      <w:proofErr w:type="spellStart"/>
      <w:r w:rsidRPr="0038001F">
        <w:rPr>
          <w:iCs/>
          <w:u w:val="single"/>
        </w:rPr>
        <w:t>foressen</w:t>
      </w:r>
      <w:proofErr w:type="spellEnd"/>
      <w:r w:rsidRPr="0038001F">
        <w:rPr>
          <w:iCs/>
          <w:u w:val="single"/>
        </w:rPr>
        <w:t xml:space="preserve">” to “must have </w:t>
      </w:r>
      <w:proofErr w:type="spellStart"/>
      <w:r w:rsidRPr="0038001F">
        <w:rPr>
          <w:iCs/>
          <w:u w:val="single"/>
        </w:rPr>
        <w:t>foressen</w:t>
      </w:r>
      <w:proofErr w:type="spellEnd"/>
      <w:r w:rsidRPr="0038001F">
        <w:rPr>
          <w:iCs/>
          <w:u w:val="single"/>
        </w:rPr>
        <w:t>” and thence to “by necessary inference in fact foresaw</w:t>
      </w:r>
      <w:bookmarkEnd w:id="7"/>
      <w:r w:rsidRPr="0038001F">
        <w:rPr>
          <w:iCs/>
        </w:rPr>
        <w:t xml:space="preserve">” the possible consequences of the conduct being enquired into. The several thought processes attributed to an accused must be established beyond any reasonable doubt, having due regard to the particular circumstances which attended the conduct being enquired </w:t>
      </w:r>
      <w:r w:rsidR="00385260" w:rsidRPr="0038001F">
        <w:rPr>
          <w:iCs/>
        </w:rPr>
        <w:t>into.”</w:t>
      </w:r>
      <w:r w:rsidR="00385260" w:rsidRPr="0038001F">
        <w:rPr>
          <w:i/>
          <w:iCs/>
        </w:rPr>
        <w:t xml:space="preserve"> </w:t>
      </w:r>
    </w:p>
    <w:p w14:paraId="364014D0" w14:textId="77777777" w:rsidR="00037C14" w:rsidRPr="0038001F" w:rsidRDefault="00037C14" w:rsidP="00037C14">
      <w:pPr>
        <w:pStyle w:val="Default"/>
        <w:ind w:left="1276" w:hanging="142"/>
        <w:rPr>
          <w:i/>
          <w:iCs/>
        </w:rPr>
      </w:pPr>
    </w:p>
    <w:p w14:paraId="133CF4FF" w14:textId="77777777" w:rsidR="008D0680" w:rsidRPr="0038001F" w:rsidRDefault="008D0680" w:rsidP="008D0680">
      <w:pPr>
        <w:pStyle w:val="Default"/>
        <w:rPr>
          <w:color w:val="auto"/>
        </w:rPr>
      </w:pPr>
    </w:p>
    <w:p w14:paraId="780C054C" w14:textId="77777777" w:rsidR="00037C14" w:rsidRPr="0038001F" w:rsidRDefault="00391B39" w:rsidP="00DB02E8">
      <w:pPr>
        <w:pStyle w:val="Default"/>
        <w:numPr>
          <w:ilvl w:val="0"/>
          <w:numId w:val="36"/>
        </w:numPr>
        <w:spacing w:line="480" w:lineRule="auto"/>
        <w:ind w:left="426" w:hanging="426"/>
        <w:jc w:val="both"/>
        <w:rPr>
          <w:color w:val="auto"/>
        </w:rPr>
      </w:pPr>
      <w:r w:rsidRPr="0038001F">
        <w:rPr>
          <w:color w:val="auto"/>
        </w:rPr>
        <w:t xml:space="preserve">I pause to digress a bit and state that </w:t>
      </w:r>
      <w:r w:rsidR="008D0680" w:rsidRPr="0038001F">
        <w:rPr>
          <w:color w:val="auto"/>
        </w:rPr>
        <w:t>s</w:t>
      </w:r>
      <w:r w:rsidR="0044324C" w:rsidRPr="0038001F">
        <w:rPr>
          <w:color w:val="auto"/>
        </w:rPr>
        <w:t xml:space="preserve"> </w:t>
      </w:r>
      <w:r w:rsidR="008D0680" w:rsidRPr="0038001F">
        <w:rPr>
          <w:color w:val="auto"/>
        </w:rPr>
        <w:t xml:space="preserve">47, as read with s 15, of </w:t>
      </w:r>
      <w:r w:rsidR="0044324C" w:rsidRPr="0038001F">
        <w:rPr>
          <w:color w:val="auto"/>
        </w:rPr>
        <w:t>the Code</w:t>
      </w:r>
      <w:r w:rsidR="004E0737" w:rsidRPr="0038001F">
        <w:rPr>
          <w:color w:val="auto"/>
        </w:rPr>
        <w:t>,</w:t>
      </w:r>
      <w:r w:rsidR="00D45A02" w:rsidRPr="0038001F">
        <w:rPr>
          <w:color w:val="auto"/>
        </w:rPr>
        <w:t xml:space="preserve"> </w:t>
      </w:r>
      <w:r w:rsidR="008D0680" w:rsidRPr="0038001F">
        <w:rPr>
          <w:color w:val="auto"/>
        </w:rPr>
        <w:t>codifie</w:t>
      </w:r>
      <w:r w:rsidR="00D45A02" w:rsidRPr="0038001F">
        <w:rPr>
          <w:color w:val="auto"/>
        </w:rPr>
        <w:t>d the two</w:t>
      </w:r>
      <w:r w:rsidR="008D0680" w:rsidRPr="0038001F">
        <w:rPr>
          <w:color w:val="auto"/>
        </w:rPr>
        <w:t xml:space="preserve"> forms of intention under the common law, namely </w:t>
      </w:r>
      <w:proofErr w:type="spellStart"/>
      <w:r w:rsidR="008D0680" w:rsidRPr="0038001F">
        <w:rPr>
          <w:i/>
          <w:iCs/>
          <w:color w:val="auto"/>
        </w:rPr>
        <w:t>dolus</w:t>
      </w:r>
      <w:proofErr w:type="spellEnd"/>
      <w:r w:rsidR="008D0680" w:rsidRPr="0038001F">
        <w:rPr>
          <w:i/>
          <w:iCs/>
          <w:color w:val="auto"/>
        </w:rPr>
        <w:t xml:space="preserve"> </w:t>
      </w:r>
      <w:proofErr w:type="spellStart"/>
      <w:r w:rsidR="008D0680" w:rsidRPr="0038001F">
        <w:rPr>
          <w:i/>
          <w:iCs/>
          <w:color w:val="auto"/>
        </w:rPr>
        <w:t>directus</w:t>
      </w:r>
      <w:proofErr w:type="spellEnd"/>
      <w:r w:rsidR="008D0680" w:rsidRPr="0038001F">
        <w:rPr>
          <w:i/>
          <w:iCs/>
          <w:color w:val="auto"/>
        </w:rPr>
        <w:t xml:space="preserve"> </w:t>
      </w:r>
      <w:r w:rsidR="008D0680" w:rsidRPr="0038001F">
        <w:rPr>
          <w:color w:val="auto"/>
        </w:rPr>
        <w:t xml:space="preserve">and </w:t>
      </w:r>
      <w:proofErr w:type="spellStart"/>
      <w:r w:rsidR="008D0680" w:rsidRPr="0038001F">
        <w:rPr>
          <w:i/>
          <w:iCs/>
          <w:color w:val="auto"/>
        </w:rPr>
        <w:t>dolus</w:t>
      </w:r>
      <w:proofErr w:type="spellEnd"/>
      <w:r w:rsidR="008D0680" w:rsidRPr="0038001F">
        <w:rPr>
          <w:i/>
          <w:iCs/>
          <w:color w:val="auto"/>
        </w:rPr>
        <w:t xml:space="preserve"> </w:t>
      </w:r>
      <w:proofErr w:type="spellStart"/>
      <w:r w:rsidR="008D0680" w:rsidRPr="0038001F">
        <w:rPr>
          <w:i/>
          <w:iCs/>
          <w:color w:val="auto"/>
        </w:rPr>
        <w:t>eventualis</w:t>
      </w:r>
      <w:proofErr w:type="spellEnd"/>
      <w:r w:rsidR="008D0680" w:rsidRPr="0038001F">
        <w:rPr>
          <w:color w:val="auto"/>
        </w:rPr>
        <w:t xml:space="preserve">. </w:t>
      </w:r>
      <w:r w:rsidRPr="0038001F">
        <w:rPr>
          <w:color w:val="auto"/>
        </w:rPr>
        <w:t>Section 47(</w:t>
      </w:r>
      <w:r w:rsidR="00D45A02" w:rsidRPr="0038001F">
        <w:rPr>
          <w:color w:val="auto"/>
        </w:rPr>
        <w:t>1) (</w:t>
      </w:r>
      <w:r w:rsidRPr="0038001F">
        <w:rPr>
          <w:color w:val="auto"/>
        </w:rPr>
        <w:t>b</w:t>
      </w:r>
      <w:r w:rsidR="00D45A02" w:rsidRPr="0038001F">
        <w:rPr>
          <w:color w:val="auto"/>
        </w:rPr>
        <w:t xml:space="preserve">) </w:t>
      </w:r>
      <w:r w:rsidRPr="0038001F">
        <w:rPr>
          <w:color w:val="auto"/>
        </w:rPr>
        <w:t xml:space="preserve">provides for </w:t>
      </w:r>
      <w:proofErr w:type="spellStart"/>
      <w:r w:rsidRPr="0038001F">
        <w:rPr>
          <w:i/>
          <w:iCs/>
          <w:color w:val="auto"/>
        </w:rPr>
        <w:t>dolus</w:t>
      </w:r>
      <w:proofErr w:type="spellEnd"/>
      <w:r w:rsidRPr="0038001F">
        <w:rPr>
          <w:i/>
          <w:iCs/>
          <w:color w:val="auto"/>
        </w:rPr>
        <w:t xml:space="preserve"> </w:t>
      </w:r>
      <w:proofErr w:type="spellStart"/>
      <w:r w:rsidRPr="0038001F">
        <w:rPr>
          <w:i/>
          <w:iCs/>
          <w:color w:val="auto"/>
        </w:rPr>
        <w:t>eventualis</w:t>
      </w:r>
      <w:proofErr w:type="spellEnd"/>
      <w:r w:rsidRPr="0038001F">
        <w:rPr>
          <w:i/>
          <w:iCs/>
          <w:color w:val="auto"/>
        </w:rPr>
        <w:t xml:space="preserve"> </w:t>
      </w:r>
      <w:r w:rsidRPr="0038001F">
        <w:rPr>
          <w:color w:val="auto"/>
        </w:rPr>
        <w:t xml:space="preserve">when it </w:t>
      </w:r>
      <w:r w:rsidR="00D45A02" w:rsidRPr="0038001F">
        <w:rPr>
          <w:color w:val="auto"/>
        </w:rPr>
        <w:t xml:space="preserve">uses </w:t>
      </w:r>
      <w:r w:rsidRPr="0038001F">
        <w:rPr>
          <w:color w:val="auto"/>
        </w:rPr>
        <w:t xml:space="preserve">the following words: </w:t>
      </w:r>
    </w:p>
    <w:p w14:paraId="1E04E533" w14:textId="529B7E24" w:rsidR="00391B39" w:rsidRPr="00AB1AD8" w:rsidRDefault="00391B39" w:rsidP="00AB1AD8">
      <w:pPr>
        <w:pStyle w:val="Default"/>
        <w:ind w:left="1440"/>
        <w:rPr>
          <w:color w:val="auto"/>
        </w:rPr>
      </w:pPr>
      <w:r w:rsidRPr="00AB1AD8">
        <w:rPr>
          <w:bCs/>
          <w:iCs/>
          <w:color w:val="auto"/>
        </w:rPr>
        <w:t>“</w:t>
      </w:r>
      <w:r w:rsidR="00AB1AD8" w:rsidRPr="00AB1AD8">
        <w:rPr>
          <w:bCs/>
          <w:iCs/>
          <w:color w:val="auto"/>
        </w:rPr>
        <w:t>Realizing</w:t>
      </w:r>
      <w:r w:rsidRPr="00AB1AD8">
        <w:rPr>
          <w:bCs/>
          <w:iCs/>
          <w:color w:val="auto"/>
        </w:rPr>
        <w:t xml:space="preserve"> that there is a real risk or possibility that his or her conduct may cause death and continues to engage in that conduct despite the risk or possibility</w:t>
      </w:r>
      <w:r w:rsidR="00AB1AD8">
        <w:rPr>
          <w:bCs/>
          <w:iCs/>
          <w:color w:val="auto"/>
        </w:rPr>
        <w:t>.”</w:t>
      </w:r>
      <w:r w:rsidRPr="00AB1AD8">
        <w:rPr>
          <w:b/>
          <w:bCs/>
          <w:iCs/>
          <w:color w:val="auto"/>
        </w:rPr>
        <w:t xml:space="preserve"> </w:t>
      </w:r>
    </w:p>
    <w:p w14:paraId="49FDFBF9" w14:textId="77777777" w:rsidR="00D45A02" w:rsidRPr="0038001F" w:rsidRDefault="00D45A02" w:rsidP="00037C14">
      <w:pPr>
        <w:pStyle w:val="Default"/>
        <w:spacing w:after="69" w:line="480" w:lineRule="auto"/>
        <w:rPr>
          <w:color w:val="auto"/>
        </w:rPr>
      </w:pPr>
    </w:p>
    <w:p w14:paraId="038BB8F5" w14:textId="00B8D1E7" w:rsidR="00391B39" w:rsidRPr="0038001F" w:rsidRDefault="00391B39" w:rsidP="00DB02E8">
      <w:pPr>
        <w:pStyle w:val="Default"/>
        <w:numPr>
          <w:ilvl w:val="0"/>
          <w:numId w:val="36"/>
        </w:numPr>
        <w:spacing w:after="69" w:line="480" w:lineRule="auto"/>
        <w:ind w:left="426" w:hanging="426"/>
        <w:jc w:val="both"/>
        <w:rPr>
          <w:color w:val="auto"/>
        </w:rPr>
      </w:pPr>
      <w:r w:rsidRPr="0038001F">
        <w:rPr>
          <w:color w:val="auto"/>
        </w:rPr>
        <w:t xml:space="preserve">Section 15 of the </w:t>
      </w:r>
      <w:r w:rsidR="00D45A02" w:rsidRPr="0038001F">
        <w:rPr>
          <w:color w:val="auto"/>
        </w:rPr>
        <w:t>Code then goes on to define</w:t>
      </w:r>
      <w:r w:rsidRPr="0038001F">
        <w:rPr>
          <w:color w:val="auto"/>
        </w:rPr>
        <w:t xml:space="preserve"> the expression “realization of a real risk or possibility” and says that “the test is </w:t>
      </w:r>
      <w:r w:rsidR="00D45A02" w:rsidRPr="0038001F">
        <w:rPr>
          <w:color w:val="auto"/>
        </w:rPr>
        <w:t xml:space="preserve">subjective”. </w:t>
      </w:r>
      <w:r w:rsidR="00AB1AD8">
        <w:rPr>
          <w:color w:val="auto"/>
        </w:rPr>
        <w:t xml:space="preserve"> </w:t>
      </w:r>
      <w:r w:rsidR="00D45A02" w:rsidRPr="0038001F">
        <w:rPr>
          <w:color w:val="auto"/>
        </w:rPr>
        <w:t>Therefore,</w:t>
      </w:r>
      <w:r w:rsidRPr="0038001F">
        <w:rPr>
          <w:color w:val="auto"/>
        </w:rPr>
        <w:t xml:space="preserve"> a court cannot convict under s</w:t>
      </w:r>
      <w:r w:rsidR="00AB1AD8">
        <w:rPr>
          <w:color w:val="auto"/>
        </w:rPr>
        <w:t> </w:t>
      </w:r>
      <w:r w:rsidRPr="0038001F">
        <w:rPr>
          <w:color w:val="auto"/>
        </w:rPr>
        <w:t xml:space="preserve">47(1)(b) without making a definitive finding on the subjective state of mind of an accused person. </w:t>
      </w:r>
      <w:r w:rsidR="003D7DFB" w:rsidRPr="0038001F">
        <w:rPr>
          <w:color w:val="auto"/>
        </w:rPr>
        <w:t xml:space="preserve"> As was the approach</w:t>
      </w:r>
      <w:r w:rsidR="00D45A02" w:rsidRPr="0038001F">
        <w:rPr>
          <w:color w:val="auto"/>
        </w:rPr>
        <w:t xml:space="preserve"> under common law, i</w:t>
      </w:r>
      <w:r w:rsidRPr="0038001F">
        <w:rPr>
          <w:color w:val="auto"/>
        </w:rPr>
        <w:t>t is mandatory for a court</w:t>
      </w:r>
      <w:r w:rsidR="00D45A02" w:rsidRPr="0038001F">
        <w:rPr>
          <w:color w:val="auto"/>
        </w:rPr>
        <w:t xml:space="preserve"> proceeding in terms of s 47 (1) (b) of </w:t>
      </w:r>
      <w:r w:rsidR="0044324C" w:rsidRPr="0038001F">
        <w:rPr>
          <w:color w:val="auto"/>
        </w:rPr>
        <w:t>the Code</w:t>
      </w:r>
      <w:r w:rsidR="00D45A02" w:rsidRPr="0038001F">
        <w:rPr>
          <w:color w:val="auto"/>
        </w:rPr>
        <w:t xml:space="preserve"> to</w:t>
      </w:r>
      <w:r w:rsidRPr="0038001F">
        <w:rPr>
          <w:color w:val="auto"/>
        </w:rPr>
        <w:t xml:space="preserve"> separate the two components in s 15 as follows: </w:t>
      </w:r>
      <w:r w:rsidR="00D45A02" w:rsidRPr="0038001F">
        <w:rPr>
          <w:color w:val="auto"/>
        </w:rPr>
        <w:t>d</w:t>
      </w:r>
      <w:r w:rsidRPr="0038001F">
        <w:rPr>
          <w:color w:val="auto"/>
        </w:rPr>
        <w:t xml:space="preserve">id the accused subjectively realize that there was a real risk or possibility that death would occur? If so, did the accused continue to engage in that conduct despite the risk or possibility? </w:t>
      </w:r>
    </w:p>
    <w:p w14:paraId="2D4EFF85" w14:textId="77777777" w:rsidR="00303826" w:rsidRPr="0038001F" w:rsidRDefault="00303826" w:rsidP="00D45A02">
      <w:pPr>
        <w:pStyle w:val="Default"/>
        <w:spacing w:after="69"/>
        <w:rPr>
          <w:color w:val="auto"/>
        </w:rPr>
      </w:pPr>
    </w:p>
    <w:p w14:paraId="7959762F" w14:textId="512A4E3A" w:rsidR="00303826" w:rsidRPr="0038001F" w:rsidRDefault="00303826" w:rsidP="00DB02E8">
      <w:pPr>
        <w:pStyle w:val="Default"/>
        <w:numPr>
          <w:ilvl w:val="0"/>
          <w:numId w:val="36"/>
        </w:numPr>
        <w:spacing w:line="480" w:lineRule="auto"/>
        <w:ind w:left="426" w:hanging="426"/>
        <w:jc w:val="both"/>
        <w:rPr>
          <w:color w:val="auto"/>
        </w:rPr>
      </w:pPr>
      <w:r w:rsidRPr="0038001F">
        <w:rPr>
          <w:i/>
          <w:color w:val="auto"/>
        </w:rPr>
        <w:lastRenderedPageBreak/>
        <w:t xml:space="preserve">In </w:t>
      </w:r>
      <w:proofErr w:type="spellStart"/>
      <w:r w:rsidRPr="0038001F">
        <w:rPr>
          <w:i/>
          <w:iCs/>
          <w:color w:val="auto"/>
        </w:rPr>
        <w:t>casu</w:t>
      </w:r>
      <w:proofErr w:type="spellEnd"/>
      <w:r w:rsidRPr="0038001F">
        <w:rPr>
          <w:color w:val="auto"/>
        </w:rPr>
        <w:t xml:space="preserve"> the court </w:t>
      </w:r>
      <w:r w:rsidRPr="0038001F">
        <w:rPr>
          <w:i/>
          <w:color w:val="auto"/>
        </w:rPr>
        <w:t>a quo</w:t>
      </w:r>
      <w:r w:rsidRPr="0038001F">
        <w:rPr>
          <w:color w:val="auto"/>
        </w:rPr>
        <w:t xml:space="preserve"> was clear on </w:t>
      </w:r>
      <w:r w:rsidR="008E4C89" w:rsidRPr="0038001F">
        <w:rPr>
          <w:color w:val="auto"/>
        </w:rPr>
        <w:t>the correct approach to adopt</w:t>
      </w:r>
      <w:r w:rsidR="00385260" w:rsidRPr="0038001F">
        <w:rPr>
          <w:color w:val="auto"/>
        </w:rPr>
        <w:t xml:space="preserve">. </w:t>
      </w:r>
      <w:r w:rsidR="00AB1AD8">
        <w:rPr>
          <w:color w:val="auto"/>
        </w:rPr>
        <w:t xml:space="preserve"> </w:t>
      </w:r>
      <w:r w:rsidR="00385260" w:rsidRPr="0038001F">
        <w:rPr>
          <w:color w:val="auto"/>
        </w:rPr>
        <w:t>It</w:t>
      </w:r>
      <w:r w:rsidRPr="0038001F">
        <w:rPr>
          <w:color w:val="auto"/>
        </w:rPr>
        <w:t xml:space="preserve"> asked itself the question: “The issue is whether the accused intended to kill the deceased and if so, the nature of such intention.” </w:t>
      </w:r>
      <w:r w:rsidR="00AB1AD8">
        <w:rPr>
          <w:color w:val="auto"/>
        </w:rPr>
        <w:t xml:space="preserve"> </w:t>
      </w:r>
      <w:r w:rsidRPr="0038001F">
        <w:rPr>
          <w:color w:val="auto"/>
        </w:rPr>
        <w:t xml:space="preserve">It then went on to analyse the </w:t>
      </w:r>
      <w:r w:rsidR="00CE477F" w:rsidRPr="0038001F">
        <w:rPr>
          <w:color w:val="auto"/>
        </w:rPr>
        <w:t>evidence</w:t>
      </w:r>
      <w:r w:rsidRPr="0038001F">
        <w:rPr>
          <w:color w:val="auto"/>
        </w:rPr>
        <w:t xml:space="preserve"> before it</w:t>
      </w:r>
      <w:r w:rsidR="00385260" w:rsidRPr="0038001F">
        <w:rPr>
          <w:color w:val="auto"/>
        </w:rPr>
        <w:t>,</w:t>
      </w:r>
      <w:r w:rsidRPr="0038001F">
        <w:rPr>
          <w:color w:val="auto"/>
        </w:rPr>
        <w:t xml:space="preserve"> being cognisant of the fact that there were no eyewitnesses at the </w:t>
      </w:r>
      <w:r w:rsidR="00CE477F" w:rsidRPr="0038001F">
        <w:rPr>
          <w:color w:val="auto"/>
        </w:rPr>
        <w:t>material</w:t>
      </w:r>
      <w:r w:rsidRPr="0038001F">
        <w:rPr>
          <w:color w:val="auto"/>
        </w:rPr>
        <w:t xml:space="preserve"> time </w:t>
      </w:r>
      <w:r w:rsidR="000B6BAC" w:rsidRPr="0038001F">
        <w:rPr>
          <w:color w:val="auto"/>
        </w:rPr>
        <w:t xml:space="preserve">as to what transpired in that room on the fateful day. </w:t>
      </w:r>
      <w:r w:rsidR="00AB1AD8">
        <w:rPr>
          <w:color w:val="auto"/>
        </w:rPr>
        <w:t xml:space="preserve"> </w:t>
      </w:r>
      <w:r w:rsidR="000B6BAC" w:rsidRPr="0038001F">
        <w:rPr>
          <w:color w:val="auto"/>
        </w:rPr>
        <w:t xml:space="preserve">It then </w:t>
      </w:r>
      <w:r w:rsidR="00CE477F" w:rsidRPr="0038001F">
        <w:rPr>
          <w:color w:val="auto"/>
        </w:rPr>
        <w:t xml:space="preserve">made </w:t>
      </w:r>
      <w:r w:rsidR="000B6BAC" w:rsidRPr="0038001F">
        <w:rPr>
          <w:color w:val="auto"/>
        </w:rPr>
        <w:t>the following</w:t>
      </w:r>
      <w:r w:rsidR="00CE477F" w:rsidRPr="0038001F">
        <w:rPr>
          <w:color w:val="auto"/>
        </w:rPr>
        <w:t xml:space="preserve"> findings at p 8 of the judgment;</w:t>
      </w:r>
    </w:p>
    <w:p w14:paraId="607ACE14" w14:textId="72AEB055" w:rsidR="000B6BAC" w:rsidRDefault="000B6BAC" w:rsidP="00EA6700">
      <w:pPr>
        <w:pStyle w:val="Default"/>
        <w:ind w:left="1134" w:hanging="1134"/>
        <w:jc w:val="both"/>
        <w:rPr>
          <w:color w:val="auto"/>
        </w:rPr>
      </w:pPr>
      <w:r w:rsidRPr="0038001F">
        <w:rPr>
          <w:color w:val="auto"/>
        </w:rPr>
        <w:tab/>
      </w:r>
      <w:r w:rsidR="00CE477F" w:rsidRPr="0038001F">
        <w:rPr>
          <w:color w:val="auto"/>
        </w:rPr>
        <w:t>“</w:t>
      </w:r>
      <w:r w:rsidRPr="0038001F">
        <w:rPr>
          <w:color w:val="auto"/>
        </w:rPr>
        <w:t xml:space="preserve">The state could not lead evidence on the issue as to whether accused intended to kill deceased. The court must perforce look at the evidence contained in the accused`s statements, being the indication and exhibit 4.  The accused used an iron bar and directed a single blow to a vulnerable part of the deceased`s body which in the opinion of the doctor was an injury arising from the use of severe force. </w:t>
      </w:r>
    </w:p>
    <w:p w14:paraId="143B6688" w14:textId="77777777" w:rsidR="00E32D11" w:rsidRPr="0038001F" w:rsidRDefault="00E32D11" w:rsidP="00AB1AD8">
      <w:pPr>
        <w:pStyle w:val="Default"/>
        <w:ind w:left="1440" w:hanging="1440"/>
        <w:jc w:val="both"/>
        <w:rPr>
          <w:color w:val="auto"/>
        </w:rPr>
      </w:pPr>
    </w:p>
    <w:p w14:paraId="14FA3347" w14:textId="71A32688" w:rsidR="00DF61F5" w:rsidRPr="0038001F" w:rsidRDefault="000B6BAC" w:rsidP="00EA6700">
      <w:pPr>
        <w:pStyle w:val="Default"/>
        <w:spacing w:after="69"/>
        <w:ind w:left="1134" w:hanging="141"/>
        <w:jc w:val="both"/>
        <w:rPr>
          <w:color w:val="auto"/>
        </w:rPr>
      </w:pPr>
      <w:r w:rsidRPr="0038001F">
        <w:rPr>
          <w:color w:val="auto"/>
        </w:rPr>
        <w:t xml:space="preserve"> </w:t>
      </w:r>
      <w:r w:rsidR="00037C14" w:rsidRPr="0038001F">
        <w:rPr>
          <w:color w:val="auto"/>
        </w:rPr>
        <w:t xml:space="preserve"> </w:t>
      </w:r>
      <w:r w:rsidRPr="0038001F">
        <w:rPr>
          <w:color w:val="auto"/>
        </w:rPr>
        <w:t xml:space="preserve">It is not in dispute that at the relevant time the parties were estranged and separated.  The accused was given </w:t>
      </w:r>
      <w:r w:rsidR="00EA6700" w:rsidRPr="0038001F">
        <w:rPr>
          <w:color w:val="auto"/>
        </w:rPr>
        <w:t>to behaving</w:t>
      </w:r>
      <w:r w:rsidRPr="0038001F">
        <w:rPr>
          <w:color w:val="auto"/>
        </w:rPr>
        <w:t xml:space="preserve"> towards the deceased in a violent manner.  </w:t>
      </w:r>
      <w:r w:rsidR="00DF61F5" w:rsidRPr="0038001F">
        <w:rPr>
          <w:color w:val="auto"/>
        </w:rPr>
        <w:t>There is</w:t>
      </w:r>
      <w:r w:rsidRPr="0038001F">
        <w:rPr>
          <w:color w:val="auto"/>
        </w:rPr>
        <w:t xml:space="preserve"> evidence of an alteration</w:t>
      </w:r>
      <w:r w:rsidR="00DF61F5" w:rsidRPr="0038001F">
        <w:rPr>
          <w:color w:val="auto"/>
        </w:rPr>
        <w:t xml:space="preserve"> at the deceased`s residence.  There is no evidence that the accused proceeded to the deceased`s residence with intent to kill deceased.</w:t>
      </w:r>
    </w:p>
    <w:p w14:paraId="1B284363" w14:textId="643EE596" w:rsidR="00DF61F5" w:rsidRDefault="00AB1AD8" w:rsidP="000F21C6">
      <w:pPr>
        <w:pStyle w:val="Default"/>
        <w:spacing w:after="69"/>
        <w:ind w:left="1134"/>
        <w:jc w:val="both"/>
        <w:rPr>
          <w:color w:val="auto"/>
        </w:rPr>
      </w:pPr>
      <w:r>
        <w:rPr>
          <w:color w:val="auto"/>
        </w:rPr>
        <w:t xml:space="preserve"> </w:t>
      </w:r>
      <w:r w:rsidR="00DF61F5" w:rsidRPr="0038001F">
        <w:rPr>
          <w:color w:val="auto"/>
        </w:rPr>
        <w:t xml:space="preserve">According to his indications, the accused found the iron bar </w:t>
      </w:r>
      <w:r w:rsidR="003D7DFB" w:rsidRPr="0038001F">
        <w:rPr>
          <w:color w:val="auto"/>
        </w:rPr>
        <w:t>in the deceased`s room. There is</w:t>
      </w:r>
      <w:r w:rsidR="00DF61F5" w:rsidRPr="0038001F">
        <w:rPr>
          <w:color w:val="auto"/>
        </w:rPr>
        <w:t xml:space="preserve"> no evidence to controvert that aspect of the case.</w:t>
      </w:r>
    </w:p>
    <w:p w14:paraId="144E15FD" w14:textId="77777777" w:rsidR="00E32D11" w:rsidRPr="0038001F" w:rsidRDefault="00E32D11" w:rsidP="00E32D11">
      <w:pPr>
        <w:pStyle w:val="Default"/>
        <w:ind w:left="1440" w:hanging="90"/>
        <w:jc w:val="both"/>
        <w:rPr>
          <w:color w:val="auto"/>
        </w:rPr>
      </w:pPr>
    </w:p>
    <w:p w14:paraId="099D214D" w14:textId="5BFA9896" w:rsidR="000B6BAC" w:rsidRPr="0038001F" w:rsidRDefault="00AB1AD8" w:rsidP="000F21C6">
      <w:pPr>
        <w:pStyle w:val="Default"/>
        <w:spacing w:after="69"/>
        <w:ind w:left="1134"/>
        <w:jc w:val="both"/>
        <w:rPr>
          <w:color w:val="auto"/>
        </w:rPr>
      </w:pPr>
      <w:r>
        <w:rPr>
          <w:color w:val="auto"/>
        </w:rPr>
        <w:t xml:space="preserve"> </w:t>
      </w:r>
      <w:r w:rsidR="00DF61F5" w:rsidRPr="0038001F">
        <w:rPr>
          <w:color w:val="auto"/>
        </w:rPr>
        <w:t>In the result, it is the view of this court that the accused in using the weapon used and the part of the body he directed the below to, foresaw the possibility of causing serious bodily injury or the death of the deceased.</w:t>
      </w:r>
      <w:r w:rsidR="00CE477F" w:rsidRPr="0038001F">
        <w:rPr>
          <w:color w:val="auto"/>
        </w:rPr>
        <w:t>”</w:t>
      </w:r>
    </w:p>
    <w:p w14:paraId="7ED1835C" w14:textId="77777777" w:rsidR="00037C14" w:rsidRPr="0038001F" w:rsidRDefault="00037C14" w:rsidP="00037C14">
      <w:pPr>
        <w:pStyle w:val="Default"/>
        <w:spacing w:after="69" w:line="480" w:lineRule="auto"/>
        <w:ind w:left="426"/>
        <w:rPr>
          <w:color w:val="auto"/>
        </w:rPr>
      </w:pPr>
    </w:p>
    <w:p w14:paraId="439B84AF" w14:textId="27C02432" w:rsidR="00BC5600" w:rsidRPr="00F957E6" w:rsidRDefault="004A4763" w:rsidP="000F21C6">
      <w:pPr>
        <w:pStyle w:val="Default"/>
        <w:numPr>
          <w:ilvl w:val="0"/>
          <w:numId w:val="36"/>
        </w:numPr>
        <w:spacing w:after="69" w:line="480" w:lineRule="auto"/>
        <w:ind w:left="426" w:hanging="426"/>
        <w:jc w:val="both"/>
        <w:rPr>
          <w:color w:val="auto"/>
        </w:rPr>
      </w:pPr>
      <w:r>
        <w:rPr>
          <w:color w:val="auto"/>
        </w:rPr>
        <w:t xml:space="preserve"> </w:t>
      </w:r>
      <w:r w:rsidR="00CE477F" w:rsidRPr="0038001F">
        <w:rPr>
          <w:color w:val="auto"/>
        </w:rPr>
        <w:t>As can</w:t>
      </w:r>
      <w:r w:rsidR="003D7DFB" w:rsidRPr="0038001F">
        <w:rPr>
          <w:color w:val="auto"/>
        </w:rPr>
        <w:t xml:space="preserve"> be gleaned from the </w:t>
      </w:r>
      <w:r w:rsidRPr="0038001F">
        <w:rPr>
          <w:color w:val="auto"/>
        </w:rPr>
        <w:t>above the</w:t>
      </w:r>
      <w:r w:rsidR="00CE477F" w:rsidRPr="0038001F">
        <w:rPr>
          <w:color w:val="auto"/>
        </w:rPr>
        <w:t xml:space="preserve"> court </w:t>
      </w:r>
      <w:r w:rsidR="00CE477F" w:rsidRPr="004A4763">
        <w:rPr>
          <w:i/>
          <w:color w:val="auto"/>
        </w:rPr>
        <w:t>a quo</w:t>
      </w:r>
      <w:r w:rsidR="00CE477F" w:rsidRPr="0038001F">
        <w:rPr>
          <w:color w:val="auto"/>
        </w:rPr>
        <w:t xml:space="preserve"> adopted the correct test, which is the subjective test, in determining the appellant’s intention. </w:t>
      </w:r>
      <w:r>
        <w:rPr>
          <w:color w:val="auto"/>
        </w:rPr>
        <w:t xml:space="preserve"> </w:t>
      </w:r>
      <w:r w:rsidR="00CE477F" w:rsidRPr="0038001F">
        <w:rPr>
          <w:color w:val="auto"/>
        </w:rPr>
        <w:t xml:space="preserve">It considered all the circumstances surrounding the commission of the </w:t>
      </w:r>
      <w:r w:rsidR="00AC4C03" w:rsidRPr="0038001F">
        <w:rPr>
          <w:color w:val="auto"/>
        </w:rPr>
        <w:t>offence to</w:t>
      </w:r>
      <w:r w:rsidR="00CE477F" w:rsidRPr="0038001F">
        <w:rPr>
          <w:color w:val="auto"/>
        </w:rPr>
        <w:t xml:space="preserve"> arrive at a finding</w:t>
      </w:r>
      <w:r w:rsidR="003D7DFB" w:rsidRPr="0038001F">
        <w:rPr>
          <w:color w:val="auto"/>
        </w:rPr>
        <w:t xml:space="preserve"> that the appellant was guilty of murder with</w:t>
      </w:r>
      <w:r w:rsidR="00CE477F" w:rsidRPr="0038001F">
        <w:rPr>
          <w:color w:val="auto"/>
        </w:rPr>
        <w:t xml:space="preserve"> constructive intent.</w:t>
      </w:r>
      <w:r w:rsidR="00AC4C03" w:rsidRPr="0038001F">
        <w:rPr>
          <w:color w:val="auto"/>
        </w:rPr>
        <w:t xml:space="preserve"> </w:t>
      </w:r>
      <w:r>
        <w:rPr>
          <w:color w:val="auto"/>
        </w:rPr>
        <w:t xml:space="preserve"> </w:t>
      </w:r>
      <w:r w:rsidR="00AC4C03" w:rsidRPr="0038001F">
        <w:t xml:space="preserve">The court </w:t>
      </w:r>
      <w:r w:rsidR="00AC4C03" w:rsidRPr="0038001F">
        <w:rPr>
          <w:i/>
          <w:iCs/>
        </w:rPr>
        <w:t>a quo</w:t>
      </w:r>
      <w:r w:rsidR="00AC4C03" w:rsidRPr="0038001F">
        <w:t xml:space="preserve"> did not find that he “ought to have foreseen” but that he “must have foreseen” and therefore “by necessary inference in fact foresaw” the possibility of death occurring.</w:t>
      </w:r>
    </w:p>
    <w:p w14:paraId="5021E39F" w14:textId="77777777" w:rsidR="00F957E6" w:rsidRDefault="00F957E6" w:rsidP="00F957E6">
      <w:pPr>
        <w:pStyle w:val="Default"/>
        <w:spacing w:after="69" w:line="480" w:lineRule="auto"/>
        <w:jc w:val="both"/>
      </w:pPr>
    </w:p>
    <w:p w14:paraId="7A97B158" w14:textId="77777777" w:rsidR="00F957E6" w:rsidRPr="0038001F" w:rsidRDefault="00F957E6" w:rsidP="00F957E6">
      <w:pPr>
        <w:pStyle w:val="Default"/>
        <w:spacing w:after="69" w:line="480" w:lineRule="auto"/>
        <w:jc w:val="both"/>
        <w:rPr>
          <w:color w:val="auto"/>
        </w:rPr>
      </w:pPr>
    </w:p>
    <w:p w14:paraId="3BAC5D8F" w14:textId="77777777" w:rsidR="00037C14" w:rsidRPr="0038001F" w:rsidRDefault="00037C14" w:rsidP="00CB6F72">
      <w:pPr>
        <w:pStyle w:val="Default"/>
        <w:spacing w:after="69"/>
        <w:ind w:left="735"/>
        <w:rPr>
          <w:color w:val="auto"/>
        </w:rPr>
      </w:pPr>
    </w:p>
    <w:p w14:paraId="6F064FA5" w14:textId="5E8E1249" w:rsidR="004B18E2" w:rsidRPr="0038001F" w:rsidRDefault="00BC5600" w:rsidP="00007782">
      <w:pPr>
        <w:spacing w:line="360" w:lineRule="auto"/>
        <w:jc w:val="both"/>
        <w:rPr>
          <w:rFonts w:ascii="Times New Roman" w:hAnsi="Times New Roman" w:cs="Times New Roman"/>
          <w:b/>
          <w:sz w:val="24"/>
          <w:szCs w:val="24"/>
          <w:u w:val="single"/>
        </w:rPr>
      </w:pPr>
      <w:r w:rsidRPr="0038001F">
        <w:rPr>
          <w:rFonts w:ascii="Times New Roman" w:hAnsi="Times New Roman" w:cs="Times New Roman"/>
          <w:b/>
          <w:sz w:val="24"/>
          <w:szCs w:val="24"/>
          <w:u w:val="single"/>
        </w:rPr>
        <w:lastRenderedPageBreak/>
        <w:t>DISPOSITION</w:t>
      </w:r>
    </w:p>
    <w:p w14:paraId="79C40166" w14:textId="61EE7FAC" w:rsidR="00AD41AD" w:rsidRPr="0038001F" w:rsidRDefault="00AD41AD" w:rsidP="004E1346">
      <w:pPr>
        <w:pStyle w:val="ListParagraph"/>
        <w:numPr>
          <w:ilvl w:val="0"/>
          <w:numId w:val="36"/>
        </w:numPr>
        <w:spacing w:line="480" w:lineRule="auto"/>
        <w:ind w:left="426" w:hanging="426"/>
        <w:jc w:val="both"/>
        <w:rPr>
          <w:rFonts w:ascii="Times New Roman" w:hAnsi="Times New Roman" w:cs="Times New Roman"/>
          <w:sz w:val="24"/>
          <w:szCs w:val="24"/>
        </w:rPr>
      </w:pPr>
      <w:r w:rsidRPr="0038001F">
        <w:rPr>
          <w:rFonts w:ascii="Times New Roman" w:hAnsi="Times New Roman" w:cs="Times New Roman"/>
          <w:sz w:val="24"/>
          <w:szCs w:val="24"/>
        </w:rPr>
        <w:t xml:space="preserve">The </w:t>
      </w:r>
      <w:r w:rsidR="00C8135C" w:rsidRPr="0038001F">
        <w:rPr>
          <w:rFonts w:ascii="Times New Roman" w:hAnsi="Times New Roman" w:cs="Times New Roman"/>
          <w:sz w:val="24"/>
          <w:szCs w:val="24"/>
        </w:rPr>
        <w:t xml:space="preserve">appellant was correctly convicted of murder with constructive intent </w:t>
      </w:r>
      <w:r w:rsidR="005112F1" w:rsidRPr="0038001F">
        <w:rPr>
          <w:rFonts w:ascii="Times New Roman" w:hAnsi="Times New Roman" w:cs="Times New Roman"/>
          <w:sz w:val="24"/>
          <w:szCs w:val="24"/>
        </w:rPr>
        <w:t xml:space="preserve">if one has regard to </w:t>
      </w:r>
      <w:r w:rsidR="003F3086" w:rsidRPr="0038001F">
        <w:rPr>
          <w:rFonts w:ascii="Times New Roman" w:hAnsi="Times New Roman" w:cs="Times New Roman"/>
          <w:sz w:val="24"/>
          <w:szCs w:val="24"/>
        </w:rPr>
        <w:t>witnesses’ testimonies</w:t>
      </w:r>
      <w:r w:rsidR="00BC5600" w:rsidRPr="0038001F">
        <w:rPr>
          <w:rFonts w:ascii="Times New Roman" w:hAnsi="Times New Roman" w:cs="Times New Roman"/>
          <w:sz w:val="24"/>
          <w:szCs w:val="24"/>
        </w:rPr>
        <w:t>,</w:t>
      </w:r>
      <w:r w:rsidR="005112F1" w:rsidRPr="0038001F">
        <w:rPr>
          <w:rFonts w:ascii="Times New Roman" w:hAnsi="Times New Roman" w:cs="Times New Roman"/>
          <w:sz w:val="24"/>
          <w:szCs w:val="24"/>
        </w:rPr>
        <w:t xml:space="preserve"> the </w:t>
      </w:r>
      <w:r w:rsidR="00C8135C" w:rsidRPr="0038001F">
        <w:rPr>
          <w:rFonts w:ascii="Times New Roman" w:hAnsi="Times New Roman" w:cs="Times New Roman"/>
          <w:sz w:val="24"/>
          <w:szCs w:val="24"/>
        </w:rPr>
        <w:t xml:space="preserve"> </w:t>
      </w:r>
      <w:r w:rsidR="005112F1" w:rsidRPr="0038001F">
        <w:rPr>
          <w:rFonts w:ascii="Times New Roman" w:hAnsi="Times New Roman" w:cs="Times New Roman"/>
          <w:sz w:val="24"/>
          <w:szCs w:val="24"/>
        </w:rPr>
        <w:t xml:space="preserve"> confirmed warned and cautioned statement</w:t>
      </w:r>
      <w:r w:rsidR="003F3086" w:rsidRPr="0038001F">
        <w:rPr>
          <w:rFonts w:ascii="Times New Roman" w:hAnsi="Times New Roman" w:cs="Times New Roman"/>
          <w:sz w:val="24"/>
          <w:szCs w:val="24"/>
        </w:rPr>
        <w:t>, the indications made by the appellant and the expert</w:t>
      </w:r>
      <w:r w:rsidR="00C8135C" w:rsidRPr="0038001F">
        <w:rPr>
          <w:rFonts w:ascii="Times New Roman" w:hAnsi="Times New Roman" w:cs="Times New Roman"/>
          <w:sz w:val="24"/>
          <w:szCs w:val="24"/>
        </w:rPr>
        <w:t xml:space="preserve"> evidence</w:t>
      </w:r>
      <w:r w:rsidR="00BC5600" w:rsidRPr="0038001F">
        <w:rPr>
          <w:rFonts w:ascii="Times New Roman" w:hAnsi="Times New Roman" w:cs="Times New Roman"/>
          <w:sz w:val="24"/>
          <w:szCs w:val="24"/>
        </w:rPr>
        <w:t>.</w:t>
      </w:r>
      <w:r w:rsidR="00C8135C" w:rsidRPr="0038001F">
        <w:rPr>
          <w:rFonts w:ascii="Times New Roman" w:hAnsi="Times New Roman" w:cs="Times New Roman"/>
          <w:sz w:val="24"/>
          <w:szCs w:val="24"/>
        </w:rPr>
        <w:t xml:space="preserve"> </w:t>
      </w:r>
      <w:r w:rsidR="004A4763">
        <w:rPr>
          <w:rFonts w:ascii="Times New Roman" w:hAnsi="Times New Roman" w:cs="Times New Roman"/>
          <w:sz w:val="24"/>
          <w:szCs w:val="24"/>
        </w:rPr>
        <w:t xml:space="preserve"> </w:t>
      </w:r>
      <w:r w:rsidR="00C8135C" w:rsidRPr="0038001F">
        <w:rPr>
          <w:rFonts w:ascii="Times New Roman" w:hAnsi="Times New Roman" w:cs="Times New Roman"/>
          <w:sz w:val="24"/>
          <w:szCs w:val="24"/>
        </w:rPr>
        <w:t xml:space="preserve">The judgment of the court </w:t>
      </w:r>
      <w:r w:rsidR="00C8135C" w:rsidRPr="0038001F">
        <w:rPr>
          <w:rFonts w:ascii="Times New Roman" w:hAnsi="Times New Roman" w:cs="Times New Roman"/>
          <w:i/>
          <w:sz w:val="24"/>
          <w:szCs w:val="24"/>
        </w:rPr>
        <w:t>a quo</w:t>
      </w:r>
      <w:r w:rsidR="00C8135C" w:rsidRPr="0038001F">
        <w:rPr>
          <w:rFonts w:ascii="Times New Roman" w:hAnsi="Times New Roman" w:cs="Times New Roman"/>
          <w:sz w:val="24"/>
          <w:szCs w:val="24"/>
        </w:rPr>
        <w:t xml:space="preserve"> cannot be faulted. </w:t>
      </w:r>
      <w:r w:rsidR="004A4763">
        <w:rPr>
          <w:rFonts w:ascii="Times New Roman" w:hAnsi="Times New Roman" w:cs="Times New Roman"/>
          <w:sz w:val="24"/>
          <w:szCs w:val="24"/>
        </w:rPr>
        <w:t xml:space="preserve"> </w:t>
      </w:r>
      <w:r w:rsidR="00C8135C" w:rsidRPr="0038001F">
        <w:rPr>
          <w:rFonts w:ascii="Times New Roman" w:hAnsi="Times New Roman" w:cs="Times New Roman"/>
          <w:sz w:val="24"/>
          <w:szCs w:val="24"/>
        </w:rPr>
        <w:t xml:space="preserve">The </w:t>
      </w:r>
      <w:r w:rsidRPr="0038001F">
        <w:rPr>
          <w:rFonts w:ascii="Times New Roman" w:hAnsi="Times New Roman" w:cs="Times New Roman"/>
          <w:sz w:val="24"/>
          <w:szCs w:val="24"/>
        </w:rPr>
        <w:t>appeal lack</w:t>
      </w:r>
      <w:r w:rsidR="00C8135C" w:rsidRPr="0038001F">
        <w:rPr>
          <w:rFonts w:ascii="Times New Roman" w:hAnsi="Times New Roman" w:cs="Times New Roman"/>
          <w:sz w:val="24"/>
          <w:szCs w:val="24"/>
        </w:rPr>
        <w:t>ed</w:t>
      </w:r>
      <w:r w:rsidRPr="0038001F">
        <w:rPr>
          <w:rFonts w:ascii="Times New Roman" w:hAnsi="Times New Roman" w:cs="Times New Roman"/>
          <w:sz w:val="24"/>
          <w:szCs w:val="24"/>
        </w:rPr>
        <w:t xml:space="preserve"> merit hence the order </w:t>
      </w:r>
      <w:r w:rsidR="003F3086" w:rsidRPr="0038001F">
        <w:rPr>
          <w:rFonts w:ascii="Times New Roman" w:hAnsi="Times New Roman" w:cs="Times New Roman"/>
          <w:sz w:val="24"/>
          <w:szCs w:val="24"/>
        </w:rPr>
        <w:t>d</w:t>
      </w:r>
      <w:r w:rsidR="005112F1" w:rsidRPr="0038001F">
        <w:rPr>
          <w:rFonts w:ascii="Times New Roman" w:hAnsi="Times New Roman" w:cs="Times New Roman"/>
          <w:sz w:val="24"/>
          <w:szCs w:val="24"/>
        </w:rPr>
        <w:t>ismissing the appeal.</w:t>
      </w:r>
    </w:p>
    <w:p w14:paraId="091DDBDD" w14:textId="77777777" w:rsidR="00410EC1" w:rsidRDefault="00410EC1" w:rsidP="00007782">
      <w:pPr>
        <w:spacing w:line="360" w:lineRule="auto"/>
        <w:jc w:val="both"/>
        <w:rPr>
          <w:rFonts w:ascii="Times New Roman" w:hAnsi="Times New Roman" w:cs="Times New Roman"/>
          <w:b/>
          <w:sz w:val="24"/>
          <w:szCs w:val="24"/>
        </w:rPr>
      </w:pPr>
    </w:p>
    <w:p w14:paraId="5E9541CF" w14:textId="77777777" w:rsidR="000C4FE5" w:rsidRPr="0038001F" w:rsidRDefault="000C4FE5" w:rsidP="00007782">
      <w:pPr>
        <w:spacing w:line="360" w:lineRule="auto"/>
        <w:jc w:val="both"/>
        <w:rPr>
          <w:rFonts w:ascii="Times New Roman" w:hAnsi="Times New Roman" w:cs="Times New Roman"/>
          <w:b/>
          <w:sz w:val="24"/>
          <w:szCs w:val="24"/>
        </w:rPr>
      </w:pPr>
    </w:p>
    <w:p w14:paraId="546DFD3B" w14:textId="77777777" w:rsidR="0065766F" w:rsidRDefault="00AD41AD" w:rsidP="000C4FE5">
      <w:pPr>
        <w:spacing w:line="360" w:lineRule="auto"/>
        <w:ind w:left="306" w:firstLine="1134"/>
        <w:jc w:val="both"/>
        <w:rPr>
          <w:rFonts w:ascii="Times New Roman" w:hAnsi="Times New Roman" w:cs="Times New Roman"/>
          <w:b/>
          <w:sz w:val="24"/>
          <w:szCs w:val="24"/>
        </w:rPr>
      </w:pPr>
      <w:r w:rsidRPr="0038001F">
        <w:rPr>
          <w:rFonts w:ascii="Times New Roman" w:hAnsi="Times New Roman" w:cs="Times New Roman"/>
          <w:b/>
          <w:sz w:val="24"/>
          <w:szCs w:val="24"/>
        </w:rPr>
        <w:t>GWAUNZA DCJ</w:t>
      </w:r>
      <w:r w:rsidR="000C4FE5">
        <w:rPr>
          <w:rFonts w:ascii="Times New Roman" w:hAnsi="Times New Roman" w:cs="Times New Roman"/>
          <w:b/>
          <w:sz w:val="24"/>
          <w:szCs w:val="24"/>
        </w:rPr>
        <w:tab/>
      </w:r>
      <w:r w:rsidR="00C4604D" w:rsidRPr="0038001F">
        <w:rPr>
          <w:rFonts w:ascii="Times New Roman" w:hAnsi="Times New Roman" w:cs="Times New Roman"/>
          <w:sz w:val="24"/>
          <w:szCs w:val="24"/>
        </w:rPr>
        <w:t>:</w:t>
      </w:r>
      <w:r w:rsidR="000C4FE5">
        <w:rPr>
          <w:rFonts w:ascii="Times New Roman" w:hAnsi="Times New Roman" w:cs="Times New Roman"/>
          <w:sz w:val="24"/>
          <w:szCs w:val="24"/>
        </w:rPr>
        <w:tab/>
      </w:r>
      <w:r w:rsidR="00037C14" w:rsidRPr="0038001F">
        <w:rPr>
          <w:rFonts w:ascii="Times New Roman" w:hAnsi="Times New Roman" w:cs="Times New Roman"/>
          <w:sz w:val="24"/>
          <w:szCs w:val="24"/>
        </w:rPr>
        <w:t>I agree</w:t>
      </w:r>
      <w:r w:rsidRPr="0038001F">
        <w:rPr>
          <w:rFonts w:ascii="Times New Roman" w:hAnsi="Times New Roman" w:cs="Times New Roman"/>
          <w:b/>
          <w:sz w:val="24"/>
          <w:szCs w:val="24"/>
        </w:rPr>
        <w:t xml:space="preserve">    </w:t>
      </w:r>
    </w:p>
    <w:p w14:paraId="3573481F" w14:textId="1A989E79" w:rsidR="00AD41AD" w:rsidRPr="0038001F" w:rsidRDefault="00AD41AD" w:rsidP="000C4FE5">
      <w:pPr>
        <w:spacing w:line="360" w:lineRule="auto"/>
        <w:ind w:left="306" w:firstLine="1134"/>
        <w:jc w:val="both"/>
        <w:rPr>
          <w:rFonts w:ascii="Times New Roman" w:hAnsi="Times New Roman" w:cs="Times New Roman"/>
          <w:b/>
          <w:sz w:val="24"/>
          <w:szCs w:val="24"/>
        </w:rPr>
      </w:pPr>
      <w:r w:rsidRPr="0038001F">
        <w:rPr>
          <w:rFonts w:ascii="Times New Roman" w:hAnsi="Times New Roman" w:cs="Times New Roman"/>
          <w:b/>
          <w:sz w:val="24"/>
          <w:szCs w:val="24"/>
        </w:rPr>
        <w:t xml:space="preserve">        </w:t>
      </w:r>
    </w:p>
    <w:p w14:paraId="59886C60" w14:textId="77777777" w:rsidR="00410EC1" w:rsidRPr="0038001F" w:rsidRDefault="00410EC1" w:rsidP="00007782">
      <w:pPr>
        <w:spacing w:line="360" w:lineRule="auto"/>
        <w:jc w:val="both"/>
        <w:rPr>
          <w:rFonts w:ascii="Times New Roman" w:hAnsi="Times New Roman" w:cs="Times New Roman"/>
          <w:b/>
          <w:sz w:val="24"/>
          <w:szCs w:val="24"/>
        </w:rPr>
      </w:pPr>
    </w:p>
    <w:p w14:paraId="53EEADC1" w14:textId="4DCD7884" w:rsidR="00AD41AD" w:rsidRPr="0038001F" w:rsidRDefault="00AD41AD" w:rsidP="000C4FE5">
      <w:pPr>
        <w:spacing w:line="360" w:lineRule="auto"/>
        <w:ind w:left="306" w:firstLine="1134"/>
        <w:jc w:val="both"/>
        <w:rPr>
          <w:rFonts w:ascii="Times New Roman" w:hAnsi="Times New Roman" w:cs="Times New Roman"/>
          <w:b/>
          <w:sz w:val="24"/>
          <w:szCs w:val="24"/>
        </w:rPr>
      </w:pPr>
      <w:r w:rsidRPr="0038001F">
        <w:rPr>
          <w:rFonts w:ascii="Times New Roman" w:hAnsi="Times New Roman" w:cs="Times New Roman"/>
          <w:b/>
          <w:sz w:val="24"/>
          <w:szCs w:val="24"/>
        </w:rPr>
        <w:t xml:space="preserve">MWAYERA JA </w:t>
      </w:r>
      <w:r w:rsidR="000C4FE5">
        <w:rPr>
          <w:rFonts w:ascii="Times New Roman" w:hAnsi="Times New Roman" w:cs="Times New Roman"/>
          <w:b/>
          <w:sz w:val="24"/>
          <w:szCs w:val="24"/>
        </w:rPr>
        <w:tab/>
      </w:r>
      <w:r w:rsidR="00C4604D" w:rsidRPr="0038001F">
        <w:rPr>
          <w:rFonts w:ascii="Times New Roman" w:hAnsi="Times New Roman" w:cs="Times New Roman"/>
          <w:sz w:val="24"/>
          <w:szCs w:val="24"/>
        </w:rPr>
        <w:t>:</w:t>
      </w:r>
      <w:r w:rsidR="000C4FE5">
        <w:rPr>
          <w:rFonts w:ascii="Times New Roman" w:hAnsi="Times New Roman" w:cs="Times New Roman"/>
          <w:sz w:val="24"/>
          <w:szCs w:val="24"/>
        </w:rPr>
        <w:tab/>
      </w:r>
      <w:r w:rsidR="00037C14" w:rsidRPr="0038001F">
        <w:rPr>
          <w:rFonts w:ascii="Times New Roman" w:hAnsi="Times New Roman" w:cs="Times New Roman"/>
          <w:sz w:val="24"/>
          <w:szCs w:val="24"/>
        </w:rPr>
        <w:t>I agree</w:t>
      </w:r>
      <w:r w:rsidRPr="0038001F">
        <w:rPr>
          <w:rFonts w:ascii="Times New Roman" w:hAnsi="Times New Roman" w:cs="Times New Roman"/>
          <w:b/>
          <w:sz w:val="24"/>
          <w:szCs w:val="24"/>
        </w:rPr>
        <w:t xml:space="preserve">                        </w:t>
      </w:r>
    </w:p>
    <w:p w14:paraId="068CB822" w14:textId="77777777" w:rsidR="00E05AFF" w:rsidRPr="0038001F" w:rsidRDefault="00E05AFF" w:rsidP="0046561E">
      <w:pPr>
        <w:spacing w:line="360" w:lineRule="auto"/>
        <w:jc w:val="both"/>
        <w:rPr>
          <w:rFonts w:ascii="Times New Roman" w:hAnsi="Times New Roman" w:cs="Times New Roman"/>
          <w:sz w:val="24"/>
          <w:szCs w:val="24"/>
        </w:rPr>
      </w:pPr>
    </w:p>
    <w:p w14:paraId="63CBE44C" w14:textId="77777777" w:rsidR="00597A69" w:rsidRPr="0038001F" w:rsidRDefault="00597A69" w:rsidP="00271293">
      <w:pPr>
        <w:spacing w:line="360" w:lineRule="auto"/>
        <w:jc w:val="both"/>
        <w:rPr>
          <w:rFonts w:ascii="Times New Roman" w:hAnsi="Times New Roman" w:cs="Times New Roman"/>
          <w:sz w:val="24"/>
          <w:szCs w:val="24"/>
        </w:rPr>
      </w:pPr>
    </w:p>
    <w:p w14:paraId="640E79B7" w14:textId="28D9C2A9" w:rsidR="007F7835" w:rsidRDefault="00410EC1" w:rsidP="007F7835">
      <w:pPr>
        <w:rPr>
          <w:rFonts w:ascii="Times New Roman" w:hAnsi="Times New Roman" w:cs="Times New Roman"/>
          <w:sz w:val="24"/>
          <w:szCs w:val="24"/>
        </w:rPr>
      </w:pPr>
      <w:r w:rsidRPr="0038001F">
        <w:rPr>
          <w:rFonts w:ascii="Times New Roman" w:hAnsi="Times New Roman" w:cs="Times New Roman"/>
          <w:i/>
          <w:sz w:val="24"/>
          <w:szCs w:val="24"/>
        </w:rPr>
        <w:t xml:space="preserve">National Prosecuting Authority, </w:t>
      </w:r>
      <w:r w:rsidRPr="0038001F">
        <w:rPr>
          <w:rFonts w:ascii="Times New Roman" w:hAnsi="Times New Roman" w:cs="Times New Roman"/>
          <w:sz w:val="24"/>
          <w:szCs w:val="24"/>
        </w:rPr>
        <w:t>respondent’s legal practitioners.</w:t>
      </w:r>
    </w:p>
    <w:p w14:paraId="1F0A8495" w14:textId="77777777" w:rsidR="000C4FE5" w:rsidRDefault="000C4FE5" w:rsidP="007F7835">
      <w:pPr>
        <w:rPr>
          <w:rFonts w:ascii="Times New Roman" w:hAnsi="Times New Roman" w:cs="Times New Roman"/>
          <w:sz w:val="24"/>
          <w:szCs w:val="24"/>
        </w:rPr>
      </w:pPr>
    </w:p>
    <w:p w14:paraId="718D0E8F" w14:textId="77777777" w:rsidR="000C4FE5" w:rsidRDefault="000C4FE5" w:rsidP="007F7835">
      <w:pPr>
        <w:rPr>
          <w:rFonts w:ascii="Times New Roman" w:hAnsi="Times New Roman" w:cs="Times New Roman"/>
          <w:sz w:val="24"/>
          <w:szCs w:val="24"/>
        </w:rPr>
      </w:pPr>
    </w:p>
    <w:p w14:paraId="6C0439DB" w14:textId="77777777" w:rsidR="0065766F" w:rsidRPr="0038001F" w:rsidRDefault="0065766F" w:rsidP="007F7835">
      <w:pPr>
        <w:rPr>
          <w:rFonts w:ascii="Times New Roman" w:hAnsi="Times New Roman" w:cs="Times New Roman"/>
          <w:sz w:val="24"/>
          <w:szCs w:val="24"/>
        </w:rPr>
      </w:pPr>
    </w:p>
    <w:sectPr w:rsidR="0065766F" w:rsidRPr="0038001F" w:rsidSect="006B4B24">
      <w:headerReference w:type="default" r:id="rId8"/>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2A69E" w14:textId="77777777" w:rsidR="009156B4" w:rsidRDefault="009156B4" w:rsidP="00173A53">
      <w:pPr>
        <w:spacing w:after="0" w:line="240" w:lineRule="auto"/>
      </w:pPr>
      <w:r>
        <w:separator/>
      </w:r>
    </w:p>
  </w:endnote>
  <w:endnote w:type="continuationSeparator" w:id="0">
    <w:p w14:paraId="2C222406" w14:textId="77777777" w:rsidR="009156B4" w:rsidRDefault="009156B4" w:rsidP="0017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38A5" w14:textId="77777777" w:rsidR="009156B4" w:rsidRDefault="009156B4" w:rsidP="00173A53">
      <w:pPr>
        <w:spacing w:after="0" w:line="240" w:lineRule="auto"/>
      </w:pPr>
      <w:r>
        <w:separator/>
      </w:r>
    </w:p>
  </w:footnote>
  <w:footnote w:type="continuationSeparator" w:id="0">
    <w:p w14:paraId="40AD9C48" w14:textId="77777777" w:rsidR="009156B4" w:rsidRDefault="009156B4" w:rsidP="00173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0D125" w14:textId="79BA0B49" w:rsidR="00AD41AD" w:rsidRDefault="00AD41AD">
    <w:pPr>
      <w:pStyle w:val="Header"/>
    </w:pPr>
    <w:r>
      <w:rPr>
        <w:noProof/>
        <w:lang w:val="en-ZW" w:eastAsia="en-ZW"/>
      </w:rPr>
      <mc:AlternateContent>
        <mc:Choice Requires="wps">
          <w:drawing>
            <wp:anchor distT="0" distB="0" distL="114300" distR="114300" simplePos="0" relativeHeight="251657728" behindDoc="0" locked="0" layoutInCell="0" allowOverlap="1" wp14:anchorId="3AFD11BC" wp14:editId="199E268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1CD49" w14:textId="3BFD812A" w:rsidR="00AD41AD" w:rsidRPr="00123110" w:rsidRDefault="001231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A87D22">
                            <w:rPr>
                              <w:rFonts w:ascii="Times New Roman" w:hAnsi="Times New Roman" w:cs="Times New Roman"/>
                              <w:b/>
                              <w:noProof/>
                              <w:sz w:val="24"/>
                              <w:szCs w:val="24"/>
                            </w:rPr>
                            <w:t>. 23/</w:t>
                          </w:r>
                          <w:r>
                            <w:rPr>
                              <w:rFonts w:ascii="Times New Roman" w:hAnsi="Times New Roman" w:cs="Times New Roman"/>
                              <w:b/>
                              <w:noProof/>
                              <w:sz w:val="24"/>
                              <w:szCs w:val="24"/>
                            </w:rPr>
                            <w:t>25</w:t>
                          </w:r>
                        </w:p>
                        <w:p w14:paraId="640D1820" w14:textId="7FED5F1F" w:rsidR="00AD41AD" w:rsidRPr="00123110" w:rsidRDefault="00AD41AD">
                          <w:pPr>
                            <w:spacing w:after="0" w:line="240" w:lineRule="auto"/>
                            <w:jc w:val="right"/>
                            <w:rPr>
                              <w:rFonts w:ascii="Times New Roman" w:hAnsi="Times New Roman" w:cs="Times New Roman"/>
                              <w:b/>
                              <w:noProof/>
                              <w:sz w:val="24"/>
                              <w:szCs w:val="24"/>
                            </w:rPr>
                          </w:pPr>
                          <w:r w:rsidRPr="00123110">
                            <w:rPr>
                              <w:rFonts w:ascii="Times New Roman" w:hAnsi="Times New Roman" w:cs="Times New Roman"/>
                              <w:b/>
                              <w:noProof/>
                              <w:sz w:val="24"/>
                              <w:szCs w:val="24"/>
                            </w:rPr>
                            <w:t>Criminal Appeal No</w:t>
                          </w:r>
                          <w:r w:rsidR="00123110">
                            <w:rPr>
                              <w:rFonts w:ascii="Times New Roman" w:hAnsi="Times New Roman" w:cs="Times New Roman"/>
                              <w:b/>
                              <w:noProof/>
                              <w:sz w:val="24"/>
                              <w:szCs w:val="24"/>
                            </w:rPr>
                            <w:t>.</w:t>
                          </w:r>
                          <w:r w:rsidRPr="00123110">
                            <w:rPr>
                              <w:rFonts w:ascii="Times New Roman" w:hAnsi="Times New Roman" w:cs="Times New Roman"/>
                              <w:b/>
                              <w:noProof/>
                              <w:sz w:val="24"/>
                              <w:szCs w:val="24"/>
                            </w:rPr>
                            <w:t xml:space="preserve"> R-SC 904/17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FD11BC"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561CD49" w14:textId="3BFD812A" w:rsidR="00AD41AD" w:rsidRPr="00123110" w:rsidRDefault="0012311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A87D22">
                      <w:rPr>
                        <w:rFonts w:ascii="Times New Roman" w:hAnsi="Times New Roman" w:cs="Times New Roman"/>
                        <w:b/>
                        <w:noProof/>
                        <w:sz w:val="24"/>
                        <w:szCs w:val="24"/>
                      </w:rPr>
                      <w:t>. 23/</w:t>
                    </w:r>
                    <w:r>
                      <w:rPr>
                        <w:rFonts w:ascii="Times New Roman" w:hAnsi="Times New Roman" w:cs="Times New Roman"/>
                        <w:b/>
                        <w:noProof/>
                        <w:sz w:val="24"/>
                        <w:szCs w:val="24"/>
                      </w:rPr>
                      <w:t>25</w:t>
                    </w:r>
                  </w:p>
                  <w:p w14:paraId="640D1820" w14:textId="7FED5F1F" w:rsidR="00AD41AD" w:rsidRPr="00123110" w:rsidRDefault="00AD41AD">
                    <w:pPr>
                      <w:spacing w:after="0" w:line="240" w:lineRule="auto"/>
                      <w:jc w:val="right"/>
                      <w:rPr>
                        <w:rFonts w:ascii="Times New Roman" w:hAnsi="Times New Roman" w:cs="Times New Roman"/>
                        <w:b/>
                        <w:noProof/>
                        <w:sz w:val="24"/>
                        <w:szCs w:val="24"/>
                      </w:rPr>
                    </w:pPr>
                    <w:r w:rsidRPr="00123110">
                      <w:rPr>
                        <w:rFonts w:ascii="Times New Roman" w:hAnsi="Times New Roman" w:cs="Times New Roman"/>
                        <w:b/>
                        <w:noProof/>
                        <w:sz w:val="24"/>
                        <w:szCs w:val="24"/>
                      </w:rPr>
                      <w:t>Criminal Appeal No</w:t>
                    </w:r>
                    <w:r w:rsidR="00123110">
                      <w:rPr>
                        <w:rFonts w:ascii="Times New Roman" w:hAnsi="Times New Roman" w:cs="Times New Roman"/>
                        <w:b/>
                        <w:noProof/>
                        <w:sz w:val="24"/>
                        <w:szCs w:val="24"/>
                      </w:rPr>
                      <w:t>.</w:t>
                    </w:r>
                    <w:r w:rsidRPr="00123110">
                      <w:rPr>
                        <w:rFonts w:ascii="Times New Roman" w:hAnsi="Times New Roman" w:cs="Times New Roman"/>
                        <w:b/>
                        <w:noProof/>
                        <w:sz w:val="24"/>
                        <w:szCs w:val="24"/>
                      </w:rPr>
                      <w:t xml:space="preserve"> R-SC 904/17</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6339AD1D" wp14:editId="36B30CB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FE8B132" w14:textId="77777777" w:rsidR="00AD41AD" w:rsidRDefault="00AD41AD">
                          <w:pPr>
                            <w:spacing w:after="0" w:line="240" w:lineRule="auto"/>
                            <w:rPr>
                              <w:color w:val="FFFFFF" w:themeColor="background1"/>
                            </w:rPr>
                          </w:pPr>
                          <w:r>
                            <w:fldChar w:fldCharType="begin"/>
                          </w:r>
                          <w:r>
                            <w:instrText xml:space="preserve"> PAGE   \* MERGEFORMAT </w:instrText>
                          </w:r>
                          <w:r>
                            <w:fldChar w:fldCharType="separate"/>
                          </w:r>
                          <w:r w:rsidR="001B1079" w:rsidRPr="001B107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339AD1D"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FE8B132" w14:textId="77777777" w:rsidR="00AD41AD" w:rsidRDefault="00AD41AD">
                    <w:pPr>
                      <w:spacing w:after="0" w:line="240" w:lineRule="auto"/>
                      <w:rPr>
                        <w:color w:val="FFFFFF" w:themeColor="background1"/>
                      </w:rPr>
                    </w:pPr>
                    <w:r>
                      <w:fldChar w:fldCharType="begin"/>
                    </w:r>
                    <w:r>
                      <w:instrText xml:space="preserve"> PAGE   \* MERGEFORMAT </w:instrText>
                    </w:r>
                    <w:r>
                      <w:fldChar w:fldCharType="separate"/>
                    </w:r>
                    <w:r w:rsidR="001B1079" w:rsidRPr="001B107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71F4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FC14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9D10D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3187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539E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26B9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2051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BFE6B7"/>
    <w:multiLevelType w:val="hybridMultilevel"/>
    <w:tmpl w:val="71DEBD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631A56"/>
    <w:multiLevelType w:val="hybridMultilevel"/>
    <w:tmpl w:val="244E4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36299"/>
    <w:multiLevelType w:val="hybridMultilevel"/>
    <w:tmpl w:val="94562724"/>
    <w:lvl w:ilvl="0" w:tplc="C05C36B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50EDB"/>
    <w:multiLevelType w:val="hybridMultilevel"/>
    <w:tmpl w:val="29529C4C"/>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8768A"/>
    <w:multiLevelType w:val="hybridMultilevel"/>
    <w:tmpl w:val="B4A0F39C"/>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660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7EB0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A717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B81701"/>
    <w:multiLevelType w:val="hybridMultilevel"/>
    <w:tmpl w:val="53CAEDC2"/>
    <w:lvl w:ilvl="0" w:tplc="27D6968E">
      <w:start w:val="4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57380"/>
    <w:multiLevelType w:val="hybridMultilevel"/>
    <w:tmpl w:val="6F3CC2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95539"/>
    <w:multiLevelType w:val="hybridMultilevel"/>
    <w:tmpl w:val="81A2BC6E"/>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02B8E"/>
    <w:multiLevelType w:val="hybridMultilevel"/>
    <w:tmpl w:val="489E49B8"/>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0993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7D5BD9"/>
    <w:multiLevelType w:val="hybridMultilevel"/>
    <w:tmpl w:val="37B8FE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F516E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79D4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D810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719A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BC1F64"/>
    <w:multiLevelType w:val="hybridMultilevel"/>
    <w:tmpl w:val="4A0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F85C44"/>
    <w:multiLevelType w:val="hybridMultilevel"/>
    <w:tmpl w:val="CDC0B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B3522"/>
    <w:multiLevelType w:val="hybridMultilevel"/>
    <w:tmpl w:val="3F169658"/>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7021A"/>
    <w:multiLevelType w:val="hybridMultilevel"/>
    <w:tmpl w:val="A88A39EC"/>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D7D2B"/>
    <w:multiLevelType w:val="hybridMultilevel"/>
    <w:tmpl w:val="3FA27A60"/>
    <w:lvl w:ilvl="0" w:tplc="41141280">
      <w:start w:val="57"/>
      <w:numFmt w:val="decimal"/>
      <w:lvlText w:val="%1."/>
      <w:lvlJc w:val="left"/>
      <w:pPr>
        <w:ind w:left="735" w:hanging="375"/>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D8646B"/>
    <w:multiLevelType w:val="hybridMultilevel"/>
    <w:tmpl w:val="380A565A"/>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E0C50"/>
    <w:multiLevelType w:val="hybridMultilevel"/>
    <w:tmpl w:val="D75C87FE"/>
    <w:lvl w:ilvl="0" w:tplc="7D3E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ED9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FA71F16"/>
    <w:multiLevelType w:val="hybridMultilevel"/>
    <w:tmpl w:val="37B8FE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4E95B81"/>
    <w:multiLevelType w:val="hybridMultilevel"/>
    <w:tmpl w:val="3CEC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E4EE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8"/>
  </w:num>
  <w:num w:numId="3">
    <w:abstractNumId w:val="9"/>
  </w:num>
  <w:num w:numId="4">
    <w:abstractNumId w:val="31"/>
  </w:num>
  <w:num w:numId="5">
    <w:abstractNumId w:val="11"/>
  </w:num>
  <w:num w:numId="6">
    <w:abstractNumId w:val="10"/>
  </w:num>
  <w:num w:numId="7">
    <w:abstractNumId w:val="27"/>
  </w:num>
  <w:num w:numId="8">
    <w:abstractNumId w:val="18"/>
  </w:num>
  <w:num w:numId="9">
    <w:abstractNumId w:val="28"/>
  </w:num>
  <w:num w:numId="10">
    <w:abstractNumId w:val="30"/>
  </w:num>
  <w:num w:numId="11">
    <w:abstractNumId w:val="34"/>
  </w:num>
  <w:num w:numId="12">
    <w:abstractNumId w:val="33"/>
  </w:num>
  <w:num w:numId="13">
    <w:abstractNumId w:val="2"/>
  </w:num>
  <w:num w:numId="14">
    <w:abstractNumId w:val="12"/>
  </w:num>
  <w:num w:numId="15">
    <w:abstractNumId w:val="35"/>
  </w:num>
  <w:num w:numId="16">
    <w:abstractNumId w:val="32"/>
  </w:num>
  <w:num w:numId="17">
    <w:abstractNumId w:val="7"/>
  </w:num>
  <w:num w:numId="18">
    <w:abstractNumId w:val="13"/>
  </w:num>
  <w:num w:numId="19">
    <w:abstractNumId w:val="0"/>
  </w:num>
  <w:num w:numId="20">
    <w:abstractNumId w:val="4"/>
  </w:num>
  <w:num w:numId="21">
    <w:abstractNumId w:val="3"/>
  </w:num>
  <w:num w:numId="22">
    <w:abstractNumId w:val="24"/>
  </w:num>
  <w:num w:numId="23">
    <w:abstractNumId w:val="1"/>
  </w:num>
  <w:num w:numId="24">
    <w:abstractNumId w:val="6"/>
  </w:num>
  <w:num w:numId="25">
    <w:abstractNumId w:val="23"/>
  </w:num>
  <w:num w:numId="26">
    <w:abstractNumId w:val="19"/>
  </w:num>
  <w:num w:numId="27">
    <w:abstractNumId w:val="21"/>
  </w:num>
  <w:num w:numId="28">
    <w:abstractNumId w:val="5"/>
  </w:num>
  <w:num w:numId="29">
    <w:abstractNumId w:val="22"/>
  </w:num>
  <w:num w:numId="30">
    <w:abstractNumId w:val="16"/>
  </w:num>
  <w:num w:numId="31">
    <w:abstractNumId w:val="25"/>
  </w:num>
  <w:num w:numId="32">
    <w:abstractNumId w:val="20"/>
  </w:num>
  <w:num w:numId="33">
    <w:abstractNumId w:val="14"/>
  </w:num>
  <w:num w:numId="34">
    <w:abstractNumId w:val="29"/>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35"/>
    <w:rsid w:val="000063C1"/>
    <w:rsid w:val="00007782"/>
    <w:rsid w:val="000217A0"/>
    <w:rsid w:val="00022DF0"/>
    <w:rsid w:val="00031842"/>
    <w:rsid w:val="00035CA8"/>
    <w:rsid w:val="00037C14"/>
    <w:rsid w:val="00040E9C"/>
    <w:rsid w:val="000422CB"/>
    <w:rsid w:val="00053818"/>
    <w:rsid w:val="000836DA"/>
    <w:rsid w:val="00092A36"/>
    <w:rsid w:val="00094BC8"/>
    <w:rsid w:val="000B2627"/>
    <w:rsid w:val="000B6BAC"/>
    <w:rsid w:val="000C4FE5"/>
    <w:rsid w:val="000C5005"/>
    <w:rsid w:val="000C54FB"/>
    <w:rsid w:val="000D15C2"/>
    <w:rsid w:val="000F13BF"/>
    <w:rsid w:val="000F21C6"/>
    <w:rsid w:val="000F5630"/>
    <w:rsid w:val="000F75C4"/>
    <w:rsid w:val="00104601"/>
    <w:rsid w:val="00123110"/>
    <w:rsid w:val="0013635B"/>
    <w:rsid w:val="00152376"/>
    <w:rsid w:val="00154B11"/>
    <w:rsid w:val="0017342F"/>
    <w:rsid w:val="00173A53"/>
    <w:rsid w:val="0018189C"/>
    <w:rsid w:val="0019742F"/>
    <w:rsid w:val="001A2861"/>
    <w:rsid w:val="001B1079"/>
    <w:rsid w:val="001C6C77"/>
    <w:rsid w:val="001D5F3C"/>
    <w:rsid w:val="001E5739"/>
    <w:rsid w:val="001F51B5"/>
    <w:rsid w:val="001F55FD"/>
    <w:rsid w:val="00222922"/>
    <w:rsid w:val="0024206A"/>
    <w:rsid w:val="002631B4"/>
    <w:rsid w:val="00263E0B"/>
    <w:rsid w:val="00271293"/>
    <w:rsid w:val="00283C90"/>
    <w:rsid w:val="0029114C"/>
    <w:rsid w:val="002A064D"/>
    <w:rsid w:val="002B008B"/>
    <w:rsid w:val="002B355E"/>
    <w:rsid w:val="002C296B"/>
    <w:rsid w:val="002C7BD0"/>
    <w:rsid w:val="002E2E34"/>
    <w:rsid w:val="002E5E1C"/>
    <w:rsid w:val="002F7BBD"/>
    <w:rsid w:val="00303826"/>
    <w:rsid w:val="003138DF"/>
    <w:rsid w:val="003267F2"/>
    <w:rsid w:val="00333C60"/>
    <w:rsid w:val="00333F27"/>
    <w:rsid w:val="00345021"/>
    <w:rsid w:val="00357879"/>
    <w:rsid w:val="00370765"/>
    <w:rsid w:val="0038001F"/>
    <w:rsid w:val="00385260"/>
    <w:rsid w:val="003876B4"/>
    <w:rsid w:val="003901AA"/>
    <w:rsid w:val="00391B39"/>
    <w:rsid w:val="003925CB"/>
    <w:rsid w:val="003B124B"/>
    <w:rsid w:val="003B5EB5"/>
    <w:rsid w:val="003C5377"/>
    <w:rsid w:val="003D2A23"/>
    <w:rsid w:val="003D7DFB"/>
    <w:rsid w:val="003F24F4"/>
    <w:rsid w:val="003F3086"/>
    <w:rsid w:val="003F6B97"/>
    <w:rsid w:val="003F7F25"/>
    <w:rsid w:val="004005D0"/>
    <w:rsid w:val="00407E41"/>
    <w:rsid w:val="004109B3"/>
    <w:rsid w:val="00410EC1"/>
    <w:rsid w:val="004347AD"/>
    <w:rsid w:val="004369F3"/>
    <w:rsid w:val="00441DA9"/>
    <w:rsid w:val="00442576"/>
    <w:rsid w:val="00442FB9"/>
    <w:rsid w:val="0044324C"/>
    <w:rsid w:val="00451EC2"/>
    <w:rsid w:val="004530E5"/>
    <w:rsid w:val="004546D5"/>
    <w:rsid w:val="004602E0"/>
    <w:rsid w:val="00461188"/>
    <w:rsid w:val="0046561E"/>
    <w:rsid w:val="0046720A"/>
    <w:rsid w:val="0047109B"/>
    <w:rsid w:val="00471C2F"/>
    <w:rsid w:val="0047733C"/>
    <w:rsid w:val="0048633F"/>
    <w:rsid w:val="00487758"/>
    <w:rsid w:val="00494E8D"/>
    <w:rsid w:val="004A329E"/>
    <w:rsid w:val="004A4763"/>
    <w:rsid w:val="004A4F8B"/>
    <w:rsid w:val="004B086C"/>
    <w:rsid w:val="004B18E2"/>
    <w:rsid w:val="004B68E0"/>
    <w:rsid w:val="004C64FF"/>
    <w:rsid w:val="004E0737"/>
    <w:rsid w:val="004E1346"/>
    <w:rsid w:val="004E2BF2"/>
    <w:rsid w:val="004F396F"/>
    <w:rsid w:val="005038FA"/>
    <w:rsid w:val="00503C02"/>
    <w:rsid w:val="005112F1"/>
    <w:rsid w:val="00537E52"/>
    <w:rsid w:val="0055220C"/>
    <w:rsid w:val="00553ACD"/>
    <w:rsid w:val="00555D77"/>
    <w:rsid w:val="005572D2"/>
    <w:rsid w:val="00563B9B"/>
    <w:rsid w:val="00566534"/>
    <w:rsid w:val="005705F5"/>
    <w:rsid w:val="00570C7C"/>
    <w:rsid w:val="00583D93"/>
    <w:rsid w:val="005841C7"/>
    <w:rsid w:val="005850D4"/>
    <w:rsid w:val="00595A50"/>
    <w:rsid w:val="0059770A"/>
    <w:rsid w:val="00597A69"/>
    <w:rsid w:val="005C0C4A"/>
    <w:rsid w:val="005D6200"/>
    <w:rsid w:val="005E08E8"/>
    <w:rsid w:val="005E0BD8"/>
    <w:rsid w:val="005E17CC"/>
    <w:rsid w:val="005F3768"/>
    <w:rsid w:val="005F45CE"/>
    <w:rsid w:val="005F4E05"/>
    <w:rsid w:val="005F512A"/>
    <w:rsid w:val="006069CD"/>
    <w:rsid w:val="006077A9"/>
    <w:rsid w:val="00621E9F"/>
    <w:rsid w:val="006503FA"/>
    <w:rsid w:val="00651989"/>
    <w:rsid w:val="00654C4F"/>
    <w:rsid w:val="0065766F"/>
    <w:rsid w:val="006621B4"/>
    <w:rsid w:val="00665CF8"/>
    <w:rsid w:val="006960F3"/>
    <w:rsid w:val="006A548E"/>
    <w:rsid w:val="006B4B24"/>
    <w:rsid w:val="006C1E15"/>
    <w:rsid w:val="006C2C11"/>
    <w:rsid w:val="006F0C64"/>
    <w:rsid w:val="006F0EA1"/>
    <w:rsid w:val="006F39F3"/>
    <w:rsid w:val="006F52C9"/>
    <w:rsid w:val="00702D31"/>
    <w:rsid w:val="007056BC"/>
    <w:rsid w:val="00706AB9"/>
    <w:rsid w:val="0070738F"/>
    <w:rsid w:val="00716612"/>
    <w:rsid w:val="00722FAA"/>
    <w:rsid w:val="0073591A"/>
    <w:rsid w:val="00736A45"/>
    <w:rsid w:val="0073765B"/>
    <w:rsid w:val="00737FF6"/>
    <w:rsid w:val="00740AEA"/>
    <w:rsid w:val="0074355D"/>
    <w:rsid w:val="007464FB"/>
    <w:rsid w:val="00755BDF"/>
    <w:rsid w:val="007739EE"/>
    <w:rsid w:val="007861C3"/>
    <w:rsid w:val="007C0F86"/>
    <w:rsid w:val="007F7835"/>
    <w:rsid w:val="00804C4B"/>
    <w:rsid w:val="008104CD"/>
    <w:rsid w:val="00830CF9"/>
    <w:rsid w:val="0084040F"/>
    <w:rsid w:val="008435C6"/>
    <w:rsid w:val="00844F0A"/>
    <w:rsid w:val="00847E4E"/>
    <w:rsid w:val="00850430"/>
    <w:rsid w:val="00853758"/>
    <w:rsid w:val="00863D93"/>
    <w:rsid w:val="00864280"/>
    <w:rsid w:val="00883EE9"/>
    <w:rsid w:val="00897B23"/>
    <w:rsid w:val="008A026B"/>
    <w:rsid w:val="008B0C2B"/>
    <w:rsid w:val="008B3001"/>
    <w:rsid w:val="008B469C"/>
    <w:rsid w:val="008C1756"/>
    <w:rsid w:val="008D0680"/>
    <w:rsid w:val="008D1479"/>
    <w:rsid w:val="008D200B"/>
    <w:rsid w:val="008D6E6A"/>
    <w:rsid w:val="008E4C89"/>
    <w:rsid w:val="008F7E0D"/>
    <w:rsid w:val="00902414"/>
    <w:rsid w:val="00907A0E"/>
    <w:rsid w:val="009156B4"/>
    <w:rsid w:val="00916ADC"/>
    <w:rsid w:val="009276DD"/>
    <w:rsid w:val="009520D8"/>
    <w:rsid w:val="00954459"/>
    <w:rsid w:val="0096634C"/>
    <w:rsid w:val="00975F71"/>
    <w:rsid w:val="009809D8"/>
    <w:rsid w:val="00985655"/>
    <w:rsid w:val="00986B23"/>
    <w:rsid w:val="00991125"/>
    <w:rsid w:val="00996F5C"/>
    <w:rsid w:val="009A24C3"/>
    <w:rsid w:val="009A5918"/>
    <w:rsid w:val="009B395F"/>
    <w:rsid w:val="009B5C79"/>
    <w:rsid w:val="009B68B7"/>
    <w:rsid w:val="009C07FF"/>
    <w:rsid w:val="009C4833"/>
    <w:rsid w:val="009C63CA"/>
    <w:rsid w:val="009D007B"/>
    <w:rsid w:val="009D052D"/>
    <w:rsid w:val="009D6CDA"/>
    <w:rsid w:val="009F0EAA"/>
    <w:rsid w:val="009F1139"/>
    <w:rsid w:val="00A0730F"/>
    <w:rsid w:val="00A22714"/>
    <w:rsid w:val="00A22DBB"/>
    <w:rsid w:val="00A266E6"/>
    <w:rsid w:val="00A30EC6"/>
    <w:rsid w:val="00A44F0C"/>
    <w:rsid w:val="00A50EA6"/>
    <w:rsid w:val="00A56C08"/>
    <w:rsid w:val="00A66C0B"/>
    <w:rsid w:val="00A71716"/>
    <w:rsid w:val="00A77D6B"/>
    <w:rsid w:val="00A87D22"/>
    <w:rsid w:val="00AB1AD8"/>
    <w:rsid w:val="00AC4C03"/>
    <w:rsid w:val="00AD2418"/>
    <w:rsid w:val="00AD41AD"/>
    <w:rsid w:val="00AE3C95"/>
    <w:rsid w:val="00B07220"/>
    <w:rsid w:val="00B27A66"/>
    <w:rsid w:val="00B35BF8"/>
    <w:rsid w:val="00B54F94"/>
    <w:rsid w:val="00B55CCE"/>
    <w:rsid w:val="00B62698"/>
    <w:rsid w:val="00B67923"/>
    <w:rsid w:val="00B71623"/>
    <w:rsid w:val="00B75200"/>
    <w:rsid w:val="00B7624F"/>
    <w:rsid w:val="00B83984"/>
    <w:rsid w:val="00B86225"/>
    <w:rsid w:val="00B901AA"/>
    <w:rsid w:val="00B918AC"/>
    <w:rsid w:val="00B926B6"/>
    <w:rsid w:val="00BC3948"/>
    <w:rsid w:val="00BC5600"/>
    <w:rsid w:val="00BD1CC2"/>
    <w:rsid w:val="00BD4B87"/>
    <w:rsid w:val="00BE196C"/>
    <w:rsid w:val="00BF3CE6"/>
    <w:rsid w:val="00BF3D2B"/>
    <w:rsid w:val="00C04C92"/>
    <w:rsid w:val="00C11DCE"/>
    <w:rsid w:val="00C263F1"/>
    <w:rsid w:val="00C339C6"/>
    <w:rsid w:val="00C364D9"/>
    <w:rsid w:val="00C4604D"/>
    <w:rsid w:val="00C643E3"/>
    <w:rsid w:val="00C74B63"/>
    <w:rsid w:val="00C8135C"/>
    <w:rsid w:val="00C83489"/>
    <w:rsid w:val="00C85347"/>
    <w:rsid w:val="00C85B30"/>
    <w:rsid w:val="00C86D36"/>
    <w:rsid w:val="00CA09A1"/>
    <w:rsid w:val="00CA483B"/>
    <w:rsid w:val="00CB1DF7"/>
    <w:rsid w:val="00CB1E51"/>
    <w:rsid w:val="00CB28AA"/>
    <w:rsid w:val="00CB6F72"/>
    <w:rsid w:val="00CC483B"/>
    <w:rsid w:val="00CD0CB2"/>
    <w:rsid w:val="00CD7E61"/>
    <w:rsid w:val="00CE1D9B"/>
    <w:rsid w:val="00CE477F"/>
    <w:rsid w:val="00CF621A"/>
    <w:rsid w:val="00D07118"/>
    <w:rsid w:val="00D07CF3"/>
    <w:rsid w:val="00D26A6E"/>
    <w:rsid w:val="00D45A02"/>
    <w:rsid w:val="00D47339"/>
    <w:rsid w:val="00D63BAE"/>
    <w:rsid w:val="00D71FF1"/>
    <w:rsid w:val="00D73962"/>
    <w:rsid w:val="00D7400D"/>
    <w:rsid w:val="00D77943"/>
    <w:rsid w:val="00D83608"/>
    <w:rsid w:val="00D90A77"/>
    <w:rsid w:val="00DB02E8"/>
    <w:rsid w:val="00DC7663"/>
    <w:rsid w:val="00DD289B"/>
    <w:rsid w:val="00DD5B3F"/>
    <w:rsid w:val="00DD607E"/>
    <w:rsid w:val="00DD74F8"/>
    <w:rsid w:val="00DE403F"/>
    <w:rsid w:val="00DE70A8"/>
    <w:rsid w:val="00DF61F5"/>
    <w:rsid w:val="00E00F5C"/>
    <w:rsid w:val="00E03A1E"/>
    <w:rsid w:val="00E0403A"/>
    <w:rsid w:val="00E05268"/>
    <w:rsid w:val="00E05AFF"/>
    <w:rsid w:val="00E1074A"/>
    <w:rsid w:val="00E21E91"/>
    <w:rsid w:val="00E25E5D"/>
    <w:rsid w:val="00E32D11"/>
    <w:rsid w:val="00E358E3"/>
    <w:rsid w:val="00E400FE"/>
    <w:rsid w:val="00E40BFC"/>
    <w:rsid w:val="00E716D0"/>
    <w:rsid w:val="00EA03D5"/>
    <w:rsid w:val="00EA6700"/>
    <w:rsid w:val="00EA6B84"/>
    <w:rsid w:val="00EB12A0"/>
    <w:rsid w:val="00ED1F5C"/>
    <w:rsid w:val="00EE310E"/>
    <w:rsid w:val="00F031BB"/>
    <w:rsid w:val="00F22A37"/>
    <w:rsid w:val="00F27493"/>
    <w:rsid w:val="00F34807"/>
    <w:rsid w:val="00F35BC0"/>
    <w:rsid w:val="00F53247"/>
    <w:rsid w:val="00F71114"/>
    <w:rsid w:val="00F74033"/>
    <w:rsid w:val="00F957E6"/>
    <w:rsid w:val="00FA11CA"/>
    <w:rsid w:val="00FA4BD2"/>
    <w:rsid w:val="00FA4FCA"/>
    <w:rsid w:val="00FB2BE1"/>
    <w:rsid w:val="00FE2B74"/>
    <w:rsid w:val="00FE5285"/>
    <w:rsid w:val="00FF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839D4"/>
  <w15:chartTrackingRefBased/>
  <w15:docId w15:val="{F530AAF1-5065-4BF4-BA77-63EE6679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A53"/>
  </w:style>
  <w:style w:type="paragraph" w:styleId="Footer">
    <w:name w:val="footer"/>
    <w:basedOn w:val="Normal"/>
    <w:link w:val="FooterChar"/>
    <w:uiPriority w:val="99"/>
    <w:unhideWhenUsed/>
    <w:rsid w:val="0017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A53"/>
  </w:style>
  <w:style w:type="paragraph" w:styleId="ListParagraph">
    <w:name w:val="List Paragraph"/>
    <w:basedOn w:val="Normal"/>
    <w:uiPriority w:val="34"/>
    <w:qFormat/>
    <w:rsid w:val="00EB12A0"/>
    <w:pPr>
      <w:ind w:left="720"/>
      <w:contextualSpacing/>
    </w:pPr>
  </w:style>
  <w:style w:type="paragraph" w:styleId="Revision">
    <w:name w:val="Revision"/>
    <w:hidden/>
    <w:uiPriority w:val="99"/>
    <w:semiHidden/>
    <w:rsid w:val="00583D93"/>
    <w:pPr>
      <w:spacing w:after="0" w:line="240" w:lineRule="auto"/>
    </w:pPr>
  </w:style>
  <w:style w:type="character" w:styleId="CommentReference">
    <w:name w:val="annotation reference"/>
    <w:basedOn w:val="DefaultParagraphFont"/>
    <w:uiPriority w:val="99"/>
    <w:semiHidden/>
    <w:unhideWhenUsed/>
    <w:rsid w:val="00E400FE"/>
    <w:rPr>
      <w:sz w:val="16"/>
      <w:szCs w:val="16"/>
    </w:rPr>
  </w:style>
  <w:style w:type="paragraph" w:styleId="CommentText">
    <w:name w:val="annotation text"/>
    <w:basedOn w:val="Normal"/>
    <w:link w:val="CommentTextChar"/>
    <w:uiPriority w:val="99"/>
    <w:semiHidden/>
    <w:unhideWhenUsed/>
    <w:rsid w:val="00E400FE"/>
    <w:pPr>
      <w:spacing w:line="240" w:lineRule="auto"/>
    </w:pPr>
    <w:rPr>
      <w:sz w:val="20"/>
      <w:szCs w:val="20"/>
    </w:rPr>
  </w:style>
  <w:style w:type="character" w:customStyle="1" w:styleId="CommentTextChar">
    <w:name w:val="Comment Text Char"/>
    <w:basedOn w:val="DefaultParagraphFont"/>
    <w:link w:val="CommentText"/>
    <w:uiPriority w:val="99"/>
    <w:semiHidden/>
    <w:rsid w:val="00E400FE"/>
    <w:rPr>
      <w:sz w:val="20"/>
      <w:szCs w:val="20"/>
    </w:rPr>
  </w:style>
  <w:style w:type="paragraph" w:styleId="CommentSubject">
    <w:name w:val="annotation subject"/>
    <w:basedOn w:val="CommentText"/>
    <w:next w:val="CommentText"/>
    <w:link w:val="CommentSubjectChar"/>
    <w:uiPriority w:val="99"/>
    <w:semiHidden/>
    <w:unhideWhenUsed/>
    <w:rsid w:val="00E400FE"/>
    <w:rPr>
      <w:b/>
      <w:bCs/>
    </w:rPr>
  </w:style>
  <w:style w:type="character" w:customStyle="1" w:styleId="CommentSubjectChar">
    <w:name w:val="Comment Subject Char"/>
    <w:basedOn w:val="CommentTextChar"/>
    <w:link w:val="CommentSubject"/>
    <w:uiPriority w:val="99"/>
    <w:semiHidden/>
    <w:rsid w:val="00E400FE"/>
    <w:rPr>
      <w:b/>
      <w:bCs/>
      <w:sz w:val="20"/>
      <w:szCs w:val="20"/>
    </w:rPr>
  </w:style>
  <w:style w:type="paragraph" w:styleId="BalloonText">
    <w:name w:val="Balloon Text"/>
    <w:basedOn w:val="Normal"/>
    <w:link w:val="BalloonTextChar"/>
    <w:uiPriority w:val="99"/>
    <w:semiHidden/>
    <w:unhideWhenUsed/>
    <w:rsid w:val="00BC5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00"/>
    <w:rPr>
      <w:rFonts w:ascii="Segoe UI" w:hAnsi="Segoe UI" w:cs="Segoe UI"/>
      <w:sz w:val="18"/>
      <w:szCs w:val="18"/>
    </w:rPr>
  </w:style>
  <w:style w:type="paragraph" w:customStyle="1" w:styleId="Default">
    <w:name w:val="Default"/>
    <w:rsid w:val="00DC7663"/>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ECCA-A711-4D6E-940B-5E883AC1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4</cp:revision>
  <dcterms:created xsi:type="dcterms:W3CDTF">2025-03-10T07:41:00Z</dcterms:created>
  <dcterms:modified xsi:type="dcterms:W3CDTF">2025-03-10T07:41:00Z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004ef224d0c71325caabe208e3d5dfa7b1ecae25d19a7dafd412b95c7769f23b</vt:lpwstr>
  </property>
</Properties>
</file>