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F15" w:rsidRPr="00487BCF" w:rsidRDefault="007D635F" w:rsidP="007D635F">
      <w:pPr>
        <w:spacing w:after="0" w:line="240" w:lineRule="auto"/>
        <w:jc w:val="both"/>
        <w:rPr>
          <w:rFonts w:ascii="Times New Roman" w:hAnsi="Times New Roman" w:cs="Times New Roman"/>
          <w:sz w:val="24"/>
          <w:szCs w:val="24"/>
        </w:rPr>
      </w:pPr>
      <w:bookmarkStart w:id="0" w:name="_GoBack"/>
      <w:bookmarkEnd w:id="0"/>
      <w:r w:rsidRPr="00487BCF">
        <w:rPr>
          <w:rFonts w:ascii="Times New Roman" w:hAnsi="Times New Roman" w:cs="Times New Roman"/>
          <w:sz w:val="24"/>
          <w:szCs w:val="24"/>
        </w:rPr>
        <w:t xml:space="preserve">MICHELLE </w:t>
      </w:r>
      <w:r w:rsidR="008C4756">
        <w:rPr>
          <w:rFonts w:ascii="Times New Roman" w:hAnsi="Times New Roman" w:cs="Times New Roman"/>
          <w:sz w:val="24"/>
          <w:szCs w:val="24"/>
        </w:rPr>
        <w:t>NYA</w:t>
      </w:r>
      <w:r w:rsidRPr="00487BCF">
        <w:rPr>
          <w:rFonts w:ascii="Times New Roman" w:hAnsi="Times New Roman" w:cs="Times New Roman"/>
          <w:sz w:val="24"/>
          <w:szCs w:val="24"/>
        </w:rPr>
        <w:t>MANGUNDA</w:t>
      </w:r>
    </w:p>
    <w:p w:rsidR="007D635F" w:rsidRPr="00487BCF" w:rsidRDefault="00723F57" w:rsidP="007D635F">
      <w:pPr>
        <w:spacing w:after="0" w:line="240" w:lineRule="auto"/>
        <w:jc w:val="both"/>
        <w:rPr>
          <w:rFonts w:ascii="Times New Roman" w:hAnsi="Times New Roman" w:cs="Times New Roman"/>
          <w:sz w:val="24"/>
          <w:szCs w:val="24"/>
        </w:rPr>
      </w:pPr>
      <w:r w:rsidRPr="00487BCF">
        <w:rPr>
          <w:rFonts w:ascii="Times New Roman" w:hAnsi="Times New Roman" w:cs="Times New Roman"/>
          <w:sz w:val="24"/>
          <w:szCs w:val="24"/>
        </w:rPr>
        <w:t>v</w:t>
      </w:r>
      <w:r w:rsidR="007D635F" w:rsidRPr="00487BCF">
        <w:rPr>
          <w:rFonts w:ascii="Times New Roman" w:hAnsi="Times New Roman" w:cs="Times New Roman"/>
          <w:sz w:val="24"/>
          <w:szCs w:val="24"/>
        </w:rPr>
        <w:t>ersus</w:t>
      </w:r>
    </w:p>
    <w:p w:rsidR="007D635F" w:rsidRPr="00487BCF" w:rsidRDefault="007D635F" w:rsidP="007D635F">
      <w:pPr>
        <w:spacing w:after="0" w:line="240" w:lineRule="auto"/>
        <w:jc w:val="both"/>
        <w:rPr>
          <w:rFonts w:ascii="Times New Roman" w:hAnsi="Times New Roman" w:cs="Times New Roman"/>
          <w:sz w:val="24"/>
          <w:szCs w:val="24"/>
        </w:rPr>
      </w:pPr>
      <w:r w:rsidRPr="00487BCF">
        <w:rPr>
          <w:rFonts w:ascii="Times New Roman" w:hAnsi="Times New Roman" w:cs="Times New Roman"/>
          <w:sz w:val="24"/>
          <w:szCs w:val="24"/>
        </w:rPr>
        <w:t>MASHONALAND TURF CLUB</w:t>
      </w:r>
    </w:p>
    <w:p w:rsidR="007D635F" w:rsidRPr="00487BCF" w:rsidRDefault="007D635F" w:rsidP="007D635F">
      <w:pPr>
        <w:spacing w:after="0" w:line="240" w:lineRule="auto"/>
        <w:jc w:val="both"/>
        <w:rPr>
          <w:rFonts w:ascii="Times New Roman" w:hAnsi="Times New Roman" w:cs="Times New Roman"/>
          <w:sz w:val="24"/>
          <w:szCs w:val="24"/>
        </w:rPr>
      </w:pPr>
    </w:p>
    <w:p w:rsidR="007D635F" w:rsidRPr="00487BCF" w:rsidRDefault="007D635F" w:rsidP="007D635F">
      <w:pPr>
        <w:spacing w:after="0" w:line="240" w:lineRule="auto"/>
        <w:jc w:val="both"/>
        <w:rPr>
          <w:rFonts w:ascii="Times New Roman" w:hAnsi="Times New Roman" w:cs="Times New Roman"/>
          <w:sz w:val="24"/>
          <w:szCs w:val="24"/>
        </w:rPr>
      </w:pPr>
    </w:p>
    <w:p w:rsidR="007D635F" w:rsidRPr="00487BCF" w:rsidRDefault="007D635F" w:rsidP="007D635F">
      <w:pPr>
        <w:spacing w:after="0" w:line="240" w:lineRule="auto"/>
        <w:jc w:val="both"/>
        <w:rPr>
          <w:rFonts w:ascii="Times New Roman" w:hAnsi="Times New Roman" w:cs="Times New Roman"/>
          <w:sz w:val="24"/>
          <w:szCs w:val="24"/>
        </w:rPr>
      </w:pPr>
      <w:r w:rsidRPr="00487BCF">
        <w:rPr>
          <w:rFonts w:ascii="Times New Roman" w:hAnsi="Times New Roman" w:cs="Times New Roman"/>
          <w:sz w:val="24"/>
          <w:szCs w:val="24"/>
        </w:rPr>
        <w:t>HIGH COURT OF ZIMBABWE</w:t>
      </w:r>
    </w:p>
    <w:p w:rsidR="007D635F" w:rsidRPr="00487BCF" w:rsidRDefault="007D635F" w:rsidP="007D635F">
      <w:pPr>
        <w:spacing w:after="0" w:line="240" w:lineRule="auto"/>
        <w:jc w:val="both"/>
        <w:rPr>
          <w:rFonts w:ascii="Times New Roman" w:hAnsi="Times New Roman" w:cs="Times New Roman"/>
          <w:sz w:val="24"/>
          <w:szCs w:val="24"/>
        </w:rPr>
      </w:pPr>
      <w:r w:rsidRPr="00487BCF">
        <w:rPr>
          <w:rFonts w:ascii="Times New Roman" w:hAnsi="Times New Roman" w:cs="Times New Roman"/>
          <w:sz w:val="24"/>
          <w:szCs w:val="24"/>
        </w:rPr>
        <w:t>MANGOTA J</w:t>
      </w:r>
    </w:p>
    <w:p w:rsidR="007D635F" w:rsidRPr="00487BCF" w:rsidRDefault="007D635F" w:rsidP="007D635F">
      <w:pPr>
        <w:spacing w:after="0" w:line="240" w:lineRule="auto"/>
        <w:jc w:val="both"/>
        <w:rPr>
          <w:rFonts w:ascii="Times New Roman" w:hAnsi="Times New Roman" w:cs="Times New Roman"/>
          <w:sz w:val="24"/>
          <w:szCs w:val="24"/>
        </w:rPr>
      </w:pPr>
      <w:r w:rsidRPr="00487BCF">
        <w:rPr>
          <w:rFonts w:ascii="Times New Roman" w:hAnsi="Times New Roman" w:cs="Times New Roman"/>
          <w:sz w:val="24"/>
          <w:szCs w:val="24"/>
        </w:rPr>
        <w:t xml:space="preserve">HARARE, </w:t>
      </w:r>
      <w:r w:rsidR="00D265C4">
        <w:rPr>
          <w:rFonts w:ascii="Times New Roman" w:hAnsi="Times New Roman" w:cs="Times New Roman"/>
          <w:sz w:val="24"/>
          <w:szCs w:val="24"/>
        </w:rPr>
        <w:t>25 April</w:t>
      </w:r>
      <w:r w:rsidR="009B74FC">
        <w:rPr>
          <w:rFonts w:ascii="Times New Roman" w:hAnsi="Times New Roman" w:cs="Times New Roman"/>
          <w:sz w:val="24"/>
          <w:szCs w:val="24"/>
        </w:rPr>
        <w:t>,</w:t>
      </w:r>
      <w:r w:rsidR="00D265C4">
        <w:rPr>
          <w:rFonts w:ascii="Times New Roman" w:hAnsi="Times New Roman" w:cs="Times New Roman"/>
          <w:sz w:val="24"/>
          <w:szCs w:val="24"/>
        </w:rPr>
        <w:t xml:space="preserve"> 2013</w:t>
      </w:r>
    </w:p>
    <w:p w:rsidR="007D635F" w:rsidRDefault="007D635F" w:rsidP="007D635F">
      <w:pPr>
        <w:spacing w:after="0" w:line="240" w:lineRule="auto"/>
        <w:jc w:val="both"/>
        <w:rPr>
          <w:rFonts w:ascii="Times New Roman" w:hAnsi="Times New Roman" w:cs="Times New Roman"/>
          <w:sz w:val="24"/>
          <w:szCs w:val="24"/>
        </w:rPr>
      </w:pPr>
    </w:p>
    <w:p w:rsidR="008C4756" w:rsidRDefault="008C4756" w:rsidP="007D635F">
      <w:pPr>
        <w:spacing w:after="0" w:line="240" w:lineRule="auto"/>
        <w:jc w:val="both"/>
        <w:rPr>
          <w:rFonts w:ascii="Times New Roman" w:hAnsi="Times New Roman" w:cs="Times New Roman"/>
          <w:sz w:val="24"/>
          <w:szCs w:val="24"/>
        </w:rPr>
      </w:pPr>
    </w:p>
    <w:p w:rsidR="008C4756" w:rsidRDefault="00D96036" w:rsidP="007D635F">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Mawere, </w:t>
      </w:r>
      <w:r w:rsidR="008C4756">
        <w:rPr>
          <w:rFonts w:ascii="Times New Roman" w:hAnsi="Times New Roman" w:cs="Times New Roman"/>
          <w:sz w:val="24"/>
          <w:szCs w:val="24"/>
        </w:rPr>
        <w:t>for the applicant</w:t>
      </w:r>
    </w:p>
    <w:p w:rsidR="008C4756" w:rsidRPr="00487BCF" w:rsidRDefault="00D96036" w:rsidP="007D635F">
      <w:pPr>
        <w:spacing w:after="0" w:line="240" w:lineRule="auto"/>
        <w:jc w:val="both"/>
        <w:rPr>
          <w:rFonts w:ascii="Times New Roman" w:hAnsi="Times New Roman" w:cs="Times New Roman"/>
          <w:sz w:val="24"/>
          <w:szCs w:val="24"/>
        </w:rPr>
      </w:pPr>
      <w:r w:rsidRPr="00D96036">
        <w:rPr>
          <w:rFonts w:ascii="Times New Roman" w:hAnsi="Times New Roman" w:cs="Times New Roman"/>
          <w:i/>
          <w:sz w:val="24"/>
          <w:szCs w:val="24"/>
        </w:rPr>
        <w:t>T.S. Manjeng</w:t>
      </w:r>
      <w:r w:rsidR="006800A7">
        <w:rPr>
          <w:rFonts w:ascii="Times New Roman" w:hAnsi="Times New Roman" w:cs="Times New Roman"/>
          <w:i/>
          <w:sz w:val="24"/>
          <w:szCs w:val="24"/>
        </w:rPr>
        <w:t>wa</w:t>
      </w:r>
      <w:r>
        <w:rPr>
          <w:rFonts w:ascii="Times New Roman" w:hAnsi="Times New Roman" w:cs="Times New Roman"/>
          <w:sz w:val="24"/>
          <w:szCs w:val="24"/>
        </w:rPr>
        <w:t xml:space="preserve">, </w:t>
      </w:r>
      <w:r w:rsidR="008C4756">
        <w:rPr>
          <w:rFonts w:ascii="Times New Roman" w:hAnsi="Times New Roman" w:cs="Times New Roman"/>
          <w:sz w:val="24"/>
          <w:szCs w:val="24"/>
        </w:rPr>
        <w:t>for the respondent</w:t>
      </w:r>
    </w:p>
    <w:p w:rsidR="007D635F" w:rsidRPr="00487BCF" w:rsidRDefault="007D635F" w:rsidP="007D635F">
      <w:pPr>
        <w:spacing w:after="0" w:line="240" w:lineRule="auto"/>
        <w:jc w:val="both"/>
        <w:rPr>
          <w:rFonts w:ascii="Times New Roman" w:hAnsi="Times New Roman" w:cs="Times New Roman"/>
          <w:sz w:val="24"/>
          <w:szCs w:val="24"/>
        </w:rPr>
      </w:pPr>
    </w:p>
    <w:p w:rsidR="008C4756" w:rsidRDefault="007D635F" w:rsidP="007D635F">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ab/>
      </w:r>
    </w:p>
    <w:p w:rsidR="007D635F" w:rsidRPr="00487BCF" w:rsidRDefault="007D635F" w:rsidP="008C4756">
      <w:pPr>
        <w:spacing w:after="0" w:line="360" w:lineRule="auto"/>
        <w:ind w:firstLine="720"/>
        <w:jc w:val="both"/>
        <w:rPr>
          <w:rFonts w:ascii="Times New Roman" w:hAnsi="Times New Roman" w:cs="Times New Roman"/>
          <w:sz w:val="24"/>
          <w:szCs w:val="24"/>
        </w:rPr>
      </w:pPr>
      <w:r w:rsidRPr="00487BCF">
        <w:rPr>
          <w:rFonts w:ascii="Times New Roman" w:hAnsi="Times New Roman" w:cs="Times New Roman"/>
          <w:sz w:val="24"/>
          <w:szCs w:val="24"/>
        </w:rPr>
        <w:t>MANG</w:t>
      </w:r>
      <w:r w:rsidR="00C97117">
        <w:rPr>
          <w:rFonts w:ascii="Times New Roman" w:hAnsi="Times New Roman" w:cs="Times New Roman"/>
          <w:sz w:val="24"/>
          <w:szCs w:val="24"/>
        </w:rPr>
        <w:t>O</w:t>
      </w:r>
      <w:r w:rsidRPr="00487BCF">
        <w:rPr>
          <w:rFonts w:ascii="Times New Roman" w:hAnsi="Times New Roman" w:cs="Times New Roman"/>
          <w:sz w:val="24"/>
          <w:szCs w:val="24"/>
        </w:rPr>
        <w:t xml:space="preserve">TA J:  This </w:t>
      </w:r>
      <w:r w:rsidR="00723F57" w:rsidRPr="00487BCF">
        <w:rPr>
          <w:rFonts w:ascii="Times New Roman" w:hAnsi="Times New Roman" w:cs="Times New Roman"/>
          <w:sz w:val="24"/>
          <w:szCs w:val="24"/>
        </w:rPr>
        <w:t xml:space="preserve">is </w:t>
      </w:r>
      <w:r w:rsidRPr="00487BCF">
        <w:rPr>
          <w:rFonts w:ascii="Times New Roman" w:hAnsi="Times New Roman" w:cs="Times New Roman"/>
          <w:sz w:val="24"/>
          <w:szCs w:val="24"/>
        </w:rPr>
        <w:t xml:space="preserve">an application for the upliftment of a bar which the respondent imposed against the applicant. </w:t>
      </w:r>
    </w:p>
    <w:p w:rsidR="007D635F" w:rsidRPr="00487BCF" w:rsidRDefault="007D635F" w:rsidP="007D635F">
      <w:pPr>
        <w:spacing w:after="0" w:line="360" w:lineRule="auto"/>
        <w:jc w:val="both"/>
        <w:rPr>
          <w:rFonts w:ascii="Times New Roman" w:hAnsi="Times New Roman" w:cs="Times New Roman"/>
          <w:sz w:val="24"/>
          <w:szCs w:val="24"/>
          <w:u w:val="single"/>
        </w:rPr>
      </w:pPr>
      <w:r w:rsidRPr="00487BCF">
        <w:rPr>
          <w:rFonts w:ascii="Times New Roman" w:hAnsi="Times New Roman" w:cs="Times New Roman"/>
          <w:sz w:val="24"/>
          <w:szCs w:val="24"/>
          <w:u w:val="single"/>
        </w:rPr>
        <w:t>HISTORY OF THE CASE</w:t>
      </w:r>
    </w:p>
    <w:p w:rsidR="007D635F" w:rsidRPr="00487BCF" w:rsidRDefault="007D635F" w:rsidP="007D635F">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ab/>
        <w:t>On 13 March, 2012 the respondent (plaintiff in the main case) issued summons against the applicant</w:t>
      </w:r>
      <w:r w:rsidR="00C97117">
        <w:rPr>
          <w:rFonts w:ascii="Times New Roman" w:hAnsi="Times New Roman" w:cs="Times New Roman"/>
          <w:sz w:val="24"/>
          <w:szCs w:val="24"/>
        </w:rPr>
        <w:t xml:space="preserve"> (defendant</w:t>
      </w:r>
      <w:r w:rsidRPr="00487BCF">
        <w:rPr>
          <w:rFonts w:ascii="Times New Roman" w:hAnsi="Times New Roman" w:cs="Times New Roman"/>
          <w:sz w:val="24"/>
          <w:szCs w:val="24"/>
        </w:rPr>
        <w:t xml:space="preserve"> in the main case) claiming: </w:t>
      </w:r>
    </w:p>
    <w:p w:rsidR="007D635F" w:rsidRPr="00487BCF" w:rsidRDefault="007D635F" w:rsidP="007D635F">
      <w:pPr>
        <w:pStyle w:val="ListParagraph"/>
        <w:numPr>
          <w:ilvl w:val="0"/>
          <w:numId w:val="1"/>
        </w:num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An order for the eviction of the respondent and all those occupying through her from the property known  as Zimbabwe Betting and Sports at the Borrowdale Park Race course – and</w:t>
      </w:r>
    </w:p>
    <w:p w:rsidR="001B7B5F" w:rsidRPr="00487BCF" w:rsidRDefault="007D635F" w:rsidP="007D635F">
      <w:pPr>
        <w:pStyle w:val="ListParagraph"/>
        <w:numPr>
          <w:ilvl w:val="0"/>
          <w:numId w:val="1"/>
        </w:num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Payment of costs of suit.</w:t>
      </w:r>
    </w:p>
    <w:p w:rsidR="00203323" w:rsidRPr="00487BCF" w:rsidRDefault="001B7B5F" w:rsidP="001B7B5F">
      <w:pPr>
        <w:spacing w:after="0" w:line="360" w:lineRule="auto"/>
        <w:ind w:left="360"/>
        <w:jc w:val="both"/>
        <w:rPr>
          <w:rFonts w:ascii="Times New Roman" w:hAnsi="Times New Roman" w:cs="Times New Roman"/>
          <w:sz w:val="24"/>
          <w:szCs w:val="24"/>
        </w:rPr>
      </w:pPr>
      <w:r w:rsidRPr="00487BCF">
        <w:rPr>
          <w:rFonts w:ascii="Times New Roman" w:hAnsi="Times New Roman" w:cs="Times New Roman"/>
          <w:sz w:val="24"/>
          <w:szCs w:val="24"/>
        </w:rPr>
        <w:t xml:space="preserve">On 10 April, 2012 the applicant entered appearance to defend and, on 8 May </w:t>
      </w:r>
    </w:p>
    <w:p w:rsidR="00203323" w:rsidRPr="00487BCF" w:rsidRDefault="001B7B5F" w:rsidP="00203323">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 xml:space="preserve">2012, the applicant filed a request for further particulars. </w:t>
      </w:r>
    </w:p>
    <w:p w:rsidR="00203323" w:rsidRPr="00487BCF" w:rsidRDefault="00203323" w:rsidP="00203323">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ab/>
        <w:t>The respondent refused to furnish the applicant with further particulars. It communicated its refusal in this mentioned re</w:t>
      </w:r>
      <w:r w:rsidR="00C97117">
        <w:rPr>
          <w:rFonts w:ascii="Times New Roman" w:hAnsi="Times New Roman" w:cs="Times New Roman"/>
          <w:sz w:val="24"/>
          <w:szCs w:val="24"/>
        </w:rPr>
        <w:t>gard</w:t>
      </w:r>
      <w:r w:rsidRPr="00487BCF">
        <w:rPr>
          <w:rFonts w:ascii="Times New Roman" w:hAnsi="Times New Roman" w:cs="Times New Roman"/>
          <w:sz w:val="24"/>
          <w:szCs w:val="24"/>
        </w:rPr>
        <w:t xml:space="preserve"> through a letter which it addressed to the applicant on 9 May, 2012.</w:t>
      </w:r>
    </w:p>
    <w:p w:rsidR="00203323" w:rsidRPr="00487BCF" w:rsidRDefault="00203323" w:rsidP="00203323">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ab/>
        <w:t xml:space="preserve">On 5 June, 2012 the respondent filed with the court, and served upon the applicant, a notice to plead and an intention to </w:t>
      </w:r>
      <w:r w:rsidRPr="00487BCF">
        <w:rPr>
          <w:rFonts w:ascii="Times New Roman" w:hAnsi="Times New Roman" w:cs="Times New Roman"/>
          <w:sz w:val="24"/>
          <w:szCs w:val="24"/>
          <w:u w:val="single"/>
        </w:rPr>
        <w:t>bar</w:t>
      </w:r>
      <w:r w:rsidRPr="00487BCF">
        <w:rPr>
          <w:rFonts w:ascii="Times New Roman" w:hAnsi="Times New Roman" w:cs="Times New Roman"/>
          <w:sz w:val="24"/>
          <w:szCs w:val="24"/>
        </w:rPr>
        <w:t xml:space="preserve">. The notice gave the applicant five (5) days within which it had to file its plea to the </w:t>
      </w:r>
      <w:r w:rsidR="00C97117">
        <w:rPr>
          <w:rFonts w:ascii="Times New Roman" w:hAnsi="Times New Roman" w:cs="Times New Roman"/>
          <w:sz w:val="24"/>
          <w:szCs w:val="24"/>
        </w:rPr>
        <w:t>respondent</w:t>
      </w:r>
      <w:r w:rsidRPr="00487BCF">
        <w:rPr>
          <w:rFonts w:ascii="Times New Roman" w:hAnsi="Times New Roman" w:cs="Times New Roman"/>
          <w:sz w:val="24"/>
          <w:szCs w:val="24"/>
        </w:rPr>
        <w:t xml:space="preserve">’s claim failing which the respondent would file a copy of the notice with the Registrar as a </w:t>
      </w:r>
      <w:r w:rsidRPr="00487BCF">
        <w:rPr>
          <w:rFonts w:ascii="Times New Roman" w:hAnsi="Times New Roman" w:cs="Times New Roman"/>
          <w:sz w:val="24"/>
          <w:szCs w:val="24"/>
          <w:u w:val="single"/>
        </w:rPr>
        <w:t xml:space="preserve">bar. </w:t>
      </w:r>
      <w:r w:rsidRPr="00487BCF">
        <w:rPr>
          <w:rFonts w:ascii="Times New Roman" w:hAnsi="Times New Roman" w:cs="Times New Roman"/>
          <w:sz w:val="24"/>
          <w:szCs w:val="24"/>
        </w:rPr>
        <w:t xml:space="preserve">The applicant did not file its plea within the stipulated five days and, on 13 June 2012, the respondent placed a </w:t>
      </w:r>
      <w:r w:rsidRPr="00487BCF">
        <w:rPr>
          <w:rFonts w:ascii="Times New Roman" w:hAnsi="Times New Roman" w:cs="Times New Roman"/>
          <w:sz w:val="24"/>
          <w:szCs w:val="24"/>
          <w:u w:val="single"/>
        </w:rPr>
        <w:t>bar</w:t>
      </w:r>
      <w:r w:rsidRPr="00487BCF">
        <w:rPr>
          <w:rFonts w:ascii="Times New Roman" w:hAnsi="Times New Roman" w:cs="Times New Roman"/>
          <w:sz w:val="24"/>
          <w:szCs w:val="24"/>
        </w:rPr>
        <w:t xml:space="preserve"> against the applicant. It is this </w:t>
      </w:r>
      <w:r w:rsidRPr="00487BCF">
        <w:rPr>
          <w:rFonts w:ascii="Times New Roman" w:hAnsi="Times New Roman" w:cs="Times New Roman"/>
          <w:sz w:val="24"/>
          <w:szCs w:val="24"/>
          <w:u w:val="single"/>
        </w:rPr>
        <w:t>bar</w:t>
      </w:r>
      <w:r w:rsidRPr="00487BCF">
        <w:rPr>
          <w:rFonts w:ascii="Times New Roman" w:hAnsi="Times New Roman" w:cs="Times New Roman"/>
          <w:sz w:val="24"/>
          <w:szCs w:val="24"/>
        </w:rPr>
        <w:t xml:space="preserve"> which is the subject of these proceedings.</w:t>
      </w:r>
    </w:p>
    <w:p w:rsidR="00C97117" w:rsidRDefault="00C97117" w:rsidP="00203323">
      <w:pPr>
        <w:spacing w:after="0" w:line="360" w:lineRule="auto"/>
        <w:jc w:val="both"/>
        <w:rPr>
          <w:rFonts w:ascii="Times New Roman" w:hAnsi="Times New Roman" w:cs="Times New Roman"/>
          <w:sz w:val="24"/>
          <w:szCs w:val="24"/>
          <w:u w:val="single"/>
        </w:rPr>
      </w:pPr>
    </w:p>
    <w:p w:rsidR="00C97117" w:rsidRDefault="00C97117" w:rsidP="00203323">
      <w:pPr>
        <w:spacing w:after="0" w:line="360" w:lineRule="auto"/>
        <w:jc w:val="both"/>
        <w:rPr>
          <w:rFonts w:ascii="Times New Roman" w:hAnsi="Times New Roman" w:cs="Times New Roman"/>
          <w:sz w:val="24"/>
          <w:szCs w:val="24"/>
          <w:u w:val="single"/>
        </w:rPr>
      </w:pPr>
    </w:p>
    <w:p w:rsidR="00203323" w:rsidRPr="00487BCF" w:rsidRDefault="00203323" w:rsidP="00203323">
      <w:pPr>
        <w:spacing w:after="0" w:line="360" w:lineRule="auto"/>
        <w:jc w:val="both"/>
        <w:rPr>
          <w:rFonts w:ascii="Times New Roman" w:hAnsi="Times New Roman" w:cs="Times New Roman"/>
          <w:sz w:val="24"/>
          <w:szCs w:val="24"/>
          <w:u w:val="single"/>
        </w:rPr>
      </w:pPr>
      <w:r w:rsidRPr="00487BCF">
        <w:rPr>
          <w:rFonts w:ascii="Times New Roman" w:hAnsi="Times New Roman" w:cs="Times New Roman"/>
          <w:sz w:val="24"/>
          <w:szCs w:val="24"/>
          <w:u w:val="single"/>
        </w:rPr>
        <w:lastRenderedPageBreak/>
        <w:t>ANALYSIS OF THE CASE</w:t>
      </w:r>
    </w:p>
    <w:p w:rsidR="007F6658" w:rsidRPr="00487BCF" w:rsidRDefault="00203323" w:rsidP="00203323">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ab/>
        <w:t xml:space="preserve">In its application for the upliftment of the bar, the applicant did not give a complete </w:t>
      </w:r>
      <w:r w:rsidR="00285AEC" w:rsidRPr="00487BCF">
        <w:rPr>
          <w:rFonts w:ascii="Times New Roman" w:hAnsi="Times New Roman" w:cs="Times New Roman"/>
          <w:sz w:val="24"/>
          <w:szCs w:val="24"/>
        </w:rPr>
        <w:t>story of the matter. It attached to its application a document</w:t>
      </w:r>
      <w:r w:rsidR="00C97117">
        <w:rPr>
          <w:rFonts w:ascii="Times New Roman" w:hAnsi="Times New Roman" w:cs="Times New Roman"/>
          <w:sz w:val="24"/>
          <w:szCs w:val="24"/>
        </w:rPr>
        <w:t>,</w:t>
      </w:r>
      <w:r w:rsidR="00285AEC" w:rsidRPr="00487BCF">
        <w:rPr>
          <w:rFonts w:ascii="Times New Roman" w:hAnsi="Times New Roman" w:cs="Times New Roman"/>
          <w:sz w:val="24"/>
          <w:szCs w:val="24"/>
        </w:rPr>
        <w:t xml:space="preserve"> Annexure B</w:t>
      </w:r>
      <w:r w:rsidR="00C97117">
        <w:rPr>
          <w:rFonts w:ascii="Times New Roman" w:hAnsi="Times New Roman" w:cs="Times New Roman"/>
          <w:sz w:val="24"/>
          <w:szCs w:val="24"/>
        </w:rPr>
        <w:t>,</w:t>
      </w:r>
      <w:r w:rsidR="00285AEC" w:rsidRPr="00487BCF">
        <w:rPr>
          <w:rFonts w:ascii="Times New Roman" w:hAnsi="Times New Roman" w:cs="Times New Roman"/>
          <w:sz w:val="24"/>
          <w:szCs w:val="24"/>
        </w:rPr>
        <w:t xml:space="preserve"> which related to its request for further particulars. That document, read alone, would not assist</w:t>
      </w:r>
      <w:r w:rsidR="009E6917" w:rsidRPr="00487BCF">
        <w:rPr>
          <w:rFonts w:ascii="Times New Roman" w:hAnsi="Times New Roman" w:cs="Times New Roman"/>
          <w:sz w:val="24"/>
          <w:szCs w:val="24"/>
        </w:rPr>
        <w:t xml:space="preserve"> anyone </w:t>
      </w:r>
      <w:r w:rsidR="00285AEC" w:rsidRPr="00487BCF">
        <w:rPr>
          <w:rFonts w:ascii="Times New Roman" w:hAnsi="Times New Roman" w:cs="Times New Roman"/>
          <w:sz w:val="24"/>
          <w:szCs w:val="24"/>
        </w:rPr>
        <w:t>who is dealing with the matter to appreciate the circumstances which surrounded the applicant’s request for further particulars. One for instance need</w:t>
      </w:r>
      <w:r w:rsidR="00D96036">
        <w:rPr>
          <w:rFonts w:ascii="Times New Roman" w:hAnsi="Times New Roman" w:cs="Times New Roman"/>
          <w:sz w:val="24"/>
          <w:szCs w:val="24"/>
        </w:rPr>
        <w:t>s</w:t>
      </w:r>
      <w:r w:rsidR="00285AEC" w:rsidRPr="00487BCF">
        <w:rPr>
          <w:rFonts w:ascii="Times New Roman" w:hAnsi="Times New Roman" w:cs="Times New Roman"/>
          <w:sz w:val="24"/>
          <w:szCs w:val="24"/>
        </w:rPr>
        <w:t xml:space="preserve"> to know whether</w:t>
      </w:r>
      <w:r w:rsidR="00C97117">
        <w:rPr>
          <w:rFonts w:ascii="Times New Roman" w:hAnsi="Times New Roman" w:cs="Times New Roman"/>
          <w:sz w:val="24"/>
          <w:szCs w:val="24"/>
        </w:rPr>
        <w:t>,</w:t>
      </w:r>
      <w:r w:rsidR="00285AEC" w:rsidRPr="00487BCF">
        <w:rPr>
          <w:rFonts w:ascii="Times New Roman" w:hAnsi="Times New Roman" w:cs="Times New Roman"/>
          <w:sz w:val="24"/>
          <w:szCs w:val="24"/>
        </w:rPr>
        <w:t xml:space="preserve"> or not</w:t>
      </w:r>
      <w:r w:rsidR="00C97117">
        <w:rPr>
          <w:rFonts w:ascii="Times New Roman" w:hAnsi="Times New Roman" w:cs="Times New Roman"/>
          <w:sz w:val="24"/>
          <w:szCs w:val="24"/>
        </w:rPr>
        <w:t>,</w:t>
      </w:r>
      <w:r w:rsidR="00285AEC" w:rsidRPr="00487BCF">
        <w:rPr>
          <w:rFonts w:ascii="Times New Roman" w:hAnsi="Times New Roman" w:cs="Times New Roman"/>
          <w:sz w:val="24"/>
          <w:szCs w:val="24"/>
        </w:rPr>
        <w:t xml:space="preserve"> the request which the applicant</w:t>
      </w:r>
      <w:r w:rsidR="007F6658" w:rsidRPr="00487BCF">
        <w:rPr>
          <w:rFonts w:ascii="Times New Roman" w:hAnsi="Times New Roman" w:cs="Times New Roman"/>
          <w:sz w:val="24"/>
          <w:szCs w:val="24"/>
        </w:rPr>
        <w:t xml:space="preserve"> made was a genuine attempt on its part to have issues placed</w:t>
      </w:r>
      <w:r w:rsidRPr="00487BCF">
        <w:rPr>
          <w:rFonts w:ascii="Times New Roman" w:hAnsi="Times New Roman" w:cs="Times New Roman"/>
          <w:sz w:val="24"/>
          <w:szCs w:val="24"/>
        </w:rPr>
        <w:t xml:space="preserve"> </w:t>
      </w:r>
      <w:r w:rsidR="007F6658" w:rsidRPr="00487BCF">
        <w:rPr>
          <w:rFonts w:ascii="Times New Roman" w:hAnsi="Times New Roman" w:cs="Times New Roman"/>
          <w:sz w:val="24"/>
          <w:szCs w:val="24"/>
        </w:rPr>
        <w:t>in their clear perspective and, in the process, assist it in its pleading to the respondent’s claim.</w:t>
      </w:r>
    </w:p>
    <w:p w:rsidR="0099395B" w:rsidRPr="00487BCF" w:rsidRDefault="007F6658" w:rsidP="00203323">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ab/>
        <w:t xml:space="preserve">The need to have a clear </w:t>
      </w:r>
      <w:r w:rsidR="00C97117">
        <w:rPr>
          <w:rFonts w:ascii="Times New Roman" w:hAnsi="Times New Roman" w:cs="Times New Roman"/>
          <w:sz w:val="24"/>
          <w:szCs w:val="24"/>
        </w:rPr>
        <w:t>position</w:t>
      </w:r>
      <w:r w:rsidRPr="00487BCF">
        <w:rPr>
          <w:rFonts w:ascii="Times New Roman" w:hAnsi="Times New Roman" w:cs="Times New Roman"/>
          <w:sz w:val="24"/>
          <w:szCs w:val="24"/>
        </w:rPr>
        <w:t xml:space="preserve"> of the matter prompted me to call for the record which related to the main case. </w:t>
      </w:r>
      <w:r w:rsidR="007C61B9">
        <w:rPr>
          <w:rFonts w:ascii="Times New Roman" w:hAnsi="Times New Roman" w:cs="Times New Roman"/>
          <w:sz w:val="24"/>
          <w:szCs w:val="24"/>
        </w:rPr>
        <w:t>My</w:t>
      </w:r>
      <w:r w:rsidRPr="00487BCF">
        <w:rPr>
          <w:rFonts w:ascii="Times New Roman" w:hAnsi="Times New Roman" w:cs="Times New Roman"/>
          <w:sz w:val="24"/>
          <w:szCs w:val="24"/>
        </w:rPr>
        <w:t xml:space="preserve"> intention was to examine the present application in a ho</w:t>
      </w:r>
      <w:r w:rsidR="009E6917" w:rsidRPr="00487BCF">
        <w:rPr>
          <w:rFonts w:ascii="Times New Roman" w:hAnsi="Times New Roman" w:cs="Times New Roman"/>
          <w:sz w:val="24"/>
          <w:szCs w:val="24"/>
        </w:rPr>
        <w:t>l</w:t>
      </w:r>
      <w:r w:rsidRPr="00487BCF">
        <w:rPr>
          <w:rFonts w:ascii="Times New Roman" w:hAnsi="Times New Roman" w:cs="Times New Roman"/>
          <w:sz w:val="24"/>
          <w:szCs w:val="24"/>
        </w:rPr>
        <w:t>istic, as opposed to an isolated or piecemeal</w:t>
      </w:r>
      <w:r w:rsidR="00C97117">
        <w:rPr>
          <w:rFonts w:ascii="Times New Roman" w:hAnsi="Times New Roman" w:cs="Times New Roman"/>
          <w:sz w:val="24"/>
          <w:szCs w:val="24"/>
        </w:rPr>
        <w:t>,</w:t>
      </w:r>
      <w:r w:rsidRPr="00487BCF">
        <w:rPr>
          <w:rFonts w:ascii="Times New Roman" w:hAnsi="Times New Roman" w:cs="Times New Roman"/>
          <w:sz w:val="24"/>
          <w:szCs w:val="24"/>
        </w:rPr>
        <w:t xml:space="preserve"> manner which</w:t>
      </w:r>
      <w:r w:rsidR="0099395B" w:rsidRPr="00487BCF">
        <w:rPr>
          <w:rFonts w:ascii="Times New Roman" w:hAnsi="Times New Roman" w:cs="Times New Roman"/>
          <w:sz w:val="24"/>
          <w:szCs w:val="24"/>
        </w:rPr>
        <w:t xml:space="preserve"> would not do justice</w:t>
      </w:r>
      <w:r w:rsidR="00C97117">
        <w:rPr>
          <w:rFonts w:ascii="Times New Roman" w:hAnsi="Times New Roman" w:cs="Times New Roman"/>
          <w:sz w:val="24"/>
          <w:szCs w:val="24"/>
        </w:rPr>
        <w:t>,</w:t>
      </w:r>
      <w:r w:rsidR="0099395B" w:rsidRPr="00487BCF">
        <w:rPr>
          <w:rFonts w:ascii="Times New Roman" w:hAnsi="Times New Roman" w:cs="Times New Roman"/>
          <w:sz w:val="24"/>
          <w:szCs w:val="24"/>
        </w:rPr>
        <w:t xml:space="preserve"> but injustice, to the parties whose case had been placed before me for consideration. I had, in short, to convince myself, without going into the merits of the main case, that: </w:t>
      </w:r>
      <w:r w:rsidR="009E6917" w:rsidRPr="00487BCF">
        <w:rPr>
          <w:rFonts w:ascii="Times New Roman" w:hAnsi="Times New Roman" w:cs="Times New Roman"/>
          <w:sz w:val="24"/>
          <w:szCs w:val="24"/>
        </w:rPr>
        <w:t xml:space="preserve"> </w:t>
      </w:r>
    </w:p>
    <w:p w:rsidR="0099395B" w:rsidRPr="00487BCF" w:rsidRDefault="00C97117" w:rsidP="009939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9395B" w:rsidRPr="00487BCF">
        <w:rPr>
          <w:rFonts w:ascii="Times New Roman" w:hAnsi="Times New Roman" w:cs="Times New Roman"/>
          <w:sz w:val="24"/>
          <w:szCs w:val="24"/>
        </w:rPr>
        <w:t>he applicant’s request was not frivolous and/or vexatious – and</w:t>
      </w:r>
    </w:p>
    <w:p w:rsidR="0099395B" w:rsidRPr="00487BCF" w:rsidRDefault="00C97117" w:rsidP="0099395B">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9395B" w:rsidRPr="00487BCF">
        <w:rPr>
          <w:rFonts w:ascii="Times New Roman" w:hAnsi="Times New Roman" w:cs="Times New Roman"/>
          <w:sz w:val="24"/>
          <w:szCs w:val="24"/>
        </w:rPr>
        <w:t>he present application is not devoid of substance or merit.</w:t>
      </w:r>
    </w:p>
    <w:p w:rsidR="00C97117" w:rsidRDefault="0099395B" w:rsidP="0099395B">
      <w:pPr>
        <w:spacing w:after="0" w:line="360" w:lineRule="auto"/>
        <w:ind w:left="720"/>
        <w:jc w:val="both"/>
        <w:rPr>
          <w:rFonts w:ascii="Times New Roman" w:hAnsi="Times New Roman" w:cs="Times New Roman"/>
          <w:sz w:val="24"/>
          <w:szCs w:val="24"/>
        </w:rPr>
      </w:pPr>
      <w:r w:rsidRPr="00487BCF">
        <w:rPr>
          <w:rFonts w:ascii="Times New Roman" w:hAnsi="Times New Roman" w:cs="Times New Roman"/>
          <w:sz w:val="24"/>
          <w:szCs w:val="24"/>
        </w:rPr>
        <w:t xml:space="preserve">The applicant made a number of technical blunders which, taken from a superficial </w:t>
      </w:r>
    </w:p>
    <w:p w:rsidR="002F16F3" w:rsidRPr="00487BCF" w:rsidRDefault="0099395B" w:rsidP="00C97117">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 xml:space="preserve">point of view, tend to dent its case </w:t>
      </w:r>
      <w:r w:rsidR="00C97117">
        <w:rPr>
          <w:rFonts w:ascii="Times New Roman" w:hAnsi="Times New Roman" w:cs="Times New Roman"/>
          <w:sz w:val="24"/>
          <w:szCs w:val="24"/>
        </w:rPr>
        <w:t>in a</w:t>
      </w:r>
      <w:r w:rsidRPr="00487BCF">
        <w:rPr>
          <w:rFonts w:ascii="Times New Roman" w:hAnsi="Times New Roman" w:cs="Times New Roman"/>
          <w:sz w:val="24"/>
          <w:szCs w:val="24"/>
        </w:rPr>
        <w:t xml:space="preserve"> very serious way</w:t>
      </w:r>
      <w:r w:rsidR="00C76E68">
        <w:rPr>
          <w:rFonts w:ascii="Times New Roman" w:hAnsi="Times New Roman" w:cs="Times New Roman"/>
          <w:sz w:val="24"/>
          <w:szCs w:val="24"/>
        </w:rPr>
        <w:t>.</w:t>
      </w:r>
      <w:r w:rsidRPr="00487BCF">
        <w:rPr>
          <w:rFonts w:ascii="Times New Roman" w:hAnsi="Times New Roman" w:cs="Times New Roman"/>
          <w:sz w:val="24"/>
          <w:szCs w:val="24"/>
        </w:rPr>
        <w:t xml:space="preserve"> I, for the avoidance of doubt, state some of the blunders hereunder as follows:</w:t>
      </w:r>
    </w:p>
    <w:p w:rsidR="00B92A1F" w:rsidRPr="00487BCF" w:rsidRDefault="00C97117" w:rsidP="002F16F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2F16F3" w:rsidRPr="00487BCF">
        <w:rPr>
          <w:rFonts w:ascii="Times New Roman" w:hAnsi="Times New Roman" w:cs="Times New Roman"/>
          <w:sz w:val="24"/>
          <w:szCs w:val="24"/>
        </w:rPr>
        <w:t xml:space="preserve">he applicant entered appearance to defend on 10 April, 2012 and it made its request for further particulars on 8 May, 2012 which is a stretch of twenty (20) working days after its initial action. It did not </w:t>
      </w:r>
      <w:r>
        <w:rPr>
          <w:rFonts w:ascii="Times New Roman" w:hAnsi="Times New Roman" w:cs="Times New Roman"/>
          <w:sz w:val="24"/>
          <w:szCs w:val="24"/>
        </w:rPr>
        <w:t>proffer</w:t>
      </w:r>
      <w:r w:rsidR="002F16F3" w:rsidRPr="00487BCF">
        <w:rPr>
          <w:rFonts w:ascii="Times New Roman" w:hAnsi="Times New Roman" w:cs="Times New Roman"/>
          <w:sz w:val="24"/>
          <w:szCs w:val="24"/>
        </w:rPr>
        <w:t xml:space="preserve"> any explanation for this delay and one is left to wonder as regards the fact of what the cause of the delay was.</w:t>
      </w:r>
      <w:r w:rsidR="0099395B" w:rsidRPr="00487BCF">
        <w:rPr>
          <w:rFonts w:ascii="Times New Roman" w:hAnsi="Times New Roman" w:cs="Times New Roman"/>
          <w:sz w:val="24"/>
          <w:szCs w:val="24"/>
        </w:rPr>
        <w:t xml:space="preserve"> </w:t>
      </w:r>
    </w:p>
    <w:p w:rsidR="00403BEB" w:rsidRPr="00487BCF" w:rsidRDefault="00C97117" w:rsidP="002F16F3">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B92A1F" w:rsidRPr="00487BCF">
        <w:rPr>
          <w:rFonts w:ascii="Times New Roman" w:hAnsi="Times New Roman" w:cs="Times New Roman"/>
          <w:sz w:val="24"/>
          <w:szCs w:val="24"/>
        </w:rPr>
        <w:t>he applicant became aware of the respondent’s attitude to its request for further particulars</w:t>
      </w:r>
      <w:r w:rsidR="009540F5" w:rsidRPr="00487BCF">
        <w:rPr>
          <w:rFonts w:ascii="Times New Roman" w:hAnsi="Times New Roman" w:cs="Times New Roman"/>
          <w:sz w:val="24"/>
          <w:szCs w:val="24"/>
        </w:rPr>
        <w:t xml:space="preserve"> during the period which extends from 10-15 May, 2012. The exact date remains unknown. What is known, however, is that the applicant became aw</w:t>
      </w:r>
      <w:r>
        <w:rPr>
          <w:rFonts w:ascii="Times New Roman" w:hAnsi="Times New Roman" w:cs="Times New Roman"/>
          <w:sz w:val="24"/>
          <w:szCs w:val="24"/>
        </w:rPr>
        <w:t>a</w:t>
      </w:r>
      <w:r w:rsidR="009540F5" w:rsidRPr="00487BCF">
        <w:rPr>
          <w:rFonts w:ascii="Times New Roman" w:hAnsi="Times New Roman" w:cs="Times New Roman"/>
          <w:sz w:val="24"/>
          <w:szCs w:val="24"/>
        </w:rPr>
        <w:t>re</w:t>
      </w:r>
      <w:r>
        <w:rPr>
          <w:rFonts w:ascii="Times New Roman" w:hAnsi="Times New Roman" w:cs="Times New Roman"/>
          <w:sz w:val="24"/>
          <w:szCs w:val="24"/>
        </w:rPr>
        <w:t>,</w:t>
      </w:r>
      <w:r w:rsidR="009540F5" w:rsidRPr="00487BCF">
        <w:rPr>
          <w:rFonts w:ascii="Times New Roman" w:hAnsi="Times New Roman" w:cs="Times New Roman"/>
          <w:sz w:val="24"/>
          <w:szCs w:val="24"/>
        </w:rPr>
        <w:t xml:space="preserve"> within that stated period of time, that </w:t>
      </w:r>
      <w:r>
        <w:rPr>
          <w:rFonts w:ascii="Times New Roman" w:hAnsi="Times New Roman" w:cs="Times New Roman"/>
          <w:sz w:val="24"/>
          <w:szCs w:val="24"/>
        </w:rPr>
        <w:t>t</w:t>
      </w:r>
      <w:r w:rsidR="009540F5" w:rsidRPr="00487BCF">
        <w:rPr>
          <w:rFonts w:ascii="Times New Roman" w:hAnsi="Times New Roman" w:cs="Times New Roman"/>
          <w:sz w:val="24"/>
          <w:szCs w:val="24"/>
        </w:rPr>
        <w:t xml:space="preserve">he respondent had </w:t>
      </w:r>
      <w:r w:rsidR="009540F5" w:rsidRPr="00487BCF">
        <w:rPr>
          <w:rFonts w:ascii="Times New Roman" w:hAnsi="Times New Roman" w:cs="Times New Roman"/>
          <w:sz w:val="24"/>
          <w:szCs w:val="24"/>
          <w:u w:val="single"/>
        </w:rPr>
        <w:t>refused</w:t>
      </w:r>
      <w:r w:rsidR="009540F5" w:rsidRPr="00487BCF">
        <w:rPr>
          <w:rFonts w:ascii="Times New Roman" w:hAnsi="Times New Roman" w:cs="Times New Roman"/>
          <w:sz w:val="24"/>
          <w:szCs w:val="24"/>
        </w:rPr>
        <w:t xml:space="preserve"> to furnish</w:t>
      </w:r>
      <w:r w:rsidR="007C61B9">
        <w:rPr>
          <w:rFonts w:ascii="Times New Roman" w:hAnsi="Times New Roman" w:cs="Times New Roman"/>
          <w:sz w:val="24"/>
          <w:szCs w:val="24"/>
        </w:rPr>
        <w:t xml:space="preserve"> it</w:t>
      </w:r>
      <w:r w:rsidR="009540F5" w:rsidRPr="00487BCF">
        <w:rPr>
          <w:rFonts w:ascii="Times New Roman" w:hAnsi="Times New Roman" w:cs="Times New Roman"/>
          <w:sz w:val="24"/>
          <w:szCs w:val="24"/>
        </w:rPr>
        <w:t xml:space="preserve"> with further particulars. That knowledge on its part </w:t>
      </w:r>
      <w:r>
        <w:rPr>
          <w:rFonts w:ascii="Times New Roman" w:hAnsi="Times New Roman" w:cs="Times New Roman"/>
          <w:sz w:val="24"/>
          <w:szCs w:val="24"/>
        </w:rPr>
        <w:t>notwi</w:t>
      </w:r>
      <w:r w:rsidR="000A1259">
        <w:rPr>
          <w:rFonts w:ascii="Times New Roman" w:hAnsi="Times New Roman" w:cs="Times New Roman"/>
          <w:sz w:val="24"/>
          <w:szCs w:val="24"/>
        </w:rPr>
        <w:t>thstanding</w:t>
      </w:r>
      <w:r w:rsidR="007C61B9">
        <w:rPr>
          <w:rFonts w:ascii="Times New Roman" w:hAnsi="Times New Roman" w:cs="Times New Roman"/>
          <w:sz w:val="24"/>
          <w:szCs w:val="24"/>
        </w:rPr>
        <w:t>,</w:t>
      </w:r>
      <w:r w:rsidR="009540F5" w:rsidRPr="00487BCF">
        <w:rPr>
          <w:rFonts w:ascii="Times New Roman" w:hAnsi="Times New Roman" w:cs="Times New Roman"/>
          <w:sz w:val="24"/>
          <w:szCs w:val="24"/>
        </w:rPr>
        <w:t xml:space="preserve"> the applicant, for some unexplained reasons, re</w:t>
      </w:r>
      <w:r w:rsidR="00C6770C">
        <w:rPr>
          <w:rFonts w:ascii="Times New Roman" w:hAnsi="Times New Roman" w:cs="Times New Roman"/>
          <w:sz w:val="24"/>
          <w:szCs w:val="24"/>
        </w:rPr>
        <w:t>fr</w:t>
      </w:r>
      <w:r w:rsidR="009540F5" w:rsidRPr="00487BCF">
        <w:rPr>
          <w:rFonts w:ascii="Times New Roman" w:hAnsi="Times New Roman" w:cs="Times New Roman"/>
          <w:sz w:val="24"/>
          <w:szCs w:val="24"/>
        </w:rPr>
        <w:t>ained from seeking to enforce its rights in terms of rule 142 (b) of the rules of this court. The rule, in</w:t>
      </w:r>
      <w:r w:rsidR="00487BCF">
        <w:rPr>
          <w:rFonts w:ascii="Times New Roman" w:hAnsi="Times New Roman" w:cs="Times New Roman"/>
          <w:sz w:val="24"/>
          <w:szCs w:val="24"/>
        </w:rPr>
        <w:t xml:space="preserve"> </w:t>
      </w:r>
      <w:r w:rsidR="009540F5" w:rsidRPr="00487BCF">
        <w:rPr>
          <w:rFonts w:ascii="Times New Roman" w:hAnsi="Times New Roman" w:cs="Times New Roman"/>
          <w:sz w:val="24"/>
          <w:szCs w:val="24"/>
        </w:rPr>
        <w:t xml:space="preserve">part, reads: </w:t>
      </w:r>
    </w:p>
    <w:p w:rsidR="00403BEB" w:rsidRPr="00487BCF" w:rsidRDefault="00403BEB" w:rsidP="00403BEB">
      <w:pPr>
        <w:pStyle w:val="ListParagraph"/>
        <w:spacing w:after="0" w:line="240" w:lineRule="auto"/>
        <w:ind w:left="1440"/>
        <w:jc w:val="both"/>
        <w:rPr>
          <w:rFonts w:ascii="Times New Roman" w:hAnsi="Times New Roman" w:cs="Times New Roman"/>
          <w:sz w:val="24"/>
          <w:szCs w:val="24"/>
        </w:rPr>
      </w:pPr>
      <w:r w:rsidRPr="00487BCF">
        <w:rPr>
          <w:rFonts w:ascii="Times New Roman" w:hAnsi="Times New Roman" w:cs="Times New Roman"/>
          <w:sz w:val="24"/>
          <w:szCs w:val="24"/>
        </w:rPr>
        <w:lastRenderedPageBreak/>
        <w:t>“If</w:t>
      </w:r>
      <w:r w:rsidR="000A1259">
        <w:rPr>
          <w:rFonts w:ascii="Times New Roman" w:hAnsi="Times New Roman" w:cs="Times New Roman"/>
          <w:sz w:val="24"/>
          <w:szCs w:val="24"/>
        </w:rPr>
        <w:t xml:space="preserve"> a</w:t>
      </w:r>
      <w:r w:rsidRPr="00487BCF">
        <w:rPr>
          <w:rFonts w:ascii="Times New Roman" w:hAnsi="Times New Roman" w:cs="Times New Roman"/>
          <w:sz w:val="24"/>
          <w:szCs w:val="24"/>
        </w:rPr>
        <w:t xml:space="preserve"> party applies for particulars</w:t>
      </w:r>
      <w:r w:rsidR="000A1259">
        <w:rPr>
          <w:rFonts w:ascii="Times New Roman" w:hAnsi="Times New Roman" w:cs="Times New Roman"/>
          <w:sz w:val="24"/>
          <w:szCs w:val="24"/>
        </w:rPr>
        <w:t>,</w:t>
      </w:r>
      <w:r w:rsidRPr="00487BCF">
        <w:rPr>
          <w:rFonts w:ascii="Times New Roman" w:hAnsi="Times New Roman" w:cs="Times New Roman"/>
          <w:sz w:val="24"/>
          <w:szCs w:val="24"/>
        </w:rPr>
        <w:t xml:space="preserve"> the time for replying to the pleading of which particulars are sought shall be calculated – </w:t>
      </w:r>
    </w:p>
    <w:p w:rsidR="00403BEB" w:rsidRPr="00487BCF" w:rsidRDefault="00403BEB" w:rsidP="00403BEB">
      <w:pPr>
        <w:pStyle w:val="ListParagraph"/>
        <w:spacing w:after="0" w:line="240" w:lineRule="auto"/>
        <w:ind w:left="1440"/>
        <w:jc w:val="both"/>
        <w:rPr>
          <w:rFonts w:ascii="Times New Roman" w:hAnsi="Times New Roman" w:cs="Times New Roman"/>
          <w:sz w:val="24"/>
          <w:szCs w:val="24"/>
        </w:rPr>
      </w:pPr>
    </w:p>
    <w:p w:rsidR="00403BEB" w:rsidRPr="00487BCF" w:rsidRDefault="00403BEB" w:rsidP="00403BEB">
      <w:pPr>
        <w:pStyle w:val="ListParagraph"/>
        <w:numPr>
          <w:ilvl w:val="0"/>
          <w:numId w:val="4"/>
        </w:numPr>
        <w:spacing w:after="0" w:line="240" w:lineRule="auto"/>
        <w:jc w:val="both"/>
        <w:rPr>
          <w:rFonts w:ascii="Times New Roman" w:hAnsi="Times New Roman" w:cs="Times New Roman"/>
          <w:sz w:val="24"/>
          <w:szCs w:val="24"/>
        </w:rPr>
      </w:pPr>
      <w:r w:rsidRPr="00487BCF">
        <w:rPr>
          <w:rFonts w:ascii="Times New Roman" w:hAnsi="Times New Roman" w:cs="Times New Roman"/>
          <w:sz w:val="24"/>
          <w:szCs w:val="24"/>
        </w:rPr>
        <w:t>……..</w:t>
      </w:r>
    </w:p>
    <w:p w:rsidR="009E37CE" w:rsidRPr="00487BCF" w:rsidRDefault="00403BEB" w:rsidP="00403BEB">
      <w:pPr>
        <w:pStyle w:val="ListParagraph"/>
        <w:numPr>
          <w:ilvl w:val="0"/>
          <w:numId w:val="4"/>
        </w:numPr>
        <w:spacing w:after="0" w:line="240" w:lineRule="auto"/>
        <w:jc w:val="both"/>
        <w:rPr>
          <w:rFonts w:ascii="Times New Roman" w:hAnsi="Times New Roman" w:cs="Times New Roman"/>
          <w:sz w:val="24"/>
          <w:szCs w:val="24"/>
        </w:rPr>
      </w:pPr>
      <w:r w:rsidRPr="00487BCF">
        <w:rPr>
          <w:rFonts w:ascii="Times New Roman" w:hAnsi="Times New Roman" w:cs="Times New Roman"/>
          <w:sz w:val="24"/>
          <w:szCs w:val="24"/>
        </w:rPr>
        <w:t xml:space="preserve">Where the particulars are </w:t>
      </w:r>
      <w:r w:rsidRPr="00487BCF">
        <w:rPr>
          <w:rFonts w:ascii="Times New Roman" w:hAnsi="Times New Roman" w:cs="Times New Roman"/>
          <w:sz w:val="24"/>
          <w:szCs w:val="24"/>
          <w:u w:val="single"/>
        </w:rPr>
        <w:t>refused</w:t>
      </w:r>
      <w:r w:rsidRPr="00487BCF">
        <w:rPr>
          <w:rFonts w:ascii="Times New Roman" w:hAnsi="Times New Roman" w:cs="Times New Roman"/>
          <w:sz w:val="24"/>
          <w:szCs w:val="24"/>
        </w:rPr>
        <w:t xml:space="preserve"> and the </w:t>
      </w:r>
      <w:r w:rsidRPr="00487BCF">
        <w:rPr>
          <w:rFonts w:ascii="Times New Roman" w:hAnsi="Times New Roman" w:cs="Times New Roman"/>
          <w:sz w:val="24"/>
          <w:szCs w:val="24"/>
          <w:u w:val="single"/>
        </w:rPr>
        <w:t>applicant fails to make</w:t>
      </w:r>
      <w:r w:rsidRPr="00487BCF">
        <w:rPr>
          <w:rFonts w:ascii="Times New Roman" w:hAnsi="Times New Roman" w:cs="Times New Roman"/>
          <w:sz w:val="24"/>
          <w:szCs w:val="24"/>
        </w:rPr>
        <w:t xml:space="preserve"> </w:t>
      </w:r>
      <w:r w:rsidRPr="00487BCF">
        <w:rPr>
          <w:rFonts w:ascii="Times New Roman" w:hAnsi="Times New Roman" w:cs="Times New Roman"/>
          <w:sz w:val="24"/>
          <w:szCs w:val="24"/>
          <w:u w:val="single"/>
        </w:rPr>
        <w:t>a court application for an order</w:t>
      </w:r>
      <w:r w:rsidR="009540F5" w:rsidRPr="00487BCF">
        <w:rPr>
          <w:rFonts w:ascii="Times New Roman" w:hAnsi="Times New Roman" w:cs="Times New Roman"/>
          <w:sz w:val="24"/>
          <w:szCs w:val="24"/>
        </w:rPr>
        <w:t xml:space="preserve"> </w:t>
      </w:r>
      <w:r w:rsidRPr="00487BCF">
        <w:rPr>
          <w:rFonts w:ascii="Times New Roman" w:hAnsi="Times New Roman" w:cs="Times New Roman"/>
          <w:sz w:val="24"/>
          <w:szCs w:val="24"/>
        </w:rPr>
        <w:t>within………”</w:t>
      </w:r>
    </w:p>
    <w:p w:rsidR="009E37CE" w:rsidRPr="00487BCF" w:rsidRDefault="009E37CE" w:rsidP="009E37CE">
      <w:pPr>
        <w:spacing w:after="0" w:line="240" w:lineRule="auto"/>
        <w:jc w:val="both"/>
        <w:rPr>
          <w:rFonts w:ascii="Times New Roman" w:hAnsi="Times New Roman" w:cs="Times New Roman"/>
          <w:sz w:val="24"/>
          <w:szCs w:val="24"/>
        </w:rPr>
      </w:pPr>
    </w:p>
    <w:p w:rsidR="00530E0D" w:rsidRPr="00487BCF" w:rsidRDefault="009E37CE" w:rsidP="00530E0D">
      <w:pPr>
        <w:spacing w:after="0" w:line="360" w:lineRule="auto"/>
        <w:ind w:left="720"/>
        <w:jc w:val="both"/>
        <w:rPr>
          <w:rFonts w:ascii="Times New Roman" w:hAnsi="Times New Roman" w:cs="Times New Roman"/>
          <w:sz w:val="24"/>
          <w:szCs w:val="24"/>
        </w:rPr>
      </w:pPr>
      <w:r w:rsidRPr="00487BCF">
        <w:rPr>
          <w:rFonts w:ascii="Times New Roman" w:hAnsi="Times New Roman" w:cs="Times New Roman"/>
          <w:sz w:val="24"/>
          <w:szCs w:val="24"/>
        </w:rPr>
        <w:t>The cited rule shows, in a clear and unambiguous language, that a part</w:t>
      </w:r>
      <w:r w:rsidR="000A1259">
        <w:rPr>
          <w:rFonts w:ascii="Times New Roman" w:hAnsi="Times New Roman" w:cs="Times New Roman"/>
          <w:sz w:val="24"/>
          <w:szCs w:val="24"/>
        </w:rPr>
        <w:t>y</w:t>
      </w:r>
      <w:r w:rsidR="00530E0D" w:rsidRPr="00487BCF">
        <w:rPr>
          <w:rFonts w:ascii="Times New Roman" w:hAnsi="Times New Roman" w:cs="Times New Roman"/>
          <w:sz w:val="24"/>
          <w:szCs w:val="24"/>
        </w:rPr>
        <w:t xml:space="preserve"> </w:t>
      </w:r>
    </w:p>
    <w:p w:rsidR="00530E0D" w:rsidRPr="00487BCF" w:rsidRDefault="00530E0D" w:rsidP="00530E0D">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which requires the other part</w:t>
      </w:r>
      <w:r w:rsidR="000A1259">
        <w:rPr>
          <w:rFonts w:ascii="Times New Roman" w:hAnsi="Times New Roman" w:cs="Times New Roman"/>
          <w:sz w:val="24"/>
          <w:szCs w:val="24"/>
        </w:rPr>
        <w:t>y</w:t>
      </w:r>
      <w:r w:rsidRPr="00487BCF">
        <w:rPr>
          <w:rFonts w:ascii="Times New Roman" w:hAnsi="Times New Roman" w:cs="Times New Roman"/>
          <w:sz w:val="24"/>
          <w:szCs w:val="24"/>
        </w:rPr>
        <w:t xml:space="preserve"> to furnish it with further particulars has every right to approach, and request, the court to compel the re</w:t>
      </w:r>
      <w:r w:rsidR="000A1259">
        <w:rPr>
          <w:rFonts w:ascii="Times New Roman" w:hAnsi="Times New Roman" w:cs="Times New Roman"/>
          <w:sz w:val="24"/>
          <w:szCs w:val="24"/>
        </w:rPr>
        <w:t>fusing</w:t>
      </w:r>
      <w:r w:rsidRPr="00487BCF">
        <w:rPr>
          <w:rFonts w:ascii="Times New Roman" w:hAnsi="Times New Roman" w:cs="Times New Roman"/>
          <w:sz w:val="24"/>
          <w:szCs w:val="24"/>
        </w:rPr>
        <w:t xml:space="preserve"> party to furnish it with the particulars which it requires to enable it to plead. The applicant </w:t>
      </w:r>
      <w:r w:rsidR="000A1259">
        <w:rPr>
          <w:rFonts w:ascii="Times New Roman" w:hAnsi="Times New Roman" w:cs="Times New Roman"/>
          <w:sz w:val="24"/>
          <w:szCs w:val="24"/>
        </w:rPr>
        <w:t>g</w:t>
      </w:r>
      <w:r w:rsidRPr="00487BCF">
        <w:rPr>
          <w:rFonts w:ascii="Times New Roman" w:hAnsi="Times New Roman" w:cs="Times New Roman"/>
          <w:sz w:val="24"/>
          <w:szCs w:val="24"/>
        </w:rPr>
        <w:t>ave no explanation at all for its failure to invoke the provisions of this rule which, to all intents and purposes, was, and is, for its own benefit.</w:t>
      </w:r>
    </w:p>
    <w:p w:rsidR="00987B75" w:rsidRPr="00487BCF" w:rsidRDefault="00CD6FCA" w:rsidP="00CD6FCA">
      <w:pPr>
        <w:pStyle w:val="ListParagraph"/>
        <w:numPr>
          <w:ilvl w:val="0"/>
          <w:numId w:val="3"/>
        </w:num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 xml:space="preserve">On 5 June, 2012 the respondent served </w:t>
      </w:r>
      <w:r w:rsidR="007F2B72">
        <w:rPr>
          <w:rFonts w:ascii="Times New Roman" w:hAnsi="Times New Roman" w:cs="Times New Roman"/>
          <w:sz w:val="24"/>
          <w:szCs w:val="24"/>
        </w:rPr>
        <w:t>t</w:t>
      </w:r>
      <w:r w:rsidRPr="00487BCF">
        <w:rPr>
          <w:rFonts w:ascii="Times New Roman" w:hAnsi="Times New Roman" w:cs="Times New Roman"/>
          <w:sz w:val="24"/>
          <w:szCs w:val="24"/>
        </w:rPr>
        <w:t xml:space="preserve">he applicant with the notice to plead and intention to </w:t>
      </w:r>
      <w:r w:rsidRPr="00487BCF">
        <w:rPr>
          <w:rFonts w:ascii="Times New Roman" w:hAnsi="Times New Roman" w:cs="Times New Roman"/>
          <w:sz w:val="24"/>
          <w:szCs w:val="24"/>
          <w:u w:val="single"/>
        </w:rPr>
        <w:t>bar</w:t>
      </w:r>
      <w:r w:rsidRPr="00487BCF">
        <w:rPr>
          <w:rFonts w:ascii="Times New Roman" w:hAnsi="Times New Roman" w:cs="Times New Roman"/>
          <w:sz w:val="24"/>
          <w:szCs w:val="24"/>
        </w:rPr>
        <w:t>. The notice in question reached the law firm of the applicant’s legal practitioners at about 12 mid-day of its date of issue as well as service. The applicant remained unaware of the notice from the date it was served upon it right up to 28 June, 2012 when, according to the applicant’s legal practitioner one Tatenda Mawere, the respondent’s legal practitioners alerted him of the notice.  What this means is that the notice was in the offices of the applicant’s legal practitioners</w:t>
      </w:r>
      <w:r w:rsidR="000A1259">
        <w:rPr>
          <w:rFonts w:ascii="Times New Roman" w:hAnsi="Times New Roman" w:cs="Times New Roman"/>
          <w:sz w:val="24"/>
          <w:szCs w:val="24"/>
        </w:rPr>
        <w:t>’</w:t>
      </w:r>
      <w:r w:rsidRPr="00487BCF">
        <w:rPr>
          <w:rFonts w:ascii="Times New Roman" w:hAnsi="Times New Roman" w:cs="Times New Roman"/>
          <w:sz w:val="24"/>
          <w:szCs w:val="24"/>
        </w:rPr>
        <w:t xml:space="preserve"> law firm</w:t>
      </w:r>
      <w:r w:rsidR="00987B75" w:rsidRPr="00487BCF">
        <w:rPr>
          <w:rFonts w:ascii="Times New Roman" w:hAnsi="Times New Roman" w:cs="Times New Roman"/>
          <w:sz w:val="24"/>
          <w:szCs w:val="24"/>
        </w:rPr>
        <w:t xml:space="preserve"> for a stretch of sixteen (16) working days without being acted upon.</w:t>
      </w:r>
    </w:p>
    <w:p w:rsidR="00987B75" w:rsidRPr="00487BCF" w:rsidRDefault="00987B75" w:rsidP="00CA308B">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The dilatory manner in which the applicant’</w:t>
      </w:r>
      <w:r w:rsidR="000A1259">
        <w:rPr>
          <w:rFonts w:ascii="Times New Roman" w:hAnsi="Times New Roman" w:cs="Times New Roman"/>
          <w:sz w:val="24"/>
          <w:szCs w:val="24"/>
        </w:rPr>
        <w:t>s</w:t>
      </w:r>
      <w:r w:rsidRPr="00487BCF">
        <w:rPr>
          <w:rFonts w:ascii="Times New Roman" w:hAnsi="Times New Roman" w:cs="Times New Roman"/>
          <w:sz w:val="24"/>
          <w:szCs w:val="24"/>
        </w:rPr>
        <w:t xml:space="preserve"> legal practitioners handled </w:t>
      </w:r>
    </w:p>
    <w:p w:rsidR="00667A0E" w:rsidRPr="00487BCF" w:rsidRDefault="00987B75" w:rsidP="00987B75">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 xml:space="preserve">their client’s case </w:t>
      </w:r>
      <w:r w:rsidR="000A1259">
        <w:rPr>
          <w:rFonts w:ascii="Times New Roman" w:hAnsi="Times New Roman" w:cs="Times New Roman"/>
          <w:sz w:val="24"/>
          <w:szCs w:val="24"/>
        </w:rPr>
        <w:t>is inexcusable</w:t>
      </w:r>
      <w:r w:rsidRPr="00487BCF">
        <w:rPr>
          <w:rFonts w:ascii="Times New Roman" w:hAnsi="Times New Roman" w:cs="Times New Roman"/>
          <w:sz w:val="24"/>
          <w:szCs w:val="24"/>
        </w:rPr>
        <w:t>. If the applicant is made to suffer, it will endure the suffering not because of its own action or conduct</w:t>
      </w:r>
      <w:r w:rsidR="00AF4ED2">
        <w:rPr>
          <w:rFonts w:ascii="Times New Roman" w:hAnsi="Times New Roman" w:cs="Times New Roman"/>
          <w:sz w:val="24"/>
          <w:szCs w:val="24"/>
        </w:rPr>
        <w:t>,</w:t>
      </w:r>
      <w:r w:rsidRPr="00487BCF">
        <w:rPr>
          <w:rFonts w:ascii="Times New Roman" w:hAnsi="Times New Roman" w:cs="Times New Roman"/>
          <w:sz w:val="24"/>
          <w:szCs w:val="24"/>
        </w:rPr>
        <w:t xml:space="preserve"> but because of its legal practitioners’ cavalier approach to their work. The </w:t>
      </w:r>
      <w:r w:rsidR="000A1259">
        <w:rPr>
          <w:rFonts w:ascii="Times New Roman" w:hAnsi="Times New Roman" w:cs="Times New Roman"/>
          <w:sz w:val="24"/>
          <w:szCs w:val="24"/>
        </w:rPr>
        <w:t>ripple</w:t>
      </w:r>
      <w:r w:rsidRPr="00487BCF">
        <w:rPr>
          <w:rFonts w:ascii="Times New Roman" w:hAnsi="Times New Roman" w:cs="Times New Roman"/>
          <w:sz w:val="24"/>
          <w:szCs w:val="24"/>
        </w:rPr>
        <w:t xml:space="preserve"> effect</w:t>
      </w:r>
      <w:r w:rsidR="00337992" w:rsidRPr="00487BCF">
        <w:rPr>
          <w:rFonts w:ascii="Times New Roman" w:hAnsi="Times New Roman" w:cs="Times New Roman"/>
          <w:sz w:val="24"/>
          <w:szCs w:val="24"/>
        </w:rPr>
        <w:t xml:space="preserve"> of this analysed set of circumstances is that the applicant’s choice of legal practitioners amongst many which are within, and outside</w:t>
      </w:r>
      <w:r w:rsidR="00AF4ED2">
        <w:rPr>
          <w:rFonts w:ascii="Times New Roman" w:hAnsi="Times New Roman" w:cs="Times New Roman"/>
          <w:sz w:val="24"/>
          <w:szCs w:val="24"/>
        </w:rPr>
        <w:t>,</w:t>
      </w:r>
      <w:r w:rsidR="00337992" w:rsidRPr="00487BCF">
        <w:rPr>
          <w:rFonts w:ascii="Times New Roman" w:hAnsi="Times New Roman" w:cs="Times New Roman"/>
          <w:sz w:val="24"/>
          <w:szCs w:val="24"/>
        </w:rPr>
        <w:t xml:space="preserve"> the jurisdiction of this court causes it to endure the suffering, if it will. Its law firm’s legal practitioner, Tatenda Mawere, who </w:t>
      </w:r>
      <w:r w:rsidR="00337992" w:rsidRPr="00AD2A99">
        <w:rPr>
          <w:rFonts w:ascii="Times New Roman" w:hAnsi="Times New Roman" w:cs="Times New Roman"/>
          <w:sz w:val="24"/>
          <w:szCs w:val="24"/>
        </w:rPr>
        <w:t xml:space="preserve">deposed </w:t>
      </w:r>
      <w:r w:rsidR="00337992" w:rsidRPr="00487BCF">
        <w:rPr>
          <w:rFonts w:ascii="Times New Roman" w:hAnsi="Times New Roman" w:cs="Times New Roman"/>
          <w:sz w:val="24"/>
          <w:szCs w:val="24"/>
        </w:rPr>
        <w:t>to an affidavit in support of the present application laid the entire blame on the applicant’s lawyers for the mishap which pertain</w:t>
      </w:r>
      <w:r w:rsidR="00AF4ED2">
        <w:rPr>
          <w:rFonts w:ascii="Times New Roman" w:hAnsi="Times New Roman" w:cs="Times New Roman"/>
          <w:sz w:val="24"/>
          <w:szCs w:val="24"/>
        </w:rPr>
        <w:t>ed</w:t>
      </w:r>
      <w:r w:rsidR="00A8761C" w:rsidRPr="00487BCF">
        <w:rPr>
          <w:rFonts w:ascii="Times New Roman" w:hAnsi="Times New Roman" w:cs="Times New Roman"/>
          <w:sz w:val="24"/>
          <w:szCs w:val="24"/>
        </w:rPr>
        <w:t xml:space="preserve"> to matter of the notice to plead and intention to bar. One would not stop at that</w:t>
      </w:r>
      <w:r w:rsidR="00AF4ED2">
        <w:rPr>
          <w:rFonts w:ascii="Times New Roman" w:hAnsi="Times New Roman" w:cs="Times New Roman"/>
          <w:sz w:val="24"/>
          <w:szCs w:val="24"/>
        </w:rPr>
        <w:t>;</w:t>
      </w:r>
      <w:r w:rsidR="00A8761C" w:rsidRPr="00487BCF">
        <w:rPr>
          <w:rFonts w:ascii="Times New Roman" w:hAnsi="Times New Roman" w:cs="Times New Roman"/>
          <w:sz w:val="24"/>
          <w:szCs w:val="24"/>
        </w:rPr>
        <w:t xml:space="preserve"> but would go further and assert that the applicant’s firm of legal practitioners cannot excuse themselves at all in respect of </w:t>
      </w:r>
      <w:r w:rsidR="00A8761C" w:rsidRPr="00487BCF">
        <w:rPr>
          <w:rFonts w:ascii="Times New Roman" w:hAnsi="Times New Roman" w:cs="Times New Roman"/>
          <w:sz w:val="24"/>
          <w:szCs w:val="24"/>
          <w:u w:val="single"/>
        </w:rPr>
        <w:t>all</w:t>
      </w:r>
      <w:r w:rsidR="00A8761C" w:rsidRPr="00487BCF">
        <w:rPr>
          <w:rFonts w:ascii="Times New Roman" w:hAnsi="Times New Roman" w:cs="Times New Roman"/>
          <w:sz w:val="24"/>
          <w:szCs w:val="24"/>
        </w:rPr>
        <w:t xml:space="preserve"> the th</w:t>
      </w:r>
      <w:r w:rsidR="00AF4ED2">
        <w:rPr>
          <w:rFonts w:ascii="Times New Roman" w:hAnsi="Times New Roman" w:cs="Times New Roman"/>
          <w:sz w:val="24"/>
          <w:szCs w:val="24"/>
        </w:rPr>
        <w:t>ree</w:t>
      </w:r>
      <w:r w:rsidR="00A8761C" w:rsidRPr="00487BCF">
        <w:rPr>
          <w:rFonts w:ascii="Times New Roman" w:hAnsi="Times New Roman" w:cs="Times New Roman"/>
          <w:sz w:val="24"/>
          <w:szCs w:val="24"/>
        </w:rPr>
        <w:t xml:space="preserve"> matters which the court has had occasion to observe. That is so because a party which engages the service</w:t>
      </w:r>
      <w:r w:rsidR="007F2B72">
        <w:rPr>
          <w:rFonts w:ascii="Times New Roman" w:hAnsi="Times New Roman" w:cs="Times New Roman"/>
          <w:sz w:val="24"/>
          <w:szCs w:val="24"/>
        </w:rPr>
        <w:t>s</w:t>
      </w:r>
      <w:r w:rsidR="00A8761C" w:rsidRPr="00487BCF">
        <w:rPr>
          <w:rFonts w:ascii="Times New Roman" w:hAnsi="Times New Roman" w:cs="Times New Roman"/>
          <w:sz w:val="24"/>
          <w:szCs w:val="24"/>
        </w:rPr>
        <w:t xml:space="preserve"> of a legal practitioner generally does repose its </w:t>
      </w:r>
      <w:r w:rsidR="00A8761C" w:rsidRPr="00487BCF">
        <w:rPr>
          <w:rFonts w:ascii="Times New Roman" w:hAnsi="Times New Roman" w:cs="Times New Roman"/>
          <w:sz w:val="24"/>
          <w:szCs w:val="24"/>
        </w:rPr>
        <w:lastRenderedPageBreak/>
        <w:t xml:space="preserve">trust and confidence in its legal practitioners to perform, on its behalf, all necessary work which must be performed as and when such work is </w:t>
      </w:r>
      <w:r w:rsidR="00AF4ED2">
        <w:rPr>
          <w:rFonts w:ascii="Times New Roman" w:hAnsi="Times New Roman" w:cs="Times New Roman"/>
          <w:sz w:val="24"/>
          <w:szCs w:val="24"/>
        </w:rPr>
        <w:t>due</w:t>
      </w:r>
      <w:r w:rsidR="00A8761C" w:rsidRPr="00487BCF">
        <w:rPr>
          <w:rFonts w:ascii="Times New Roman" w:hAnsi="Times New Roman" w:cs="Times New Roman"/>
          <w:sz w:val="24"/>
          <w:szCs w:val="24"/>
        </w:rPr>
        <w:t>. The party does not, for instance, know that:-</w:t>
      </w:r>
    </w:p>
    <w:p w:rsidR="0077793D" w:rsidRPr="00487BCF" w:rsidRDefault="00AF4ED2" w:rsidP="00667A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667A0E" w:rsidRPr="00487BCF">
        <w:rPr>
          <w:rFonts w:ascii="Times New Roman" w:hAnsi="Times New Roman" w:cs="Times New Roman"/>
          <w:sz w:val="24"/>
          <w:szCs w:val="24"/>
        </w:rPr>
        <w:t xml:space="preserve">here are time lines within </w:t>
      </w:r>
      <w:r w:rsidR="0077793D" w:rsidRPr="00487BCF">
        <w:rPr>
          <w:rFonts w:ascii="Times New Roman" w:hAnsi="Times New Roman" w:cs="Times New Roman"/>
          <w:sz w:val="24"/>
          <w:szCs w:val="24"/>
        </w:rPr>
        <w:t xml:space="preserve">which certain actions must be carried out in </w:t>
      </w:r>
      <w:r w:rsidR="00AD2A99">
        <w:rPr>
          <w:rFonts w:ascii="Times New Roman" w:hAnsi="Times New Roman" w:cs="Times New Roman"/>
          <w:sz w:val="24"/>
          <w:szCs w:val="24"/>
        </w:rPr>
        <w:t>litigation</w:t>
      </w:r>
      <w:r w:rsidR="007F2B72">
        <w:rPr>
          <w:rFonts w:ascii="Times New Roman" w:hAnsi="Times New Roman" w:cs="Times New Roman"/>
          <w:sz w:val="24"/>
          <w:szCs w:val="24"/>
        </w:rPr>
        <w:t>;</w:t>
      </w:r>
      <w:r w:rsidR="0077793D" w:rsidRPr="00487BCF">
        <w:rPr>
          <w:rFonts w:ascii="Times New Roman" w:hAnsi="Times New Roman" w:cs="Times New Roman"/>
          <w:i/>
          <w:sz w:val="24"/>
          <w:szCs w:val="24"/>
        </w:rPr>
        <w:t xml:space="preserve"> </w:t>
      </w:r>
      <w:r w:rsidR="0077793D" w:rsidRPr="00487BCF">
        <w:rPr>
          <w:rFonts w:ascii="Times New Roman" w:hAnsi="Times New Roman" w:cs="Times New Roman"/>
          <w:sz w:val="24"/>
          <w:szCs w:val="24"/>
        </w:rPr>
        <w:t xml:space="preserve">or </w:t>
      </w:r>
    </w:p>
    <w:p w:rsidR="0077793D" w:rsidRPr="00487BCF" w:rsidRDefault="00AF4ED2" w:rsidP="00667A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77793D" w:rsidRPr="00487BCF">
        <w:rPr>
          <w:rFonts w:ascii="Times New Roman" w:hAnsi="Times New Roman" w:cs="Times New Roman"/>
          <w:sz w:val="24"/>
          <w:szCs w:val="24"/>
        </w:rPr>
        <w:t xml:space="preserve">here are </w:t>
      </w:r>
      <w:r w:rsidR="0077793D" w:rsidRPr="00487BCF">
        <w:rPr>
          <w:rFonts w:ascii="Times New Roman" w:hAnsi="Times New Roman" w:cs="Times New Roman"/>
          <w:sz w:val="24"/>
          <w:szCs w:val="24"/>
          <w:u w:val="single"/>
        </w:rPr>
        <w:t>rules</w:t>
      </w:r>
      <w:r w:rsidR="0077793D" w:rsidRPr="00487BCF">
        <w:rPr>
          <w:rFonts w:ascii="Times New Roman" w:hAnsi="Times New Roman" w:cs="Times New Roman"/>
          <w:sz w:val="24"/>
          <w:szCs w:val="24"/>
        </w:rPr>
        <w:t xml:space="preserve"> which guide and govern the operations of the court </w:t>
      </w:r>
      <w:r>
        <w:rPr>
          <w:rFonts w:ascii="Times New Roman" w:hAnsi="Times New Roman" w:cs="Times New Roman"/>
          <w:sz w:val="24"/>
          <w:szCs w:val="24"/>
        </w:rPr>
        <w:t>particularly</w:t>
      </w:r>
      <w:r w:rsidR="0077793D" w:rsidRPr="00487BCF">
        <w:rPr>
          <w:rFonts w:ascii="Times New Roman" w:hAnsi="Times New Roman" w:cs="Times New Roman"/>
          <w:sz w:val="24"/>
          <w:szCs w:val="24"/>
        </w:rPr>
        <w:t xml:space="preserve"> such matters as the issuance, servicing and/or filing of court process; or</w:t>
      </w:r>
    </w:p>
    <w:p w:rsidR="00C97A6C" w:rsidRPr="00487BCF" w:rsidRDefault="00AF4ED2" w:rsidP="00667A0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w:t>
      </w:r>
      <w:r w:rsidR="0077793D" w:rsidRPr="00487BCF">
        <w:rPr>
          <w:rFonts w:ascii="Times New Roman" w:hAnsi="Times New Roman" w:cs="Times New Roman"/>
          <w:sz w:val="24"/>
          <w:szCs w:val="24"/>
        </w:rPr>
        <w:t xml:space="preserve">ailure to comply with the </w:t>
      </w:r>
      <w:r w:rsidR="0077793D" w:rsidRPr="00487BCF">
        <w:rPr>
          <w:rFonts w:ascii="Times New Roman" w:hAnsi="Times New Roman" w:cs="Times New Roman"/>
          <w:sz w:val="24"/>
          <w:szCs w:val="24"/>
          <w:u w:val="single"/>
        </w:rPr>
        <w:t>rules</w:t>
      </w:r>
      <w:r w:rsidR="0077793D" w:rsidRPr="00487BCF">
        <w:rPr>
          <w:rFonts w:ascii="Times New Roman" w:hAnsi="Times New Roman" w:cs="Times New Roman"/>
          <w:sz w:val="24"/>
          <w:szCs w:val="24"/>
        </w:rPr>
        <w:t xml:space="preserve"> of court can be fatal to its case. </w:t>
      </w:r>
    </w:p>
    <w:p w:rsidR="00902F1F" w:rsidRDefault="00C97A6C" w:rsidP="007C61B9">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 xml:space="preserve">Those who are trained in the law, legal practitioners, do know or, at the very least, are </w:t>
      </w:r>
    </w:p>
    <w:p w:rsidR="003B4CAB" w:rsidRPr="00487BCF" w:rsidRDefault="00C97A6C" w:rsidP="007C61B9">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presumed to have knowledge of all o</w:t>
      </w:r>
      <w:r w:rsidR="00844B8C">
        <w:rPr>
          <w:rFonts w:ascii="Times New Roman" w:hAnsi="Times New Roman" w:cs="Times New Roman"/>
          <w:sz w:val="24"/>
          <w:szCs w:val="24"/>
        </w:rPr>
        <w:t>f</w:t>
      </w:r>
      <w:r w:rsidRPr="00487BCF">
        <w:rPr>
          <w:rFonts w:ascii="Times New Roman" w:hAnsi="Times New Roman" w:cs="Times New Roman"/>
          <w:sz w:val="24"/>
          <w:szCs w:val="24"/>
        </w:rPr>
        <w:t xml:space="preserve"> the abovementioned and, indeed,</w:t>
      </w:r>
      <w:r w:rsidR="00AD2A99">
        <w:rPr>
          <w:rFonts w:ascii="Times New Roman" w:hAnsi="Times New Roman" w:cs="Times New Roman"/>
          <w:sz w:val="24"/>
          <w:szCs w:val="24"/>
        </w:rPr>
        <w:t xml:space="preserve"> many </w:t>
      </w:r>
      <w:r w:rsidRPr="00487BCF">
        <w:rPr>
          <w:rFonts w:ascii="Times New Roman" w:hAnsi="Times New Roman" w:cs="Times New Roman"/>
          <w:sz w:val="24"/>
          <w:szCs w:val="24"/>
        </w:rPr>
        <w:t>mo</w:t>
      </w:r>
      <w:r w:rsidR="00AD2A99">
        <w:rPr>
          <w:rFonts w:ascii="Times New Roman" w:hAnsi="Times New Roman" w:cs="Times New Roman"/>
          <w:sz w:val="24"/>
          <w:szCs w:val="24"/>
        </w:rPr>
        <w:t>r</w:t>
      </w:r>
      <w:r w:rsidRPr="00487BCF">
        <w:rPr>
          <w:rFonts w:ascii="Times New Roman" w:hAnsi="Times New Roman" w:cs="Times New Roman"/>
          <w:sz w:val="24"/>
          <w:szCs w:val="24"/>
        </w:rPr>
        <w:t>e matters which relate to litigation. The question which begs the answers</w:t>
      </w:r>
      <w:r w:rsidR="0092000E">
        <w:rPr>
          <w:rFonts w:ascii="Times New Roman" w:hAnsi="Times New Roman" w:cs="Times New Roman"/>
          <w:sz w:val="24"/>
          <w:szCs w:val="24"/>
        </w:rPr>
        <w:t xml:space="preserve"> is </w:t>
      </w:r>
      <w:r w:rsidRPr="00487BCF">
        <w:rPr>
          <w:rFonts w:ascii="Times New Roman" w:hAnsi="Times New Roman" w:cs="Times New Roman"/>
          <w:sz w:val="24"/>
          <w:szCs w:val="24"/>
        </w:rPr>
        <w:t>should a party which engages a legal practitioner who makes serious technical blunders in the course of prosecuting</w:t>
      </w:r>
      <w:r w:rsidR="00D96036">
        <w:rPr>
          <w:rFonts w:ascii="Times New Roman" w:hAnsi="Times New Roman" w:cs="Times New Roman"/>
          <w:sz w:val="24"/>
          <w:szCs w:val="24"/>
        </w:rPr>
        <w:t xml:space="preserve"> the case of</w:t>
      </w:r>
      <w:r w:rsidRPr="00487BCF">
        <w:rPr>
          <w:rFonts w:ascii="Times New Roman" w:hAnsi="Times New Roman" w:cs="Times New Roman"/>
          <w:sz w:val="24"/>
          <w:szCs w:val="24"/>
        </w:rPr>
        <w:t>, or defending, his client be penalised for the obvious mistakes o</w:t>
      </w:r>
      <w:r w:rsidR="00844B8C">
        <w:rPr>
          <w:rFonts w:ascii="Times New Roman" w:hAnsi="Times New Roman" w:cs="Times New Roman"/>
          <w:sz w:val="24"/>
          <w:szCs w:val="24"/>
        </w:rPr>
        <w:t>f</w:t>
      </w:r>
      <w:r w:rsidRPr="00487BCF">
        <w:rPr>
          <w:rFonts w:ascii="Times New Roman" w:hAnsi="Times New Roman" w:cs="Times New Roman"/>
          <w:sz w:val="24"/>
          <w:szCs w:val="24"/>
        </w:rPr>
        <w:t xml:space="preserve"> its legal practitioner</w:t>
      </w:r>
      <w:r w:rsidR="007F2B72">
        <w:rPr>
          <w:rFonts w:ascii="Times New Roman" w:hAnsi="Times New Roman" w:cs="Times New Roman"/>
          <w:sz w:val="24"/>
          <w:szCs w:val="24"/>
        </w:rPr>
        <w:t>(</w:t>
      </w:r>
      <w:r w:rsidRPr="00487BCF">
        <w:rPr>
          <w:rFonts w:ascii="Times New Roman" w:hAnsi="Times New Roman" w:cs="Times New Roman"/>
          <w:sz w:val="24"/>
          <w:szCs w:val="24"/>
        </w:rPr>
        <w:t>s</w:t>
      </w:r>
      <w:r w:rsidR="007F2B72">
        <w:rPr>
          <w:rFonts w:ascii="Times New Roman" w:hAnsi="Times New Roman" w:cs="Times New Roman"/>
          <w:sz w:val="24"/>
          <w:szCs w:val="24"/>
        </w:rPr>
        <w:t>)</w:t>
      </w:r>
      <w:r w:rsidR="00844B8C">
        <w:rPr>
          <w:rFonts w:ascii="Times New Roman" w:hAnsi="Times New Roman" w:cs="Times New Roman"/>
          <w:sz w:val="24"/>
          <w:szCs w:val="24"/>
        </w:rPr>
        <w:t>.</w:t>
      </w:r>
      <w:r w:rsidRPr="00487BCF">
        <w:rPr>
          <w:rFonts w:ascii="Times New Roman" w:hAnsi="Times New Roman" w:cs="Times New Roman"/>
          <w:sz w:val="24"/>
          <w:szCs w:val="24"/>
        </w:rPr>
        <w:t xml:space="preserve"> </w:t>
      </w:r>
      <w:r w:rsidR="00844B8C">
        <w:rPr>
          <w:rFonts w:ascii="Times New Roman" w:hAnsi="Times New Roman" w:cs="Times New Roman"/>
          <w:sz w:val="24"/>
          <w:szCs w:val="24"/>
        </w:rPr>
        <w:t>P</w:t>
      </w:r>
      <w:r w:rsidRPr="00487BCF">
        <w:rPr>
          <w:rFonts w:ascii="Times New Roman" w:hAnsi="Times New Roman" w:cs="Times New Roman"/>
          <w:sz w:val="24"/>
          <w:szCs w:val="24"/>
        </w:rPr>
        <w:t xml:space="preserve">ut differently, that question is should the </w:t>
      </w:r>
      <w:r w:rsidR="00844B8C">
        <w:rPr>
          <w:rFonts w:ascii="Times New Roman" w:hAnsi="Times New Roman" w:cs="Times New Roman"/>
          <w:sz w:val="24"/>
          <w:szCs w:val="24"/>
        </w:rPr>
        <w:t>sins</w:t>
      </w:r>
      <w:r w:rsidRPr="00487BCF">
        <w:rPr>
          <w:rFonts w:ascii="Times New Roman" w:hAnsi="Times New Roman" w:cs="Times New Roman"/>
          <w:sz w:val="24"/>
          <w:szCs w:val="24"/>
        </w:rPr>
        <w:t xml:space="preserve"> which a party’s legal practitioners commit be visited upon the party itself. The answer</w:t>
      </w:r>
      <w:r w:rsidR="007F2B72">
        <w:rPr>
          <w:rFonts w:ascii="Times New Roman" w:hAnsi="Times New Roman" w:cs="Times New Roman"/>
          <w:sz w:val="24"/>
          <w:szCs w:val="24"/>
        </w:rPr>
        <w:t xml:space="preserve"> </w:t>
      </w:r>
      <w:r w:rsidRPr="00487BCF">
        <w:rPr>
          <w:rFonts w:ascii="Times New Roman" w:hAnsi="Times New Roman" w:cs="Times New Roman"/>
          <w:sz w:val="24"/>
          <w:szCs w:val="24"/>
        </w:rPr>
        <w:t>to that question does, and should, in</w:t>
      </w:r>
      <w:r w:rsidR="00844B8C">
        <w:rPr>
          <w:rFonts w:ascii="Times New Roman" w:hAnsi="Times New Roman" w:cs="Times New Roman"/>
          <w:sz w:val="24"/>
          <w:szCs w:val="24"/>
        </w:rPr>
        <w:t xml:space="preserve"> my</w:t>
      </w:r>
      <w:r w:rsidRPr="00487BCF">
        <w:rPr>
          <w:rFonts w:ascii="Times New Roman" w:hAnsi="Times New Roman" w:cs="Times New Roman"/>
          <w:sz w:val="24"/>
          <w:szCs w:val="24"/>
        </w:rPr>
        <w:t xml:space="preserve"> view, depend on the circumstances of each case. Generally, the answer</w:t>
      </w:r>
      <w:r w:rsidR="007F2B72">
        <w:rPr>
          <w:rFonts w:ascii="Times New Roman" w:hAnsi="Times New Roman" w:cs="Times New Roman"/>
          <w:sz w:val="24"/>
          <w:szCs w:val="24"/>
        </w:rPr>
        <w:t xml:space="preserve"> is</w:t>
      </w:r>
      <w:r w:rsidRPr="00487BCF">
        <w:rPr>
          <w:rFonts w:ascii="Times New Roman" w:hAnsi="Times New Roman" w:cs="Times New Roman"/>
          <w:sz w:val="24"/>
          <w:szCs w:val="24"/>
        </w:rPr>
        <w:t xml:space="preserve"> in the affirmative. That is so in situations where a party’s case is hopelessly devoid of merit. Where, however, a party’s case seems, on the face of it, to command some </w:t>
      </w:r>
      <w:r w:rsidR="001B27EC">
        <w:rPr>
          <w:rFonts w:ascii="Times New Roman" w:hAnsi="Times New Roman" w:cs="Times New Roman"/>
          <w:sz w:val="24"/>
          <w:szCs w:val="24"/>
        </w:rPr>
        <w:t>merit</w:t>
      </w:r>
      <w:r w:rsidRPr="00487BCF">
        <w:rPr>
          <w:rFonts w:ascii="Times New Roman" w:hAnsi="Times New Roman" w:cs="Times New Roman"/>
          <w:sz w:val="24"/>
          <w:szCs w:val="24"/>
        </w:rPr>
        <w:t>, the interest</w:t>
      </w:r>
      <w:r w:rsidR="00844B8C">
        <w:rPr>
          <w:rFonts w:ascii="Times New Roman" w:hAnsi="Times New Roman" w:cs="Times New Roman"/>
          <w:sz w:val="24"/>
          <w:szCs w:val="24"/>
        </w:rPr>
        <w:t>s</w:t>
      </w:r>
      <w:r w:rsidRPr="00487BCF">
        <w:rPr>
          <w:rFonts w:ascii="Times New Roman" w:hAnsi="Times New Roman" w:cs="Times New Roman"/>
          <w:sz w:val="24"/>
          <w:szCs w:val="24"/>
        </w:rPr>
        <w:t xml:space="preserve"> of justice </w:t>
      </w:r>
      <w:r w:rsidR="00BB145E" w:rsidRPr="00487BCF">
        <w:rPr>
          <w:rFonts w:ascii="Times New Roman" w:hAnsi="Times New Roman" w:cs="Times New Roman"/>
          <w:sz w:val="24"/>
          <w:szCs w:val="24"/>
        </w:rPr>
        <w:t>would best</w:t>
      </w:r>
      <w:r w:rsidR="007F2B72">
        <w:rPr>
          <w:rFonts w:ascii="Times New Roman" w:hAnsi="Times New Roman" w:cs="Times New Roman"/>
          <w:sz w:val="24"/>
          <w:szCs w:val="24"/>
        </w:rPr>
        <w:t xml:space="preserve"> be</w:t>
      </w:r>
      <w:r w:rsidR="00BB145E" w:rsidRPr="00487BCF">
        <w:rPr>
          <w:rFonts w:ascii="Times New Roman" w:hAnsi="Times New Roman" w:cs="Times New Roman"/>
          <w:sz w:val="24"/>
          <w:szCs w:val="24"/>
        </w:rPr>
        <w:t xml:space="preserve"> served if the court makes a conscious distinction between the sin</w:t>
      </w:r>
      <w:r w:rsidR="00844B8C">
        <w:rPr>
          <w:rFonts w:ascii="Times New Roman" w:hAnsi="Times New Roman" w:cs="Times New Roman"/>
          <w:sz w:val="24"/>
          <w:szCs w:val="24"/>
        </w:rPr>
        <w:t>s</w:t>
      </w:r>
      <w:r w:rsidR="00BB145E" w:rsidRPr="00487BCF">
        <w:rPr>
          <w:rFonts w:ascii="Times New Roman" w:hAnsi="Times New Roman" w:cs="Times New Roman"/>
          <w:sz w:val="24"/>
          <w:szCs w:val="24"/>
        </w:rPr>
        <w:t xml:space="preserve"> of a party’s legal practitioners which </w:t>
      </w:r>
      <w:r w:rsidR="00D13379">
        <w:rPr>
          <w:rFonts w:ascii="Times New Roman" w:hAnsi="Times New Roman" w:cs="Times New Roman"/>
          <w:sz w:val="24"/>
          <w:szCs w:val="24"/>
        </w:rPr>
        <w:t>sins</w:t>
      </w:r>
      <w:r w:rsidR="00BB145E" w:rsidRPr="00487BCF">
        <w:rPr>
          <w:rFonts w:ascii="Times New Roman" w:hAnsi="Times New Roman" w:cs="Times New Roman"/>
          <w:sz w:val="24"/>
          <w:szCs w:val="24"/>
        </w:rPr>
        <w:t xml:space="preserve"> arise out of the practitioners</w:t>
      </w:r>
      <w:r w:rsidR="00D13379">
        <w:rPr>
          <w:rFonts w:ascii="Times New Roman" w:hAnsi="Times New Roman" w:cs="Times New Roman"/>
          <w:sz w:val="24"/>
          <w:szCs w:val="24"/>
        </w:rPr>
        <w:t>’</w:t>
      </w:r>
      <w:r w:rsidR="00BB145E" w:rsidRPr="00487BCF">
        <w:rPr>
          <w:rFonts w:ascii="Times New Roman" w:hAnsi="Times New Roman" w:cs="Times New Roman"/>
          <w:sz w:val="24"/>
          <w:szCs w:val="24"/>
        </w:rPr>
        <w:t xml:space="preserve"> cavalier approach to the work of </w:t>
      </w:r>
      <w:r w:rsidR="00D13379">
        <w:rPr>
          <w:rFonts w:ascii="Times New Roman" w:hAnsi="Times New Roman" w:cs="Times New Roman"/>
          <w:sz w:val="24"/>
          <w:szCs w:val="24"/>
        </w:rPr>
        <w:t>their</w:t>
      </w:r>
      <w:r w:rsidR="00BB145E" w:rsidRPr="00487BCF">
        <w:rPr>
          <w:rFonts w:ascii="Times New Roman" w:hAnsi="Times New Roman" w:cs="Times New Roman"/>
          <w:sz w:val="24"/>
          <w:szCs w:val="24"/>
        </w:rPr>
        <w:t xml:space="preserve"> client and the substance of the party’s case as a whole. The duty of the court is not to always allow parties to hinge their case</w:t>
      </w:r>
      <w:r w:rsidR="007F2B72">
        <w:rPr>
          <w:rFonts w:ascii="Times New Roman" w:hAnsi="Times New Roman" w:cs="Times New Roman"/>
          <w:sz w:val="24"/>
          <w:szCs w:val="24"/>
        </w:rPr>
        <w:t>s</w:t>
      </w:r>
      <w:r w:rsidR="00BB145E" w:rsidRPr="00487BCF">
        <w:rPr>
          <w:rFonts w:ascii="Times New Roman" w:hAnsi="Times New Roman" w:cs="Times New Roman"/>
          <w:sz w:val="24"/>
          <w:szCs w:val="24"/>
        </w:rPr>
        <w:t xml:space="preserve"> on technicalities. Its </w:t>
      </w:r>
      <w:r w:rsidR="00D13379">
        <w:rPr>
          <w:rFonts w:ascii="Times New Roman" w:hAnsi="Times New Roman" w:cs="Times New Roman"/>
          <w:sz w:val="24"/>
          <w:szCs w:val="24"/>
        </w:rPr>
        <w:t>sworn</w:t>
      </w:r>
      <w:r w:rsidR="00BB145E" w:rsidRPr="00487BCF">
        <w:rPr>
          <w:rFonts w:ascii="Times New Roman" w:hAnsi="Times New Roman" w:cs="Times New Roman"/>
          <w:sz w:val="24"/>
          <w:szCs w:val="24"/>
        </w:rPr>
        <w:t xml:space="preserve"> duty is to dispense real and substantial justice.</w:t>
      </w:r>
    </w:p>
    <w:p w:rsidR="00691FCD" w:rsidRPr="00487BCF" w:rsidRDefault="003B4CAB" w:rsidP="007C61B9">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The foregoing does not, in any way</w:t>
      </w:r>
      <w:r w:rsidR="00D13379">
        <w:rPr>
          <w:rFonts w:ascii="Times New Roman" w:hAnsi="Times New Roman" w:cs="Times New Roman"/>
          <w:sz w:val="24"/>
          <w:szCs w:val="24"/>
        </w:rPr>
        <w:t>,</w:t>
      </w:r>
      <w:r w:rsidRPr="00487BCF">
        <w:rPr>
          <w:rFonts w:ascii="Times New Roman" w:hAnsi="Times New Roman" w:cs="Times New Roman"/>
          <w:sz w:val="24"/>
          <w:szCs w:val="24"/>
        </w:rPr>
        <w:t xml:space="preserve"> suggest that the </w:t>
      </w:r>
      <w:r w:rsidRPr="00487BCF">
        <w:rPr>
          <w:rFonts w:ascii="Times New Roman" w:hAnsi="Times New Roman" w:cs="Times New Roman"/>
          <w:sz w:val="24"/>
          <w:szCs w:val="24"/>
          <w:u w:val="single"/>
        </w:rPr>
        <w:t>rules</w:t>
      </w:r>
      <w:r w:rsidRPr="00487BCF">
        <w:rPr>
          <w:rFonts w:ascii="Times New Roman" w:hAnsi="Times New Roman" w:cs="Times New Roman"/>
          <w:sz w:val="24"/>
          <w:szCs w:val="24"/>
        </w:rPr>
        <w:t xml:space="preserve"> of court should be taken lightly or ignored by litigants. Those rules are so important that a party whose case is before the court must always make every effort to comply with them for its own benefit. The court put the rules in place as a way of </w:t>
      </w:r>
      <w:r w:rsidR="002A55E4">
        <w:rPr>
          <w:rFonts w:ascii="Times New Roman" w:hAnsi="Times New Roman" w:cs="Times New Roman"/>
          <w:sz w:val="24"/>
          <w:szCs w:val="24"/>
        </w:rPr>
        <w:t>ensuring</w:t>
      </w:r>
      <w:r w:rsidRPr="00487BCF">
        <w:rPr>
          <w:rFonts w:ascii="Times New Roman" w:hAnsi="Times New Roman" w:cs="Times New Roman"/>
          <w:sz w:val="24"/>
          <w:szCs w:val="24"/>
        </w:rPr>
        <w:t xml:space="preserve"> that its work operates in a smooth and clearly defined manner. The </w:t>
      </w:r>
      <w:r w:rsidR="00F542DF" w:rsidRPr="00487BCF">
        <w:rPr>
          <w:rFonts w:ascii="Times New Roman" w:hAnsi="Times New Roman" w:cs="Times New Roman"/>
          <w:sz w:val="24"/>
          <w:szCs w:val="24"/>
        </w:rPr>
        <w:t>rules assist the parties to move their respective cases forward leading to a speedy</w:t>
      </w:r>
      <w:r w:rsidR="004054DC" w:rsidRPr="00487BCF">
        <w:rPr>
          <w:rFonts w:ascii="Times New Roman" w:hAnsi="Times New Roman" w:cs="Times New Roman"/>
          <w:sz w:val="24"/>
          <w:szCs w:val="24"/>
        </w:rPr>
        <w:t xml:space="preserve"> resolution of disputes. It follows from this set of circumstances that non-observance of, or non-compliance with, the </w:t>
      </w:r>
      <w:r w:rsidR="004054DC" w:rsidRPr="00487BCF">
        <w:rPr>
          <w:rFonts w:ascii="Times New Roman" w:hAnsi="Times New Roman" w:cs="Times New Roman"/>
          <w:sz w:val="24"/>
          <w:szCs w:val="24"/>
          <w:u w:val="single"/>
        </w:rPr>
        <w:t>rules</w:t>
      </w:r>
      <w:r w:rsidR="004054DC" w:rsidRPr="00487BCF">
        <w:rPr>
          <w:rFonts w:ascii="Times New Roman" w:hAnsi="Times New Roman" w:cs="Times New Roman"/>
          <w:sz w:val="24"/>
          <w:szCs w:val="24"/>
        </w:rPr>
        <w:t xml:space="preserve"> of court by a party does, as a general rule, lead to a party’s case falling. That is particularly so where a party’s case, viewed holistically, is, on the face of it, hanging on nothing</w:t>
      </w:r>
      <w:r w:rsidR="0071310B">
        <w:rPr>
          <w:rFonts w:ascii="Times New Roman" w:hAnsi="Times New Roman" w:cs="Times New Roman"/>
          <w:sz w:val="24"/>
          <w:szCs w:val="24"/>
        </w:rPr>
        <w:t>.</w:t>
      </w:r>
      <w:r w:rsidR="004054DC" w:rsidRPr="00487BCF">
        <w:rPr>
          <w:rFonts w:ascii="Times New Roman" w:hAnsi="Times New Roman" w:cs="Times New Roman"/>
          <w:sz w:val="24"/>
          <w:szCs w:val="24"/>
        </w:rPr>
        <w:t xml:space="preserve"> </w:t>
      </w:r>
      <w:r w:rsidR="0071310B">
        <w:rPr>
          <w:rFonts w:ascii="Times New Roman" w:hAnsi="Times New Roman" w:cs="Times New Roman"/>
          <w:sz w:val="24"/>
          <w:szCs w:val="24"/>
        </w:rPr>
        <w:t>W</w:t>
      </w:r>
      <w:r w:rsidR="004054DC" w:rsidRPr="00487BCF">
        <w:rPr>
          <w:rFonts w:ascii="Times New Roman" w:hAnsi="Times New Roman" w:cs="Times New Roman"/>
          <w:sz w:val="24"/>
          <w:szCs w:val="24"/>
        </w:rPr>
        <w:t xml:space="preserve">here, however, a party’s case, taken as a whole, appears to be substantially strong, an injustice would have been visited upon the party which has, out of </w:t>
      </w:r>
      <w:r w:rsidR="004054DC" w:rsidRPr="00487BCF">
        <w:rPr>
          <w:rFonts w:ascii="Times New Roman" w:hAnsi="Times New Roman" w:cs="Times New Roman"/>
          <w:sz w:val="24"/>
          <w:szCs w:val="24"/>
        </w:rPr>
        <w:lastRenderedPageBreak/>
        <w:t>the inadvertence of its legal practitioners, failed to observe, or</w:t>
      </w:r>
      <w:r w:rsidR="0071310B">
        <w:rPr>
          <w:rFonts w:ascii="Times New Roman" w:hAnsi="Times New Roman" w:cs="Times New Roman"/>
          <w:sz w:val="24"/>
          <w:szCs w:val="24"/>
        </w:rPr>
        <w:t xml:space="preserve"> to</w:t>
      </w:r>
      <w:r w:rsidR="004054DC" w:rsidRPr="00487BCF">
        <w:rPr>
          <w:rFonts w:ascii="Times New Roman" w:hAnsi="Times New Roman" w:cs="Times New Roman"/>
          <w:sz w:val="24"/>
          <w:szCs w:val="24"/>
        </w:rPr>
        <w:t xml:space="preserve"> comply with, this or that rule of court if the court were to allow the case to fall on the basis of those procedural failures. The present matter is one such case where the applicant’s</w:t>
      </w:r>
      <w:r w:rsidR="00691FCD" w:rsidRPr="00487BCF">
        <w:rPr>
          <w:rFonts w:ascii="Times New Roman" w:hAnsi="Times New Roman" w:cs="Times New Roman"/>
          <w:sz w:val="24"/>
          <w:szCs w:val="24"/>
        </w:rPr>
        <w:t xml:space="preserve"> legal practitioners made some errors which, viewed in isolation, </w:t>
      </w:r>
      <w:r w:rsidR="0071310B">
        <w:rPr>
          <w:rFonts w:ascii="Times New Roman" w:hAnsi="Times New Roman" w:cs="Times New Roman"/>
          <w:sz w:val="24"/>
          <w:szCs w:val="24"/>
        </w:rPr>
        <w:t>t</w:t>
      </w:r>
      <w:r w:rsidR="00691FCD" w:rsidRPr="00487BCF">
        <w:rPr>
          <w:rFonts w:ascii="Times New Roman" w:hAnsi="Times New Roman" w:cs="Times New Roman"/>
          <w:sz w:val="24"/>
          <w:szCs w:val="24"/>
        </w:rPr>
        <w:t xml:space="preserve">end to make the applicant’s case an inexcusable one. </w:t>
      </w:r>
      <w:r w:rsidR="004054DC" w:rsidRPr="00487BCF">
        <w:rPr>
          <w:rFonts w:ascii="Times New Roman" w:hAnsi="Times New Roman" w:cs="Times New Roman"/>
          <w:sz w:val="24"/>
          <w:szCs w:val="24"/>
        </w:rPr>
        <w:t xml:space="preserve">  </w:t>
      </w:r>
    </w:p>
    <w:p w:rsidR="00A0366F" w:rsidRDefault="00691FCD" w:rsidP="00A0366F">
      <w:pPr>
        <w:spacing w:after="0" w:line="360" w:lineRule="auto"/>
        <w:jc w:val="both"/>
        <w:rPr>
          <w:rFonts w:ascii="Times New Roman" w:hAnsi="Times New Roman" w:cs="Times New Roman"/>
          <w:sz w:val="24"/>
          <w:szCs w:val="24"/>
        </w:rPr>
      </w:pPr>
      <w:r w:rsidRPr="00487BCF">
        <w:rPr>
          <w:rFonts w:ascii="Times New Roman" w:hAnsi="Times New Roman" w:cs="Times New Roman"/>
          <w:sz w:val="24"/>
          <w:szCs w:val="24"/>
        </w:rPr>
        <w:tab/>
        <w:t>As</w:t>
      </w:r>
      <w:r w:rsidR="0071310B">
        <w:rPr>
          <w:rFonts w:ascii="Times New Roman" w:hAnsi="Times New Roman" w:cs="Times New Roman"/>
          <w:sz w:val="24"/>
          <w:szCs w:val="24"/>
        </w:rPr>
        <w:t xml:space="preserve"> was</w:t>
      </w:r>
      <w:r w:rsidRPr="00487BCF">
        <w:rPr>
          <w:rFonts w:ascii="Times New Roman" w:hAnsi="Times New Roman" w:cs="Times New Roman"/>
          <w:sz w:val="24"/>
          <w:szCs w:val="24"/>
        </w:rPr>
        <w:t xml:space="preserve"> stated in the foregoing paragraphs, the complexity of the matter and the need on my part to appreciate the circumstances of this case prompted </w:t>
      </w:r>
      <w:r w:rsidR="0071310B">
        <w:rPr>
          <w:rFonts w:ascii="Times New Roman" w:hAnsi="Times New Roman" w:cs="Times New Roman"/>
          <w:sz w:val="24"/>
          <w:szCs w:val="24"/>
        </w:rPr>
        <w:t>m</w:t>
      </w:r>
      <w:r w:rsidRPr="00487BCF">
        <w:rPr>
          <w:rFonts w:ascii="Times New Roman" w:hAnsi="Times New Roman" w:cs="Times New Roman"/>
          <w:sz w:val="24"/>
          <w:szCs w:val="24"/>
        </w:rPr>
        <w:t>e to call for the parties’ record in the main case. That record was duly provided and I went through its contents. I, in particular, focused my attention on the respondent’s declaration</w:t>
      </w:r>
      <w:r w:rsidR="00C76E68">
        <w:rPr>
          <w:rFonts w:ascii="Times New Roman" w:hAnsi="Times New Roman" w:cs="Times New Roman"/>
          <w:sz w:val="24"/>
          <w:szCs w:val="24"/>
        </w:rPr>
        <w:t>.</w:t>
      </w:r>
      <w:r w:rsidRPr="00487BCF">
        <w:rPr>
          <w:rFonts w:ascii="Times New Roman" w:hAnsi="Times New Roman" w:cs="Times New Roman"/>
          <w:sz w:val="24"/>
          <w:szCs w:val="24"/>
        </w:rPr>
        <w:t xml:space="preserve"> I did so as I remained alive to the fact that the declaration forms the substance, or the basis</w:t>
      </w:r>
      <w:r w:rsidR="0071310B">
        <w:rPr>
          <w:rFonts w:ascii="Times New Roman" w:hAnsi="Times New Roman" w:cs="Times New Roman"/>
          <w:sz w:val="24"/>
          <w:szCs w:val="24"/>
        </w:rPr>
        <w:t>,</w:t>
      </w:r>
      <w:r w:rsidRPr="00487BCF">
        <w:rPr>
          <w:rFonts w:ascii="Times New Roman" w:hAnsi="Times New Roman" w:cs="Times New Roman"/>
          <w:sz w:val="24"/>
          <w:szCs w:val="24"/>
        </w:rPr>
        <w:t xml:space="preserve"> of the respondent</w:t>
      </w:r>
      <w:r w:rsidR="0071310B">
        <w:rPr>
          <w:rFonts w:ascii="Times New Roman" w:hAnsi="Times New Roman" w:cs="Times New Roman"/>
          <w:sz w:val="24"/>
          <w:szCs w:val="24"/>
        </w:rPr>
        <w:t>’s</w:t>
      </w:r>
      <w:r w:rsidRPr="00487BCF">
        <w:rPr>
          <w:rFonts w:ascii="Times New Roman" w:hAnsi="Times New Roman" w:cs="Times New Roman"/>
          <w:sz w:val="24"/>
          <w:szCs w:val="24"/>
        </w:rPr>
        <w:t xml:space="preserve"> cause of action. On going through it</w:t>
      </w:r>
      <w:r w:rsidR="0071310B">
        <w:rPr>
          <w:rFonts w:ascii="Times New Roman" w:hAnsi="Times New Roman" w:cs="Times New Roman"/>
          <w:sz w:val="24"/>
          <w:szCs w:val="24"/>
        </w:rPr>
        <w:t>,</w:t>
      </w:r>
      <w:r w:rsidRPr="00487BCF">
        <w:rPr>
          <w:rFonts w:ascii="Times New Roman" w:hAnsi="Times New Roman" w:cs="Times New Roman"/>
          <w:sz w:val="24"/>
          <w:szCs w:val="24"/>
        </w:rPr>
        <w:t xml:space="preserve"> and without applying much effort to what was contained in the declaration, I realised that its contents </w:t>
      </w:r>
      <w:r w:rsidR="00BB145E" w:rsidRPr="00487BCF">
        <w:rPr>
          <w:rFonts w:ascii="Times New Roman" w:hAnsi="Times New Roman" w:cs="Times New Roman"/>
          <w:sz w:val="24"/>
          <w:szCs w:val="24"/>
        </w:rPr>
        <w:t xml:space="preserve"> </w:t>
      </w:r>
      <w:r w:rsidR="005D5F32">
        <w:rPr>
          <w:rFonts w:ascii="Times New Roman" w:hAnsi="Times New Roman" w:cs="Times New Roman"/>
          <w:sz w:val="24"/>
          <w:szCs w:val="24"/>
        </w:rPr>
        <w:t>r</w:t>
      </w:r>
      <w:r w:rsidR="00A0366F">
        <w:rPr>
          <w:rFonts w:ascii="Times New Roman" w:hAnsi="Times New Roman" w:cs="Times New Roman"/>
          <w:sz w:val="24"/>
          <w:szCs w:val="24"/>
        </w:rPr>
        <w:t xml:space="preserve">aised more questions than answers. I realised, further, that the declaration as read together with annexure J made it very difficult, if not impossible, for one to ascertain the exact relationship which the parties to this case had created between themselves. Annexure J is the letter which the respondent, through its legal practitioners, wrote to the applicant’s legal practitioners on 17 November 2009. The applicant filed that letter as an annexure in support of its application. The letter, </w:t>
      </w:r>
      <w:r w:rsidR="00A0366F" w:rsidRPr="00A80A79">
        <w:rPr>
          <w:rFonts w:ascii="Times New Roman" w:hAnsi="Times New Roman" w:cs="Times New Roman"/>
          <w:sz w:val="24"/>
          <w:szCs w:val="24"/>
        </w:rPr>
        <w:t>in</w:t>
      </w:r>
      <w:r w:rsidR="00A0366F">
        <w:rPr>
          <w:rFonts w:ascii="Times New Roman" w:hAnsi="Times New Roman" w:cs="Times New Roman"/>
          <w:i/>
          <w:sz w:val="24"/>
          <w:szCs w:val="24"/>
        </w:rPr>
        <w:t xml:space="preserve"> extenso</w:t>
      </w:r>
      <w:r w:rsidR="00A0366F">
        <w:rPr>
          <w:rFonts w:ascii="Times New Roman" w:hAnsi="Times New Roman" w:cs="Times New Roman"/>
          <w:sz w:val="24"/>
          <w:szCs w:val="24"/>
        </w:rPr>
        <w:t>, reads:</w:t>
      </w:r>
    </w:p>
    <w:p w:rsidR="00A0366F" w:rsidRDefault="00A0366F" w:rsidP="00A0366F">
      <w:pPr>
        <w:spacing w:after="0" w:line="240" w:lineRule="auto"/>
        <w:jc w:val="both"/>
        <w:rPr>
          <w:rFonts w:ascii="Times New Roman" w:hAnsi="Times New Roman" w:cs="Times New Roman"/>
          <w:sz w:val="24"/>
          <w:szCs w:val="24"/>
        </w:rPr>
      </w:pPr>
    </w:p>
    <w:p w:rsidR="00A0366F" w:rsidRDefault="00A0366F" w:rsidP="00A036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our client’s position as outlined earlier on in the proceedings HC 253/08 and our subsequent letter of 20</w:t>
      </w:r>
      <w:r w:rsidRPr="00A80A79">
        <w:rPr>
          <w:rFonts w:ascii="Times New Roman" w:hAnsi="Times New Roman" w:cs="Times New Roman"/>
          <w:sz w:val="24"/>
          <w:szCs w:val="24"/>
          <w:vertAlign w:val="superscript"/>
        </w:rPr>
        <w:t>th</w:t>
      </w:r>
      <w:r>
        <w:rPr>
          <w:rFonts w:ascii="Times New Roman" w:hAnsi="Times New Roman" w:cs="Times New Roman"/>
          <w:sz w:val="24"/>
          <w:szCs w:val="24"/>
        </w:rPr>
        <w:t xml:space="preserve"> April, 2009. Your client had the right to occupy the portion described as the </w:t>
      </w:r>
      <w:r w:rsidRPr="00B422EB">
        <w:rPr>
          <w:rFonts w:ascii="Times New Roman" w:hAnsi="Times New Roman" w:cs="Times New Roman"/>
          <w:b/>
          <w:sz w:val="24"/>
          <w:szCs w:val="24"/>
        </w:rPr>
        <w:t>area extending from the middle of the eastern side of the shop</w:t>
      </w:r>
      <w:r w:rsidR="005D5F32" w:rsidRPr="00B422EB">
        <w:rPr>
          <w:rFonts w:ascii="Times New Roman" w:hAnsi="Times New Roman" w:cs="Times New Roman"/>
          <w:b/>
          <w:sz w:val="24"/>
          <w:szCs w:val="24"/>
        </w:rPr>
        <w:t xml:space="preserve"> </w:t>
      </w:r>
      <w:r w:rsidRPr="00B422EB">
        <w:rPr>
          <w:rFonts w:ascii="Times New Roman" w:hAnsi="Times New Roman" w:cs="Times New Roman"/>
          <w:b/>
          <w:sz w:val="24"/>
          <w:szCs w:val="24"/>
        </w:rPr>
        <w:t>floor rectangular in shape, together with the adjoining offices in the built up area of ZBS measuring approximately 35 m</w:t>
      </w:r>
      <w:r w:rsidRPr="00B422EB">
        <w:rPr>
          <w:rFonts w:ascii="Times New Roman" w:hAnsi="Times New Roman" w:cs="Times New Roman"/>
          <w:b/>
          <w:sz w:val="24"/>
          <w:szCs w:val="24"/>
          <w:vertAlign w:val="superscript"/>
        </w:rPr>
        <w:t>2</w:t>
      </w:r>
      <w:r>
        <w:rPr>
          <w:rFonts w:ascii="Times New Roman" w:hAnsi="Times New Roman" w:cs="Times New Roman"/>
          <w:sz w:val="24"/>
          <w:szCs w:val="24"/>
        </w:rPr>
        <w:t>. This is as per the attached shop</w:t>
      </w:r>
      <w:r w:rsidR="005D5F32">
        <w:rPr>
          <w:rFonts w:ascii="Times New Roman" w:hAnsi="Times New Roman" w:cs="Times New Roman"/>
          <w:sz w:val="24"/>
          <w:szCs w:val="24"/>
        </w:rPr>
        <w:t xml:space="preserve"> </w:t>
      </w:r>
      <w:r>
        <w:rPr>
          <w:rFonts w:ascii="Times New Roman" w:hAnsi="Times New Roman" w:cs="Times New Roman"/>
          <w:sz w:val="24"/>
          <w:szCs w:val="24"/>
        </w:rPr>
        <w:t>floor illustration. Your client’s right o</w:t>
      </w:r>
      <w:r w:rsidR="00FD7B30">
        <w:rPr>
          <w:rFonts w:ascii="Times New Roman" w:hAnsi="Times New Roman" w:cs="Times New Roman"/>
          <w:sz w:val="24"/>
          <w:szCs w:val="24"/>
        </w:rPr>
        <w:t>f</w:t>
      </w:r>
      <w:r>
        <w:rPr>
          <w:rFonts w:ascii="Times New Roman" w:hAnsi="Times New Roman" w:cs="Times New Roman"/>
          <w:sz w:val="24"/>
          <w:szCs w:val="24"/>
        </w:rPr>
        <w:t xml:space="preserve"> occupation was on the basis of a sublease with the then substantive tenant Lunar Graphics (Pvt) Ltd which our client ratified. As far as our client is concerned, when it terminated the substantive tenants’ lease, </w:t>
      </w:r>
      <w:r w:rsidRPr="00B422EB">
        <w:rPr>
          <w:rFonts w:ascii="Times New Roman" w:hAnsi="Times New Roman" w:cs="Times New Roman"/>
          <w:sz w:val="24"/>
          <w:szCs w:val="24"/>
          <w:u w:val="single"/>
        </w:rPr>
        <w:t xml:space="preserve">your client’s </w:t>
      </w:r>
      <w:r w:rsidRPr="00E10222">
        <w:rPr>
          <w:rFonts w:ascii="Times New Roman" w:hAnsi="Times New Roman" w:cs="Times New Roman"/>
          <w:sz w:val="24"/>
          <w:szCs w:val="24"/>
          <w:u w:val="single"/>
        </w:rPr>
        <w:t>right was also terminated</w:t>
      </w:r>
      <w:r w:rsidRPr="00E10222">
        <w:rPr>
          <w:rFonts w:ascii="Times New Roman" w:hAnsi="Times New Roman" w:cs="Times New Roman"/>
          <w:sz w:val="24"/>
          <w:szCs w:val="24"/>
        </w:rPr>
        <w:t xml:space="preserve"> and your client remained in occupation without our</w:t>
      </w:r>
      <w:r>
        <w:rPr>
          <w:rFonts w:ascii="Times New Roman" w:hAnsi="Times New Roman" w:cs="Times New Roman"/>
          <w:sz w:val="24"/>
          <w:szCs w:val="24"/>
        </w:rPr>
        <w:t xml:space="preserve"> client’s consent.</w:t>
      </w:r>
    </w:p>
    <w:p w:rsidR="00A0366F" w:rsidRDefault="00A0366F" w:rsidP="00A0366F">
      <w:pPr>
        <w:spacing w:after="0" w:line="240" w:lineRule="auto"/>
        <w:ind w:left="720"/>
        <w:jc w:val="both"/>
        <w:rPr>
          <w:rFonts w:ascii="Times New Roman" w:hAnsi="Times New Roman" w:cs="Times New Roman"/>
          <w:sz w:val="24"/>
          <w:szCs w:val="24"/>
        </w:rPr>
      </w:pPr>
    </w:p>
    <w:p w:rsidR="00A0366F" w:rsidRPr="007C61B9" w:rsidRDefault="00A0366F" w:rsidP="00A0366F">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Our client has since June 2009, entered into another lease with the former substantive tenant </w:t>
      </w:r>
      <w:r w:rsidRPr="00B422EB">
        <w:rPr>
          <w:rFonts w:ascii="Times New Roman" w:hAnsi="Times New Roman" w:cs="Times New Roman"/>
          <w:b/>
          <w:sz w:val="24"/>
          <w:szCs w:val="24"/>
        </w:rPr>
        <w:t>who has authority over the whole premises,</w:t>
      </w:r>
      <w:r>
        <w:rPr>
          <w:rFonts w:ascii="Times New Roman" w:hAnsi="Times New Roman" w:cs="Times New Roman"/>
          <w:sz w:val="24"/>
          <w:szCs w:val="24"/>
        </w:rPr>
        <w:t xml:space="preserve"> 360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in si</w:t>
      </w:r>
      <w:r w:rsidR="00371066">
        <w:rPr>
          <w:rFonts w:ascii="Times New Roman" w:hAnsi="Times New Roman" w:cs="Times New Roman"/>
          <w:sz w:val="24"/>
          <w:szCs w:val="24"/>
        </w:rPr>
        <w:t>z</w:t>
      </w:r>
      <w:r>
        <w:rPr>
          <w:rFonts w:ascii="Times New Roman" w:hAnsi="Times New Roman" w:cs="Times New Roman"/>
          <w:sz w:val="24"/>
          <w:szCs w:val="24"/>
        </w:rPr>
        <w:t xml:space="preserve">e. As Lunar Graphics are the tenant for the whole premises, if your clients want to regularise their position, they will have to approach Lunar Graphics, </w:t>
      </w:r>
      <w:r w:rsidRPr="007C61B9">
        <w:rPr>
          <w:rFonts w:ascii="Times New Roman" w:hAnsi="Times New Roman" w:cs="Times New Roman"/>
          <w:sz w:val="24"/>
          <w:szCs w:val="24"/>
          <w:u w:val="single"/>
        </w:rPr>
        <w:t>for our client cannot purport to</w:t>
      </w:r>
      <w:r>
        <w:rPr>
          <w:rFonts w:ascii="Times New Roman" w:hAnsi="Times New Roman" w:cs="Times New Roman"/>
          <w:sz w:val="24"/>
          <w:szCs w:val="24"/>
        </w:rPr>
        <w:t xml:space="preserve"> </w:t>
      </w:r>
      <w:r w:rsidRPr="007C61B9">
        <w:rPr>
          <w:rFonts w:ascii="Times New Roman" w:hAnsi="Times New Roman" w:cs="Times New Roman"/>
          <w:sz w:val="24"/>
          <w:szCs w:val="24"/>
          <w:u w:val="single"/>
        </w:rPr>
        <w:t xml:space="preserve">lease out a portion of what they have already leased to Lunar Graphics.  </w:t>
      </w:r>
    </w:p>
    <w:p w:rsidR="00A0366F" w:rsidRPr="007C61B9" w:rsidRDefault="00A0366F" w:rsidP="00A0366F">
      <w:pPr>
        <w:spacing w:after="0" w:line="240" w:lineRule="auto"/>
        <w:ind w:left="720"/>
        <w:jc w:val="both"/>
        <w:rPr>
          <w:rFonts w:ascii="Times New Roman" w:hAnsi="Times New Roman" w:cs="Times New Roman"/>
          <w:sz w:val="24"/>
          <w:szCs w:val="24"/>
          <w:u w:val="single"/>
        </w:rPr>
      </w:pPr>
    </w:p>
    <w:p w:rsidR="00A0366F" w:rsidRDefault="00A0366F" w:rsidP="00A0366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our client can only do is, if it is in Lunar Graphics</w:t>
      </w:r>
      <w:r w:rsidR="00FD7B30">
        <w:rPr>
          <w:rFonts w:ascii="Times New Roman" w:hAnsi="Times New Roman" w:cs="Times New Roman"/>
          <w:sz w:val="24"/>
          <w:szCs w:val="24"/>
        </w:rPr>
        <w:t>’</w:t>
      </w:r>
      <w:r>
        <w:rPr>
          <w:rFonts w:ascii="Times New Roman" w:hAnsi="Times New Roman" w:cs="Times New Roman"/>
          <w:sz w:val="24"/>
          <w:szCs w:val="24"/>
        </w:rPr>
        <w:t xml:space="preserve"> best interests and their best interests, ratify any agreement of sublease that your client may</w:t>
      </w:r>
      <w:r w:rsidR="001B27EC">
        <w:rPr>
          <w:rFonts w:ascii="Times New Roman" w:hAnsi="Times New Roman" w:cs="Times New Roman"/>
          <w:sz w:val="24"/>
          <w:szCs w:val="24"/>
        </w:rPr>
        <w:t xml:space="preserve"> </w:t>
      </w:r>
      <w:r>
        <w:rPr>
          <w:rFonts w:ascii="Times New Roman" w:hAnsi="Times New Roman" w:cs="Times New Roman"/>
          <w:sz w:val="24"/>
          <w:szCs w:val="24"/>
        </w:rPr>
        <w:t>be granted as they have done previously. They reiterate that they are not due any rentals from you, but from Lunar Graphics and if you intend to compensate anyone for your unilateral occupation, then it has to be Lunar Graphics.</w:t>
      </w:r>
    </w:p>
    <w:p w:rsidR="00A0366F" w:rsidRDefault="00A0366F" w:rsidP="00A0366F">
      <w:pPr>
        <w:spacing w:after="0" w:line="240" w:lineRule="auto"/>
        <w:ind w:left="720"/>
        <w:jc w:val="both"/>
        <w:rPr>
          <w:rFonts w:ascii="Times New Roman" w:hAnsi="Times New Roman" w:cs="Times New Roman"/>
          <w:sz w:val="24"/>
          <w:szCs w:val="24"/>
        </w:rPr>
      </w:pPr>
    </w:p>
    <w:p w:rsidR="00A0366F" w:rsidRPr="007C61B9" w:rsidRDefault="00A0366F" w:rsidP="00A0366F">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It remains that our client as Lunar Graphics’ landlord has an obligation to ensure peaceful enjoyment of the whole leased premises and if your client’s position is not regularised within a reasonable time; </w:t>
      </w:r>
      <w:r w:rsidRPr="007C61B9">
        <w:rPr>
          <w:rFonts w:ascii="Times New Roman" w:hAnsi="Times New Roman" w:cs="Times New Roman"/>
          <w:sz w:val="24"/>
          <w:szCs w:val="24"/>
          <w:u w:val="single"/>
        </w:rPr>
        <w:t>they will have no option but to institute proceedings to evict your client from the premises.”</w:t>
      </w:r>
    </w:p>
    <w:p w:rsidR="00A0366F" w:rsidRDefault="00A0366F" w:rsidP="00A0366F">
      <w:pPr>
        <w:spacing w:after="0" w:line="360" w:lineRule="auto"/>
        <w:jc w:val="both"/>
        <w:rPr>
          <w:rFonts w:ascii="Times New Roman" w:hAnsi="Times New Roman" w:cs="Times New Roman"/>
          <w:sz w:val="24"/>
          <w:szCs w:val="24"/>
        </w:rPr>
      </w:pPr>
    </w:p>
    <w:p w:rsidR="00193225" w:rsidRDefault="00A0366F" w:rsidP="001932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contents of the letter, annexure J, spells </w:t>
      </w:r>
      <w:r w:rsidR="00FD7B30">
        <w:rPr>
          <w:rFonts w:ascii="Times New Roman" w:hAnsi="Times New Roman" w:cs="Times New Roman"/>
          <w:sz w:val="24"/>
          <w:szCs w:val="24"/>
        </w:rPr>
        <w:t>in a</w:t>
      </w:r>
      <w:r>
        <w:rPr>
          <w:rFonts w:ascii="Times New Roman" w:hAnsi="Times New Roman" w:cs="Times New Roman"/>
          <w:sz w:val="24"/>
          <w:szCs w:val="24"/>
        </w:rPr>
        <w:t xml:space="preserve"> clear and succinct manner that there was, or i</w:t>
      </w:r>
      <w:r w:rsidR="00FD7B30">
        <w:rPr>
          <w:rFonts w:ascii="Times New Roman" w:hAnsi="Times New Roman" w:cs="Times New Roman"/>
          <w:sz w:val="24"/>
          <w:szCs w:val="24"/>
        </w:rPr>
        <w:t>s</w:t>
      </w:r>
      <w:r>
        <w:rPr>
          <w:rFonts w:ascii="Times New Roman" w:hAnsi="Times New Roman" w:cs="Times New Roman"/>
          <w:sz w:val="24"/>
          <w:szCs w:val="24"/>
        </w:rPr>
        <w:t xml:space="preserve">, no privity of contract between the applicant and the respondent. The declaration, on the other hand, tends to suggest that the applicant was, or is, the tenant of the respondent. Howard Mukundu who is the respondent’s Operations Executive deposed to an affidavit in opposition </w:t>
      </w:r>
      <w:r w:rsidR="00FD7B30">
        <w:rPr>
          <w:rFonts w:ascii="Times New Roman" w:hAnsi="Times New Roman" w:cs="Times New Roman"/>
          <w:sz w:val="24"/>
          <w:szCs w:val="24"/>
        </w:rPr>
        <w:t>t</w:t>
      </w:r>
      <w:r>
        <w:rPr>
          <w:rFonts w:ascii="Times New Roman" w:hAnsi="Times New Roman" w:cs="Times New Roman"/>
          <w:sz w:val="24"/>
          <w:szCs w:val="24"/>
        </w:rPr>
        <w:t>o the application. His affidavit left the matter which related to para 21.7 of Tatenda Maware’s affidavit totally unanswered. Yet i</w:t>
      </w:r>
      <w:r w:rsidR="002A06F7">
        <w:rPr>
          <w:rFonts w:ascii="Times New Roman" w:hAnsi="Times New Roman" w:cs="Times New Roman"/>
          <w:sz w:val="24"/>
          <w:szCs w:val="24"/>
        </w:rPr>
        <w:t>t is</w:t>
      </w:r>
      <w:r>
        <w:rPr>
          <w:rFonts w:ascii="Times New Roman" w:hAnsi="Times New Roman" w:cs="Times New Roman"/>
          <w:sz w:val="24"/>
          <w:szCs w:val="24"/>
        </w:rPr>
        <w:t xml:space="preserve"> within the context of that paragraph that annexure J was made part of this application. Paragraphs 16, 17, 18 and 19 of Mr Mukundu’s affidavit confused the issues further than where the declaration and annexure J had left them. He states, in paragraph 16 of his affidavit that </w:t>
      </w:r>
      <w:r w:rsidRPr="007C61B9">
        <w:rPr>
          <w:rFonts w:ascii="Times New Roman" w:hAnsi="Times New Roman" w:cs="Times New Roman"/>
          <w:b/>
          <w:sz w:val="24"/>
          <w:szCs w:val="24"/>
        </w:rPr>
        <w:t>the issues surrounding the</w:t>
      </w:r>
      <w:r>
        <w:rPr>
          <w:rFonts w:ascii="Times New Roman" w:hAnsi="Times New Roman" w:cs="Times New Roman"/>
          <w:sz w:val="24"/>
          <w:szCs w:val="24"/>
        </w:rPr>
        <w:t xml:space="preserve"> </w:t>
      </w:r>
      <w:r w:rsidRPr="007C61B9">
        <w:rPr>
          <w:rFonts w:ascii="Times New Roman" w:hAnsi="Times New Roman" w:cs="Times New Roman"/>
          <w:b/>
          <w:sz w:val="24"/>
          <w:szCs w:val="24"/>
        </w:rPr>
        <w:t>dispute between the parties centred on the fact whether the applicant was a tenant or</w:t>
      </w:r>
      <w:r>
        <w:rPr>
          <w:rFonts w:ascii="Times New Roman" w:hAnsi="Times New Roman" w:cs="Times New Roman"/>
          <w:sz w:val="24"/>
          <w:szCs w:val="24"/>
        </w:rPr>
        <w:t xml:space="preserve"> </w:t>
      </w:r>
      <w:r w:rsidRPr="007C61B9">
        <w:rPr>
          <w:rFonts w:ascii="Times New Roman" w:hAnsi="Times New Roman" w:cs="Times New Roman"/>
          <w:b/>
          <w:sz w:val="24"/>
          <w:szCs w:val="24"/>
        </w:rPr>
        <w:t>subtenant</w:t>
      </w:r>
      <w:r>
        <w:rPr>
          <w:rFonts w:ascii="Times New Roman" w:hAnsi="Times New Roman" w:cs="Times New Roman"/>
          <w:sz w:val="24"/>
          <w:szCs w:val="24"/>
        </w:rPr>
        <w:t>.</w:t>
      </w:r>
      <w:r w:rsidR="007C61B9">
        <w:rPr>
          <w:rFonts w:ascii="Times New Roman" w:hAnsi="Times New Roman" w:cs="Times New Roman"/>
          <w:sz w:val="24"/>
          <w:szCs w:val="24"/>
        </w:rPr>
        <w:t xml:space="preserve"> </w:t>
      </w:r>
      <w:r>
        <w:rPr>
          <w:rFonts w:ascii="Times New Roman" w:hAnsi="Times New Roman" w:cs="Times New Roman"/>
          <w:sz w:val="24"/>
          <w:szCs w:val="24"/>
        </w:rPr>
        <w:t xml:space="preserve">He goes on to state that </w:t>
      </w:r>
      <w:r w:rsidRPr="00B422EB">
        <w:rPr>
          <w:rFonts w:ascii="Times New Roman" w:hAnsi="Times New Roman" w:cs="Times New Roman"/>
          <w:b/>
          <w:sz w:val="24"/>
          <w:szCs w:val="24"/>
        </w:rPr>
        <w:t>the tender of rentals and subsequent acceptance of such tender by the respondent meant the formalisation of a landlord and tenant relationship.</w:t>
      </w:r>
      <w:r>
        <w:rPr>
          <w:rFonts w:ascii="Times New Roman" w:hAnsi="Times New Roman" w:cs="Times New Roman"/>
          <w:sz w:val="24"/>
          <w:szCs w:val="24"/>
        </w:rPr>
        <w:t xml:space="preserve"> He state</w:t>
      </w:r>
      <w:r w:rsidR="00193225">
        <w:rPr>
          <w:rFonts w:ascii="Times New Roman" w:hAnsi="Times New Roman" w:cs="Times New Roman"/>
          <w:sz w:val="24"/>
          <w:szCs w:val="24"/>
        </w:rPr>
        <w:t>s</w:t>
      </w:r>
      <w:r>
        <w:rPr>
          <w:rFonts w:ascii="Times New Roman" w:hAnsi="Times New Roman" w:cs="Times New Roman"/>
          <w:sz w:val="24"/>
          <w:szCs w:val="24"/>
        </w:rPr>
        <w:t xml:space="preserve">, further, and in the same paragraph that </w:t>
      </w:r>
      <w:r w:rsidRPr="00B422EB">
        <w:rPr>
          <w:rFonts w:ascii="Times New Roman" w:hAnsi="Times New Roman" w:cs="Times New Roman"/>
          <w:b/>
          <w:sz w:val="24"/>
          <w:szCs w:val="24"/>
        </w:rPr>
        <w:t>after the acceptance of the tender</w:t>
      </w:r>
      <w:r w:rsidR="00193225" w:rsidRPr="00B422EB">
        <w:rPr>
          <w:rFonts w:ascii="Times New Roman" w:hAnsi="Times New Roman" w:cs="Times New Roman"/>
          <w:b/>
          <w:sz w:val="24"/>
          <w:szCs w:val="24"/>
        </w:rPr>
        <w:t>,</w:t>
      </w:r>
      <w:r w:rsidRPr="00B422EB">
        <w:rPr>
          <w:rFonts w:ascii="Times New Roman" w:hAnsi="Times New Roman" w:cs="Times New Roman"/>
          <w:b/>
          <w:sz w:val="24"/>
          <w:szCs w:val="24"/>
        </w:rPr>
        <w:t xml:space="preserve"> the applicant was obliged to perform in terms thereof.</w:t>
      </w:r>
      <w:r>
        <w:rPr>
          <w:rFonts w:ascii="Times New Roman" w:hAnsi="Times New Roman" w:cs="Times New Roman"/>
          <w:sz w:val="24"/>
          <w:szCs w:val="24"/>
        </w:rPr>
        <w:t xml:space="preserve"> All this and many other observed matters which have not been specifically mentioned run contrary to the letter and spirit of the contents of annexure J where the respondent stated, in clear and an ambiguous language, that there is no privity of contract between the applicant and the respondent.</w:t>
      </w:r>
      <w:r w:rsidR="00582F9B">
        <w:rPr>
          <w:rFonts w:ascii="Times New Roman" w:hAnsi="Times New Roman" w:cs="Times New Roman"/>
          <w:sz w:val="24"/>
          <w:szCs w:val="24"/>
        </w:rPr>
        <w:t xml:space="preserve"> The import of the last sentence of annexure J is that it is Lunar Graphics (Pvt) Ltd and no one else who has the right to evict the applicant.</w:t>
      </w:r>
      <w:r w:rsidR="009F0337">
        <w:rPr>
          <w:rFonts w:ascii="Times New Roman" w:hAnsi="Times New Roman" w:cs="Times New Roman"/>
          <w:sz w:val="24"/>
          <w:szCs w:val="24"/>
        </w:rPr>
        <w:t xml:space="preserve"> </w:t>
      </w:r>
      <w:r>
        <w:rPr>
          <w:rFonts w:ascii="Times New Roman" w:hAnsi="Times New Roman" w:cs="Times New Roman"/>
          <w:sz w:val="24"/>
          <w:szCs w:val="24"/>
        </w:rPr>
        <w:t xml:space="preserve"> Such matters as these are probably the reasons which prompted the applicant to request the respondent to furnish it with further </w:t>
      </w:r>
      <w:r w:rsidR="005D5F32">
        <w:rPr>
          <w:rFonts w:ascii="Times New Roman" w:hAnsi="Times New Roman" w:cs="Times New Roman"/>
          <w:sz w:val="24"/>
          <w:szCs w:val="24"/>
        </w:rPr>
        <w:t>particulars.</w:t>
      </w:r>
      <w:r>
        <w:rPr>
          <w:rFonts w:ascii="Times New Roman" w:hAnsi="Times New Roman" w:cs="Times New Roman"/>
          <w:sz w:val="24"/>
          <w:szCs w:val="24"/>
        </w:rPr>
        <w:t xml:space="preserve"> </w:t>
      </w:r>
    </w:p>
    <w:p w:rsidR="00A0366F" w:rsidRDefault="00A0366F" w:rsidP="001932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Accepting</w:t>
      </w:r>
      <w:r w:rsidR="00193225">
        <w:rPr>
          <w:rFonts w:ascii="Times New Roman" w:hAnsi="Times New Roman" w:cs="Times New Roman"/>
          <w:sz w:val="24"/>
          <w:szCs w:val="24"/>
        </w:rPr>
        <w:t>,</w:t>
      </w:r>
      <w:r>
        <w:rPr>
          <w:rFonts w:ascii="Times New Roman" w:hAnsi="Times New Roman" w:cs="Times New Roman"/>
          <w:sz w:val="24"/>
          <w:szCs w:val="24"/>
        </w:rPr>
        <w:t xml:space="preserve"> as we must, that there is no privity of contract between the parties, the </w:t>
      </w:r>
      <w:r w:rsidR="005D5F32">
        <w:rPr>
          <w:rFonts w:ascii="Times New Roman" w:hAnsi="Times New Roman" w:cs="Times New Roman"/>
          <w:sz w:val="24"/>
          <w:szCs w:val="24"/>
        </w:rPr>
        <w:t xml:space="preserve">issue </w:t>
      </w:r>
      <w:r>
        <w:rPr>
          <w:rFonts w:ascii="Times New Roman" w:hAnsi="Times New Roman" w:cs="Times New Roman"/>
          <w:sz w:val="24"/>
          <w:szCs w:val="24"/>
        </w:rPr>
        <w:t>o</w:t>
      </w:r>
      <w:r w:rsidR="005D5F32">
        <w:rPr>
          <w:rFonts w:ascii="Times New Roman" w:hAnsi="Times New Roman" w:cs="Times New Roman"/>
          <w:sz w:val="24"/>
          <w:szCs w:val="24"/>
        </w:rPr>
        <w:t>f the</w:t>
      </w:r>
      <w:r>
        <w:rPr>
          <w:rFonts w:ascii="Times New Roman" w:hAnsi="Times New Roman" w:cs="Times New Roman"/>
          <w:sz w:val="24"/>
          <w:szCs w:val="24"/>
        </w:rPr>
        <w:t xml:space="preserve"> respondent’s </w:t>
      </w:r>
      <w:r>
        <w:rPr>
          <w:rFonts w:ascii="Times New Roman" w:hAnsi="Times New Roman" w:cs="Times New Roman"/>
          <w:i/>
          <w:sz w:val="24"/>
          <w:szCs w:val="24"/>
        </w:rPr>
        <w:t>locus standi</w:t>
      </w:r>
      <w:r>
        <w:rPr>
          <w:rFonts w:ascii="Times New Roman" w:hAnsi="Times New Roman" w:cs="Times New Roman"/>
          <w:sz w:val="24"/>
          <w:szCs w:val="24"/>
        </w:rPr>
        <w:t xml:space="preserve"> in the case cannot be </w:t>
      </w:r>
      <w:r w:rsidR="005D5F32">
        <w:rPr>
          <w:rFonts w:ascii="Times New Roman" w:hAnsi="Times New Roman" w:cs="Times New Roman"/>
          <w:sz w:val="24"/>
          <w:szCs w:val="24"/>
        </w:rPr>
        <w:t>glossed o</w:t>
      </w:r>
      <w:r>
        <w:rPr>
          <w:rFonts w:ascii="Times New Roman" w:hAnsi="Times New Roman" w:cs="Times New Roman"/>
          <w:sz w:val="24"/>
          <w:szCs w:val="24"/>
        </w:rPr>
        <w:t xml:space="preserve">ver let alone </w:t>
      </w:r>
      <w:r w:rsidR="00193225">
        <w:rPr>
          <w:rFonts w:ascii="Times New Roman" w:hAnsi="Times New Roman" w:cs="Times New Roman"/>
          <w:sz w:val="24"/>
          <w:szCs w:val="24"/>
        </w:rPr>
        <w:t xml:space="preserve">be </w:t>
      </w:r>
      <w:r>
        <w:rPr>
          <w:rFonts w:ascii="Times New Roman" w:hAnsi="Times New Roman" w:cs="Times New Roman"/>
          <w:sz w:val="24"/>
          <w:szCs w:val="24"/>
        </w:rPr>
        <w:t>ignored. The relationship of the parties, it has been observed, is not as clear as the</w:t>
      </w:r>
      <w:r w:rsidR="00193225">
        <w:rPr>
          <w:rFonts w:ascii="Times New Roman" w:hAnsi="Times New Roman" w:cs="Times New Roman"/>
          <w:sz w:val="24"/>
          <w:szCs w:val="24"/>
        </w:rPr>
        <w:t xml:space="preserve"> respondent seems to</w:t>
      </w:r>
      <w:r>
        <w:rPr>
          <w:rFonts w:ascii="Times New Roman" w:hAnsi="Times New Roman" w:cs="Times New Roman"/>
          <w:sz w:val="24"/>
          <w:szCs w:val="24"/>
        </w:rPr>
        <w:t xml:space="preserve">  want to</w:t>
      </w:r>
      <w:r w:rsidR="00193225">
        <w:rPr>
          <w:rFonts w:ascii="Times New Roman" w:hAnsi="Times New Roman" w:cs="Times New Roman"/>
          <w:sz w:val="24"/>
          <w:szCs w:val="24"/>
        </w:rPr>
        <w:t xml:space="preserve"> suggest</w:t>
      </w:r>
      <w:r>
        <w:rPr>
          <w:rFonts w:ascii="Times New Roman" w:hAnsi="Times New Roman" w:cs="Times New Roman"/>
          <w:sz w:val="24"/>
          <w:szCs w:val="24"/>
        </w:rPr>
        <w:t>. It is clouded with many interlocking matters which, in the interests of real and substantial justice, would have been cleared by the respondent furnishing the applicant with the particulars which the latter had requested. The answers which the respondent was going to give would, in all probability, have assisted the parties to clarify and define the relationship which existed</w:t>
      </w:r>
      <w:r w:rsidR="00731835">
        <w:rPr>
          <w:rFonts w:ascii="Times New Roman" w:hAnsi="Times New Roman" w:cs="Times New Roman"/>
          <w:sz w:val="24"/>
          <w:szCs w:val="24"/>
        </w:rPr>
        <w:t>,</w:t>
      </w:r>
      <w:r>
        <w:rPr>
          <w:rFonts w:ascii="Times New Roman" w:hAnsi="Times New Roman" w:cs="Times New Roman"/>
          <w:sz w:val="24"/>
          <w:szCs w:val="24"/>
        </w:rPr>
        <w:t xml:space="preserve"> </w:t>
      </w:r>
      <w:r w:rsidR="00DC41E3">
        <w:rPr>
          <w:rFonts w:ascii="Times New Roman" w:hAnsi="Times New Roman" w:cs="Times New Roman"/>
          <w:sz w:val="24"/>
          <w:szCs w:val="24"/>
        </w:rPr>
        <w:t>and exists</w:t>
      </w:r>
      <w:r w:rsidR="00731835">
        <w:rPr>
          <w:rFonts w:ascii="Times New Roman" w:hAnsi="Times New Roman" w:cs="Times New Roman"/>
          <w:sz w:val="24"/>
          <w:szCs w:val="24"/>
        </w:rPr>
        <w:t>,</w:t>
      </w:r>
      <w:r w:rsidR="00523052">
        <w:rPr>
          <w:rFonts w:ascii="Times New Roman" w:hAnsi="Times New Roman" w:cs="Times New Roman"/>
          <w:sz w:val="24"/>
          <w:szCs w:val="24"/>
        </w:rPr>
        <w:t xml:space="preserve"> </w:t>
      </w:r>
      <w:r>
        <w:rPr>
          <w:rFonts w:ascii="Times New Roman" w:hAnsi="Times New Roman" w:cs="Times New Roman"/>
          <w:sz w:val="24"/>
          <w:szCs w:val="24"/>
        </w:rPr>
        <w:t xml:space="preserve">between the parties. The respondent was accordingly </w:t>
      </w:r>
      <w:r w:rsidRPr="001B27EC">
        <w:rPr>
          <w:rFonts w:ascii="Times New Roman" w:hAnsi="Times New Roman" w:cs="Times New Roman"/>
          <w:sz w:val="24"/>
          <w:szCs w:val="24"/>
          <w:u w:val="single"/>
        </w:rPr>
        <w:lastRenderedPageBreak/>
        <w:t>not being reasonable</w:t>
      </w:r>
      <w:r>
        <w:rPr>
          <w:rFonts w:ascii="Times New Roman" w:hAnsi="Times New Roman" w:cs="Times New Roman"/>
          <w:sz w:val="24"/>
          <w:szCs w:val="24"/>
        </w:rPr>
        <w:t xml:space="preserve"> when it refused to furnish the applicant with answers to the questions which it had posed in the form of an application for further particulars. Counsel who are seized with this matter know as much as I do that litigation is not like a game of chess</w:t>
      </w:r>
      <w:r w:rsidR="00523052">
        <w:rPr>
          <w:rFonts w:ascii="Times New Roman" w:hAnsi="Times New Roman" w:cs="Times New Roman"/>
          <w:sz w:val="24"/>
          <w:szCs w:val="24"/>
        </w:rPr>
        <w:t>. It is not a game</w:t>
      </w:r>
      <w:r>
        <w:rPr>
          <w:rFonts w:ascii="Times New Roman" w:hAnsi="Times New Roman" w:cs="Times New Roman"/>
          <w:sz w:val="24"/>
          <w:szCs w:val="24"/>
        </w:rPr>
        <w:t xml:space="preserve"> where one party makes a conscious and deliberate decision to ambush the other and, as it were, catch it unawares, so to speak. It requires little, if any</w:t>
      </w:r>
      <w:r w:rsidR="00584546">
        <w:rPr>
          <w:rFonts w:ascii="Times New Roman" w:hAnsi="Times New Roman" w:cs="Times New Roman"/>
          <w:sz w:val="24"/>
          <w:szCs w:val="24"/>
        </w:rPr>
        <w:t>,</w:t>
      </w:r>
      <w:r>
        <w:rPr>
          <w:rFonts w:ascii="Times New Roman" w:hAnsi="Times New Roman" w:cs="Times New Roman"/>
          <w:sz w:val="24"/>
          <w:szCs w:val="24"/>
        </w:rPr>
        <w:t xml:space="preserve"> emphasis to state that the duty of counsel, as an officer of the court, is to protect the interests of its own client and to assist the court to arrive at real and substantial justice in any matter which is before the court.</w:t>
      </w:r>
    </w:p>
    <w:p w:rsidR="00A0366F" w:rsidRDefault="00A0366F" w:rsidP="00A036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submitted heads of argument in support of their respective positions. They drew my attention to a number of authorities in an effort to persuade me to go with the one</w:t>
      </w:r>
      <w:r w:rsidR="00523052">
        <w:rPr>
          <w:rFonts w:ascii="Times New Roman" w:hAnsi="Times New Roman" w:cs="Times New Roman"/>
          <w:sz w:val="24"/>
          <w:szCs w:val="24"/>
        </w:rPr>
        <w:t>,</w:t>
      </w:r>
      <w:r>
        <w:rPr>
          <w:rFonts w:ascii="Times New Roman" w:hAnsi="Times New Roman" w:cs="Times New Roman"/>
          <w:sz w:val="24"/>
          <w:szCs w:val="24"/>
        </w:rPr>
        <w:t xml:space="preserve"> or the other, party’s view. I commend counsel’s effort in this mentioned regard. The authorities which they cited did not only enrich</w:t>
      </w:r>
      <w:r w:rsidR="00584546">
        <w:rPr>
          <w:rFonts w:ascii="Times New Roman" w:hAnsi="Times New Roman" w:cs="Times New Roman"/>
          <w:sz w:val="24"/>
          <w:szCs w:val="24"/>
        </w:rPr>
        <w:t xml:space="preserve"> my understanding,</w:t>
      </w:r>
      <w:r>
        <w:rPr>
          <w:rFonts w:ascii="Times New Roman" w:hAnsi="Times New Roman" w:cs="Times New Roman"/>
          <w:sz w:val="24"/>
          <w:szCs w:val="24"/>
        </w:rPr>
        <w:t xml:space="preserve"> but they also </w:t>
      </w:r>
      <w:r w:rsidR="00C6770C">
        <w:rPr>
          <w:rFonts w:ascii="Times New Roman" w:hAnsi="Times New Roman" w:cs="Times New Roman"/>
          <w:sz w:val="24"/>
          <w:szCs w:val="24"/>
        </w:rPr>
        <w:t>widened</w:t>
      </w:r>
      <w:r>
        <w:rPr>
          <w:rFonts w:ascii="Times New Roman" w:hAnsi="Times New Roman" w:cs="Times New Roman"/>
          <w:sz w:val="24"/>
          <w:szCs w:val="24"/>
        </w:rPr>
        <w:t xml:space="preserve"> my knowledge</w:t>
      </w:r>
      <w:r w:rsidR="00584546">
        <w:rPr>
          <w:rFonts w:ascii="Times New Roman" w:hAnsi="Times New Roman" w:cs="Times New Roman"/>
          <w:sz w:val="24"/>
          <w:szCs w:val="24"/>
        </w:rPr>
        <w:t>,</w:t>
      </w:r>
      <w:r>
        <w:rPr>
          <w:rFonts w:ascii="Times New Roman" w:hAnsi="Times New Roman" w:cs="Times New Roman"/>
          <w:sz w:val="24"/>
          <w:szCs w:val="24"/>
        </w:rPr>
        <w:t xml:space="preserve"> of the law. Those authorities did not, however, assist in the resolution of the matter with which I am c</w:t>
      </w:r>
      <w:r w:rsidR="00523052">
        <w:rPr>
          <w:rFonts w:ascii="Times New Roman" w:hAnsi="Times New Roman" w:cs="Times New Roman"/>
          <w:sz w:val="24"/>
          <w:szCs w:val="24"/>
        </w:rPr>
        <w:t>urrently</w:t>
      </w:r>
      <w:r>
        <w:rPr>
          <w:rFonts w:ascii="Times New Roman" w:hAnsi="Times New Roman" w:cs="Times New Roman"/>
          <w:sz w:val="24"/>
          <w:szCs w:val="24"/>
        </w:rPr>
        <w:t xml:space="preserve"> seized.</w:t>
      </w:r>
    </w:p>
    <w:p w:rsidR="00A0366F" w:rsidRDefault="00A0366F" w:rsidP="00A036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observed that this case requires further ventilation of issues. The ventilation would assist the parties to define the relationship which exists between them. That clarified position will be of benefit to the parties themselves as well as to the court which will deal with the main case.</w:t>
      </w:r>
    </w:p>
    <w:p w:rsidR="00A0366F" w:rsidRDefault="00A0366F" w:rsidP="00A036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8 May 2012 the applicant made, and filed with the court, a formal application for further particulars. It did so as it realised that there were issues which required clarification for its </w:t>
      </w:r>
      <w:r w:rsidR="00E2081D">
        <w:rPr>
          <w:rFonts w:ascii="Times New Roman" w:hAnsi="Times New Roman" w:cs="Times New Roman"/>
          <w:sz w:val="24"/>
          <w:szCs w:val="24"/>
        </w:rPr>
        <w:t>own benefit as</w:t>
      </w:r>
      <w:r>
        <w:rPr>
          <w:rFonts w:ascii="Times New Roman" w:hAnsi="Times New Roman" w:cs="Times New Roman"/>
          <w:sz w:val="24"/>
          <w:szCs w:val="24"/>
        </w:rPr>
        <w:t xml:space="preserve"> well as that of the respondent and, more importantly, the court. The respondent </w:t>
      </w:r>
      <w:r w:rsidRPr="00E2081D">
        <w:rPr>
          <w:rFonts w:ascii="Times New Roman" w:hAnsi="Times New Roman" w:cs="Times New Roman"/>
          <w:sz w:val="24"/>
          <w:szCs w:val="24"/>
          <w:u w:val="single"/>
        </w:rPr>
        <w:t>unreasonably</w:t>
      </w:r>
      <w:r>
        <w:rPr>
          <w:rFonts w:ascii="Times New Roman" w:hAnsi="Times New Roman" w:cs="Times New Roman"/>
          <w:sz w:val="24"/>
          <w:szCs w:val="24"/>
        </w:rPr>
        <w:t xml:space="preserve"> refused to furnish the applicant with the particulars which it had requested. From the time of the respondent’s refusal</w:t>
      </w:r>
      <w:r w:rsidR="00584546">
        <w:rPr>
          <w:rFonts w:ascii="Times New Roman" w:hAnsi="Times New Roman" w:cs="Times New Roman"/>
          <w:sz w:val="24"/>
          <w:szCs w:val="24"/>
        </w:rPr>
        <w:t xml:space="preserve"> to furnish the requested particulars</w:t>
      </w:r>
      <w:r>
        <w:rPr>
          <w:rFonts w:ascii="Times New Roman" w:hAnsi="Times New Roman" w:cs="Times New Roman"/>
          <w:sz w:val="24"/>
          <w:szCs w:val="24"/>
        </w:rPr>
        <w:t xml:space="preserve"> todate</w:t>
      </w:r>
      <w:r w:rsidR="00E2081D">
        <w:rPr>
          <w:rFonts w:ascii="Times New Roman" w:hAnsi="Times New Roman" w:cs="Times New Roman"/>
          <w:sz w:val="24"/>
          <w:szCs w:val="24"/>
        </w:rPr>
        <w:t>,</w:t>
      </w:r>
      <w:r>
        <w:rPr>
          <w:rFonts w:ascii="Times New Roman" w:hAnsi="Times New Roman" w:cs="Times New Roman"/>
          <w:sz w:val="24"/>
          <w:szCs w:val="24"/>
        </w:rPr>
        <w:t xml:space="preserve"> the parties went </w:t>
      </w:r>
      <w:r w:rsidR="00E2081D">
        <w:rPr>
          <w:rFonts w:ascii="Times New Roman" w:hAnsi="Times New Roman" w:cs="Times New Roman"/>
          <w:sz w:val="24"/>
          <w:szCs w:val="24"/>
        </w:rPr>
        <w:t>on</w:t>
      </w:r>
      <w:r>
        <w:rPr>
          <w:rFonts w:ascii="Times New Roman" w:hAnsi="Times New Roman" w:cs="Times New Roman"/>
          <w:sz w:val="24"/>
          <w:szCs w:val="24"/>
        </w:rPr>
        <w:t xml:space="preserve"> what I may refer to as a wild goose  cha</w:t>
      </w:r>
      <w:r w:rsidR="00E2081D">
        <w:rPr>
          <w:rFonts w:ascii="Times New Roman" w:hAnsi="Times New Roman" w:cs="Times New Roman"/>
          <w:sz w:val="24"/>
          <w:szCs w:val="24"/>
        </w:rPr>
        <w:t>se</w:t>
      </w:r>
      <w:r>
        <w:rPr>
          <w:rFonts w:ascii="Times New Roman" w:hAnsi="Times New Roman" w:cs="Times New Roman"/>
          <w:sz w:val="24"/>
          <w:szCs w:val="24"/>
        </w:rPr>
        <w:t xml:space="preserve"> with one party making every effort to knock the other down on procedural technicalities, which </w:t>
      </w:r>
      <w:r w:rsidR="006334F8">
        <w:rPr>
          <w:rFonts w:ascii="Times New Roman" w:hAnsi="Times New Roman" w:cs="Times New Roman"/>
          <w:sz w:val="24"/>
          <w:szCs w:val="24"/>
        </w:rPr>
        <w:t>exclude the substance of the case</w:t>
      </w:r>
      <w:r w:rsidR="00584546">
        <w:rPr>
          <w:rFonts w:ascii="Times New Roman" w:hAnsi="Times New Roman" w:cs="Times New Roman"/>
          <w:sz w:val="24"/>
          <w:szCs w:val="24"/>
        </w:rPr>
        <w:t>,</w:t>
      </w:r>
      <w:r>
        <w:rPr>
          <w:rFonts w:ascii="Times New Roman" w:hAnsi="Times New Roman" w:cs="Times New Roman"/>
          <w:sz w:val="24"/>
          <w:szCs w:val="24"/>
        </w:rPr>
        <w:t xml:space="preserve"> </w:t>
      </w:r>
      <w:r w:rsidR="006334F8">
        <w:rPr>
          <w:rFonts w:ascii="Times New Roman" w:hAnsi="Times New Roman" w:cs="Times New Roman"/>
          <w:sz w:val="24"/>
          <w:szCs w:val="24"/>
        </w:rPr>
        <w:t>and</w:t>
      </w:r>
      <w:r>
        <w:rPr>
          <w:rFonts w:ascii="Times New Roman" w:hAnsi="Times New Roman" w:cs="Times New Roman"/>
          <w:sz w:val="24"/>
          <w:szCs w:val="24"/>
        </w:rPr>
        <w:t xml:space="preserve"> the other putting up a spirited </w:t>
      </w:r>
      <w:r w:rsidR="00584546">
        <w:rPr>
          <w:rFonts w:ascii="Times New Roman" w:hAnsi="Times New Roman" w:cs="Times New Roman"/>
          <w:sz w:val="24"/>
          <w:szCs w:val="24"/>
        </w:rPr>
        <w:t>f</w:t>
      </w:r>
      <w:r>
        <w:rPr>
          <w:rFonts w:ascii="Times New Roman" w:hAnsi="Times New Roman" w:cs="Times New Roman"/>
          <w:sz w:val="24"/>
          <w:szCs w:val="24"/>
        </w:rPr>
        <w:t>ight in an effort to remain in the boxing ring, if you may favour the comparison. The net effect of all this was that a lot of time was unnecessarily wasted when it could have been served for the benefit of the court which was, or is, dealing with the main case and the parties themselves.</w:t>
      </w:r>
    </w:p>
    <w:p w:rsidR="00A0366F" w:rsidRDefault="00A0366F" w:rsidP="00A0366F">
      <w:pPr>
        <w:spacing w:after="0" w:line="360" w:lineRule="auto"/>
        <w:jc w:val="both"/>
        <w:rPr>
          <w:rFonts w:ascii="Times New Roman" w:hAnsi="Times New Roman" w:cs="Times New Roman"/>
          <w:sz w:val="24"/>
          <w:szCs w:val="24"/>
        </w:rPr>
      </w:pPr>
    </w:p>
    <w:p w:rsidR="001B27EC" w:rsidRDefault="001B27EC" w:rsidP="00A0366F">
      <w:pPr>
        <w:spacing w:after="0" w:line="360" w:lineRule="auto"/>
        <w:jc w:val="both"/>
        <w:rPr>
          <w:rFonts w:ascii="Times New Roman" w:hAnsi="Times New Roman" w:cs="Times New Roman"/>
          <w:sz w:val="24"/>
          <w:szCs w:val="24"/>
        </w:rPr>
      </w:pPr>
    </w:p>
    <w:p w:rsidR="001B27EC" w:rsidRDefault="001B27EC" w:rsidP="00A0366F">
      <w:pPr>
        <w:spacing w:after="0" w:line="360" w:lineRule="auto"/>
        <w:jc w:val="both"/>
        <w:rPr>
          <w:rFonts w:ascii="Times New Roman" w:hAnsi="Times New Roman" w:cs="Times New Roman"/>
          <w:sz w:val="24"/>
          <w:szCs w:val="24"/>
        </w:rPr>
      </w:pPr>
    </w:p>
    <w:p w:rsidR="00A0366F" w:rsidRPr="005A6F75" w:rsidRDefault="00A0366F" w:rsidP="00A0366F">
      <w:pPr>
        <w:spacing w:after="0" w:line="360" w:lineRule="auto"/>
        <w:jc w:val="both"/>
        <w:rPr>
          <w:rFonts w:ascii="Times New Roman" w:hAnsi="Times New Roman" w:cs="Times New Roman"/>
          <w:b/>
          <w:sz w:val="24"/>
          <w:szCs w:val="24"/>
          <w:u w:val="single"/>
        </w:rPr>
      </w:pPr>
      <w:r w:rsidRPr="005A6F75">
        <w:rPr>
          <w:rFonts w:ascii="Times New Roman" w:hAnsi="Times New Roman" w:cs="Times New Roman"/>
          <w:b/>
          <w:sz w:val="24"/>
          <w:szCs w:val="24"/>
          <w:u w:val="single"/>
        </w:rPr>
        <w:lastRenderedPageBreak/>
        <w:t>Conclusion</w:t>
      </w:r>
    </w:p>
    <w:p w:rsidR="00A0366F" w:rsidRDefault="00A0366F" w:rsidP="00A036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in the circumstances of this case</w:t>
      </w:r>
      <w:r w:rsidR="00584546">
        <w:rPr>
          <w:rFonts w:ascii="Times New Roman" w:hAnsi="Times New Roman" w:cs="Times New Roman"/>
          <w:sz w:val="24"/>
          <w:szCs w:val="24"/>
        </w:rPr>
        <w:t>, as well as</w:t>
      </w:r>
      <w:r w:rsidR="001B27EC">
        <w:rPr>
          <w:rFonts w:ascii="Times New Roman" w:hAnsi="Times New Roman" w:cs="Times New Roman"/>
          <w:sz w:val="24"/>
          <w:szCs w:val="24"/>
        </w:rPr>
        <w:t xml:space="preserve"> in </w:t>
      </w:r>
      <w:r>
        <w:rPr>
          <w:rFonts w:ascii="Times New Roman" w:hAnsi="Times New Roman" w:cs="Times New Roman"/>
          <w:sz w:val="24"/>
          <w:szCs w:val="24"/>
        </w:rPr>
        <w:t>the interests of justice and the need for the case to move forward, no option but to invoke the provisions of r 4 C of the rules of this court and order that:</w:t>
      </w:r>
    </w:p>
    <w:p w:rsidR="00A0366F" w:rsidRDefault="00A0366F" w:rsidP="00A0366F">
      <w:pPr>
        <w:pStyle w:val="ListParagraph"/>
        <w:numPr>
          <w:ilvl w:val="0"/>
          <w:numId w:val="5"/>
        </w:numPr>
        <w:spacing w:after="0" w:line="360" w:lineRule="auto"/>
        <w:jc w:val="both"/>
        <w:rPr>
          <w:rFonts w:ascii="Times New Roman" w:hAnsi="Times New Roman" w:cs="Times New Roman"/>
          <w:sz w:val="24"/>
          <w:szCs w:val="24"/>
        </w:rPr>
      </w:pPr>
      <w:r w:rsidRPr="00C20300">
        <w:rPr>
          <w:rFonts w:ascii="Times New Roman" w:hAnsi="Times New Roman" w:cs="Times New Roman"/>
          <w:sz w:val="24"/>
          <w:szCs w:val="24"/>
        </w:rPr>
        <w:t>The bar which operates against the applicant be, and is hereby lifted</w:t>
      </w:r>
      <w:r w:rsidR="006334F8">
        <w:rPr>
          <w:rFonts w:ascii="Times New Roman" w:hAnsi="Times New Roman" w:cs="Times New Roman"/>
          <w:sz w:val="24"/>
          <w:szCs w:val="24"/>
        </w:rPr>
        <w:t>,</w:t>
      </w:r>
    </w:p>
    <w:p w:rsidR="00A0366F" w:rsidRDefault="006334F8" w:rsidP="00A0366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Within 5 days of </w:t>
      </w:r>
      <w:r w:rsidR="001B27EC">
        <w:rPr>
          <w:rFonts w:ascii="Times New Roman" w:hAnsi="Times New Roman" w:cs="Times New Roman"/>
          <w:sz w:val="24"/>
          <w:szCs w:val="24"/>
        </w:rPr>
        <w:t xml:space="preserve">its receipt of </w:t>
      </w:r>
      <w:r>
        <w:rPr>
          <w:rFonts w:ascii="Times New Roman" w:hAnsi="Times New Roman" w:cs="Times New Roman"/>
          <w:sz w:val="24"/>
          <w:szCs w:val="24"/>
        </w:rPr>
        <w:t>this order, t</w:t>
      </w:r>
      <w:r w:rsidR="00A0366F">
        <w:rPr>
          <w:rFonts w:ascii="Times New Roman" w:hAnsi="Times New Roman" w:cs="Times New Roman"/>
          <w:sz w:val="24"/>
          <w:szCs w:val="24"/>
        </w:rPr>
        <w:t>he respondent furnishes the applicant with the particulars which it sought from it on 8 May, 2012;</w:t>
      </w:r>
    </w:p>
    <w:p w:rsidR="00A0366F" w:rsidRDefault="006334F8" w:rsidP="00A0366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Thereafter, the matter be</w:t>
      </w:r>
      <w:r w:rsidR="00584546">
        <w:rPr>
          <w:rFonts w:ascii="Times New Roman" w:hAnsi="Times New Roman" w:cs="Times New Roman"/>
          <w:sz w:val="24"/>
          <w:szCs w:val="24"/>
        </w:rPr>
        <w:t>,</w:t>
      </w:r>
      <w:r>
        <w:rPr>
          <w:rFonts w:ascii="Times New Roman" w:hAnsi="Times New Roman" w:cs="Times New Roman"/>
          <w:sz w:val="24"/>
          <w:szCs w:val="24"/>
        </w:rPr>
        <w:t xml:space="preserve"> and is hereby, allowed to proceed in terms of the rules of this court.</w:t>
      </w:r>
    </w:p>
    <w:p w:rsidR="00A0366F" w:rsidRPr="00C20300" w:rsidRDefault="00A0366F" w:rsidP="00A0366F">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A0366F" w:rsidRPr="00C20300" w:rsidRDefault="00A0366F" w:rsidP="00A0366F">
      <w:pPr>
        <w:spacing w:after="0" w:line="360" w:lineRule="auto"/>
        <w:ind w:left="540"/>
        <w:jc w:val="both"/>
        <w:rPr>
          <w:rFonts w:ascii="Times New Roman" w:hAnsi="Times New Roman" w:cs="Times New Roman"/>
          <w:sz w:val="24"/>
          <w:szCs w:val="24"/>
        </w:rPr>
      </w:pPr>
    </w:p>
    <w:p w:rsidR="00A0366F" w:rsidRPr="00E10222" w:rsidRDefault="00A0366F" w:rsidP="00A0366F">
      <w:pPr>
        <w:spacing w:after="0" w:line="240" w:lineRule="auto"/>
        <w:jc w:val="both"/>
        <w:rPr>
          <w:rFonts w:ascii="Times New Roman" w:hAnsi="Times New Roman" w:cs="Times New Roman"/>
          <w:sz w:val="24"/>
          <w:szCs w:val="24"/>
        </w:rPr>
      </w:pPr>
    </w:p>
    <w:p w:rsidR="007D635F" w:rsidRDefault="008C4756" w:rsidP="008C475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Mawere &amp; Sibanda</w:t>
      </w:r>
      <w:r>
        <w:rPr>
          <w:rFonts w:ascii="Times New Roman" w:hAnsi="Times New Roman" w:cs="Times New Roman"/>
          <w:sz w:val="24"/>
          <w:szCs w:val="24"/>
        </w:rPr>
        <w:t>, applicant’s legal practitioners</w:t>
      </w:r>
    </w:p>
    <w:p w:rsidR="008C4756" w:rsidRPr="008C4756" w:rsidRDefault="008C4756" w:rsidP="008C475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Wintertons</w:t>
      </w:r>
      <w:r>
        <w:rPr>
          <w:rFonts w:ascii="Times New Roman" w:hAnsi="Times New Roman" w:cs="Times New Roman"/>
          <w:sz w:val="24"/>
          <w:szCs w:val="24"/>
        </w:rPr>
        <w:t xml:space="preserve">, </w:t>
      </w:r>
      <w:r w:rsidR="006334F8">
        <w:rPr>
          <w:rFonts w:ascii="Times New Roman" w:hAnsi="Times New Roman" w:cs="Times New Roman"/>
          <w:sz w:val="24"/>
          <w:szCs w:val="24"/>
        </w:rPr>
        <w:t>respondent’s</w:t>
      </w:r>
      <w:r>
        <w:rPr>
          <w:rFonts w:ascii="Times New Roman" w:hAnsi="Times New Roman" w:cs="Times New Roman"/>
          <w:sz w:val="24"/>
          <w:szCs w:val="24"/>
        </w:rPr>
        <w:t xml:space="preserve"> legal practitioners</w:t>
      </w:r>
    </w:p>
    <w:sectPr w:rsidR="008C4756" w:rsidRPr="008C475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0E" w:rsidRDefault="00895A0E" w:rsidP="0034030E">
      <w:pPr>
        <w:spacing w:after="0" w:line="240" w:lineRule="auto"/>
      </w:pPr>
      <w:r>
        <w:separator/>
      </w:r>
    </w:p>
  </w:endnote>
  <w:endnote w:type="continuationSeparator" w:id="0">
    <w:p w:rsidR="00895A0E" w:rsidRDefault="00895A0E" w:rsidP="0034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0E" w:rsidRDefault="00895A0E" w:rsidP="0034030E">
      <w:pPr>
        <w:spacing w:after="0" w:line="240" w:lineRule="auto"/>
      </w:pPr>
      <w:r>
        <w:separator/>
      </w:r>
    </w:p>
  </w:footnote>
  <w:footnote w:type="continuationSeparator" w:id="0">
    <w:p w:rsidR="00895A0E" w:rsidRDefault="00895A0E" w:rsidP="00340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690048"/>
      <w:docPartObj>
        <w:docPartGallery w:val="Page Numbers (Top of Page)"/>
        <w:docPartUnique/>
      </w:docPartObj>
    </w:sdtPr>
    <w:sdtEndPr>
      <w:rPr>
        <w:noProof/>
      </w:rPr>
    </w:sdtEndPr>
    <w:sdtContent>
      <w:p w:rsidR="0034030E" w:rsidRDefault="0034030E">
        <w:pPr>
          <w:pStyle w:val="Header"/>
          <w:jc w:val="right"/>
          <w:rPr>
            <w:noProof/>
          </w:rPr>
        </w:pPr>
        <w:r>
          <w:fldChar w:fldCharType="begin"/>
        </w:r>
        <w:r>
          <w:instrText xml:space="preserve"> PAGE   \* MERGEFORMAT </w:instrText>
        </w:r>
        <w:r>
          <w:fldChar w:fldCharType="separate"/>
        </w:r>
        <w:r w:rsidR="007A0C18">
          <w:rPr>
            <w:noProof/>
          </w:rPr>
          <w:t>1</w:t>
        </w:r>
        <w:r>
          <w:rPr>
            <w:noProof/>
          </w:rPr>
          <w:fldChar w:fldCharType="end"/>
        </w:r>
      </w:p>
      <w:p w:rsidR="0034030E" w:rsidRDefault="0034030E">
        <w:pPr>
          <w:pStyle w:val="Header"/>
          <w:jc w:val="right"/>
          <w:rPr>
            <w:noProof/>
          </w:rPr>
        </w:pPr>
        <w:r>
          <w:rPr>
            <w:noProof/>
          </w:rPr>
          <w:t xml:space="preserve">HH </w:t>
        </w:r>
        <w:r w:rsidR="0027454C">
          <w:rPr>
            <w:noProof/>
          </w:rPr>
          <w:t>125-13</w:t>
        </w:r>
      </w:p>
      <w:p w:rsidR="0034030E" w:rsidRDefault="0034030E">
        <w:pPr>
          <w:pStyle w:val="Header"/>
          <w:jc w:val="right"/>
          <w:rPr>
            <w:noProof/>
          </w:rPr>
        </w:pPr>
        <w:r>
          <w:rPr>
            <w:noProof/>
          </w:rPr>
          <w:t>HC 7193/12</w:t>
        </w:r>
      </w:p>
      <w:p w:rsidR="0034030E" w:rsidRDefault="0034030E">
        <w:pPr>
          <w:pStyle w:val="Header"/>
          <w:jc w:val="right"/>
        </w:pPr>
        <w:r>
          <w:rPr>
            <w:noProof/>
          </w:rPr>
          <w:t>Ref Case No. HC 2906/12</w:t>
        </w:r>
      </w:p>
    </w:sdtContent>
  </w:sdt>
  <w:p w:rsidR="0034030E" w:rsidRDefault="003403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10D5A"/>
    <w:multiLevelType w:val="hybridMultilevel"/>
    <w:tmpl w:val="BF942BFE"/>
    <w:lvl w:ilvl="0" w:tplc="BE7ABDA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08D711E"/>
    <w:multiLevelType w:val="hybridMultilevel"/>
    <w:tmpl w:val="6D8058CA"/>
    <w:lvl w:ilvl="0" w:tplc="C55C177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3CDF6EC5"/>
    <w:multiLevelType w:val="hybridMultilevel"/>
    <w:tmpl w:val="F44A73E2"/>
    <w:lvl w:ilvl="0" w:tplc="96F495A8">
      <w:start w:val="1"/>
      <w:numFmt w:val="bullet"/>
      <w:lvlText w:val=""/>
      <w:lvlJc w:val="left"/>
      <w:pPr>
        <w:ind w:left="720" w:hanging="360"/>
      </w:pPr>
      <w:rPr>
        <w:rFonts w:ascii="Symbol" w:eastAsiaTheme="minorHAnsi" w:hAnsi="Symbol"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645B4FE2"/>
    <w:multiLevelType w:val="hybridMultilevel"/>
    <w:tmpl w:val="A11081DE"/>
    <w:lvl w:ilvl="0" w:tplc="600E5F9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C1B149B"/>
    <w:multiLevelType w:val="hybridMultilevel"/>
    <w:tmpl w:val="A8C2AD9A"/>
    <w:lvl w:ilvl="0" w:tplc="FE4E80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35F"/>
    <w:rsid w:val="00070376"/>
    <w:rsid w:val="000758A0"/>
    <w:rsid w:val="000A1259"/>
    <w:rsid w:val="000A6F72"/>
    <w:rsid w:val="0018419C"/>
    <w:rsid w:val="00193225"/>
    <w:rsid w:val="001B27EC"/>
    <w:rsid w:val="001B67F7"/>
    <w:rsid w:val="001B7B5F"/>
    <w:rsid w:val="00203323"/>
    <w:rsid w:val="00240C30"/>
    <w:rsid w:val="0024608A"/>
    <w:rsid w:val="0027454C"/>
    <w:rsid w:val="00285AEC"/>
    <w:rsid w:val="00286223"/>
    <w:rsid w:val="002A06F7"/>
    <w:rsid w:val="002A55E4"/>
    <w:rsid w:val="002F16F3"/>
    <w:rsid w:val="00337992"/>
    <w:rsid w:val="0034030E"/>
    <w:rsid w:val="00371066"/>
    <w:rsid w:val="003B4CAB"/>
    <w:rsid w:val="00403BEB"/>
    <w:rsid w:val="004054DC"/>
    <w:rsid w:val="00410318"/>
    <w:rsid w:val="00487BCF"/>
    <w:rsid w:val="00523052"/>
    <w:rsid w:val="00530E0D"/>
    <w:rsid w:val="00566D80"/>
    <w:rsid w:val="00582F9B"/>
    <w:rsid w:val="00584546"/>
    <w:rsid w:val="00590CD6"/>
    <w:rsid w:val="005A6F75"/>
    <w:rsid w:val="005D5F32"/>
    <w:rsid w:val="005E7050"/>
    <w:rsid w:val="00631CF8"/>
    <w:rsid w:val="006334F8"/>
    <w:rsid w:val="00667A0E"/>
    <w:rsid w:val="006800A7"/>
    <w:rsid w:val="00691FCD"/>
    <w:rsid w:val="0071310B"/>
    <w:rsid w:val="00723F57"/>
    <w:rsid w:val="00731835"/>
    <w:rsid w:val="00741D03"/>
    <w:rsid w:val="0077793D"/>
    <w:rsid w:val="00782F73"/>
    <w:rsid w:val="00794135"/>
    <w:rsid w:val="007A0C18"/>
    <w:rsid w:val="007C2A5A"/>
    <w:rsid w:val="007C61B9"/>
    <w:rsid w:val="007D635F"/>
    <w:rsid w:val="007F2B72"/>
    <w:rsid w:val="007F6658"/>
    <w:rsid w:val="00814DC7"/>
    <w:rsid w:val="00844B8C"/>
    <w:rsid w:val="00884C6A"/>
    <w:rsid w:val="00895A0E"/>
    <w:rsid w:val="008C4756"/>
    <w:rsid w:val="00902F1F"/>
    <w:rsid w:val="0092000E"/>
    <w:rsid w:val="009540F5"/>
    <w:rsid w:val="00987B75"/>
    <w:rsid w:val="0099395B"/>
    <w:rsid w:val="009B74FC"/>
    <w:rsid w:val="009E37CE"/>
    <w:rsid w:val="009E6917"/>
    <w:rsid w:val="009F0337"/>
    <w:rsid w:val="00A0366F"/>
    <w:rsid w:val="00A8761C"/>
    <w:rsid w:val="00AB7F15"/>
    <w:rsid w:val="00AC1888"/>
    <w:rsid w:val="00AD2A99"/>
    <w:rsid w:val="00AF4ED2"/>
    <w:rsid w:val="00B07988"/>
    <w:rsid w:val="00B422EB"/>
    <w:rsid w:val="00B92A1F"/>
    <w:rsid w:val="00BB145E"/>
    <w:rsid w:val="00C227B9"/>
    <w:rsid w:val="00C268EF"/>
    <w:rsid w:val="00C6770C"/>
    <w:rsid w:val="00C76E68"/>
    <w:rsid w:val="00C97117"/>
    <w:rsid w:val="00C97A6C"/>
    <w:rsid w:val="00CA308B"/>
    <w:rsid w:val="00CB45A6"/>
    <w:rsid w:val="00CD6FCA"/>
    <w:rsid w:val="00D13379"/>
    <w:rsid w:val="00D265C4"/>
    <w:rsid w:val="00D27C1C"/>
    <w:rsid w:val="00D9283E"/>
    <w:rsid w:val="00D96036"/>
    <w:rsid w:val="00DC41E3"/>
    <w:rsid w:val="00E2081D"/>
    <w:rsid w:val="00EB5757"/>
    <w:rsid w:val="00EC290D"/>
    <w:rsid w:val="00EE6368"/>
    <w:rsid w:val="00F542DF"/>
    <w:rsid w:val="00FC170D"/>
    <w:rsid w:val="00FD7B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35F"/>
    <w:pPr>
      <w:ind w:left="720"/>
      <w:contextualSpacing/>
    </w:pPr>
  </w:style>
  <w:style w:type="paragraph" w:styleId="Header">
    <w:name w:val="header"/>
    <w:basedOn w:val="Normal"/>
    <w:link w:val="HeaderChar"/>
    <w:uiPriority w:val="99"/>
    <w:unhideWhenUsed/>
    <w:rsid w:val="00340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30E"/>
  </w:style>
  <w:style w:type="paragraph" w:styleId="Footer">
    <w:name w:val="footer"/>
    <w:basedOn w:val="Normal"/>
    <w:link w:val="FooterChar"/>
    <w:uiPriority w:val="99"/>
    <w:unhideWhenUsed/>
    <w:rsid w:val="00340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30E"/>
  </w:style>
  <w:style w:type="paragraph" w:styleId="BalloonText">
    <w:name w:val="Balloon Text"/>
    <w:basedOn w:val="Normal"/>
    <w:link w:val="BalloonTextChar"/>
    <w:uiPriority w:val="99"/>
    <w:semiHidden/>
    <w:unhideWhenUsed/>
    <w:rsid w:val="0007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35F"/>
    <w:pPr>
      <w:ind w:left="720"/>
      <w:contextualSpacing/>
    </w:pPr>
  </w:style>
  <w:style w:type="paragraph" w:styleId="Header">
    <w:name w:val="header"/>
    <w:basedOn w:val="Normal"/>
    <w:link w:val="HeaderChar"/>
    <w:uiPriority w:val="99"/>
    <w:unhideWhenUsed/>
    <w:rsid w:val="00340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30E"/>
  </w:style>
  <w:style w:type="paragraph" w:styleId="Footer">
    <w:name w:val="footer"/>
    <w:basedOn w:val="Normal"/>
    <w:link w:val="FooterChar"/>
    <w:uiPriority w:val="99"/>
    <w:unhideWhenUsed/>
    <w:rsid w:val="00340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30E"/>
  </w:style>
  <w:style w:type="paragraph" w:styleId="BalloonText">
    <w:name w:val="Balloon Text"/>
    <w:basedOn w:val="Normal"/>
    <w:link w:val="BalloonTextChar"/>
    <w:uiPriority w:val="99"/>
    <w:semiHidden/>
    <w:unhideWhenUsed/>
    <w:rsid w:val="000703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2013-04-25T13:30:00Z</cp:lastPrinted>
  <dcterms:created xsi:type="dcterms:W3CDTF">2013-05-14T13:07:00Z</dcterms:created>
  <dcterms:modified xsi:type="dcterms:W3CDTF">2013-05-14T13:07:00Z</dcterms:modified>
</cp:coreProperties>
</file>