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04" w:rsidRDefault="00B86422" w:rsidP="00B8642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MICHAEL SIBANDA</w:t>
      </w:r>
    </w:p>
    <w:p w:rsidR="00B86422" w:rsidRDefault="00313373" w:rsidP="00B8642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B86422">
        <w:rPr>
          <w:rFonts w:ascii="Times New Roman" w:hAnsi="Times New Roman" w:cs="Times New Roman"/>
          <w:sz w:val="24"/>
          <w:szCs w:val="24"/>
        </w:rPr>
        <w:t>ersus</w:t>
      </w:r>
      <w:proofErr w:type="gramEnd"/>
    </w:p>
    <w:p w:rsidR="00B86422" w:rsidRDefault="00B86422"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COMMUNICATIONS &amp; ALLIED INDUSTRIES</w:t>
      </w:r>
    </w:p>
    <w:p w:rsidR="00B86422" w:rsidRDefault="00B86422"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PENSION FUND</w:t>
      </w: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86422" w:rsidRDefault="00B86422"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B86422" w:rsidRDefault="00B86422"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95FAA">
        <w:rPr>
          <w:rFonts w:ascii="Times New Roman" w:hAnsi="Times New Roman" w:cs="Times New Roman"/>
          <w:sz w:val="24"/>
          <w:szCs w:val="24"/>
        </w:rPr>
        <w:t xml:space="preserve">29 January </w:t>
      </w:r>
      <w:r>
        <w:rPr>
          <w:rFonts w:ascii="Times New Roman" w:hAnsi="Times New Roman" w:cs="Times New Roman"/>
          <w:sz w:val="24"/>
          <w:szCs w:val="24"/>
        </w:rPr>
        <w:t>2017</w:t>
      </w:r>
      <w:r w:rsidR="000372D4">
        <w:rPr>
          <w:rFonts w:ascii="Times New Roman" w:hAnsi="Times New Roman" w:cs="Times New Roman"/>
          <w:sz w:val="24"/>
          <w:szCs w:val="24"/>
        </w:rPr>
        <w:t xml:space="preserve"> &amp;</w:t>
      </w:r>
      <w:r w:rsidR="000A0701">
        <w:rPr>
          <w:rFonts w:ascii="Times New Roman" w:hAnsi="Times New Roman" w:cs="Times New Roman"/>
          <w:sz w:val="24"/>
          <w:szCs w:val="24"/>
        </w:rPr>
        <w:t xml:space="preserve"> 8 February 2017</w:t>
      </w: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D162A3" w:rsidP="00B86422">
      <w:pPr>
        <w:spacing w:after="0" w:line="240" w:lineRule="auto"/>
        <w:jc w:val="both"/>
        <w:rPr>
          <w:rFonts w:ascii="Times New Roman" w:hAnsi="Times New Roman" w:cs="Times New Roman"/>
          <w:b/>
          <w:sz w:val="24"/>
          <w:szCs w:val="24"/>
        </w:rPr>
      </w:pPr>
      <w:r w:rsidRPr="00D162A3">
        <w:rPr>
          <w:rFonts w:ascii="Times New Roman" w:hAnsi="Times New Roman" w:cs="Times New Roman"/>
          <w:b/>
          <w:sz w:val="24"/>
          <w:szCs w:val="24"/>
        </w:rPr>
        <w:t>Civil Trial</w:t>
      </w:r>
    </w:p>
    <w:p w:rsidR="00813A1E" w:rsidRPr="00D162A3" w:rsidRDefault="00813A1E" w:rsidP="00B86422">
      <w:pPr>
        <w:spacing w:after="0" w:line="240" w:lineRule="auto"/>
        <w:jc w:val="both"/>
        <w:rPr>
          <w:rFonts w:ascii="Times New Roman" w:hAnsi="Times New Roman" w:cs="Times New Roman"/>
          <w:b/>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D162A3" w:rsidP="00B864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A.M </w:t>
      </w:r>
      <w:proofErr w:type="spellStart"/>
      <w:r w:rsidR="00B86422">
        <w:rPr>
          <w:rFonts w:ascii="Times New Roman" w:hAnsi="Times New Roman" w:cs="Times New Roman"/>
          <w:i/>
          <w:sz w:val="24"/>
          <w:szCs w:val="24"/>
        </w:rPr>
        <w:t>Mhaka</w:t>
      </w:r>
      <w:proofErr w:type="spellEnd"/>
      <w:r w:rsidR="00B86422">
        <w:rPr>
          <w:rFonts w:ascii="Times New Roman" w:hAnsi="Times New Roman" w:cs="Times New Roman"/>
          <w:i/>
          <w:sz w:val="24"/>
          <w:szCs w:val="24"/>
        </w:rPr>
        <w:t xml:space="preserve">, </w:t>
      </w:r>
      <w:r w:rsidR="00B86422">
        <w:rPr>
          <w:rFonts w:ascii="Times New Roman" w:hAnsi="Times New Roman" w:cs="Times New Roman"/>
          <w:sz w:val="24"/>
          <w:szCs w:val="24"/>
        </w:rPr>
        <w:t>for the plaintiff</w:t>
      </w:r>
    </w:p>
    <w:p w:rsidR="00B86422" w:rsidRDefault="00D162A3" w:rsidP="00B86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O</w:t>
      </w:r>
      <w:r w:rsidR="00813A1E">
        <w:rPr>
          <w:rFonts w:ascii="Times New Roman" w:hAnsi="Times New Roman" w:cs="Times New Roman"/>
          <w:sz w:val="24"/>
          <w:szCs w:val="24"/>
        </w:rPr>
        <w:t>chieng</w:t>
      </w:r>
      <w:r w:rsidR="00B86422">
        <w:rPr>
          <w:rFonts w:ascii="Times New Roman" w:hAnsi="Times New Roman" w:cs="Times New Roman"/>
          <w:i/>
          <w:sz w:val="24"/>
          <w:szCs w:val="24"/>
        </w:rPr>
        <w:t xml:space="preserve">, </w:t>
      </w:r>
      <w:r w:rsidR="00B86422">
        <w:rPr>
          <w:rFonts w:ascii="Times New Roman" w:hAnsi="Times New Roman" w:cs="Times New Roman"/>
          <w:sz w:val="24"/>
          <w:szCs w:val="24"/>
        </w:rPr>
        <w:t>for the defendant</w:t>
      </w: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B86422" w:rsidRDefault="00B86422" w:rsidP="00B86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 MOYO J: The plaintiff issued summons against the defendant for the following relief:</w:t>
      </w:r>
    </w:p>
    <w:p w:rsidR="00B86422" w:rsidRDefault="00B86422" w:rsidP="00B864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 order directing that the defendant pay to the plaintiff a pension in terms of the pensions contract signed between the plaintiff and the defendant alternatively in terms of the group pension agreement entered into between the defendant and the plaintiff’s former employer</w:t>
      </w:r>
    </w:p>
    <w:p w:rsidR="00B86422" w:rsidRDefault="00B86422" w:rsidP="00B864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order directing that the defendant pay the plaintiff the pension sum assessed by the court to be due and payable.</w:t>
      </w:r>
    </w:p>
    <w:p w:rsidR="00B86422" w:rsidRDefault="00B86422" w:rsidP="00B864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order directing that the defendant pay interest on the pension payments in arrears from the time such payments fell due to the time of payment.</w:t>
      </w:r>
    </w:p>
    <w:p w:rsidR="00B86422" w:rsidRDefault="00B86422" w:rsidP="00B864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defendant pay costs of suit.</w:t>
      </w:r>
    </w:p>
    <w:p w:rsidR="00B86422" w:rsidRDefault="00B86422" w:rsidP="00B864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defendant pleaded that it owed nothing to the plaintiff. </w:t>
      </w:r>
    </w:p>
    <w:p w:rsidR="00025941" w:rsidRDefault="00B86422" w:rsidP="00E82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the parties agreed that there are no dispu</w:t>
      </w:r>
      <w:r w:rsidR="00E820FD">
        <w:rPr>
          <w:rFonts w:ascii="Times New Roman" w:hAnsi="Times New Roman" w:cs="Times New Roman"/>
          <w:sz w:val="24"/>
          <w:szCs w:val="24"/>
        </w:rPr>
        <w:t>tes of facts in relation to this matter and agreed to proceed by way of a stated case</w:t>
      </w:r>
      <w:r w:rsidR="00025941">
        <w:rPr>
          <w:rFonts w:ascii="Times New Roman" w:hAnsi="Times New Roman" w:cs="Times New Roman"/>
          <w:sz w:val="24"/>
          <w:szCs w:val="24"/>
        </w:rPr>
        <w:t>.</w:t>
      </w:r>
    </w:p>
    <w:p w:rsidR="00284808" w:rsidRDefault="00025941" w:rsidP="00E82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agreed that the facts are </w:t>
      </w:r>
      <w:r w:rsidR="002C3036">
        <w:rPr>
          <w:rFonts w:ascii="Times New Roman" w:hAnsi="Times New Roman" w:cs="Times New Roman"/>
          <w:sz w:val="24"/>
          <w:szCs w:val="24"/>
        </w:rPr>
        <w:t>as follows; t</w:t>
      </w:r>
      <w:r>
        <w:rPr>
          <w:rFonts w:ascii="Times New Roman" w:hAnsi="Times New Roman" w:cs="Times New Roman"/>
          <w:sz w:val="24"/>
          <w:szCs w:val="24"/>
        </w:rPr>
        <w:t xml:space="preserve">he defendant is a pension fund registered in </w:t>
      </w:r>
      <w:r w:rsidR="00AD65EB">
        <w:rPr>
          <w:rFonts w:ascii="Times New Roman" w:hAnsi="Times New Roman" w:cs="Times New Roman"/>
          <w:sz w:val="24"/>
          <w:szCs w:val="24"/>
        </w:rPr>
        <w:t>terms</w:t>
      </w:r>
      <w:r>
        <w:rPr>
          <w:rFonts w:ascii="Times New Roman" w:hAnsi="Times New Roman" w:cs="Times New Roman"/>
          <w:sz w:val="24"/>
          <w:szCs w:val="24"/>
        </w:rPr>
        <w:t xml:space="preserve"> of the Pensions and Provident Funds Act [</w:t>
      </w:r>
      <w:r w:rsidRPr="00C76312">
        <w:rPr>
          <w:rFonts w:ascii="Times New Roman" w:hAnsi="Times New Roman" w:cs="Times New Roman"/>
          <w:i/>
          <w:sz w:val="24"/>
          <w:szCs w:val="24"/>
        </w:rPr>
        <w:t>Chapter 24:09</w:t>
      </w:r>
      <w:r>
        <w:rPr>
          <w:rFonts w:ascii="Times New Roman" w:hAnsi="Times New Roman" w:cs="Times New Roman"/>
          <w:sz w:val="24"/>
          <w:szCs w:val="24"/>
        </w:rPr>
        <w:t>]. The plaintiff is a member of the fund having been employed by Tel One (Pvt) Ltd. On 3 January 2000, the defend</w:t>
      </w:r>
      <w:r w:rsidR="00AD65EB">
        <w:rPr>
          <w:rFonts w:ascii="Times New Roman" w:hAnsi="Times New Roman" w:cs="Times New Roman"/>
          <w:sz w:val="24"/>
          <w:szCs w:val="24"/>
        </w:rPr>
        <w:t>ant received instructions from T</w:t>
      </w:r>
      <w:r>
        <w:rPr>
          <w:rFonts w:ascii="Times New Roman" w:hAnsi="Times New Roman" w:cs="Times New Roman"/>
          <w:sz w:val="24"/>
          <w:szCs w:val="24"/>
        </w:rPr>
        <w:t>el</w:t>
      </w:r>
      <w:r w:rsidR="001E3283">
        <w:rPr>
          <w:rFonts w:ascii="Times New Roman" w:hAnsi="Times New Roman" w:cs="Times New Roman"/>
          <w:sz w:val="24"/>
          <w:szCs w:val="24"/>
        </w:rPr>
        <w:t xml:space="preserve"> One to pay a refund of </w:t>
      </w:r>
      <w:proofErr w:type="gramStart"/>
      <w:r w:rsidR="001E3283">
        <w:rPr>
          <w:rFonts w:ascii="Times New Roman" w:hAnsi="Times New Roman" w:cs="Times New Roman"/>
          <w:sz w:val="24"/>
          <w:szCs w:val="24"/>
        </w:rPr>
        <w:t>pensions</w:t>
      </w:r>
      <w:proofErr w:type="gramEnd"/>
      <w:r>
        <w:rPr>
          <w:rFonts w:ascii="Times New Roman" w:hAnsi="Times New Roman" w:cs="Times New Roman"/>
          <w:sz w:val="24"/>
          <w:szCs w:val="24"/>
        </w:rPr>
        <w:t xml:space="preserve"> </w:t>
      </w:r>
      <w:r w:rsidR="00AD65EB">
        <w:rPr>
          <w:rFonts w:ascii="Times New Roman" w:hAnsi="Times New Roman" w:cs="Times New Roman"/>
          <w:sz w:val="24"/>
          <w:szCs w:val="24"/>
        </w:rPr>
        <w:t xml:space="preserve">contributions to the plaintiff </w:t>
      </w:r>
      <w:r>
        <w:rPr>
          <w:rFonts w:ascii="Times New Roman" w:hAnsi="Times New Roman" w:cs="Times New Roman"/>
          <w:sz w:val="24"/>
          <w:szCs w:val="24"/>
        </w:rPr>
        <w:t xml:space="preserve">on the basis that the plaintiff had been dismissed from </w:t>
      </w:r>
      <w:r w:rsidR="00AD65EB">
        <w:rPr>
          <w:rFonts w:ascii="Times New Roman" w:hAnsi="Times New Roman" w:cs="Times New Roman"/>
          <w:sz w:val="24"/>
          <w:szCs w:val="24"/>
        </w:rPr>
        <w:t>employment</w:t>
      </w:r>
      <w:r>
        <w:rPr>
          <w:rFonts w:ascii="Times New Roman" w:hAnsi="Times New Roman" w:cs="Times New Roman"/>
          <w:sz w:val="24"/>
          <w:szCs w:val="24"/>
        </w:rPr>
        <w:t xml:space="preserve"> with effect from </w:t>
      </w:r>
      <w:r>
        <w:rPr>
          <w:rFonts w:ascii="Times New Roman" w:hAnsi="Times New Roman" w:cs="Times New Roman"/>
          <w:sz w:val="24"/>
          <w:szCs w:val="24"/>
        </w:rPr>
        <w:lastRenderedPageBreak/>
        <w:t>April 1999. The plaintiff had been discharged following an industrial action of which he was subsequently</w:t>
      </w:r>
      <w:r w:rsidR="00B86422">
        <w:rPr>
          <w:rFonts w:ascii="Times New Roman" w:hAnsi="Times New Roman" w:cs="Times New Roman"/>
          <w:sz w:val="24"/>
          <w:szCs w:val="24"/>
        </w:rPr>
        <w:t xml:space="preserve"> </w:t>
      </w:r>
      <w:r w:rsidR="00672648">
        <w:rPr>
          <w:rFonts w:ascii="Times New Roman" w:hAnsi="Times New Roman" w:cs="Times New Roman"/>
          <w:sz w:val="24"/>
          <w:szCs w:val="24"/>
        </w:rPr>
        <w:t>reinstated in January 200</w:t>
      </w:r>
      <w:r w:rsidR="002C3036">
        <w:rPr>
          <w:rFonts w:ascii="Times New Roman" w:hAnsi="Times New Roman" w:cs="Times New Roman"/>
          <w:sz w:val="24"/>
          <w:szCs w:val="24"/>
        </w:rPr>
        <w:t>0. The plaintiff upon reinstatement paid a bridging lu</w:t>
      </w:r>
      <w:r w:rsidR="00C76312">
        <w:rPr>
          <w:rFonts w:ascii="Times New Roman" w:hAnsi="Times New Roman" w:cs="Times New Roman"/>
          <w:sz w:val="24"/>
          <w:szCs w:val="24"/>
        </w:rPr>
        <w:t>m</w:t>
      </w:r>
      <w:r w:rsidR="002C3036">
        <w:rPr>
          <w:rFonts w:ascii="Times New Roman" w:hAnsi="Times New Roman" w:cs="Times New Roman"/>
          <w:sz w:val="24"/>
          <w:szCs w:val="24"/>
        </w:rPr>
        <w:t>p</w:t>
      </w:r>
      <w:r w:rsidR="000D135F">
        <w:rPr>
          <w:rFonts w:ascii="Times New Roman" w:hAnsi="Times New Roman" w:cs="Times New Roman"/>
          <w:sz w:val="24"/>
          <w:szCs w:val="24"/>
        </w:rPr>
        <w:t xml:space="preserve"> </w:t>
      </w:r>
      <w:r w:rsidR="002C3036">
        <w:rPr>
          <w:rFonts w:ascii="Times New Roman" w:hAnsi="Times New Roman" w:cs="Times New Roman"/>
          <w:sz w:val="24"/>
          <w:szCs w:val="24"/>
        </w:rPr>
        <w:t>sum premium to the fund</w:t>
      </w:r>
      <w:r w:rsidR="000D135F">
        <w:rPr>
          <w:rFonts w:ascii="Times New Roman" w:hAnsi="Times New Roman" w:cs="Times New Roman"/>
          <w:sz w:val="24"/>
          <w:szCs w:val="24"/>
        </w:rPr>
        <w:t xml:space="preserve">. The </w:t>
      </w:r>
      <w:r w:rsidR="00E56C65">
        <w:rPr>
          <w:rFonts w:ascii="Times New Roman" w:hAnsi="Times New Roman" w:cs="Times New Roman"/>
          <w:sz w:val="24"/>
          <w:szCs w:val="24"/>
        </w:rPr>
        <w:t>resultant</w:t>
      </w:r>
      <w:r w:rsidR="000D135F">
        <w:rPr>
          <w:rFonts w:ascii="Times New Roman" w:hAnsi="Times New Roman" w:cs="Times New Roman"/>
          <w:sz w:val="24"/>
          <w:szCs w:val="24"/>
        </w:rPr>
        <w:t xml:space="preserve"> situation was that there had been no break in the plaintiff’s contributions. The defendant proceeded, </w:t>
      </w:r>
      <w:r w:rsidR="00E56C65">
        <w:rPr>
          <w:rFonts w:ascii="Times New Roman" w:hAnsi="Times New Roman" w:cs="Times New Roman"/>
          <w:sz w:val="24"/>
          <w:szCs w:val="24"/>
        </w:rPr>
        <w:t>after</w:t>
      </w:r>
      <w:r w:rsidR="000D135F">
        <w:rPr>
          <w:rFonts w:ascii="Times New Roman" w:hAnsi="Times New Roman" w:cs="Times New Roman"/>
          <w:sz w:val="24"/>
          <w:szCs w:val="24"/>
        </w:rPr>
        <w:t xml:space="preserve"> </w:t>
      </w:r>
      <w:r w:rsidR="00E56C65">
        <w:rPr>
          <w:rFonts w:ascii="Times New Roman" w:hAnsi="Times New Roman" w:cs="Times New Roman"/>
          <w:sz w:val="24"/>
          <w:szCs w:val="24"/>
        </w:rPr>
        <w:t>receiving</w:t>
      </w:r>
      <w:r w:rsidR="000D135F">
        <w:rPr>
          <w:rFonts w:ascii="Times New Roman" w:hAnsi="Times New Roman" w:cs="Times New Roman"/>
          <w:sz w:val="24"/>
          <w:szCs w:val="24"/>
        </w:rPr>
        <w:t xml:space="preserve"> instructions from Tel One, to pay out pension refunds to the plaintiff by way of a crossed cheque in favour of the plaintiff drawn on the defendant’s bank Barclays and sent by post to 6925 </w:t>
      </w:r>
      <w:proofErr w:type="spellStart"/>
      <w:r w:rsidR="000D135F">
        <w:rPr>
          <w:rFonts w:ascii="Times New Roman" w:hAnsi="Times New Roman" w:cs="Times New Roman"/>
          <w:sz w:val="24"/>
          <w:szCs w:val="24"/>
        </w:rPr>
        <w:t>Pelandaba</w:t>
      </w:r>
      <w:proofErr w:type="spellEnd"/>
      <w:r w:rsidR="000D135F">
        <w:rPr>
          <w:rFonts w:ascii="Times New Roman" w:hAnsi="Times New Roman" w:cs="Times New Roman"/>
          <w:sz w:val="24"/>
          <w:szCs w:val="24"/>
        </w:rPr>
        <w:t>, Bulawayo</w:t>
      </w:r>
      <w:r w:rsidR="00215450">
        <w:rPr>
          <w:rFonts w:ascii="Times New Roman" w:hAnsi="Times New Roman" w:cs="Times New Roman"/>
          <w:sz w:val="24"/>
          <w:szCs w:val="24"/>
        </w:rPr>
        <w:t xml:space="preserve">. The cheque was presented at a </w:t>
      </w:r>
      <w:proofErr w:type="spellStart"/>
      <w:r w:rsidR="00215450">
        <w:rPr>
          <w:rFonts w:ascii="Times New Roman" w:hAnsi="Times New Roman" w:cs="Times New Roman"/>
          <w:sz w:val="24"/>
          <w:szCs w:val="24"/>
        </w:rPr>
        <w:t>Zimbank</w:t>
      </w:r>
      <w:proofErr w:type="spellEnd"/>
      <w:r w:rsidR="00215450">
        <w:rPr>
          <w:rFonts w:ascii="Times New Roman" w:hAnsi="Times New Roman" w:cs="Times New Roman"/>
          <w:sz w:val="24"/>
          <w:szCs w:val="24"/>
        </w:rPr>
        <w:t xml:space="preserve"> Branch in Bulawayo on 2 May 2000 and paid out. The plaintiff denied ever seeing the cheque. The plaintiff stated that at the time he resided in Harare. The plaintiff insisted he had never been a client of ZB Bank. Later the defendant received communication from Tel One that the plaintiff had been reinstated</w:t>
      </w:r>
      <w:r w:rsidR="00284808">
        <w:rPr>
          <w:rFonts w:ascii="Times New Roman" w:hAnsi="Times New Roman" w:cs="Times New Roman"/>
          <w:sz w:val="24"/>
          <w:szCs w:val="24"/>
        </w:rPr>
        <w:t xml:space="preserve"> without loss of salary and benefits.</w:t>
      </w:r>
    </w:p>
    <w:p w:rsidR="00284808" w:rsidRDefault="00C648CC" w:rsidP="00E82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read as follows:</w:t>
      </w:r>
    </w:p>
    <w:p w:rsidR="00C648CC" w:rsidRDefault="00C648CC" w:rsidP="00C648CC">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RE-EMPLOMENT OF DISMISSED TECHNICIAN </w:t>
      </w:r>
    </w:p>
    <w:p w:rsidR="00C648CC" w:rsidRDefault="00C648CC" w:rsidP="00C648CC">
      <w:pPr>
        <w:spacing w:after="0" w:line="240" w:lineRule="auto"/>
        <w:ind w:firstLine="720"/>
        <w:jc w:val="both"/>
        <w:rPr>
          <w:rFonts w:ascii="Times New Roman" w:hAnsi="Times New Roman" w:cs="Times New Roman"/>
        </w:rPr>
      </w:pPr>
    </w:p>
    <w:p w:rsidR="00C648CC" w:rsidRDefault="00C648CC" w:rsidP="00C648CC">
      <w:pPr>
        <w:spacing w:after="0" w:line="240" w:lineRule="auto"/>
        <w:ind w:left="720"/>
        <w:jc w:val="both"/>
        <w:rPr>
          <w:rFonts w:ascii="Times New Roman" w:hAnsi="Times New Roman" w:cs="Times New Roman"/>
        </w:rPr>
      </w:pPr>
      <w:r>
        <w:rPr>
          <w:rFonts w:ascii="Times New Roman" w:hAnsi="Times New Roman" w:cs="Times New Roman"/>
        </w:rPr>
        <w:t xml:space="preserve">This serves to advise that Mr/Mrs/Ms </w:t>
      </w:r>
      <w:proofErr w:type="spellStart"/>
      <w:r>
        <w:rPr>
          <w:rFonts w:ascii="Times New Roman" w:hAnsi="Times New Roman" w:cs="Times New Roman"/>
        </w:rPr>
        <w:t>Sibanda</w:t>
      </w:r>
      <w:proofErr w:type="spellEnd"/>
      <w:r>
        <w:rPr>
          <w:rFonts w:ascii="Times New Roman" w:hAnsi="Times New Roman" w:cs="Times New Roman"/>
        </w:rPr>
        <w:t xml:space="preserve"> M</w:t>
      </w:r>
      <w:r w:rsidR="005240C7">
        <w:rPr>
          <w:rFonts w:ascii="Times New Roman" w:hAnsi="Times New Roman" w:cs="Times New Roman"/>
        </w:rPr>
        <w:t xml:space="preserve"> </w:t>
      </w:r>
      <w:r>
        <w:rPr>
          <w:rFonts w:ascii="Times New Roman" w:hAnsi="Times New Roman" w:cs="Times New Roman"/>
        </w:rPr>
        <w:t xml:space="preserve">EC No. 181676C has been re-employed as a technician/engineer with effect from 17 January 2000. </w:t>
      </w:r>
    </w:p>
    <w:p w:rsidR="00C648CC" w:rsidRDefault="00C648CC" w:rsidP="00C648CC">
      <w:pPr>
        <w:spacing w:after="0" w:line="240" w:lineRule="auto"/>
        <w:ind w:left="720"/>
        <w:jc w:val="both"/>
        <w:rPr>
          <w:rFonts w:ascii="Times New Roman" w:hAnsi="Times New Roman" w:cs="Times New Roman"/>
        </w:rPr>
      </w:pPr>
    </w:p>
    <w:p w:rsidR="00C648CC" w:rsidRDefault="00C648CC" w:rsidP="00C648CC">
      <w:pPr>
        <w:spacing w:after="0" w:line="240" w:lineRule="auto"/>
        <w:ind w:left="720"/>
        <w:jc w:val="both"/>
        <w:rPr>
          <w:rFonts w:ascii="Times New Roman" w:hAnsi="Times New Roman" w:cs="Times New Roman"/>
        </w:rPr>
      </w:pPr>
      <w:r>
        <w:rPr>
          <w:rFonts w:ascii="Times New Roman" w:hAnsi="Times New Roman" w:cs="Times New Roman"/>
        </w:rPr>
        <w:t>Please note that the conditions of his/her re-employment, which he/she accepted are as follows:</w:t>
      </w:r>
    </w:p>
    <w:p w:rsidR="00C648CC" w:rsidRDefault="00C648CC" w:rsidP="00C648CC">
      <w:pPr>
        <w:spacing w:after="0" w:line="240" w:lineRule="auto"/>
        <w:ind w:left="720"/>
        <w:jc w:val="both"/>
        <w:rPr>
          <w:rFonts w:ascii="Times New Roman" w:hAnsi="Times New Roman" w:cs="Times New Roman"/>
        </w:rPr>
      </w:pPr>
    </w:p>
    <w:p w:rsidR="00C648CC" w:rsidRDefault="00C648CC" w:rsidP="00C648CC">
      <w:pPr>
        <w:spacing w:after="0" w:line="240" w:lineRule="auto"/>
        <w:ind w:left="720"/>
        <w:jc w:val="both"/>
        <w:rPr>
          <w:rFonts w:ascii="Times New Roman" w:hAnsi="Times New Roman" w:cs="Times New Roman"/>
        </w:rPr>
      </w:pPr>
      <w:r>
        <w:rPr>
          <w:rFonts w:ascii="Times New Roman" w:hAnsi="Times New Roman" w:cs="Times New Roman"/>
        </w:rPr>
        <w:t xml:space="preserve">He/she </w:t>
      </w:r>
      <w:proofErr w:type="gramStart"/>
      <w:r>
        <w:rPr>
          <w:rFonts w:ascii="Times New Roman" w:hAnsi="Times New Roman" w:cs="Times New Roman"/>
        </w:rPr>
        <w:t>be</w:t>
      </w:r>
      <w:proofErr w:type="gramEnd"/>
      <w:r>
        <w:rPr>
          <w:rFonts w:ascii="Times New Roman" w:hAnsi="Times New Roman" w:cs="Times New Roman"/>
        </w:rPr>
        <w:t xml:space="preserve"> responsible for pension bridging by paying through salary deductions both his/her contribution as well as the employer pension contribution for the period between his/her dismissal and re-employment.</w:t>
      </w:r>
    </w:p>
    <w:p w:rsidR="00C648CC" w:rsidRDefault="00C648CC" w:rsidP="00C648CC">
      <w:pPr>
        <w:spacing w:after="0" w:line="240" w:lineRule="auto"/>
        <w:ind w:left="720"/>
        <w:jc w:val="both"/>
        <w:rPr>
          <w:rFonts w:ascii="Times New Roman" w:hAnsi="Times New Roman" w:cs="Times New Roman"/>
        </w:rPr>
      </w:pPr>
    </w:p>
    <w:p w:rsidR="00C648CC" w:rsidRDefault="00C648CC" w:rsidP="00C648CC">
      <w:pPr>
        <w:spacing w:after="0" w:line="240" w:lineRule="auto"/>
        <w:ind w:left="720"/>
        <w:jc w:val="both"/>
        <w:rPr>
          <w:rFonts w:ascii="Times New Roman" w:hAnsi="Times New Roman" w:cs="Times New Roman"/>
        </w:rPr>
      </w:pPr>
      <w:r>
        <w:rPr>
          <w:rFonts w:ascii="Times New Roman" w:hAnsi="Times New Roman" w:cs="Times New Roman"/>
        </w:rPr>
        <w:t>……….</w:t>
      </w:r>
    </w:p>
    <w:p w:rsidR="00C648CC" w:rsidRDefault="00C648CC" w:rsidP="00C648CC">
      <w:pPr>
        <w:spacing w:after="0" w:line="240" w:lineRule="auto"/>
        <w:ind w:left="720"/>
        <w:jc w:val="both"/>
        <w:rPr>
          <w:rFonts w:ascii="Times New Roman" w:hAnsi="Times New Roman" w:cs="Times New Roman"/>
        </w:rPr>
      </w:pPr>
    </w:p>
    <w:p w:rsidR="00DB2365" w:rsidRDefault="00C648CC" w:rsidP="00C648CC">
      <w:pPr>
        <w:spacing w:after="0" w:line="240" w:lineRule="auto"/>
        <w:ind w:left="720"/>
        <w:jc w:val="both"/>
        <w:rPr>
          <w:rFonts w:ascii="Times New Roman" w:hAnsi="Times New Roman" w:cs="Times New Roman"/>
        </w:rPr>
      </w:pPr>
      <w:r>
        <w:rPr>
          <w:rFonts w:ascii="Times New Roman" w:hAnsi="Times New Roman" w:cs="Times New Roman"/>
        </w:rPr>
        <w:t xml:space="preserve">Could you please effect this re-employment ensuring the conditions listed above </w:t>
      </w:r>
      <w:r w:rsidR="00DB2365">
        <w:rPr>
          <w:rFonts w:ascii="Times New Roman" w:hAnsi="Times New Roman" w:cs="Times New Roman"/>
        </w:rPr>
        <w:t xml:space="preserve">are </w:t>
      </w:r>
      <w:proofErr w:type="gramStart"/>
      <w:r w:rsidR="00DB2365">
        <w:rPr>
          <w:rFonts w:ascii="Times New Roman" w:hAnsi="Times New Roman" w:cs="Times New Roman"/>
        </w:rPr>
        <w:t>complimented.</w:t>
      </w:r>
      <w:proofErr w:type="gramEnd"/>
    </w:p>
    <w:p w:rsidR="00DB2365" w:rsidRDefault="00DB2365" w:rsidP="00C648CC">
      <w:pPr>
        <w:spacing w:after="0" w:line="240" w:lineRule="auto"/>
        <w:ind w:left="720"/>
        <w:jc w:val="both"/>
        <w:rPr>
          <w:rFonts w:ascii="Times New Roman" w:hAnsi="Times New Roman" w:cs="Times New Roman"/>
        </w:rPr>
      </w:pPr>
    </w:p>
    <w:p w:rsidR="00DB2365" w:rsidRDefault="00DB2365" w:rsidP="00C648CC">
      <w:pPr>
        <w:spacing w:after="0" w:line="240" w:lineRule="auto"/>
        <w:ind w:left="720"/>
        <w:jc w:val="both"/>
        <w:rPr>
          <w:rFonts w:ascii="Times New Roman" w:hAnsi="Times New Roman" w:cs="Times New Roman"/>
        </w:rPr>
      </w:pPr>
    </w:p>
    <w:p w:rsidR="00DB2365" w:rsidRDefault="00DB2365" w:rsidP="00C648CC">
      <w:pPr>
        <w:spacing w:after="0" w:line="240" w:lineRule="auto"/>
        <w:ind w:left="720"/>
        <w:jc w:val="both"/>
        <w:rPr>
          <w:rFonts w:ascii="Times New Roman" w:hAnsi="Times New Roman" w:cs="Times New Roman"/>
        </w:rPr>
      </w:pPr>
      <w:r>
        <w:rPr>
          <w:rFonts w:ascii="Times New Roman" w:hAnsi="Times New Roman" w:cs="Times New Roman"/>
        </w:rPr>
        <w:t xml:space="preserve">T. </w:t>
      </w:r>
      <w:proofErr w:type="spellStart"/>
      <w:r>
        <w:rPr>
          <w:rFonts w:ascii="Times New Roman" w:hAnsi="Times New Roman" w:cs="Times New Roman"/>
        </w:rPr>
        <w:t>Chiweshe</w:t>
      </w:r>
      <w:proofErr w:type="spellEnd"/>
    </w:p>
    <w:p w:rsidR="00DB2365" w:rsidRDefault="00DB2365" w:rsidP="00C648CC">
      <w:pPr>
        <w:spacing w:after="0" w:line="240" w:lineRule="auto"/>
        <w:ind w:left="720"/>
        <w:jc w:val="both"/>
        <w:rPr>
          <w:rFonts w:ascii="Times New Roman" w:hAnsi="Times New Roman" w:cs="Times New Roman"/>
        </w:rPr>
      </w:pPr>
      <w:r>
        <w:rPr>
          <w:rFonts w:ascii="Times New Roman" w:hAnsi="Times New Roman" w:cs="Times New Roman"/>
        </w:rPr>
        <w:t>Manager</w:t>
      </w:r>
    </w:p>
    <w:p w:rsidR="00DB2365" w:rsidRDefault="00DB2365" w:rsidP="00C648CC">
      <w:pPr>
        <w:spacing w:after="0" w:line="240" w:lineRule="auto"/>
        <w:ind w:left="720"/>
        <w:jc w:val="both"/>
        <w:rPr>
          <w:rFonts w:ascii="Times New Roman" w:hAnsi="Times New Roman" w:cs="Times New Roman"/>
        </w:rPr>
      </w:pPr>
      <w:proofErr w:type="gramStart"/>
      <w:r>
        <w:rPr>
          <w:rFonts w:ascii="Times New Roman" w:hAnsi="Times New Roman" w:cs="Times New Roman"/>
        </w:rPr>
        <w:t>Employee Service.”</w:t>
      </w:r>
      <w:proofErr w:type="gramEnd"/>
    </w:p>
    <w:p w:rsidR="00DB2365" w:rsidRDefault="00DB2365" w:rsidP="00C648CC">
      <w:pPr>
        <w:spacing w:after="0" w:line="240" w:lineRule="auto"/>
        <w:ind w:left="720"/>
        <w:jc w:val="both"/>
        <w:rPr>
          <w:rFonts w:ascii="Times New Roman" w:hAnsi="Times New Roman" w:cs="Times New Roman"/>
        </w:rPr>
      </w:pPr>
    </w:p>
    <w:p w:rsidR="00DB2365" w:rsidRDefault="00DB2365" w:rsidP="00DB236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Such communication was received by the defendant on 1 February 2000.</w:t>
      </w:r>
    </w:p>
    <w:p w:rsidR="00C648CC" w:rsidRPr="00C648CC" w:rsidRDefault="00DB2365" w:rsidP="00DB2365">
      <w:pPr>
        <w:spacing w:after="0" w:line="360" w:lineRule="auto"/>
        <w:jc w:val="both"/>
        <w:rPr>
          <w:rFonts w:ascii="Times New Roman" w:hAnsi="Times New Roman" w:cs="Times New Roman"/>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 above communication makes no mention of the earlier instruction to pay out pension contributions. It does not specifically cancel that instruction. It only talks of pension bridging so that there is no period when pension is not payable. The defendant can therefore not be penalised for failure to stop carrying out the initial instruction. From the papers filed the earlier instruction to pay out was confirmed for processing on 4 January 2000, although payment was authorised on 13 April 2000. The plaintiff’s argument that by </w:t>
      </w:r>
      <w:r>
        <w:rPr>
          <w:rFonts w:ascii="Times New Roman" w:hAnsi="Times New Roman" w:cs="Times New Roman"/>
          <w:sz w:val="24"/>
          <w:szCs w:val="24"/>
        </w:rPr>
        <w:lastRenderedPageBreak/>
        <w:t xml:space="preserve">processing payment the defendant was acting on a frolic of his own does not therefore hold water.   </w:t>
      </w:r>
      <w:r>
        <w:rPr>
          <w:rFonts w:ascii="Times New Roman" w:hAnsi="Times New Roman" w:cs="Times New Roman"/>
        </w:rPr>
        <w:t xml:space="preserve"> </w:t>
      </w:r>
    </w:p>
    <w:p w:rsidR="00B86422" w:rsidRDefault="00215450" w:rsidP="00E82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accepted a payment from the plaintiff for such abridgement. In 2013 the defend</w:t>
      </w:r>
      <w:r w:rsidR="00EE4A17">
        <w:rPr>
          <w:rFonts w:ascii="Times New Roman" w:hAnsi="Times New Roman" w:cs="Times New Roman"/>
          <w:sz w:val="24"/>
          <w:szCs w:val="24"/>
        </w:rPr>
        <w:t>ant received instructions from T</w:t>
      </w:r>
      <w:r>
        <w:rPr>
          <w:rFonts w:ascii="Times New Roman" w:hAnsi="Times New Roman" w:cs="Times New Roman"/>
          <w:sz w:val="24"/>
          <w:szCs w:val="24"/>
        </w:rPr>
        <w:t>el One to pay out the plaintiff’s pension on the basis that his contract of employment had been terminated on medical grounds. The defendant processed pensio</w:t>
      </w:r>
      <w:r w:rsidR="00097D15">
        <w:rPr>
          <w:rFonts w:ascii="Times New Roman" w:hAnsi="Times New Roman" w:cs="Times New Roman"/>
          <w:sz w:val="24"/>
          <w:szCs w:val="24"/>
        </w:rPr>
        <w:t xml:space="preserve">n and paid out the sum of US$43 </w:t>
      </w:r>
      <w:r>
        <w:rPr>
          <w:rFonts w:ascii="Times New Roman" w:hAnsi="Times New Roman" w:cs="Times New Roman"/>
          <w:sz w:val="24"/>
          <w:szCs w:val="24"/>
        </w:rPr>
        <w:t>210, commuted lump sum. Such pension was</w:t>
      </w:r>
      <w:r w:rsidR="00097D15">
        <w:rPr>
          <w:rFonts w:ascii="Times New Roman" w:hAnsi="Times New Roman" w:cs="Times New Roman"/>
          <w:sz w:val="24"/>
          <w:szCs w:val="24"/>
        </w:rPr>
        <w:t xml:space="preserve"> commuted from 1 May 1999. The plaintiff had been receiving a monthly pension of US$561</w:t>
      </w:r>
      <w:proofErr w:type="gramStart"/>
      <w:r w:rsidR="00097D15">
        <w:rPr>
          <w:rFonts w:ascii="Times New Roman" w:hAnsi="Times New Roman" w:cs="Times New Roman"/>
          <w:sz w:val="24"/>
          <w:szCs w:val="24"/>
        </w:rPr>
        <w:t>,00</w:t>
      </w:r>
      <w:proofErr w:type="gramEnd"/>
      <w:r w:rsidR="00097D15">
        <w:rPr>
          <w:rFonts w:ascii="Times New Roman" w:hAnsi="Times New Roman" w:cs="Times New Roman"/>
          <w:sz w:val="24"/>
          <w:szCs w:val="24"/>
        </w:rPr>
        <w:t>. The plaintiff has sued for the period 1 May 1999 dating back to 1989.</w:t>
      </w:r>
    </w:p>
    <w:p w:rsidR="00097D15" w:rsidRDefault="00097D15" w:rsidP="00E82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to be determined by the c</w:t>
      </w:r>
      <w:r w:rsidR="00284808">
        <w:rPr>
          <w:rFonts w:ascii="Times New Roman" w:hAnsi="Times New Roman" w:cs="Times New Roman"/>
          <w:sz w:val="24"/>
          <w:szCs w:val="24"/>
        </w:rPr>
        <w:t>o</w:t>
      </w:r>
      <w:r>
        <w:rPr>
          <w:rFonts w:ascii="Times New Roman" w:hAnsi="Times New Roman" w:cs="Times New Roman"/>
          <w:sz w:val="24"/>
          <w:szCs w:val="24"/>
        </w:rPr>
        <w:t>urt are;</w:t>
      </w:r>
    </w:p>
    <w:p w:rsidR="00097D15" w:rsidRDefault="0056521C" w:rsidP="00097D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097D15">
        <w:rPr>
          <w:rFonts w:ascii="Times New Roman" w:hAnsi="Times New Roman" w:cs="Times New Roman"/>
          <w:sz w:val="24"/>
          <w:szCs w:val="24"/>
        </w:rPr>
        <w:t xml:space="preserve"> there is still any pension due to the plaintiff?</w:t>
      </w:r>
    </w:p>
    <w:p w:rsidR="00097D15" w:rsidRDefault="00097D15" w:rsidP="00097D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who is liable for the loss on the cheque of Z$29 435</w:t>
      </w:r>
      <w:proofErr w:type="gramStart"/>
      <w:r>
        <w:rPr>
          <w:rFonts w:ascii="Times New Roman" w:hAnsi="Times New Roman" w:cs="Times New Roman"/>
          <w:sz w:val="24"/>
          <w:szCs w:val="24"/>
        </w:rPr>
        <w:t>,64</w:t>
      </w:r>
      <w:proofErr w:type="gramEnd"/>
      <w:r>
        <w:rPr>
          <w:rFonts w:ascii="Times New Roman" w:hAnsi="Times New Roman" w:cs="Times New Roman"/>
          <w:sz w:val="24"/>
          <w:szCs w:val="24"/>
        </w:rPr>
        <w:t>?</w:t>
      </w:r>
    </w:p>
    <w:p w:rsidR="00097D15" w:rsidRDefault="0056521C" w:rsidP="0056521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submitted that he was reinstated in January 2000 without loss of salary and benefits. </w:t>
      </w:r>
      <w:r w:rsidR="00262D4C">
        <w:rPr>
          <w:rFonts w:ascii="Times New Roman" w:hAnsi="Times New Roman" w:cs="Times New Roman"/>
          <w:sz w:val="24"/>
          <w:szCs w:val="24"/>
        </w:rPr>
        <w:t>The</w:t>
      </w:r>
      <w:r>
        <w:rPr>
          <w:rFonts w:ascii="Times New Roman" w:hAnsi="Times New Roman" w:cs="Times New Roman"/>
          <w:sz w:val="24"/>
          <w:szCs w:val="24"/>
        </w:rPr>
        <w:t xml:space="preserve"> cheque was only paid out in April 2000</w:t>
      </w:r>
      <w:r w:rsidR="001E563D">
        <w:rPr>
          <w:rFonts w:ascii="Times New Roman" w:hAnsi="Times New Roman" w:cs="Times New Roman"/>
          <w:sz w:val="24"/>
          <w:szCs w:val="24"/>
        </w:rPr>
        <w:t xml:space="preserve"> well after the plaintiff had been reinstated and was at work. He was not in Bulawayo</w:t>
      </w:r>
      <w:r w:rsidR="00EF500F">
        <w:rPr>
          <w:rFonts w:ascii="Times New Roman" w:hAnsi="Times New Roman" w:cs="Times New Roman"/>
          <w:sz w:val="24"/>
          <w:szCs w:val="24"/>
        </w:rPr>
        <w:t xml:space="preserve"> when the cheque was sent there. The plaintiff argue</w:t>
      </w:r>
      <w:r w:rsidR="00284808">
        <w:rPr>
          <w:rFonts w:ascii="Times New Roman" w:hAnsi="Times New Roman" w:cs="Times New Roman"/>
          <w:sz w:val="24"/>
          <w:szCs w:val="24"/>
        </w:rPr>
        <w:t>d</w:t>
      </w:r>
      <w:r w:rsidR="00EF500F">
        <w:rPr>
          <w:rFonts w:ascii="Times New Roman" w:hAnsi="Times New Roman" w:cs="Times New Roman"/>
          <w:sz w:val="24"/>
          <w:szCs w:val="24"/>
        </w:rPr>
        <w:t xml:space="preserve"> that the cheque was purportedly sent in April 200</w:t>
      </w:r>
      <w:r w:rsidR="00284808">
        <w:rPr>
          <w:rFonts w:ascii="Times New Roman" w:hAnsi="Times New Roman" w:cs="Times New Roman"/>
          <w:sz w:val="24"/>
          <w:szCs w:val="24"/>
        </w:rPr>
        <w:t>0</w:t>
      </w:r>
      <w:r w:rsidR="00EF500F">
        <w:rPr>
          <w:rFonts w:ascii="Times New Roman" w:hAnsi="Times New Roman" w:cs="Times New Roman"/>
          <w:sz w:val="24"/>
          <w:szCs w:val="24"/>
        </w:rPr>
        <w:t xml:space="preserve"> wh</w:t>
      </w:r>
      <w:r w:rsidR="004F0F1E">
        <w:rPr>
          <w:rFonts w:ascii="Times New Roman" w:hAnsi="Times New Roman" w:cs="Times New Roman"/>
          <w:sz w:val="24"/>
          <w:szCs w:val="24"/>
        </w:rPr>
        <w:t xml:space="preserve">en the plaintiff was at work, and was done so without authority </w:t>
      </w:r>
      <w:proofErr w:type="gramStart"/>
      <w:r w:rsidR="004F0F1E">
        <w:rPr>
          <w:rFonts w:ascii="Times New Roman" w:hAnsi="Times New Roman" w:cs="Times New Roman"/>
          <w:sz w:val="24"/>
          <w:szCs w:val="24"/>
        </w:rPr>
        <w:t>from the</w:t>
      </w:r>
      <w:proofErr w:type="gramEnd"/>
      <w:r w:rsidR="004F0F1E">
        <w:rPr>
          <w:rFonts w:ascii="Times New Roman" w:hAnsi="Times New Roman" w:cs="Times New Roman"/>
          <w:sz w:val="24"/>
          <w:szCs w:val="24"/>
        </w:rPr>
        <w:t xml:space="preserve"> plaintiff nor his employe</w:t>
      </w:r>
      <w:r w:rsidR="00284808">
        <w:rPr>
          <w:rFonts w:ascii="Times New Roman" w:hAnsi="Times New Roman" w:cs="Times New Roman"/>
          <w:sz w:val="24"/>
          <w:szCs w:val="24"/>
        </w:rPr>
        <w:t>r</w:t>
      </w:r>
      <w:r w:rsidR="004F0F1E">
        <w:rPr>
          <w:rFonts w:ascii="Times New Roman" w:hAnsi="Times New Roman" w:cs="Times New Roman"/>
          <w:sz w:val="24"/>
          <w:szCs w:val="24"/>
        </w:rPr>
        <w:t>s</w:t>
      </w:r>
      <w:r w:rsidR="004257A5">
        <w:rPr>
          <w:rFonts w:ascii="Times New Roman" w:hAnsi="Times New Roman" w:cs="Times New Roman"/>
          <w:sz w:val="24"/>
          <w:szCs w:val="24"/>
        </w:rPr>
        <w:t>.</w:t>
      </w:r>
    </w:p>
    <w:p w:rsidR="004257A5" w:rsidRDefault="004257A5" w:rsidP="0056521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not in doubt that the defendant was instructed by the plaintiff’s employers to pay pensions contributions to the plaintiff as the plaintiff</w:t>
      </w:r>
      <w:r w:rsidR="001E4DF1">
        <w:rPr>
          <w:rFonts w:ascii="Times New Roman" w:hAnsi="Times New Roman" w:cs="Times New Roman"/>
          <w:sz w:val="24"/>
          <w:szCs w:val="24"/>
        </w:rPr>
        <w:t xml:space="preserve"> had been dismissed from work. There is no communication cancelling such instruction. In compliance thereof the defendants wrote a crossed cheque for Z$29 435</w:t>
      </w:r>
      <w:proofErr w:type="gramStart"/>
      <w:r w:rsidR="001E4DF1">
        <w:rPr>
          <w:rFonts w:ascii="Times New Roman" w:hAnsi="Times New Roman" w:cs="Times New Roman"/>
          <w:sz w:val="24"/>
          <w:szCs w:val="24"/>
        </w:rPr>
        <w:t>,64</w:t>
      </w:r>
      <w:proofErr w:type="gramEnd"/>
      <w:r w:rsidR="001E4DF1">
        <w:rPr>
          <w:rFonts w:ascii="Times New Roman" w:hAnsi="Times New Roman" w:cs="Times New Roman"/>
          <w:sz w:val="24"/>
          <w:szCs w:val="24"/>
        </w:rPr>
        <w:t xml:space="preserve"> residential address in Bulawayo. Such address had been provided by the plaintiff’s employer</w:t>
      </w:r>
      <w:r w:rsidR="00C63846">
        <w:rPr>
          <w:rFonts w:ascii="Times New Roman" w:hAnsi="Times New Roman" w:cs="Times New Roman"/>
          <w:sz w:val="24"/>
          <w:szCs w:val="24"/>
        </w:rPr>
        <w:t>.</w:t>
      </w:r>
    </w:p>
    <w:p w:rsidR="00C63846" w:rsidRDefault="00C63846" w:rsidP="0056521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2 (2) (c) of the Postal and Telecommunications Act [</w:t>
      </w:r>
      <w:r w:rsidRPr="00E50AEB">
        <w:rPr>
          <w:rFonts w:ascii="Times New Roman" w:hAnsi="Times New Roman" w:cs="Times New Roman"/>
          <w:i/>
          <w:sz w:val="24"/>
          <w:szCs w:val="24"/>
        </w:rPr>
        <w:t>Chapter 12:02</w:t>
      </w:r>
      <w:r>
        <w:rPr>
          <w:rFonts w:ascii="Times New Roman" w:hAnsi="Times New Roman" w:cs="Times New Roman"/>
          <w:sz w:val="24"/>
          <w:szCs w:val="24"/>
        </w:rPr>
        <w:t>] deals with postal deliveries. It provides;</w:t>
      </w:r>
    </w:p>
    <w:p w:rsidR="00334A6C" w:rsidRDefault="00660E4F" w:rsidP="009A7DC6">
      <w:pPr>
        <w:pStyle w:val="ListParagraph"/>
        <w:spacing w:after="0" w:line="240" w:lineRule="auto"/>
        <w:jc w:val="both"/>
        <w:rPr>
          <w:rFonts w:ascii="Times New Roman" w:hAnsi="Times New Roman" w:cs="Times New Roman"/>
        </w:rPr>
      </w:pPr>
      <w:r>
        <w:rPr>
          <w:rFonts w:ascii="Times New Roman" w:hAnsi="Times New Roman" w:cs="Times New Roman"/>
        </w:rPr>
        <w:t>“For purposes of this Act</w:t>
      </w:r>
      <w:r w:rsidR="009A7DC6">
        <w:rPr>
          <w:rFonts w:ascii="Times New Roman" w:hAnsi="Times New Roman" w:cs="Times New Roman"/>
        </w:rPr>
        <w:t xml:space="preserve">; </w:t>
      </w:r>
      <w:proofErr w:type="gramStart"/>
      <w:r w:rsidR="009A7DC6">
        <w:rPr>
          <w:rFonts w:ascii="Times New Roman" w:hAnsi="Times New Roman" w:cs="Times New Roman"/>
        </w:rPr>
        <w:t>The</w:t>
      </w:r>
      <w:proofErr w:type="gramEnd"/>
      <w:r w:rsidR="009A7DC6">
        <w:rPr>
          <w:rFonts w:ascii="Times New Roman" w:hAnsi="Times New Roman" w:cs="Times New Roman"/>
        </w:rPr>
        <w:t xml:space="preserve"> delivery of a postal article in terms of this Act shall be deemed to be delivered to the person to whom the article is addressed.”</w:t>
      </w:r>
    </w:p>
    <w:p w:rsidR="009F4866" w:rsidRDefault="009F4866" w:rsidP="009A7DC6">
      <w:pPr>
        <w:pStyle w:val="ListParagraph"/>
        <w:spacing w:after="0" w:line="240" w:lineRule="auto"/>
        <w:jc w:val="both"/>
        <w:rPr>
          <w:rFonts w:ascii="Times New Roman" w:hAnsi="Times New Roman" w:cs="Times New Roman"/>
        </w:rPr>
      </w:pPr>
    </w:p>
    <w:p w:rsidR="009F4866" w:rsidRDefault="00780050" w:rsidP="00A11AA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payment by cheque is well established. The payment by cheque is a conditional payment; the condition being that the cheque will be paid on presentation. Once the cheque is presented to the payee then the </w:t>
      </w:r>
      <w:r w:rsidR="00A11AAA">
        <w:rPr>
          <w:rFonts w:ascii="Times New Roman" w:hAnsi="Times New Roman" w:cs="Times New Roman"/>
          <w:sz w:val="24"/>
          <w:szCs w:val="24"/>
        </w:rPr>
        <w:t>risk</w:t>
      </w:r>
      <w:r>
        <w:rPr>
          <w:rFonts w:ascii="Times New Roman" w:hAnsi="Times New Roman" w:cs="Times New Roman"/>
          <w:sz w:val="24"/>
          <w:szCs w:val="24"/>
        </w:rPr>
        <w:t xml:space="preserve"> passes to the payee</w:t>
      </w:r>
      <w:r w:rsidR="00A11AAA">
        <w:rPr>
          <w:rFonts w:ascii="Times New Roman" w:hAnsi="Times New Roman" w:cs="Times New Roman"/>
          <w:sz w:val="24"/>
          <w:szCs w:val="24"/>
        </w:rPr>
        <w:t xml:space="preserve"> upon such presentation.</w:t>
      </w:r>
    </w:p>
    <w:p w:rsidR="00A11AAA" w:rsidRDefault="0049325A" w:rsidP="00A11AAA">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The question falling for determination is whether the cheque was presented to the plaintiff. The </w:t>
      </w:r>
      <w:r w:rsidR="00034758">
        <w:rPr>
          <w:rFonts w:ascii="Times New Roman" w:hAnsi="Times New Roman" w:cs="Times New Roman"/>
          <w:sz w:val="24"/>
          <w:szCs w:val="24"/>
        </w:rPr>
        <w:t>parties</w:t>
      </w:r>
      <w:r>
        <w:rPr>
          <w:rFonts w:ascii="Times New Roman" w:hAnsi="Times New Roman" w:cs="Times New Roman"/>
          <w:sz w:val="24"/>
          <w:szCs w:val="24"/>
        </w:rPr>
        <w:t xml:space="preserve"> have agreed that the cheque was posted through the ordinary mail to plaintiff’s residential address in </w:t>
      </w:r>
      <w:r w:rsidRPr="005C676E">
        <w:rPr>
          <w:rFonts w:ascii="Times New Roman" w:hAnsi="Times New Roman" w:cs="Times New Roman"/>
          <w:sz w:val="24"/>
          <w:szCs w:val="24"/>
        </w:rPr>
        <w:t>Bulawayo</w:t>
      </w:r>
      <w:r w:rsidR="005C676E">
        <w:rPr>
          <w:rFonts w:ascii="Times New Roman" w:hAnsi="Times New Roman" w:cs="Times New Roman"/>
          <w:b/>
          <w:sz w:val="24"/>
          <w:szCs w:val="24"/>
        </w:rPr>
        <w:t>.</w:t>
      </w:r>
    </w:p>
    <w:p w:rsidR="005C676E" w:rsidRDefault="005C676E" w:rsidP="005C67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argued that since the delivery was not done by registered mail there should be no presumption that the cheque was presented to him. The defendant on the other </w:t>
      </w:r>
      <w:r>
        <w:rPr>
          <w:rFonts w:ascii="Times New Roman" w:hAnsi="Times New Roman" w:cs="Times New Roman"/>
          <w:sz w:val="24"/>
          <w:szCs w:val="24"/>
        </w:rPr>
        <w:lastRenderedPageBreak/>
        <w:t>hand argues that s 79 (4) of the Postal and Telecommunications (Postal Services) Regulation SI 238/2001 does not prescribe that cheques must be sent via registered articles. I agree with such submission. It was not illegal for the defendant to post the crossed cheque via ordinary mail.</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was referred to the case of </w:t>
      </w:r>
      <w:proofErr w:type="spellStart"/>
      <w:r w:rsidRPr="006D40F5">
        <w:rPr>
          <w:rFonts w:ascii="Times New Roman" w:hAnsi="Times New Roman" w:cs="Times New Roman"/>
          <w:i/>
          <w:sz w:val="24"/>
          <w:szCs w:val="24"/>
        </w:rPr>
        <w:t>Stabilpave</w:t>
      </w:r>
      <w:proofErr w:type="spellEnd"/>
      <w:r w:rsidRPr="006D40F5">
        <w:rPr>
          <w:rFonts w:ascii="Times New Roman" w:hAnsi="Times New Roman" w:cs="Times New Roman"/>
          <w:i/>
          <w:sz w:val="24"/>
          <w:szCs w:val="24"/>
        </w:rPr>
        <w:t xml:space="preserve"> (Pty) Ltd</w:t>
      </w:r>
      <w:r>
        <w:rPr>
          <w:rFonts w:ascii="Times New Roman" w:hAnsi="Times New Roman" w:cs="Times New Roman"/>
          <w:sz w:val="24"/>
          <w:szCs w:val="24"/>
        </w:rPr>
        <w:t xml:space="preserve"> v </w:t>
      </w:r>
      <w:r w:rsidRPr="006D40F5">
        <w:rPr>
          <w:rFonts w:ascii="Times New Roman" w:hAnsi="Times New Roman" w:cs="Times New Roman"/>
          <w:i/>
          <w:sz w:val="24"/>
          <w:szCs w:val="24"/>
        </w:rPr>
        <w:t>South Africa Revenue Service</w:t>
      </w:r>
      <w:r>
        <w:rPr>
          <w:rFonts w:ascii="Times New Roman" w:hAnsi="Times New Roman" w:cs="Times New Roman"/>
          <w:sz w:val="24"/>
          <w:szCs w:val="24"/>
        </w:rPr>
        <w:t xml:space="preserve"> 2014 (1) SA 350 where the Supreme Court of South Africa said;</w:t>
      </w:r>
    </w:p>
    <w:p w:rsidR="005C676E" w:rsidRDefault="005C676E" w:rsidP="005C676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“But when the creditor stipulated (or requests) a particular mode of payment and the debtor </w:t>
      </w:r>
      <w:r>
        <w:rPr>
          <w:rFonts w:ascii="Times New Roman" w:hAnsi="Times New Roman" w:cs="Times New Roman"/>
        </w:rPr>
        <w:tab/>
        <w:t xml:space="preserve">complies with it, any risk </w:t>
      </w:r>
      <w:r w:rsidR="00284808">
        <w:rPr>
          <w:rFonts w:ascii="Times New Roman" w:hAnsi="Times New Roman" w:cs="Times New Roman"/>
        </w:rPr>
        <w:t>inherent</w:t>
      </w:r>
      <w:r>
        <w:rPr>
          <w:rFonts w:ascii="Times New Roman" w:hAnsi="Times New Roman" w:cs="Times New Roman"/>
        </w:rPr>
        <w:t xml:space="preserve"> in the stipulated method is for the creditor’s account. This </w:t>
      </w:r>
      <w:r>
        <w:rPr>
          <w:rFonts w:ascii="Times New Roman" w:hAnsi="Times New Roman" w:cs="Times New Roman"/>
        </w:rPr>
        <w:tab/>
        <w:t xml:space="preserve">is said to be the </w:t>
      </w:r>
      <w:proofErr w:type="gramStart"/>
      <w:r>
        <w:rPr>
          <w:rFonts w:ascii="Times New Roman" w:hAnsi="Times New Roman" w:cs="Times New Roman"/>
        </w:rPr>
        <w:t>‘ legal</w:t>
      </w:r>
      <w:proofErr w:type="gramEnd"/>
      <w:r>
        <w:rPr>
          <w:rFonts w:ascii="Times New Roman" w:hAnsi="Times New Roman" w:cs="Times New Roman"/>
        </w:rPr>
        <w:t xml:space="preserve"> position’ (</w:t>
      </w:r>
      <w:r w:rsidRPr="00371465">
        <w:rPr>
          <w:rFonts w:ascii="Times New Roman" w:hAnsi="Times New Roman" w:cs="Times New Roman"/>
          <w:i/>
        </w:rPr>
        <w:t xml:space="preserve">Greenfield Engineering </w:t>
      </w:r>
      <w:proofErr w:type="spellStart"/>
      <w:r w:rsidRPr="00371465">
        <w:rPr>
          <w:rFonts w:ascii="Times New Roman" w:hAnsi="Times New Roman" w:cs="Times New Roman"/>
          <w:i/>
        </w:rPr>
        <w:t>Waks</w:t>
      </w:r>
      <w:proofErr w:type="spellEnd"/>
      <w:r>
        <w:rPr>
          <w:rFonts w:ascii="Times New Roman" w:hAnsi="Times New Roman" w:cs="Times New Roman"/>
        </w:rPr>
        <w:t xml:space="preserve"> v </w:t>
      </w:r>
      <w:r w:rsidRPr="00371465">
        <w:rPr>
          <w:rFonts w:ascii="Times New Roman" w:hAnsi="Times New Roman" w:cs="Times New Roman"/>
          <w:i/>
        </w:rPr>
        <w:t>NKR Construction</w:t>
      </w:r>
      <w:r>
        <w:rPr>
          <w:rFonts w:ascii="Times New Roman" w:hAnsi="Times New Roman" w:cs="Times New Roman"/>
        </w:rPr>
        <w:t xml:space="preserve"> 1978 (H) </w:t>
      </w:r>
      <w:r>
        <w:rPr>
          <w:rFonts w:ascii="Times New Roman" w:hAnsi="Times New Roman" w:cs="Times New Roman"/>
        </w:rPr>
        <w:tab/>
        <w:t>SA 901 N at 908 B-E), ‘the principle’ or ‘the law’ (</w:t>
      </w:r>
      <w:r w:rsidRPr="00B2073A">
        <w:rPr>
          <w:rFonts w:ascii="Times New Roman" w:hAnsi="Times New Roman" w:cs="Times New Roman"/>
          <w:i/>
        </w:rPr>
        <w:t>Barclays National Bank Ltd</w:t>
      </w:r>
      <w:r>
        <w:rPr>
          <w:rFonts w:ascii="Times New Roman" w:hAnsi="Times New Roman" w:cs="Times New Roman"/>
        </w:rPr>
        <w:t xml:space="preserve"> v </w:t>
      </w:r>
      <w:r w:rsidRPr="00B2073A">
        <w:rPr>
          <w:rFonts w:ascii="Times New Roman" w:hAnsi="Times New Roman" w:cs="Times New Roman"/>
          <w:i/>
        </w:rPr>
        <w:t>Wall</w:t>
      </w:r>
      <w:r>
        <w:rPr>
          <w:rFonts w:ascii="Times New Roman" w:hAnsi="Times New Roman" w:cs="Times New Roman"/>
        </w:rPr>
        <w:t xml:space="preserve"> 1983 </w:t>
      </w:r>
      <w:r>
        <w:rPr>
          <w:rFonts w:ascii="Times New Roman" w:hAnsi="Times New Roman" w:cs="Times New Roman"/>
        </w:rPr>
        <w:tab/>
        <w:t xml:space="preserve">(1) SA 149 at 156 H-157 C), at least when the post is to be employed for such purpose. And </w:t>
      </w:r>
      <w:r>
        <w:rPr>
          <w:rFonts w:ascii="Times New Roman" w:hAnsi="Times New Roman" w:cs="Times New Roman"/>
        </w:rPr>
        <w:tab/>
        <w:t xml:space="preserve">of necessity that must mean that; if the worst comes to the worst and the cheque is intercepted </w:t>
      </w:r>
      <w:r>
        <w:rPr>
          <w:rFonts w:ascii="Times New Roman" w:hAnsi="Times New Roman" w:cs="Times New Roman"/>
        </w:rPr>
        <w:tab/>
        <w:t xml:space="preserve">and misappropriated by a third party, the obligation to pay is deemed to be fulfilled even </w:t>
      </w:r>
      <w:r>
        <w:rPr>
          <w:rFonts w:ascii="Times New Roman" w:hAnsi="Times New Roman" w:cs="Times New Roman"/>
        </w:rPr>
        <w:tab/>
        <w:t>though the amount of the cheque was never credited to the creditor (</w:t>
      </w:r>
      <w:proofErr w:type="spellStart"/>
      <w:r w:rsidRPr="00400BF7">
        <w:rPr>
          <w:rFonts w:ascii="Times New Roman" w:hAnsi="Times New Roman" w:cs="Times New Roman"/>
          <w:i/>
        </w:rPr>
        <w:t>cf</w:t>
      </w:r>
      <w:proofErr w:type="spellEnd"/>
      <w:r w:rsidRPr="00400BF7">
        <w:rPr>
          <w:rFonts w:ascii="Times New Roman" w:hAnsi="Times New Roman" w:cs="Times New Roman"/>
          <w:i/>
        </w:rPr>
        <w:t xml:space="preserve"> Goldfields </w:t>
      </w:r>
      <w:r w:rsidRPr="00400BF7">
        <w:rPr>
          <w:rFonts w:ascii="Times New Roman" w:hAnsi="Times New Roman" w:cs="Times New Roman"/>
          <w:i/>
        </w:rPr>
        <w:tab/>
        <w:t>Confectionary and Bakery (Pty) Ltd</w:t>
      </w:r>
      <w:r>
        <w:rPr>
          <w:rFonts w:ascii="Times New Roman" w:hAnsi="Times New Roman" w:cs="Times New Roman"/>
        </w:rPr>
        <w:t xml:space="preserve"> v </w:t>
      </w:r>
      <w:r w:rsidRPr="00400BF7">
        <w:rPr>
          <w:rFonts w:ascii="Times New Roman" w:hAnsi="Times New Roman" w:cs="Times New Roman"/>
          <w:i/>
        </w:rPr>
        <w:t>Norman Adam (Pty) Ltd</w:t>
      </w:r>
      <w:r>
        <w:rPr>
          <w:rFonts w:ascii="Times New Roman" w:hAnsi="Times New Roman" w:cs="Times New Roman"/>
        </w:rPr>
        <w:t xml:space="preserve"> 1950 (2) SA 763 (T) at 769)”</w:t>
      </w:r>
    </w:p>
    <w:p w:rsidR="005C676E" w:rsidRPr="00325BBB" w:rsidRDefault="005C676E" w:rsidP="005C676E">
      <w:pPr>
        <w:spacing w:after="0" w:line="240" w:lineRule="auto"/>
        <w:jc w:val="both"/>
        <w:rPr>
          <w:rFonts w:ascii="Times New Roman" w:hAnsi="Times New Roman" w:cs="Times New Roman"/>
          <w:sz w:val="24"/>
          <w:szCs w:val="24"/>
        </w:rPr>
      </w:pPr>
    </w:p>
    <w:p w:rsidR="005C676E" w:rsidRDefault="005C676E" w:rsidP="005C676E">
      <w:pPr>
        <w:spacing w:after="0" w:line="360" w:lineRule="auto"/>
        <w:jc w:val="both"/>
        <w:rPr>
          <w:rFonts w:ascii="Times New Roman" w:hAnsi="Times New Roman" w:cs="Times New Roman"/>
          <w:sz w:val="24"/>
          <w:szCs w:val="24"/>
        </w:rPr>
      </w:pPr>
      <w:r w:rsidRPr="00325BBB">
        <w:rPr>
          <w:rFonts w:ascii="Times New Roman" w:hAnsi="Times New Roman" w:cs="Times New Roman"/>
          <w:sz w:val="24"/>
          <w:szCs w:val="24"/>
        </w:rPr>
        <w:tab/>
        <w:t xml:space="preserve">Applying the above law to the </w:t>
      </w:r>
      <w:r>
        <w:rPr>
          <w:rFonts w:ascii="Times New Roman" w:hAnsi="Times New Roman" w:cs="Times New Roman"/>
          <w:sz w:val="24"/>
          <w:szCs w:val="24"/>
        </w:rPr>
        <w:t>facts of the current matter, Tel One the plaintiff’s employer instructed the defendant to pay the plaintiff’s pension contribution and provided the plaintiff’s address. That meant the defendant had to pay through the address. A cheque was then drawn and posted to the plaintiff’s address. The plaintiff has not denied that such was his address. The cheque was subsequently cashed and debited from the defendant’s account. Unfortunately parties have failed to establish from the collecting bank, the name of the account credited. It can be inferred that Tel One instructed the mode of payment by providing an address. That deeming presumption that payment was fulfilled is applicable. Even if the cheque was intercepted along the way</w:t>
      </w:r>
      <w:r w:rsidR="00284808">
        <w:rPr>
          <w:rFonts w:ascii="Times New Roman" w:hAnsi="Times New Roman" w:cs="Times New Roman"/>
          <w:sz w:val="24"/>
          <w:szCs w:val="24"/>
        </w:rPr>
        <w:t xml:space="preserve"> the</w:t>
      </w:r>
      <w:r>
        <w:rPr>
          <w:rFonts w:ascii="Times New Roman" w:hAnsi="Times New Roman" w:cs="Times New Roman"/>
          <w:sz w:val="24"/>
          <w:szCs w:val="24"/>
        </w:rPr>
        <w:t xml:space="preserve"> risk had </w:t>
      </w:r>
      <w:r w:rsidR="00284808">
        <w:rPr>
          <w:rFonts w:ascii="Times New Roman" w:hAnsi="Times New Roman" w:cs="Times New Roman"/>
          <w:sz w:val="24"/>
          <w:szCs w:val="24"/>
        </w:rPr>
        <w:t xml:space="preserve">already </w:t>
      </w:r>
      <w:r>
        <w:rPr>
          <w:rFonts w:ascii="Times New Roman" w:hAnsi="Times New Roman" w:cs="Times New Roman"/>
          <w:sz w:val="24"/>
          <w:szCs w:val="24"/>
        </w:rPr>
        <w:t>passed to the plaintiff.</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cheque was also crossed. It was written “not negotiable”. In terms of s 79 of the Bills of Exchange Act [</w:t>
      </w:r>
      <w:r w:rsidRPr="005601D7">
        <w:rPr>
          <w:rFonts w:ascii="Times New Roman" w:hAnsi="Times New Roman" w:cs="Times New Roman"/>
          <w:i/>
          <w:sz w:val="24"/>
          <w:szCs w:val="24"/>
        </w:rPr>
        <w:t>Chapter</w:t>
      </w:r>
      <w:r w:rsidR="00C86B41">
        <w:rPr>
          <w:rFonts w:ascii="Times New Roman" w:hAnsi="Times New Roman" w:cs="Times New Roman"/>
          <w:i/>
          <w:sz w:val="24"/>
          <w:szCs w:val="24"/>
        </w:rPr>
        <w:t xml:space="preserve"> 14:02</w:t>
      </w:r>
      <w:r>
        <w:rPr>
          <w:rFonts w:ascii="Times New Roman" w:hAnsi="Times New Roman" w:cs="Times New Roman"/>
          <w:sz w:val="24"/>
          <w:szCs w:val="24"/>
        </w:rPr>
        <w:t>] a cheque is specifically crossed to a particular banker where it bears across its face an addition of the name of the banker either with or without the word “not negotiable”. Where the words “not negotiable’ appears the cheque is generally crossed.</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82 (1) provides that where a cheque is generally crossed, the bank on whom it is drawn, shall not pay it otherwise than to a banker. This means the cheque is paid to someone with a bank account. In </w:t>
      </w:r>
      <w:proofErr w:type="spellStart"/>
      <w:r w:rsidRPr="00A65861">
        <w:rPr>
          <w:rFonts w:ascii="Times New Roman" w:hAnsi="Times New Roman" w:cs="Times New Roman"/>
          <w:i/>
          <w:sz w:val="24"/>
          <w:szCs w:val="24"/>
        </w:rPr>
        <w:t>Rhostar</w:t>
      </w:r>
      <w:proofErr w:type="spellEnd"/>
      <w:r w:rsidRPr="00A65861">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E36CF1">
        <w:rPr>
          <w:rFonts w:ascii="Times New Roman" w:hAnsi="Times New Roman" w:cs="Times New Roman"/>
          <w:i/>
          <w:sz w:val="24"/>
          <w:szCs w:val="24"/>
        </w:rPr>
        <w:t>Netherlands Bank</w:t>
      </w:r>
      <w:r>
        <w:rPr>
          <w:rFonts w:ascii="Times New Roman" w:hAnsi="Times New Roman" w:cs="Times New Roman"/>
          <w:sz w:val="24"/>
          <w:szCs w:val="24"/>
        </w:rPr>
        <w:t xml:space="preserve"> 1972 (2) SA 703 the court held that the effect of crossing a cheque makes that cheque non-transferrable. See also </w:t>
      </w:r>
      <w:proofErr w:type="spellStart"/>
      <w:r w:rsidRPr="00A65861">
        <w:rPr>
          <w:rFonts w:ascii="Times New Roman" w:hAnsi="Times New Roman" w:cs="Times New Roman"/>
          <w:i/>
          <w:sz w:val="24"/>
          <w:szCs w:val="24"/>
        </w:rPr>
        <w:t>Philsam</w:t>
      </w:r>
      <w:proofErr w:type="spellEnd"/>
      <w:r w:rsidRPr="00A65861">
        <w:rPr>
          <w:rFonts w:ascii="Times New Roman" w:hAnsi="Times New Roman" w:cs="Times New Roman"/>
          <w:i/>
          <w:sz w:val="24"/>
          <w:szCs w:val="24"/>
        </w:rPr>
        <w:t xml:space="preserve"> Investments</w:t>
      </w:r>
      <w:r>
        <w:rPr>
          <w:rFonts w:ascii="Times New Roman" w:hAnsi="Times New Roman" w:cs="Times New Roman"/>
          <w:sz w:val="24"/>
          <w:szCs w:val="24"/>
        </w:rPr>
        <w:t xml:space="preserve"> v </w:t>
      </w:r>
      <w:r w:rsidRPr="00A65861">
        <w:rPr>
          <w:rFonts w:ascii="Times New Roman" w:hAnsi="Times New Roman" w:cs="Times New Roman"/>
          <w:i/>
          <w:sz w:val="24"/>
          <w:szCs w:val="24"/>
        </w:rPr>
        <w:t>Beverley Building Society</w:t>
      </w:r>
      <w:r>
        <w:rPr>
          <w:rFonts w:ascii="Times New Roman" w:hAnsi="Times New Roman" w:cs="Times New Roman"/>
          <w:sz w:val="24"/>
          <w:szCs w:val="24"/>
        </w:rPr>
        <w:t xml:space="preserve"> 1972 (2) SA 546, </w:t>
      </w:r>
      <w:r w:rsidRPr="00A65861">
        <w:rPr>
          <w:rFonts w:ascii="Times New Roman" w:hAnsi="Times New Roman" w:cs="Times New Roman"/>
          <w:i/>
          <w:sz w:val="24"/>
          <w:szCs w:val="24"/>
        </w:rPr>
        <w:t xml:space="preserve">Bank of Credit and Commerce Zimbabwe Ltd </w:t>
      </w:r>
      <w:r>
        <w:rPr>
          <w:rFonts w:ascii="Times New Roman" w:hAnsi="Times New Roman" w:cs="Times New Roman"/>
          <w:sz w:val="24"/>
          <w:szCs w:val="24"/>
        </w:rPr>
        <w:t xml:space="preserve">v </w:t>
      </w:r>
      <w:r w:rsidRPr="00A65861">
        <w:rPr>
          <w:rFonts w:ascii="Times New Roman" w:hAnsi="Times New Roman" w:cs="Times New Roman"/>
          <w:i/>
          <w:sz w:val="24"/>
          <w:szCs w:val="24"/>
        </w:rPr>
        <w:t>UDC Ltd</w:t>
      </w:r>
      <w:r>
        <w:rPr>
          <w:rFonts w:ascii="Times New Roman" w:hAnsi="Times New Roman" w:cs="Times New Roman"/>
          <w:sz w:val="24"/>
          <w:szCs w:val="24"/>
        </w:rPr>
        <w:t xml:space="preserve"> 1990 (2) ZLR 397 (SC) at 403 where court quoted with approval a </w:t>
      </w:r>
      <w:r>
        <w:rPr>
          <w:rFonts w:ascii="Times New Roman" w:hAnsi="Times New Roman" w:cs="Times New Roman"/>
          <w:sz w:val="24"/>
          <w:szCs w:val="24"/>
        </w:rPr>
        <w:lastRenderedPageBreak/>
        <w:t xml:space="preserve">passage by </w:t>
      </w:r>
      <w:r w:rsidRPr="00DD515C">
        <w:rPr>
          <w:rFonts w:ascii="Times New Roman" w:hAnsi="Times New Roman" w:cs="Times New Roman"/>
          <w:smallCaps/>
          <w:sz w:val="24"/>
          <w:szCs w:val="24"/>
        </w:rPr>
        <w:t>Holmes</w:t>
      </w:r>
      <w:r>
        <w:rPr>
          <w:rFonts w:ascii="Times New Roman" w:hAnsi="Times New Roman" w:cs="Times New Roman"/>
          <w:sz w:val="24"/>
          <w:szCs w:val="24"/>
        </w:rPr>
        <w:t xml:space="preserve"> JA in </w:t>
      </w:r>
      <w:r w:rsidRPr="008D1F44">
        <w:rPr>
          <w:rFonts w:ascii="Times New Roman" w:hAnsi="Times New Roman" w:cs="Times New Roman"/>
          <w:i/>
          <w:sz w:val="24"/>
          <w:szCs w:val="24"/>
        </w:rPr>
        <w:t>Standard Chartered Bank of South Africa Ltd</w:t>
      </w:r>
      <w:r>
        <w:rPr>
          <w:rFonts w:ascii="Times New Roman" w:hAnsi="Times New Roman" w:cs="Times New Roman"/>
          <w:sz w:val="24"/>
          <w:szCs w:val="24"/>
        </w:rPr>
        <w:t xml:space="preserve"> v </w:t>
      </w:r>
      <w:r w:rsidRPr="008D1F44">
        <w:rPr>
          <w:rFonts w:ascii="Times New Roman" w:hAnsi="Times New Roman" w:cs="Times New Roman"/>
          <w:i/>
          <w:sz w:val="24"/>
          <w:szCs w:val="24"/>
        </w:rPr>
        <w:t xml:space="preserve">Sham </w:t>
      </w:r>
      <w:proofErr w:type="spellStart"/>
      <w:r w:rsidRPr="008D1F44">
        <w:rPr>
          <w:rFonts w:ascii="Times New Roman" w:hAnsi="Times New Roman" w:cs="Times New Roman"/>
          <w:i/>
          <w:sz w:val="24"/>
          <w:szCs w:val="24"/>
        </w:rPr>
        <w:t>Masazire</w:t>
      </w:r>
      <w:proofErr w:type="spellEnd"/>
      <w:r w:rsidRPr="008D1F44">
        <w:rPr>
          <w:rFonts w:ascii="Times New Roman" w:hAnsi="Times New Roman" w:cs="Times New Roman"/>
          <w:i/>
          <w:sz w:val="24"/>
          <w:szCs w:val="24"/>
        </w:rPr>
        <w:t xml:space="preserve"> Centre</w:t>
      </w:r>
      <w:r>
        <w:rPr>
          <w:rFonts w:ascii="Times New Roman" w:hAnsi="Times New Roman" w:cs="Times New Roman"/>
          <w:sz w:val="24"/>
          <w:szCs w:val="24"/>
        </w:rPr>
        <w:t xml:space="preserve"> 1977 (1) SA 484 A @ 5049 G-H;</w:t>
      </w:r>
    </w:p>
    <w:p w:rsidR="005C676E" w:rsidRPr="008A3392" w:rsidRDefault="005C676E" w:rsidP="005C676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These words have no effect on the transferability of the cheque. They may operate as </w:t>
      </w:r>
      <w:r>
        <w:rPr>
          <w:rFonts w:ascii="Times New Roman" w:hAnsi="Times New Roman" w:cs="Times New Roman"/>
        </w:rPr>
        <w:tab/>
        <w:t xml:space="preserve">some safeguard of the cheque should fall into wrong hands. They are in effect a direction to </w:t>
      </w:r>
      <w:r>
        <w:rPr>
          <w:rFonts w:ascii="Times New Roman" w:hAnsi="Times New Roman" w:cs="Times New Roman"/>
        </w:rPr>
        <w:tab/>
        <w:t>the collecting banker that the specified payee should receive the money.”</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therefore satisfied that the defendant discharged the onus upon it by showing that it indeed wrote a cheque for $29 435.64 in favour of the plaintiff and posted same to the plaintiff’s residence. The defendant took an extra precaution of crossing the cheque. The cheque was not negotiable. The plaintiff on the other hand failed to discharge the onus on him of showing firstly that he was not the one who received and cashed the cheque. Even assuming the plaintiff did not receive the cheque the risk passed to him on posting the cheque.</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of the case, the plaintiff has no recourse against the defendant. His recourse may lie elsewhere. The cheque for $29 435.64 represented </w:t>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for the period 1999 dating back to 1989.</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order as follows;</w:t>
      </w:r>
    </w:p>
    <w:p w:rsidR="005C676E" w:rsidRDefault="005C676E" w:rsidP="005C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is dismissed with costs.</w:t>
      </w:r>
    </w:p>
    <w:p w:rsidR="005C676E" w:rsidRDefault="005C676E" w:rsidP="005C676E">
      <w:pPr>
        <w:spacing w:after="0" w:line="360" w:lineRule="auto"/>
        <w:jc w:val="both"/>
        <w:rPr>
          <w:rFonts w:ascii="Times New Roman" w:hAnsi="Times New Roman" w:cs="Times New Roman"/>
          <w:sz w:val="24"/>
          <w:szCs w:val="24"/>
        </w:rPr>
      </w:pPr>
    </w:p>
    <w:p w:rsidR="005C676E" w:rsidRDefault="005C676E" w:rsidP="005C676E">
      <w:pPr>
        <w:spacing w:after="0" w:line="360" w:lineRule="auto"/>
        <w:jc w:val="both"/>
        <w:rPr>
          <w:rFonts w:ascii="Times New Roman" w:hAnsi="Times New Roman" w:cs="Times New Roman"/>
          <w:sz w:val="24"/>
          <w:szCs w:val="24"/>
        </w:rPr>
      </w:pPr>
    </w:p>
    <w:p w:rsidR="005C676E" w:rsidRDefault="005C676E" w:rsidP="005C676E">
      <w:pPr>
        <w:spacing w:after="0" w:line="360" w:lineRule="auto"/>
        <w:jc w:val="both"/>
        <w:rPr>
          <w:rFonts w:ascii="Times New Roman" w:hAnsi="Times New Roman" w:cs="Times New Roman"/>
          <w:sz w:val="24"/>
          <w:szCs w:val="24"/>
        </w:rPr>
      </w:pPr>
    </w:p>
    <w:p w:rsidR="005C676E" w:rsidRDefault="005C676E" w:rsidP="005C676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Mhaka</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plaintiff’s legal practitioners</w:t>
      </w:r>
    </w:p>
    <w:p w:rsidR="005C676E" w:rsidRPr="005C676E" w:rsidRDefault="005C676E" w:rsidP="005C676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Pr>
          <w:rFonts w:ascii="Times New Roman" w:hAnsi="Times New Roman" w:cs="Times New Roman"/>
          <w:sz w:val="24"/>
          <w:szCs w:val="24"/>
        </w:rPr>
        <w:t>, defendant’s legal practitioners</w:t>
      </w:r>
    </w:p>
    <w:p w:rsidR="005C676E" w:rsidRPr="005C676E" w:rsidRDefault="005C676E" w:rsidP="005C676E">
      <w:pPr>
        <w:pStyle w:val="ListParagraph"/>
        <w:spacing w:after="0" w:line="240" w:lineRule="auto"/>
        <w:ind w:left="0" w:firstLine="720"/>
        <w:jc w:val="both"/>
        <w:rPr>
          <w:rFonts w:ascii="Times New Roman" w:hAnsi="Times New Roman" w:cs="Times New Roman"/>
          <w:b/>
          <w:sz w:val="24"/>
          <w:szCs w:val="24"/>
        </w:rPr>
      </w:pPr>
    </w:p>
    <w:p w:rsidR="00C63846" w:rsidRDefault="00C63846" w:rsidP="0056521C">
      <w:pPr>
        <w:pStyle w:val="ListParagraph"/>
        <w:spacing w:after="0" w:line="360" w:lineRule="auto"/>
        <w:ind w:left="0" w:firstLine="720"/>
        <w:jc w:val="both"/>
        <w:rPr>
          <w:rFonts w:ascii="Times New Roman" w:hAnsi="Times New Roman" w:cs="Times New Roman"/>
          <w:sz w:val="24"/>
          <w:szCs w:val="24"/>
        </w:rPr>
      </w:pPr>
    </w:p>
    <w:p w:rsidR="00B86422" w:rsidRDefault="00B86422" w:rsidP="00B86422">
      <w:pPr>
        <w:spacing w:after="0" w:line="240" w:lineRule="auto"/>
        <w:jc w:val="both"/>
        <w:rPr>
          <w:rFonts w:ascii="Times New Roman" w:hAnsi="Times New Roman" w:cs="Times New Roman"/>
          <w:sz w:val="24"/>
          <w:szCs w:val="24"/>
        </w:rPr>
      </w:pPr>
    </w:p>
    <w:p w:rsidR="00E131A2" w:rsidRPr="00B86422" w:rsidRDefault="00E131A2" w:rsidP="00B86422">
      <w:pPr>
        <w:spacing w:after="0" w:line="240" w:lineRule="auto"/>
        <w:jc w:val="both"/>
        <w:rPr>
          <w:rFonts w:ascii="Times New Roman" w:hAnsi="Times New Roman" w:cs="Times New Roman"/>
          <w:sz w:val="24"/>
          <w:szCs w:val="24"/>
        </w:rPr>
      </w:pPr>
    </w:p>
    <w:sectPr w:rsidR="00E131A2" w:rsidRPr="00B8642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00" w:rsidRDefault="00A86E00" w:rsidP="00704A29">
      <w:pPr>
        <w:spacing w:after="0" w:line="240" w:lineRule="auto"/>
      </w:pPr>
      <w:r>
        <w:separator/>
      </w:r>
    </w:p>
  </w:endnote>
  <w:endnote w:type="continuationSeparator" w:id="0">
    <w:p w:rsidR="00A86E00" w:rsidRDefault="00A86E00" w:rsidP="0070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00" w:rsidRDefault="00A86E00" w:rsidP="00704A29">
      <w:pPr>
        <w:spacing w:after="0" w:line="240" w:lineRule="auto"/>
      </w:pPr>
      <w:r>
        <w:separator/>
      </w:r>
    </w:p>
  </w:footnote>
  <w:footnote w:type="continuationSeparator" w:id="0">
    <w:p w:rsidR="00A86E00" w:rsidRDefault="00A86E00" w:rsidP="00704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1413"/>
      <w:docPartObj>
        <w:docPartGallery w:val="Page Numbers (Top of Page)"/>
        <w:docPartUnique/>
      </w:docPartObj>
    </w:sdtPr>
    <w:sdtEndPr>
      <w:rPr>
        <w:noProof/>
      </w:rPr>
    </w:sdtEndPr>
    <w:sdtContent>
      <w:p w:rsidR="00704A29" w:rsidRDefault="00704A29">
        <w:pPr>
          <w:pStyle w:val="Header"/>
          <w:jc w:val="right"/>
          <w:rPr>
            <w:noProof/>
          </w:rPr>
        </w:pPr>
        <w:r>
          <w:fldChar w:fldCharType="begin"/>
        </w:r>
        <w:r>
          <w:instrText xml:space="preserve"> PAGE   \* MERGEFORMAT </w:instrText>
        </w:r>
        <w:r>
          <w:fldChar w:fldCharType="separate"/>
        </w:r>
        <w:r w:rsidR="00265CB3">
          <w:rPr>
            <w:noProof/>
          </w:rPr>
          <w:t>1</w:t>
        </w:r>
        <w:r>
          <w:rPr>
            <w:noProof/>
          </w:rPr>
          <w:fldChar w:fldCharType="end"/>
        </w:r>
      </w:p>
      <w:p w:rsidR="00704A29" w:rsidRDefault="00704A29">
        <w:pPr>
          <w:pStyle w:val="Header"/>
          <w:jc w:val="right"/>
          <w:rPr>
            <w:noProof/>
          </w:rPr>
        </w:pPr>
        <w:r>
          <w:rPr>
            <w:noProof/>
          </w:rPr>
          <w:t>HH</w:t>
        </w:r>
        <w:r w:rsidR="00D0192B">
          <w:rPr>
            <w:noProof/>
          </w:rPr>
          <w:t xml:space="preserve"> </w:t>
        </w:r>
        <w:r w:rsidR="000372D4">
          <w:rPr>
            <w:noProof/>
          </w:rPr>
          <w:t>83-17</w:t>
        </w:r>
      </w:p>
      <w:p w:rsidR="00704A29" w:rsidRDefault="00704A29">
        <w:pPr>
          <w:pStyle w:val="Header"/>
          <w:jc w:val="right"/>
        </w:pPr>
        <w:r>
          <w:rPr>
            <w:noProof/>
          </w:rPr>
          <w:t>HC 7034/14</w:t>
        </w:r>
      </w:p>
    </w:sdtContent>
  </w:sdt>
  <w:p w:rsidR="00704A29" w:rsidRDefault="00704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74B2"/>
    <w:multiLevelType w:val="hybridMultilevel"/>
    <w:tmpl w:val="6BF642BC"/>
    <w:lvl w:ilvl="0" w:tplc="43187B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22"/>
    <w:rsid w:val="000118C0"/>
    <w:rsid w:val="00017585"/>
    <w:rsid w:val="00025941"/>
    <w:rsid w:val="0002649D"/>
    <w:rsid w:val="00034758"/>
    <w:rsid w:val="000372D4"/>
    <w:rsid w:val="00054704"/>
    <w:rsid w:val="00097D15"/>
    <w:rsid w:val="000A0701"/>
    <w:rsid w:val="000D135F"/>
    <w:rsid w:val="000F37FA"/>
    <w:rsid w:val="001E3283"/>
    <w:rsid w:val="001E4DF1"/>
    <w:rsid w:val="001E563D"/>
    <w:rsid w:val="00215450"/>
    <w:rsid w:val="002444DE"/>
    <w:rsid w:val="00262D4C"/>
    <w:rsid w:val="00265CB3"/>
    <w:rsid w:val="00284808"/>
    <w:rsid w:val="002C3036"/>
    <w:rsid w:val="00313373"/>
    <w:rsid w:val="00334A6C"/>
    <w:rsid w:val="004257A5"/>
    <w:rsid w:val="0049325A"/>
    <w:rsid w:val="004E1BDD"/>
    <w:rsid w:val="004E38BB"/>
    <w:rsid w:val="004F0F1E"/>
    <w:rsid w:val="005240C7"/>
    <w:rsid w:val="0056521C"/>
    <w:rsid w:val="00567FB5"/>
    <w:rsid w:val="005C676E"/>
    <w:rsid w:val="006051A5"/>
    <w:rsid w:val="00660E4F"/>
    <w:rsid w:val="00672648"/>
    <w:rsid w:val="00704A29"/>
    <w:rsid w:val="00780050"/>
    <w:rsid w:val="00813A1E"/>
    <w:rsid w:val="00995FAA"/>
    <w:rsid w:val="009A7DC6"/>
    <w:rsid w:val="009D3287"/>
    <w:rsid w:val="009F4866"/>
    <w:rsid w:val="00A11AAA"/>
    <w:rsid w:val="00A86E00"/>
    <w:rsid w:val="00AD65EB"/>
    <w:rsid w:val="00B86422"/>
    <w:rsid w:val="00C63846"/>
    <w:rsid w:val="00C648CC"/>
    <w:rsid w:val="00C76312"/>
    <w:rsid w:val="00C86B41"/>
    <w:rsid w:val="00D0192B"/>
    <w:rsid w:val="00D162A3"/>
    <w:rsid w:val="00D60E5F"/>
    <w:rsid w:val="00DB2365"/>
    <w:rsid w:val="00DB37E7"/>
    <w:rsid w:val="00DC38D6"/>
    <w:rsid w:val="00E131A2"/>
    <w:rsid w:val="00E50AEB"/>
    <w:rsid w:val="00E56C65"/>
    <w:rsid w:val="00E820FD"/>
    <w:rsid w:val="00EE4A17"/>
    <w:rsid w:val="00EF500F"/>
    <w:rsid w:val="00F527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D15"/>
    <w:pPr>
      <w:ind w:left="720"/>
      <w:contextualSpacing/>
    </w:pPr>
  </w:style>
  <w:style w:type="paragraph" w:styleId="Header">
    <w:name w:val="header"/>
    <w:basedOn w:val="Normal"/>
    <w:link w:val="HeaderChar"/>
    <w:uiPriority w:val="99"/>
    <w:unhideWhenUsed/>
    <w:rsid w:val="00704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A29"/>
  </w:style>
  <w:style w:type="paragraph" w:styleId="Footer">
    <w:name w:val="footer"/>
    <w:basedOn w:val="Normal"/>
    <w:link w:val="FooterChar"/>
    <w:uiPriority w:val="99"/>
    <w:unhideWhenUsed/>
    <w:rsid w:val="00704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A29"/>
  </w:style>
  <w:style w:type="paragraph" w:styleId="BalloonText">
    <w:name w:val="Balloon Text"/>
    <w:basedOn w:val="Normal"/>
    <w:link w:val="BalloonTextChar"/>
    <w:uiPriority w:val="99"/>
    <w:semiHidden/>
    <w:unhideWhenUsed/>
    <w:rsid w:val="00D0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D15"/>
    <w:pPr>
      <w:ind w:left="720"/>
      <w:contextualSpacing/>
    </w:pPr>
  </w:style>
  <w:style w:type="paragraph" w:styleId="Header">
    <w:name w:val="header"/>
    <w:basedOn w:val="Normal"/>
    <w:link w:val="HeaderChar"/>
    <w:uiPriority w:val="99"/>
    <w:unhideWhenUsed/>
    <w:rsid w:val="00704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A29"/>
  </w:style>
  <w:style w:type="paragraph" w:styleId="Footer">
    <w:name w:val="footer"/>
    <w:basedOn w:val="Normal"/>
    <w:link w:val="FooterChar"/>
    <w:uiPriority w:val="99"/>
    <w:unhideWhenUsed/>
    <w:rsid w:val="00704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A29"/>
  </w:style>
  <w:style w:type="paragraph" w:styleId="BalloonText">
    <w:name w:val="Balloon Text"/>
    <w:basedOn w:val="Normal"/>
    <w:link w:val="BalloonTextChar"/>
    <w:uiPriority w:val="99"/>
    <w:semiHidden/>
    <w:unhideWhenUsed/>
    <w:rsid w:val="00D0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2017-02-07T12:29:00Z</cp:lastPrinted>
  <dcterms:created xsi:type="dcterms:W3CDTF">2017-02-16T07:58:00Z</dcterms:created>
  <dcterms:modified xsi:type="dcterms:W3CDTF">2017-02-16T07:58:00Z</dcterms:modified>
</cp:coreProperties>
</file>