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4A" w:rsidRDefault="00864D4A" w:rsidP="00D65D21">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ME</w:t>
      </w:r>
      <w:r w:rsidR="0092697A">
        <w:rPr>
          <w:rFonts w:ascii="Times New Roman" w:hAnsi="Times New Roman" w:cs="Times New Roman"/>
          <w:sz w:val="24"/>
          <w:szCs w:val="24"/>
          <w:lang w:val="en-US"/>
        </w:rPr>
        <w:t>T</w:t>
      </w:r>
      <w:r>
        <w:rPr>
          <w:rFonts w:ascii="Times New Roman" w:hAnsi="Times New Roman" w:cs="Times New Roman"/>
          <w:sz w:val="24"/>
          <w:szCs w:val="24"/>
          <w:lang w:val="en-US"/>
        </w:rPr>
        <w:t>RON CHONGANI MAKAMBA</w:t>
      </w:r>
    </w:p>
    <w:p w:rsidR="00864D4A" w:rsidRDefault="00BB4948" w:rsidP="00D65D2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864D4A" w:rsidRDefault="00864D4A" w:rsidP="00D65D2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D65D21" w:rsidRDefault="00D65D21" w:rsidP="00D65D21">
      <w:pPr>
        <w:spacing w:after="0" w:line="240" w:lineRule="auto"/>
        <w:rPr>
          <w:rFonts w:ascii="Times New Roman" w:hAnsi="Times New Roman" w:cs="Times New Roman"/>
          <w:sz w:val="24"/>
          <w:szCs w:val="24"/>
          <w:lang w:val="en-US"/>
        </w:rPr>
      </w:pPr>
    </w:p>
    <w:p w:rsidR="00D65D21" w:rsidRDefault="00D65D21" w:rsidP="00D65D21">
      <w:pPr>
        <w:spacing w:after="0" w:line="240" w:lineRule="auto"/>
        <w:rPr>
          <w:rFonts w:ascii="Times New Roman" w:hAnsi="Times New Roman" w:cs="Times New Roman"/>
          <w:sz w:val="24"/>
          <w:szCs w:val="24"/>
          <w:lang w:val="en-US"/>
        </w:rPr>
      </w:pPr>
    </w:p>
    <w:p w:rsidR="00864D4A" w:rsidRDefault="00864D4A" w:rsidP="00D65D21">
      <w:pPr>
        <w:spacing w:after="0" w:line="240" w:lineRule="auto"/>
        <w:rPr>
          <w:rFonts w:ascii="Times New Roman" w:hAnsi="Times New Roman" w:cs="Times New Roman"/>
          <w:sz w:val="24"/>
          <w:szCs w:val="24"/>
          <w:lang w:val="en-US"/>
        </w:rPr>
      </w:pPr>
      <w:r w:rsidRPr="00A11F11">
        <w:rPr>
          <w:rFonts w:ascii="Times New Roman" w:hAnsi="Times New Roman" w:cs="Times New Roman"/>
          <w:sz w:val="24"/>
          <w:szCs w:val="24"/>
          <w:lang w:val="en-US"/>
        </w:rPr>
        <w:t>HIGH COURT OF ZIMBABWE</w:t>
      </w:r>
    </w:p>
    <w:p w:rsidR="00D65D21" w:rsidRDefault="00D65D21" w:rsidP="00D65D21">
      <w:pPr>
        <w:spacing w:after="0" w:line="240" w:lineRule="auto"/>
        <w:rPr>
          <w:rFonts w:ascii="Times New Roman" w:hAnsi="Times New Roman" w:cs="Times New Roman"/>
          <w:sz w:val="24"/>
          <w:szCs w:val="24"/>
          <w:lang w:val="en-US"/>
        </w:rPr>
      </w:pPr>
      <w:r w:rsidRPr="00A11F11">
        <w:rPr>
          <w:rFonts w:ascii="Times New Roman" w:hAnsi="Times New Roman" w:cs="Times New Roman"/>
          <w:sz w:val="24"/>
          <w:szCs w:val="24"/>
          <w:lang w:val="en-US"/>
        </w:rPr>
        <w:t>MUTEVEDZI J</w:t>
      </w:r>
    </w:p>
    <w:p w:rsidR="00C44538" w:rsidRPr="00A11F11" w:rsidRDefault="00C44538" w:rsidP="00D65D2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D65D21">
        <w:rPr>
          <w:rFonts w:ascii="Times New Roman" w:hAnsi="Times New Roman" w:cs="Times New Roman"/>
          <w:sz w:val="24"/>
          <w:szCs w:val="24"/>
          <w:lang w:val="en-US"/>
        </w:rPr>
        <w:t>,</w:t>
      </w:r>
      <w:r>
        <w:rPr>
          <w:rFonts w:ascii="Times New Roman" w:hAnsi="Times New Roman" w:cs="Times New Roman"/>
          <w:sz w:val="24"/>
          <w:szCs w:val="24"/>
          <w:lang w:val="en-US"/>
        </w:rPr>
        <w:t xml:space="preserve"> 1</w:t>
      </w:r>
      <w:r w:rsidR="00BB4948">
        <w:rPr>
          <w:rFonts w:ascii="Times New Roman" w:hAnsi="Times New Roman" w:cs="Times New Roman"/>
          <w:sz w:val="24"/>
          <w:szCs w:val="24"/>
          <w:lang w:val="en-US"/>
        </w:rPr>
        <w:t>4</w:t>
      </w:r>
      <w:r>
        <w:rPr>
          <w:rFonts w:ascii="Times New Roman" w:hAnsi="Times New Roman" w:cs="Times New Roman"/>
          <w:sz w:val="24"/>
          <w:szCs w:val="24"/>
          <w:lang w:val="en-US"/>
        </w:rPr>
        <w:t xml:space="preserve"> S</w:t>
      </w:r>
      <w:r w:rsidR="00D65D21">
        <w:rPr>
          <w:rFonts w:ascii="Times New Roman" w:hAnsi="Times New Roman" w:cs="Times New Roman"/>
          <w:sz w:val="24"/>
          <w:szCs w:val="24"/>
          <w:lang w:val="en-US"/>
        </w:rPr>
        <w:t>eptember</w:t>
      </w:r>
      <w:r>
        <w:rPr>
          <w:rFonts w:ascii="Times New Roman" w:hAnsi="Times New Roman" w:cs="Times New Roman"/>
          <w:sz w:val="24"/>
          <w:szCs w:val="24"/>
          <w:lang w:val="en-US"/>
        </w:rPr>
        <w:t xml:space="preserve"> 2023</w:t>
      </w:r>
    </w:p>
    <w:p w:rsidR="00864D4A" w:rsidRPr="00A11F11" w:rsidRDefault="00864D4A" w:rsidP="00D65D2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65D21" w:rsidRDefault="00D65D21" w:rsidP="00D65D21">
      <w:pPr>
        <w:spacing w:line="240" w:lineRule="auto"/>
        <w:rPr>
          <w:rFonts w:ascii="Times New Roman" w:hAnsi="Times New Roman" w:cs="Times New Roman"/>
          <w:sz w:val="24"/>
          <w:szCs w:val="24"/>
          <w:lang w:val="en-US"/>
        </w:rPr>
      </w:pPr>
    </w:p>
    <w:p w:rsidR="00D65D21" w:rsidRDefault="00864D4A" w:rsidP="00D65D21">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Application for condonation for late noting of an appeal</w:t>
      </w:r>
    </w:p>
    <w:p w:rsidR="00FC30AD" w:rsidRDefault="00FC30AD" w:rsidP="00D65D21">
      <w:pPr>
        <w:spacing w:line="240" w:lineRule="auto"/>
        <w:rPr>
          <w:rFonts w:ascii="Times New Roman" w:hAnsi="Times New Roman" w:cs="Times New Roman"/>
          <w:b/>
          <w:sz w:val="24"/>
          <w:szCs w:val="24"/>
          <w:lang w:val="en-US"/>
        </w:rPr>
      </w:pPr>
    </w:p>
    <w:p w:rsidR="00FC30AD" w:rsidRPr="00FC30AD" w:rsidRDefault="00FC30AD" w:rsidP="00D65D21">
      <w:pPr>
        <w:spacing w:line="240" w:lineRule="auto"/>
        <w:rPr>
          <w:rFonts w:ascii="Times New Roman" w:hAnsi="Times New Roman" w:cs="Times New Roman"/>
          <w:sz w:val="24"/>
          <w:szCs w:val="24"/>
          <w:lang w:val="en-US"/>
        </w:rPr>
      </w:pPr>
      <w:r w:rsidRPr="00FC30AD">
        <w:rPr>
          <w:rFonts w:ascii="Times New Roman" w:hAnsi="Times New Roman" w:cs="Times New Roman"/>
          <w:sz w:val="24"/>
          <w:szCs w:val="24"/>
          <w:lang w:val="en-US"/>
        </w:rPr>
        <w:t>Applicant in person</w:t>
      </w:r>
    </w:p>
    <w:p w:rsidR="00D65D21" w:rsidRDefault="00D65D21" w:rsidP="00D65D21">
      <w:pPr>
        <w:spacing w:line="240" w:lineRule="auto"/>
        <w:jc w:val="both"/>
        <w:rPr>
          <w:rFonts w:ascii="Times New Roman" w:hAnsi="Times New Roman" w:cs="Times New Roman"/>
          <w:b/>
          <w:sz w:val="24"/>
          <w:szCs w:val="24"/>
          <w:lang w:val="en-US"/>
        </w:rPr>
      </w:pPr>
    </w:p>
    <w:p w:rsidR="006C12BE" w:rsidRDefault="00864D4A" w:rsidP="00D65D21">
      <w:pPr>
        <w:spacing w:line="360" w:lineRule="auto"/>
        <w:ind w:firstLine="720"/>
        <w:jc w:val="both"/>
        <w:rPr>
          <w:rFonts w:ascii="Times New Roman" w:hAnsi="Times New Roman" w:cs="Times New Roman"/>
          <w:sz w:val="24"/>
          <w:szCs w:val="24"/>
          <w:lang w:val="en-US"/>
        </w:rPr>
      </w:pPr>
      <w:r w:rsidRPr="00544ADC">
        <w:rPr>
          <w:rFonts w:ascii="Times New Roman" w:hAnsi="Times New Roman" w:cs="Times New Roman"/>
          <w:b/>
          <w:sz w:val="24"/>
          <w:szCs w:val="24"/>
          <w:lang w:val="en-US"/>
        </w:rPr>
        <w:t>MUTEVEDZI J:</w:t>
      </w:r>
      <w:r>
        <w:rPr>
          <w:rFonts w:ascii="Times New Roman" w:hAnsi="Times New Roman" w:cs="Times New Roman"/>
          <w:b/>
          <w:sz w:val="24"/>
          <w:szCs w:val="24"/>
          <w:lang w:val="en-US"/>
        </w:rPr>
        <w:t xml:space="preserve"> </w:t>
      </w:r>
      <w:r w:rsidR="00D65D21">
        <w:rPr>
          <w:rFonts w:ascii="Times New Roman" w:hAnsi="Times New Roman" w:cs="Times New Roman"/>
          <w:b/>
          <w:sz w:val="24"/>
          <w:szCs w:val="24"/>
          <w:lang w:val="en-US"/>
        </w:rPr>
        <w:t xml:space="preserve">    </w:t>
      </w:r>
      <w:r w:rsidR="0092697A">
        <w:rPr>
          <w:rFonts w:ascii="Times New Roman" w:hAnsi="Times New Roman" w:cs="Times New Roman"/>
          <w:sz w:val="24"/>
          <w:szCs w:val="24"/>
          <w:lang w:val="en-US"/>
        </w:rPr>
        <w:t xml:space="preserve">The applicant, Metron Chongani Makamba, an apparently </w:t>
      </w:r>
      <w:r w:rsidR="006C12BE">
        <w:rPr>
          <w:rFonts w:ascii="Times New Roman" w:hAnsi="Times New Roman" w:cs="Times New Roman"/>
          <w:sz w:val="24"/>
          <w:szCs w:val="24"/>
          <w:lang w:val="en-US"/>
        </w:rPr>
        <w:t xml:space="preserve">brazen and </w:t>
      </w:r>
      <w:r w:rsidR="0092697A">
        <w:rPr>
          <w:rFonts w:ascii="Times New Roman" w:hAnsi="Times New Roman" w:cs="Times New Roman"/>
          <w:sz w:val="24"/>
          <w:szCs w:val="24"/>
          <w:lang w:val="en-US"/>
        </w:rPr>
        <w:t xml:space="preserve">incorrigible offender was convicted by the court of a regional magistrate at Masvingo in 2015 on numerous counts of robbery committed in aggravating circumstances as defined in s 126 of the Criminal </w:t>
      </w:r>
      <w:r w:rsidR="008D7AAD">
        <w:rPr>
          <w:rFonts w:ascii="Times New Roman" w:hAnsi="Times New Roman" w:cs="Times New Roman"/>
          <w:sz w:val="24"/>
          <w:szCs w:val="24"/>
          <w:lang w:val="en-US"/>
        </w:rPr>
        <w:t>L</w:t>
      </w:r>
      <w:r w:rsidR="0092697A">
        <w:rPr>
          <w:rFonts w:ascii="Times New Roman" w:hAnsi="Times New Roman" w:cs="Times New Roman"/>
          <w:sz w:val="24"/>
          <w:szCs w:val="24"/>
          <w:lang w:val="en-US"/>
        </w:rPr>
        <w:t>aw (Codification and Reform) Act [</w:t>
      </w:r>
      <w:r w:rsidR="00D65D21" w:rsidRPr="00D65D21">
        <w:rPr>
          <w:rFonts w:ascii="Times New Roman" w:hAnsi="Times New Roman" w:cs="Times New Roman"/>
          <w:i/>
          <w:sz w:val="24"/>
          <w:szCs w:val="24"/>
          <w:lang w:val="en-US"/>
        </w:rPr>
        <w:t>C</w:t>
      </w:r>
      <w:r w:rsidR="0092697A" w:rsidRPr="00D65D21">
        <w:rPr>
          <w:rFonts w:ascii="Times New Roman" w:hAnsi="Times New Roman" w:cs="Times New Roman"/>
          <w:i/>
          <w:sz w:val="24"/>
          <w:szCs w:val="24"/>
          <w:lang w:val="en-US"/>
        </w:rPr>
        <w:t>hapter 9:23</w:t>
      </w:r>
      <w:r w:rsidR="0092697A">
        <w:rPr>
          <w:rFonts w:ascii="Times New Roman" w:hAnsi="Times New Roman" w:cs="Times New Roman"/>
          <w:sz w:val="24"/>
          <w:szCs w:val="24"/>
          <w:lang w:val="en-US"/>
        </w:rPr>
        <w:t>]</w:t>
      </w:r>
      <w:r w:rsidR="006721CF">
        <w:rPr>
          <w:rFonts w:ascii="Times New Roman" w:hAnsi="Times New Roman" w:cs="Times New Roman"/>
          <w:sz w:val="24"/>
          <w:szCs w:val="24"/>
          <w:lang w:val="en-US"/>
        </w:rPr>
        <w:t>. The charges against the applicant were on three separate criminal record book numbers. The first was MSVR 250/15 on which the applicant was the sole accused facing two counts of robbery. The second was MSVR 252-3 where the applicant was jointly charged with one Energy Knowledge Jonasi with six counts of robbery</w:t>
      </w:r>
      <w:r w:rsidR="006C12BE">
        <w:rPr>
          <w:rFonts w:ascii="Times New Roman" w:hAnsi="Times New Roman" w:cs="Times New Roman"/>
          <w:sz w:val="24"/>
          <w:szCs w:val="24"/>
          <w:lang w:val="en-US"/>
        </w:rPr>
        <w:t>. The last was</w:t>
      </w:r>
      <w:r w:rsidR="006721CF">
        <w:rPr>
          <w:rFonts w:ascii="Times New Roman" w:hAnsi="Times New Roman" w:cs="Times New Roman"/>
          <w:sz w:val="24"/>
          <w:szCs w:val="24"/>
          <w:lang w:val="en-US"/>
        </w:rPr>
        <w:t xml:space="preserve"> MSVR 1476-78/15 where he </w:t>
      </w:r>
      <w:r w:rsidR="00C44538">
        <w:rPr>
          <w:rFonts w:ascii="Times New Roman" w:hAnsi="Times New Roman" w:cs="Times New Roman"/>
          <w:sz w:val="24"/>
          <w:szCs w:val="24"/>
          <w:lang w:val="en-US"/>
        </w:rPr>
        <w:t xml:space="preserve">also </w:t>
      </w:r>
      <w:r w:rsidR="006721CF">
        <w:rPr>
          <w:rFonts w:ascii="Times New Roman" w:hAnsi="Times New Roman" w:cs="Times New Roman"/>
          <w:sz w:val="24"/>
          <w:szCs w:val="24"/>
          <w:lang w:val="en-US"/>
        </w:rPr>
        <w:t xml:space="preserve">jointly appeared </w:t>
      </w:r>
      <w:r w:rsidR="006C12BE">
        <w:rPr>
          <w:rFonts w:ascii="Times New Roman" w:hAnsi="Times New Roman" w:cs="Times New Roman"/>
          <w:sz w:val="24"/>
          <w:szCs w:val="24"/>
          <w:lang w:val="en-US"/>
        </w:rPr>
        <w:t>with</w:t>
      </w:r>
      <w:r w:rsidR="006721CF">
        <w:rPr>
          <w:rFonts w:ascii="Times New Roman" w:hAnsi="Times New Roman" w:cs="Times New Roman"/>
          <w:sz w:val="24"/>
          <w:szCs w:val="24"/>
          <w:lang w:val="en-US"/>
        </w:rPr>
        <w:t xml:space="preserve"> Energy</w:t>
      </w:r>
      <w:r w:rsidR="00C44538">
        <w:rPr>
          <w:rFonts w:ascii="Times New Roman" w:hAnsi="Times New Roman" w:cs="Times New Roman"/>
          <w:sz w:val="24"/>
          <w:szCs w:val="24"/>
          <w:lang w:val="en-US"/>
        </w:rPr>
        <w:t xml:space="preserve"> Knowledge Jonasa</w:t>
      </w:r>
      <w:r w:rsidR="006721CF">
        <w:rPr>
          <w:rFonts w:ascii="Times New Roman" w:hAnsi="Times New Roman" w:cs="Times New Roman"/>
          <w:sz w:val="24"/>
          <w:szCs w:val="24"/>
          <w:lang w:val="en-US"/>
        </w:rPr>
        <w:t xml:space="preserve"> charged with an additional two counts of robbery. The applicant </w:t>
      </w:r>
      <w:r w:rsidR="006C12BE">
        <w:rPr>
          <w:rFonts w:ascii="Times New Roman" w:hAnsi="Times New Roman" w:cs="Times New Roman"/>
          <w:sz w:val="24"/>
          <w:szCs w:val="24"/>
          <w:lang w:val="en-US"/>
        </w:rPr>
        <w:t>was convicted of</w:t>
      </w:r>
      <w:r w:rsidR="006721CF">
        <w:rPr>
          <w:rFonts w:ascii="Times New Roman" w:hAnsi="Times New Roman" w:cs="Times New Roman"/>
          <w:sz w:val="24"/>
          <w:szCs w:val="24"/>
          <w:lang w:val="en-US"/>
        </w:rPr>
        <w:t xml:space="preserve"> all </w:t>
      </w:r>
      <w:r w:rsidR="006C12BE">
        <w:rPr>
          <w:rFonts w:ascii="Times New Roman" w:hAnsi="Times New Roman" w:cs="Times New Roman"/>
          <w:sz w:val="24"/>
          <w:szCs w:val="24"/>
          <w:lang w:val="en-US"/>
        </w:rPr>
        <w:t>the ten counts of armed robbery on his own plea of guilty. On the first CRB number the trial magistrate, for purposes of sentence, treated both counts as one and sentenced the applicant to 12 years imprisonment. On the second CRB the counts were grouped as follows:</w:t>
      </w:r>
    </w:p>
    <w:p w:rsidR="006C12BE" w:rsidRDefault="006C12BE" w:rsidP="00C23D3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Counts 1 and 2 – </w:t>
      </w:r>
      <w:r w:rsidRPr="006C12BE">
        <w:rPr>
          <w:rFonts w:ascii="Times New Roman" w:hAnsi="Times New Roman" w:cs="Times New Roman"/>
          <w:b/>
          <w:sz w:val="24"/>
          <w:szCs w:val="24"/>
          <w:lang w:val="en-US"/>
        </w:rPr>
        <w:t>9</w:t>
      </w:r>
      <w:r>
        <w:rPr>
          <w:rFonts w:ascii="Times New Roman" w:hAnsi="Times New Roman" w:cs="Times New Roman"/>
          <w:sz w:val="24"/>
          <w:szCs w:val="24"/>
          <w:lang w:val="en-US"/>
        </w:rPr>
        <w:t xml:space="preserve"> years imprisonment</w:t>
      </w:r>
    </w:p>
    <w:p w:rsidR="006C12BE" w:rsidRDefault="006C12BE" w:rsidP="00C23D3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Counts 3 and 4- </w:t>
      </w:r>
      <w:r w:rsidRPr="006C12BE">
        <w:rPr>
          <w:rFonts w:ascii="Times New Roman" w:hAnsi="Times New Roman" w:cs="Times New Roman"/>
          <w:b/>
          <w:sz w:val="24"/>
          <w:szCs w:val="24"/>
          <w:lang w:val="en-US"/>
        </w:rPr>
        <w:t xml:space="preserve">8 </w:t>
      </w:r>
      <w:r>
        <w:rPr>
          <w:rFonts w:ascii="Times New Roman" w:hAnsi="Times New Roman" w:cs="Times New Roman"/>
          <w:sz w:val="24"/>
          <w:szCs w:val="24"/>
          <w:lang w:val="en-US"/>
        </w:rPr>
        <w:t>years imprisonment</w:t>
      </w:r>
    </w:p>
    <w:p w:rsidR="006C12BE" w:rsidRDefault="006C12BE" w:rsidP="00C23D3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Counts 5 and 6- </w:t>
      </w:r>
      <w:r w:rsidRPr="006C12BE">
        <w:rPr>
          <w:rFonts w:ascii="Times New Roman" w:hAnsi="Times New Roman" w:cs="Times New Roman"/>
          <w:b/>
          <w:sz w:val="24"/>
          <w:szCs w:val="24"/>
          <w:lang w:val="en-US"/>
        </w:rPr>
        <w:t xml:space="preserve">6 </w:t>
      </w:r>
      <w:r>
        <w:rPr>
          <w:rFonts w:ascii="Times New Roman" w:hAnsi="Times New Roman" w:cs="Times New Roman"/>
          <w:sz w:val="24"/>
          <w:szCs w:val="24"/>
          <w:lang w:val="en-US"/>
        </w:rPr>
        <w:t>years imprisonment</w:t>
      </w:r>
    </w:p>
    <w:p w:rsidR="006C12BE" w:rsidRDefault="006C12BE" w:rsidP="00D65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the total 23 years imprisonment, the magistrate suspended 2 years imprisonment for 5 years on condition of future good behaviour. The applicant was therefore left to serve an effective twenty-one years imprisonment. </w:t>
      </w:r>
    </w:p>
    <w:p w:rsidR="00B60654" w:rsidRDefault="00992910" w:rsidP="00D65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already said, o</w:t>
      </w:r>
      <w:r w:rsidR="006C12BE">
        <w:rPr>
          <w:rFonts w:ascii="Times New Roman" w:hAnsi="Times New Roman" w:cs="Times New Roman"/>
          <w:sz w:val="24"/>
          <w:szCs w:val="24"/>
          <w:lang w:val="en-US"/>
        </w:rPr>
        <w:t xml:space="preserve">n the third CRB number </w:t>
      </w:r>
      <w:r>
        <w:rPr>
          <w:rFonts w:ascii="Times New Roman" w:hAnsi="Times New Roman" w:cs="Times New Roman"/>
          <w:sz w:val="24"/>
          <w:szCs w:val="24"/>
          <w:lang w:val="en-US"/>
        </w:rPr>
        <w:t xml:space="preserve">the applicant was charged with and convicted of two counts. In count 1 he was sentenced to 10 years imprisonment and in count 2 a term of 8 years imprisonment was imposed. It left him with an effective 18 years imprisonment. Added together it follows that the applicant is serving a total </w:t>
      </w:r>
      <w:r w:rsidRPr="00992910">
        <w:rPr>
          <w:rFonts w:ascii="Times New Roman" w:hAnsi="Times New Roman" w:cs="Times New Roman"/>
          <w:b/>
          <w:sz w:val="24"/>
          <w:szCs w:val="24"/>
          <w:lang w:val="en-US"/>
        </w:rPr>
        <w:t>51</w:t>
      </w:r>
      <w:r>
        <w:rPr>
          <w:rFonts w:ascii="Times New Roman" w:hAnsi="Times New Roman" w:cs="Times New Roman"/>
          <w:sz w:val="24"/>
          <w:szCs w:val="24"/>
          <w:lang w:val="en-US"/>
        </w:rPr>
        <w:t xml:space="preserve"> years</w:t>
      </w:r>
      <w:r w:rsidR="00E363B4">
        <w:rPr>
          <w:rFonts w:ascii="Times New Roman" w:hAnsi="Times New Roman" w:cs="Times New Roman"/>
          <w:sz w:val="24"/>
          <w:szCs w:val="24"/>
          <w:lang w:val="en-US"/>
        </w:rPr>
        <w:t xml:space="preserve"> imprisonment. </w:t>
      </w:r>
    </w:p>
    <w:p w:rsidR="00857F11" w:rsidRDefault="00B60654" w:rsidP="00D65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his detailed reasons for sentence, the trial magistrate pointed out that the accused and his accomplices had committed robbery in aggravating circumstances, an offence which by any standard is considered very serious. He added that during the commission of the offences, the accused would dress either as police officers or as soldiers. They carried firearms and other dangerous weapons in the course of the robberies. In fact in some of the robberies the complainants were lucky to survive as the accused persons shot at them. One suffered a penetrating gunshot wound when one bullet went through his thigh and another grazed his left ear. If the bullet had gone an inch to the right, that particular complainant would in all probability have died. The acts of disguising themselves as police officers or soldiers, so the trial court added, jeopardized national security. </w:t>
      </w:r>
      <w:r w:rsidR="008D7AAD">
        <w:rPr>
          <w:rFonts w:ascii="Times New Roman" w:hAnsi="Times New Roman" w:cs="Times New Roman"/>
          <w:sz w:val="24"/>
          <w:szCs w:val="24"/>
          <w:lang w:val="en-US"/>
        </w:rPr>
        <w:t>Judging by</w:t>
      </w:r>
      <w:r w:rsidR="00857F11">
        <w:rPr>
          <w:rFonts w:ascii="Times New Roman" w:hAnsi="Times New Roman" w:cs="Times New Roman"/>
          <w:sz w:val="24"/>
          <w:szCs w:val="24"/>
          <w:lang w:val="en-US"/>
        </w:rPr>
        <w:t xml:space="preserve"> the accused persons’ modus, a lot of preplanning went into the commission of the robberies. It was primarily for those amongst other reasons that the trial magistrate justified the sentences imposed on the applicant and his accomplices in the various counts. </w:t>
      </w:r>
    </w:p>
    <w:p w:rsidR="00F37166" w:rsidRDefault="00C44538" w:rsidP="00D65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857F11">
        <w:rPr>
          <w:rFonts w:ascii="Times New Roman" w:hAnsi="Times New Roman" w:cs="Times New Roman"/>
          <w:sz w:val="24"/>
          <w:szCs w:val="24"/>
          <w:lang w:val="en-US"/>
        </w:rPr>
        <w:t xml:space="preserve">he applicant was sentenced around September 2015. He did not appeal against any of the sentences. He only sought to do so in 2022 when he filed this application for condonation of late filing of an appeal. A rough calculation of the length of time between the imposition of the sentences and the application for condonation </w:t>
      </w:r>
      <w:r>
        <w:rPr>
          <w:rFonts w:ascii="Times New Roman" w:hAnsi="Times New Roman" w:cs="Times New Roman"/>
          <w:sz w:val="24"/>
          <w:szCs w:val="24"/>
          <w:lang w:val="en-US"/>
        </w:rPr>
        <w:t xml:space="preserve">shows that the delay </w:t>
      </w:r>
      <w:r w:rsidR="00857F11">
        <w:rPr>
          <w:rFonts w:ascii="Times New Roman" w:hAnsi="Times New Roman" w:cs="Times New Roman"/>
          <w:sz w:val="24"/>
          <w:szCs w:val="24"/>
          <w:lang w:val="en-US"/>
        </w:rPr>
        <w:t xml:space="preserve">is in excess of six years. </w:t>
      </w:r>
    </w:p>
    <w:p w:rsidR="00CE0500" w:rsidRDefault="00CE0500" w:rsidP="00C4453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his application, the applicant stated the following as his reasons for the lengthy delay in filing his appeal:</w:t>
      </w:r>
    </w:p>
    <w:p w:rsidR="00CE0500" w:rsidRPr="00D65D21" w:rsidRDefault="00D65D21" w:rsidP="00CE0500">
      <w:pPr>
        <w:ind w:left="720"/>
        <w:rPr>
          <w:rFonts w:ascii="Times New Roman" w:hAnsi="Times New Roman" w:cs="Times New Roman"/>
          <w:lang w:val="en-US"/>
        </w:rPr>
      </w:pPr>
      <w:r>
        <w:rPr>
          <w:rFonts w:ascii="Times New Roman" w:hAnsi="Times New Roman" w:cs="Times New Roman"/>
          <w:lang w:val="en-US"/>
        </w:rPr>
        <w:t>“</w:t>
      </w:r>
      <w:r w:rsidR="00CE0500" w:rsidRPr="00D65D21">
        <w:rPr>
          <w:rFonts w:ascii="Times New Roman" w:hAnsi="Times New Roman" w:cs="Times New Roman"/>
          <w:lang w:val="en-US"/>
        </w:rPr>
        <w:t>I filed late my intention to appeal because, I was ignorant to appealing procedural technicalities. More so, my relatives had promised me to engage a legal practitioner on my behalf. Therefore time lapsed for the lawyer to show up. In pursuit of the record it took me some years adding to the delay since I am in custody. Wherefore late filing factors were beyond my control. Therefore I seek to be condoned for late filing of appeal against sentence only</w:t>
      </w:r>
      <w:r>
        <w:rPr>
          <w:rFonts w:ascii="Times New Roman" w:hAnsi="Times New Roman" w:cs="Times New Roman"/>
          <w:lang w:val="en-US"/>
        </w:rPr>
        <w:t>”</w:t>
      </w:r>
      <w:r w:rsidR="00CE0500" w:rsidRPr="00D65D21">
        <w:rPr>
          <w:rFonts w:ascii="Times New Roman" w:hAnsi="Times New Roman" w:cs="Times New Roman"/>
          <w:lang w:val="en-US"/>
        </w:rPr>
        <w:t>. (Sic)</w:t>
      </w:r>
    </w:p>
    <w:p w:rsidR="00CE0500" w:rsidRDefault="00CE0500" w:rsidP="00C23D3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applicant</w:t>
      </w:r>
      <w:r w:rsidR="00C44538">
        <w:rPr>
          <w:rFonts w:ascii="Times New Roman" w:hAnsi="Times New Roman" w:cs="Times New Roman"/>
          <w:sz w:val="24"/>
          <w:szCs w:val="24"/>
          <w:lang w:val="en-US"/>
        </w:rPr>
        <w:t xml:space="preserve"> attached to the application for </w:t>
      </w:r>
      <w:r>
        <w:rPr>
          <w:rFonts w:ascii="Times New Roman" w:hAnsi="Times New Roman" w:cs="Times New Roman"/>
          <w:sz w:val="24"/>
          <w:szCs w:val="24"/>
          <w:lang w:val="en-US"/>
        </w:rPr>
        <w:t>condonation, what he described as grounds of appeal against sentence. They were couched as follows:</w:t>
      </w:r>
    </w:p>
    <w:p w:rsidR="00CE0500" w:rsidRPr="00D65D21" w:rsidRDefault="00D65D21" w:rsidP="00C23D38">
      <w:pPr>
        <w:ind w:left="360"/>
        <w:jc w:val="both"/>
        <w:rPr>
          <w:rFonts w:ascii="Times New Roman" w:hAnsi="Times New Roman" w:cs="Times New Roman"/>
          <w:u w:val="single"/>
          <w:lang w:val="en-US"/>
        </w:rPr>
      </w:pPr>
      <w:r>
        <w:rPr>
          <w:rFonts w:ascii="Times New Roman" w:hAnsi="Times New Roman" w:cs="Times New Roman"/>
          <w:u w:val="single"/>
          <w:lang w:val="en-US"/>
        </w:rPr>
        <w:t>“</w:t>
      </w:r>
      <w:r w:rsidR="00CE0500" w:rsidRPr="00D65D21">
        <w:rPr>
          <w:rFonts w:ascii="Times New Roman" w:hAnsi="Times New Roman" w:cs="Times New Roman"/>
          <w:u w:val="single"/>
          <w:lang w:val="en-US"/>
        </w:rPr>
        <w:t xml:space="preserve">Ad sentence </w:t>
      </w:r>
    </w:p>
    <w:p w:rsidR="00CE0500" w:rsidRDefault="00CE0500" w:rsidP="00C23D38">
      <w:pPr>
        <w:pStyle w:val="ListParagraph"/>
        <w:numPr>
          <w:ilvl w:val="0"/>
          <w:numId w:val="1"/>
        </w:numPr>
        <w:ind w:left="1080"/>
        <w:jc w:val="both"/>
        <w:rPr>
          <w:rFonts w:ascii="Times New Roman" w:hAnsi="Times New Roman" w:cs="Times New Roman"/>
          <w:lang w:val="en-US"/>
        </w:rPr>
      </w:pPr>
      <w:r w:rsidRPr="00D65D21">
        <w:rPr>
          <w:rFonts w:ascii="Times New Roman" w:hAnsi="Times New Roman" w:cs="Times New Roman"/>
          <w:lang w:val="en-US"/>
        </w:rPr>
        <w:t xml:space="preserve">The court </w:t>
      </w:r>
      <w:r w:rsidRPr="00FA608D">
        <w:rPr>
          <w:rFonts w:ascii="Times New Roman" w:hAnsi="Times New Roman" w:cs="Times New Roman"/>
          <w:i/>
          <w:lang w:val="en-US"/>
        </w:rPr>
        <w:t>a quo</w:t>
      </w:r>
      <w:r w:rsidRPr="00D65D21">
        <w:rPr>
          <w:rFonts w:ascii="Times New Roman" w:hAnsi="Times New Roman" w:cs="Times New Roman"/>
          <w:lang w:val="en-US"/>
        </w:rPr>
        <w:t xml:space="preserve"> erred to adopt aggravation on protest the armed robbery was prevalent, it is imperative to note that plea of guilty has its </w:t>
      </w:r>
      <w:r w:rsidR="005A05B2" w:rsidRPr="00D65D21">
        <w:rPr>
          <w:rFonts w:ascii="Times New Roman" w:hAnsi="Times New Roman" w:cs="Times New Roman"/>
          <w:lang w:val="en-US"/>
        </w:rPr>
        <w:t>contribution in</w:t>
      </w:r>
      <w:r w:rsidRPr="00D65D21">
        <w:rPr>
          <w:rFonts w:ascii="Times New Roman" w:hAnsi="Times New Roman" w:cs="Times New Roman"/>
          <w:lang w:val="en-US"/>
        </w:rPr>
        <w:t xml:space="preserve"> justice of which meaningful </w:t>
      </w:r>
      <w:r w:rsidR="005A05B2" w:rsidRPr="00D65D21">
        <w:rPr>
          <w:rFonts w:ascii="Times New Roman" w:hAnsi="Times New Roman" w:cs="Times New Roman"/>
          <w:lang w:val="en-US"/>
        </w:rPr>
        <w:lastRenderedPageBreak/>
        <w:t>sentence reduction</w:t>
      </w:r>
      <w:r w:rsidRPr="00D65D21">
        <w:rPr>
          <w:rFonts w:ascii="Times New Roman" w:hAnsi="Times New Roman" w:cs="Times New Roman"/>
          <w:lang w:val="en-US"/>
        </w:rPr>
        <w:t xml:space="preserve"> was called for</w:t>
      </w:r>
      <w:r w:rsidR="005A05B2" w:rsidRPr="00D65D21">
        <w:rPr>
          <w:rFonts w:ascii="Times New Roman" w:hAnsi="Times New Roman" w:cs="Times New Roman"/>
          <w:lang w:val="en-US"/>
        </w:rPr>
        <w:t xml:space="preserve">- more so even a concurrent sentence since the stolen properties (or items) were recovered and the matter on plea sentence should have been equitable to the costs of the stolen property accounted on plea recordings. Guidance to be adopted from an appeal case;- </w:t>
      </w:r>
      <w:r w:rsidR="005A05B2" w:rsidRPr="00D65D21">
        <w:rPr>
          <w:rFonts w:ascii="Times New Roman" w:hAnsi="Times New Roman" w:cs="Times New Roman"/>
          <w:i/>
          <w:lang w:val="en-US"/>
        </w:rPr>
        <w:t xml:space="preserve">State </w:t>
      </w:r>
      <w:r w:rsidR="005A05B2" w:rsidRPr="00D65D21">
        <w:rPr>
          <w:rFonts w:ascii="Times New Roman" w:hAnsi="Times New Roman" w:cs="Times New Roman"/>
          <w:lang w:val="en-US"/>
        </w:rPr>
        <w:t>v</w:t>
      </w:r>
      <w:r w:rsidR="005A05B2" w:rsidRPr="00D65D21">
        <w:rPr>
          <w:rFonts w:ascii="Times New Roman" w:hAnsi="Times New Roman" w:cs="Times New Roman"/>
          <w:i/>
          <w:lang w:val="en-US"/>
        </w:rPr>
        <w:t xml:space="preserve"> Richard Musurudziva </w:t>
      </w:r>
      <w:r w:rsidR="005A05B2" w:rsidRPr="00D65D21">
        <w:rPr>
          <w:rFonts w:ascii="Times New Roman" w:hAnsi="Times New Roman" w:cs="Times New Roman"/>
          <w:lang w:val="en-US"/>
        </w:rPr>
        <w:t>HH 369/19</w:t>
      </w:r>
      <w:r w:rsidR="00D65D21">
        <w:rPr>
          <w:rFonts w:ascii="Times New Roman" w:hAnsi="Times New Roman" w:cs="Times New Roman"/>
          <w:lang w:val="en-US"/>
        </w:rPr>
        <w:t>”.</w:t>
      </w:r>
    </w:p>
    <w:p w:rsidR="00D65D21" w:rsidRPr="00D65D21" w:rsidRDefault="00D65D21" w:rsidP="00D65D21">
      <w:pPr>
        <w:pStyle w:val="ListParagraph"/>
        <w:ind w:left="1080"/>
        <w:jc w:val="both"/>
        <w:rPr>
          <w:rFonts w:ascii="Times New Roman" w:hAnsi="Times New Roman" w:cs="Times New Roman"/>
          <w:lang w:val="en-US"/>
        </w:rPr>
      </w:pPr>
    </w:p>
    <w:p w:rsidR="002459E7" w:rsidRDefault="005A05B2" w:rsidP="00D65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Thereafter the applicant, in the same grounds of appeal, proceeded to cite several precedents and to relate to more superfluous issues such as that his cooperation with the police should have been regarded as proof of his innocence. He add</w:t>
      </w:r>
      <w:r w:rsidR="00C44538">
        <w:rPr>
          <w:rFonts w:ascii="Times New Roman" w:hAnsi="Times New Roman" w:cs="Times New Roman"/>
          <w:sz w:val="24"/>
          <w:szCs w:val="24"/>
          <w:lang w:val="en-US"/>
        </w:rPr>
        <w:t>ed that the trial court had fallen</w:t>
      </w:r>
      <w:r>
        <w:rPr>
          <w:rFonts w:ascii="Times New Roman" w:hAnsi="Times New Roman" w:cs="Times New Roman"/>
          <w:sz w:val="24"/>
          <w:szCs w:val="24"/>
          <w:lang w:val="en-US"/>
        </w:rPr>
        <w:t xml:space="preserve"> into error by failing to explain to him the technical term special circumstances and to give him examples of such special circumstances as demanded by the law. </w:t>
      </w:r>
    </w:p>
    <w:p w:rsidR="005A05B2" w:rsidRDefault="005A05B2" w:rsidP="00D65D2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heard the application on 24 March 2022 and dismissed it soon thereafter. True to his tardiness, the applicant only requested for my written reasons for the decision many months later. Nonetheless he is entitled to them. Below are the reasons. </w:t>
      </w:r>
    </w:p>
    <w:p w:rsidR="00CE0500" w:rsidRDefault="00A9055C" w:rsidP="00C4453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23D38">
        <w:rPr>
          <w:rFonts w:ascii="Times New Roman" w:hAnsi="Times New Roman" w:cs="Times New Roman"/>
          <w:sz w:val="24"/>
          <w:szCs w:val="24"/>
          <w:lang w:val="en-US"/>
        </w:rPr>
        <w:t>starting point</w:t>
      </w:r>
      <w:r>
        <w:rPr>
          <w:rFonts w:ascii="Times New Roman" w:hAnsi="Times New Roman" w:cs="Times New Roman"/>
          <w:sz w:val="24"/>
          <w:szCs w:val="24"/>
          <w:lang w:val="en-US"/>
        </w:rPr>
        <w:t xml:space="preserve"> in applications for condo</w:t>
      </w:r>
      <w:r w:rsidR="00C44538">
        <w:rPr>
          <w:rFonts w:ascii="Times New Roman" w:hAnsi="Times New Roman" w:cs="Times New Roman"/>
          <w:sz w:val="24"/>
          <w:szCs w:val="24"/>
          <w:lang w:val="en-US"/>
        </w:rPr>
        <w:t xml:space="preserve">nation must be </w:t>
      </w:r>
      <w:r w:rsidR="00C44538" w:rsidRPr="00D65D21">
        <w:rPr>
          <w:rFonts w:ascii="Times New Roman" w:hAnsi="Times New Roman" w:cs="Times New Roman"/>
          <w:smallCaps/>
          <w:sz w:val="24"/>
          <w:szCs w:val="24"/>
          <w:lang w:val="en-US"/>
        </w:rPr>
        <w:t>M</w:t>
      </w:r>
      <w:r w:rsidR="00D65D21" w:rsidRPr="00D65D21">
        <w:rPr>
          <w:rFonts w:ascii="Times New Roman" w:hAnsi="Times New Roman" w:cs="Times New Roman"/>
          <w:smallCaps/>
          <w:sz w:val="24"/>
          <w:szCs w:val="24"/>
          <w:lang w:val="en-US"/>
        </w:rPr>
        <w:t>akoni</w:t>
      </w:r>
      <w:r w:rsidR="00C44538">
        <w:rPr>
          <w:rFonts w:ascii="Times New Roman" w:hAnsi="Times New Roman" w:cs="Times New Roman"/>
          <w:sz w:val="24"/>
          <w:szCs w:val="24"/>
          <w:lang w:val="en-US"/>
        </w:rPr>
        <w:t xml:space="preserve"> JA’s dictum</w:t>
      </w:r>
      <w:r>
        <w:rPr>
          <w:rFonts w:ascii="Times New Roman" w:hAnsi="Times New Roman" w:cs="Times New Roman"/>
          <w:sz w:val="24"/>
          <w:szCs w:val="24"/>
          <w:lang w:val="en-US"/>
        </w:rPr>
        <w:t xml:space="preserve"> in the case of </w:t>
      </w:r>
      <w:r w:rsidR="00C23D38" w:rsidRPr="00C23D38">
        <w:rPr>
          <w:rFonts w:ascii="Times New Roman" w:hAnsi="Times New Roman" w:cs="Times New Roman"/>
          <w:i/>
          <w:sz w:val="24"/>
          <w:szCs w:val="24"/>
          <w:lang w:val="en-US"/>
        </w:rPr>
        <w:t xml:space="preserve">Prosecutor General </w:t>
      </w:r>
      <w:r w:rsidR="00C23D38" w:rsidRPr="00D65D21">
        <w:rPr>
          <w:rFonts w:ascii="Times New Roman" w:hAnsi="Times New Roman" w:cs="Times New Roman"/>
          <w:sz w:val="24"/>
          <w:szCs w:val="24"/>
          <w:lang w:val="en-US"/>
        </w:rPr>
        <w:t>v</w:t>
      </w:r>
      <w:r w:rsidR="00C23D38" w:rsidRPr="00C23D38">
        <w:rPr>
          <w:rFonts w:ascii="Times New Roman" w:hAnsi="Times New Roman" w:cs="Times New Roman"/>
          <w:i/>
          <w:sz w:val="24"/>
          <w:szCs w:val="24"/>
          <w:lang w:val="en-US"/>
        </w:rPr>
        <w:t xml:space="preserve"> Job Sikhala</w:t>
      </w:r>
      <w:r w:rsidR="00C23D38">
        <w:rPr>
          <w:rFonts w:ascii="Times New Roman" w:hAnsi="Times New Roman" w:cs="Times New Roman"/>
          <w:sz w:val="24"/>
          <w:szCs w:val="24"/>
          <w:lang w:val="en-US"/>
        </w:rPr>
        <w:t xml:space="preserve"> SC 116/20 at </w:t>
      </w:r>
      <w:r w:rsidR="00FA608D">
        <w:rPr>
          <w:rFonts w:ascii="Times New Roman" w:hAnsi="Times New Roman" w:cs="Times New Roman"/>
          <w:sz w:val="24"/>
          <w:szCs w:val="24"/>
          <w:lang w:val="en-US"/>
        </w:rPr>
        <w:t>p 5 of</w:t>
      </w:r>
      <w:r w:rsidR="00C23D38">
        <w:rPr>
          <w:rFonts w:ascii="Times New Roman" w:hAnsi="Times New Roman" w:cs="Times New Roman"/>
          <w:sz w:val="24"/>
          <w:szCs w:val="24"/>
          <w:lang w:val="en-US"/>
        </w:rPr>
        <w:t xml:space="preserve"> the cyclostyled judgment where she remarked that:  </w:t>
      </w:r>
      <w:r>
        <w:rPr>
          <w:rFonts w:ascii="Times New Roman" w:hAnsi="Times New Roman" w:cs="Times New Roman"/>
          <w:sz w:val="24"/>
          <w:szCs w:val="24"/>
          <w:lang w:val="en-US"/>
        </w:rPr>
        <w:t xml:space="preserve"> </w:t>
      </w:r>
    </w:p>
    <w:p w:rsidR="00E83DE0" w:rsidRPr="00D65D21" w:rsidRDefault="00C23D38" w:rsidP="00C23D38">
      <w:pPr>
        <w:ind w:left="720"/>
        <w:jc w:val="both"/>
        <w:rPr>
          <w:rFonts w:ascii="Times New Roman" w:hAnsi="Times New Roman" w:cs="Times New Roman"/>
        </w:rPr>
      </w:pPr>
      <w:r w:rsidRPr="00D65D21">
        <w:rPr>
          <w:rFonts w:ascii="Times New Roman" w:hAnsi="Times New Roman" w:cs="Times New Roman"/>
        </w:rPr>
        <w:t>“</w:t>
      </w:r>
      <w:r w:rsidR="006A7322" w:rsidRPr="00D65D21">
        <w:rPr>
          <w:rFonts w:ascii="Times New Roman" w:hAnsi="Times New Roman" w:cs="Times New Roman"/>
        </w:rPr>
        <w:t xml:space="preserve">It is settled law that condonation is an indulgence which may be granted at the discretion of the court and is not a right obtainable on demand. See </w:t>
      </w:r>
      <w:r w:rsidR="006A7322" w:rsidRPr="00D65D21">
        <w:rPr>
          <w:rFonts w:ascii="Times New Roman" w:hAnsi="Times New Roman" w:cs="Times New Roman"/>
          <w:i/>
          <w:iCs/>
        </w:rPr>
        <w:t xml:space="preserve">Friendship </w:t>
      </w:r>
      <w:r w:rsidR="006A7322" w:rsidRPr="00D65D21">
        <w:rPr>
          <w:rFonts w:ascii="Times New Roman" w:hAnsi="Times New Roman" w:cs="Times New Roman"/>
          <w:iCs/>
        </w:rPr>
        <w:t>v</w:t>
      </w:r>
      <w:r w:rsidR="006A7322" w:rsidRPr="00D65D21">
        <w:rPr>
          <w:rFonts w:ascii="Times New Roman" w:hAnsi="Times New Roman" w:cs="Times New Roman"/>
          <w:i/>
          <w:iCs/>
        </w:rPr>
        <w:t xml:space="preserve"> Cargo Carriers Limited &amp; </w:t>
      </w:r>
      <w:r w:rsidR="006A7322" w:rsidRPr="00D65D21">
        <w:rPr>
          <w:rFonts w:ascii="Times New Roman" w:hAnsi="Times New Roman" w:cs="Times New Roman"/>
        </w:rPr>
        <w:t xml:space="preserve">Anor SC 1/13. In exercising that discretion, the court is enjoined to look at several factors cumulatively. These include the extent of the delay and the reasonableness of the explanation for the delay or non-compliance, the prospects of success on appeal, the possible prejudice to the other party, the need for finality in litigation, the importance of the case and avoidance of unnecessary delays in the administration of justice. (See </w:t>
      </w:r>
      <w:r w:rsidR="006A7322" w:rsidRPr="00D65D21">
        <w:rPr>
          <w:rFonts w:ascii="Times New Roman" w:hAnsi="Times New Roman" w:cs="Times New Roman"/>
          <w:i/>
          <w:iCs/>
        </w:rPr>
        <w:t xml:space="preserve">Read </w:t>
      </w:r>
      <w:r w:rsidR="006A7322" w:rsidRPr="00D65D21">
        <w:rPr>
          <w:rFonts w:ascii="Times New Roman" w:hAnsi="Times New Roman" w:cs="Times New Roman"/>
          <w:iCs/>
        </w:rPr>
        <w:t>v</w:t>
      </w:r>
      <w:r w:rsidR="006A7322" w:rsidRPr="00D65D21">
        <w:rPr>
          <w:rFonts w:ascii="Times New Roman" w:hAnsi="Times New Roman" w:cs="Times New Roman"/>
          <w:i/>
          <w:iCs/>
        </w:rPr>
        <w:t xml:space="preserve"> Gardiner &amp; Anor </w:t>
      </w:r>
      <w:r w:rsidR="006A7322" w:rsidRPr="00D65D21">
        <w:rPr>
          <w:rFonts w:ascii="Times New Roman" w:hAnsi="Times New Roman" w:cs="Times New Roman"/>
        </w:rPr>
        <w:t>SC 70/19)</w:t>
      </w:r>
      <w:r w:rsidRPr="00D65D21">
        <w:rPr>
          <w:rFonts w:ascii="Times New Roman" w:hAnsi="Times New Roman" w:cs="Times New Roman"/>
        </w:rPr>
        <w:t>.</w:t>
      </w:r>
      <w:r w:rsidR="006A7322" w:rsidRPr="00D65D21">
        <w:rPr>
          <w:rFonts w:ascii="Times New Roman" w:hAnsi="Times New Roman" w:cs="Times New Roman"/>
        </w:rPr>
        <w:t xml:space="preserve"> However, there are several authorities to the effect that condonation may be granted in circumstances where, although the explanation tendered is unsatisfactory, the prospects of success on appeal are good</w:t>
      </w:r>
      <w:r w:rsidR="00D65D21">
        <w:rPr>
          <w:rFonts w:ascii="Times New Roman" w:hAnsi="Times New Roman" w:cs="Times New Roman"/>
        </w:rPr>
        <w:t>”</w:t>
      </w:r>
      <w:r w:rsidR="006A7322" w:rsidRPr="00D65D21">
        <w:rPr>
          <w:rFonts w:ascii="Times New Roman" w:hAnsi="Times New Roman" w:cs="Times New Roman"/>
        </w:rPr>
        <w:t>.</w:t>
      </w:r>
    </w:p>
    <w:p w:rsidR="00C23D38" w:rsidRDefault="00C23D38" w:rsidP="00D65D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can be noted, there are several critical factors that stick out from the above pronouncement. For purposes of the present application, the crucial ones are the explanation for the delay and the prospects of success on appeal. </w:t>
      </w:r>
      <w:r w:rsidR="001F0A91">
        <w:rPr>
          <w:rFonts w:ascii="Times New Roman" w:hAnsi="Times New Roman" w:cs="Times New Roman"/>
          <w:sz w:val="24"/>
          <w:szCs w:val="24"/>
        </w:rPr>
        <w:t xml:space="preserve">I deem them crucial because their consideration is dispositive of the application. In addition they are intricately linked to each other in that, where an applicant’s prospects of success </w:t>
      </w:r>
      <w:r w:rsidR="00D83FB6">
        <w:rPr>
          <w:rFonts w:ascii="Times New Roman" w:hAnsi="Times New Roman" w:cs="Times New Roman"/>
          <w:sz w:val="24"/>
          <w:szCs w:val="24"/>
        </w:rPr>
        <w:t>on appeal are very strong, that</w:t>
      </w:r>
      <w:r w:rsidR="001F0A91">
        <w:rPr>
          <w:rFonts w:ascii="Times New Roman" w:hAnsi="Times New Roman" w:cs="Times New Roman"/>
          <w:sz w:val="24"/>
          <w:szCs w:val="24"/>
        </w:rPr>
        <w:t xml:space="preserve"> consideration may override an unsatisfactory explanation which he/she may have </w:t>
      </w:r>
      <w:r w:rsidR="00D83FB6">
        <w:rPr>
          <w:rFonts w:ascii="Times New Roman" w:hAnsi="Times New Roman" w:cs="Times New Roman"/>
          <w:sz w:val="24"/>
          <w:szCs w:val="24"/>
        </w:rPr>
        <w:t>given for the delay in noting the</w:t>
      </w:r>
      <w:r w:rsidR="001F0A91">
        <w:rPr>
          <w:rFonts w:ascii="Times New Roman" w:hAnsi="Times New Roman" w:cs="Times New Roman"/>
          <w:sz w:val="24"/>
          <w:szCs w:val="24"/>
        </w:rPr>
        <w:t xml:space="preserve"> appeal.  Put</w:t>
      </w:r>
      <w:r w:rsidR="00D83FB6">
        <w:rPr>
          <w:rFonts w:ascii="Times New Roman" w:hAnsi="Times New Roman" w:cs="Times New Roman"/>
          <w:sz w:val="24"/>
          <w:szCs w:val="24"/>
        </w:rPr>
        <w:t xml:space="preserve"> </w:t>
      </w:r>
      <w:r w:rsidR="001F0A91">
        <w:rPr>
          <w:rFonts w:ascii="Times New Roman" w:hAnsi="Times New Roman" w:cs="Times New Roman"/>
          <w:sz w:val="24"/>
          <w:szCs w:val="24"/>
        </w:rPr>
        <w:t xml:space="preserve">in another way, where an applicant advances a plausible and credible explanation for noting his/her appeal outside the prescribed timeframes such explanation may be taken as compensation for the applicant’s weak prospects of success </w:t>
      </w:r>
      <w:r w:rsidR="00D83FB6">
        <w:rPr>
          <w:rFonts w:ascii="Times New Roman" w:hAnsi="Times New Roman" w:cs="Times New Roman"/>
          <w:sz w:val="24"/>
          <w:szCs w:val="24"/>
        </w:rPr>
        <w:t xml:space="preserve">on appeal and vice versa. Critically, it must go without saying that an applicant who on one hand </w:t>
      </w:r>
      <w:r w:rsidR="00D83FB6">
        <w:rPr>
          <w:rFonts w:ascii="Times New Roman" w:hAnsi="Times New Roman" w:cs="Times New Roman"/>
          <w:sz w:val="24"/>
          <w:szCs w:val="24"/>
        </w:rPr>
        <w:lastRenderedPageBreak/>
        <w:t xml:space="preserve">proffers an unsatisfactory explanation for the delay and has on the other, poor prospects of success on appeal has a hopeless case and is simply flogging a dead horse. </w:t>
      </w:r>
    </w:p>
    <w:p w:rsidR="008B0371" w:rsidRDefault="00D83FB6" w:rsidP="00D65D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the applicant is out of time to appeal against the sentences imposed on him by more than six years. He sought to justify his delay on the basis that he was ignorant of the law </w:t>
      </w:r>
      <w:r w:rsidR="00EF05E9">
        <w:rPr>
          <w:rFonts w:ascii="Times New Roman" w:hAnsi="Times New Roman" w:cs="Times New Roman"/>
          <w:sz w:val="24"/>
          <w:szCs w:val="24"/>
        </w:rPr>
        <w:t>relating to appeals</w:t>
      </w:r>
      <w:r w:rsidR="00594385">
        <w:rPr>
          <w:rFonts w:ascii="Times New Roman" w:hAnsi="Times New Roman" w:cs="Times New Roman"/>
          <w:sz w:val="24"/>
          <w:szCs w:val="24"/>
        </w:rPr>
        <w:t xml:space="preserve">, that his relatives had promised to engage a legal practitioner for him and that it took him all these years to follow up on his records of proceedings from the court </w:t>
      </w:r>
      <w:r w:rsidR="00594385" w:rsidRPr="00D65D21">
        <w:rPr>
          <w:rFonts w:ascii="Times New Roman" w:hAnsi="Times New Roman" w:cs="Times New Roman"/>
          <w:i/>
          <w:sz w:val="24"/>
          <w:szCs w:val="24"/>
        </w:rPr>
        <w:t>a quo.</w:t>
      </w:r>
      <w:r w:rsidR="00594385">
        <w:rPr>
          <w:rFonts w:ascii="Times New Roman" w:hAnsi="Times New Roman" w:cs="Times New Roman"/>
          <w:sz w:val="24"/>
          <w:szCs w:val="24"/>
        </w:rPr>
        <w:t xml:space="preserve"> Whilst</w:t>
      </w:r>
      <w:r w:rsidR="00EF05E9">
        <w:rPr>
          <w:rFonts w:ascii="Times New Roman" w:hAnsi="Times New Roman" w:cs="Times New Roman"/>
          <w:sz w:val="24"/>
          <w:szCs w:val="24"/>
        </w:rPr>
        <w:t xml:space="preserve"> </w:t>
      </w:r>
      <w:r w:rsidR="00594385">
        <w:rPr>
          <w:rFonts w:ascii="Times New Roman" w:hAnsi="Times New Roman" w:cs="Times New Roman"/>
          <w:sz w:val="24"/>
          <w:szCs w:val="24"/>
        </w:rPr>
        <w:t>I admit that it may be difficult for a self-representing accused person to be acquainted with the procedure to appeal against an adverse decision visited upon him/her I also take judicial notice that the administrative arms of all courts in Zimbabwe have taken measures to mitigate such difficulties. In the first place, templates which can be used by such litigants are available for no payment at all prisons across the country. As shown by his papers the applicant is held at Chikurubi Maximum Prison. Many other inmates from that prison have previously taken advantage of those pre- designed forms to lodge their appeals.  It is incredible that for more than six years the applicant had not come across such forms which clearly direct inmates on what to do if they wish to appeal against either sentence or conviction or both. Secondly, magistrates and judges periodically visit all prisons to check on the welfare and other needs of prisoners. During such visits, the judicial officers accommodate questions, complaints and any grievances by the inmates. Without being their legal advisers, the officers invariably assist the inmates and in instances where they cannot, direct any inmate with a grievance to particular offices or government departments mandated to resolve any such query. It is once more inconceivable, that the applicant for all these years was so unfortunate as not to be present when visiting justices went to Chikurubi Maximun Prison. On the argument that his relatives had promised to hire a legal practitioner for him the appl</w:t>
      </w:r>
      <w:r w:rsidR="008B0371">
        <w:rPr>
          <w:rFonts w:ascii="Times New Roman" w:hAnsi="Times New Roman" w:cs="Times New Roman"/>
          <w:sz w:val="24"/>
          <w:szCs w:val="24"/>
        </w:rPr>
        <w:t xml:space="preserve">icant ought to have realised </w:t>
      </w:r>
      <w:r w:rsidR="00594385">
        <w:rPr>
          <w:rFonts w:ascii="Times New Roman" w:hAnsi="Times New Roman" w:cs="Times New Roman"/>
          <w:sz w:val="24"/>
          <w:szCs w:val="24"/>
        </w:rPr>
        <w:t xml:space="preserve">long back, that the relatives had either failed or were unwilling to assist him in that regard. </w:t>
      </w:r>
      <w:r w:rsidR="008B0371">
        <w:rPr>
          <w:rFonts w:ascii="Times New Roman" w:hAnsi="Times New Roman" w:cs="Times New Roman"/>
          <w:sz w:val="24"/>
          <w:szCs w:val="24"/>
        </w:rPr>
        <w:t xml:space="preserve">If the above arguments are lame, </w:t>
      </w:r>
      <w:r w:rsidR="00215202">
        <w:rPr>
          <w:rFonts w:ascii="Times New Roman" w:hAnsi="Times New Roman" w:cs="Times New Roman"/>
          <w:sz w:val="24"/>
          <w:szCs w:val="24"/>
        </w:rPr>
        <w:t xml:space="preserve">then </w:t>
      </w:r>
      <w:r w:rsidR="008B0371">
        <w:rPr>
          <w:rFonts w:ascii="Times New Roman" w:hAnsi="Times New Roman" w:cs="Times New Roman"/>
          <w:sz w:val="24"/>
          <w:szCs w:val="24"/>
        </w:rPr>
        <w:t xml:space="preserve">the suggestion that the applicant was failing to access the records of proceedings in his cases for six years is an outright lie. He baldly made that assertion but failed to attach a shred of evidence to back it up. Prisoners are permitted to write letters to registrars and clerks of courts demanding to be given records of proceedings. It is their entitlement. The applicant must have attached any such correspondence to back his claim. That he did not do so only serves to reinforce the untruthfulness of the claim. It is preposterous.  All in all, I am completely dissatisfied with the applicant’s purported explanation of this outrageously long delay in noting his appeal. </w:t>
      </w:r>
    </w:p>
    <w:p w:rsidR="008B0371" w:rsidRDefault="008B0371" w:rsidP="00D65D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already said, there are instances where an unsatisfactory explanation like the applicant’s in this case may be overridden by his strong prospects of success on appeal. </w:t>
      </w:r>
      <w:r w:rsidR="00E45B9C">
        <w:rPr>
          <w:rFonts w:ascii="Times New Roman" w:hAnsi="Times New Roman" w:cs="Times New Roman"/>
          <w:sz w:val="24"/>
          <w:szCs w:val="24"/>
        </w:rPr>
        <w:t>To gauge an applicant’s prospects of success</w:t>
      </w:r>
      <w:r w:rsidR="00421AA7">
        <w:rPr>
          <w:rFonts w:ascii="Times New Roman" w:hAnsi="Times New Roman" w:cs="Times New Roman"/>
          <w:sz w:val="24"/>
          <w:szCs w:val="24"/>
        </w:rPr>
        <w:t>, the court is</w:t>
      </w:r>
      <w:r w:rsidR="00E45B9C">
        <w:rPr>
          <w:rFonts w:ascii="Times New Roman" w:hAnsi="Times New Roman" w:cs="Times New Roman"/>
          <w:sz w:val="24"/>
          <w:szCs w:val="24"/>
        </w:rPr>
        <w:t xml:space="preserve"> </w:t>
      </w:r>
      <w:r w:rsidR="00421AA7">
        <w:rPr>
          <w:rFonts w:ascii="Times New Roman" w:hAnsi="Times New Roman" w:cs="Times New Roman"/>
          <w:sz w:val="24"/>
          <w:szCs w:val="24"/>
        </w:rPr>
        <w:t>necessarily required</w:t>
      </w:r>
      <w:r w:rsidR="00E45B9C">
        <w:rPr>
          <w:rFonts w:ascii="Times New Roman" w:hAnsi="Times New Roman" w:cs="Times New Roman"/>
          <w:sz w:val="24"/>
          <w:szCs w:val="24"/>
        </w:rPr>
        <w:t xml:space="preserve"> to examine his grounds of appeal. Earlier I reproduced the applicant’s purported grounds of appeal.  </w:t>
      </w:r>
      <w:r w:rsidR="00421AA7">
        <w:rPr>
          <w:rFonts w:ascii="Times New Roman" w:hAnsi="Times New Roman" w:cs="Times New Roman"/>
          <w:sz w:val="24"/>
          <w:szCs w:val="24"/>
        </w:rPr>
        <w:t xml:space="preserve">I must add now that the grounds of appeal are hopeless if they are not a nullity. </w:t>
      </w:r>
      <w:r>
        <w:rPr>
          <w:rFonts w:ascii="Times New Roman" w:hAnsi="Times New Roman" w:cs="Times New Roman"/>
          <w:sz w:val="24"/>
          <w:szCs w:val="24"/>
        </w:rPr>
        <w:t xml:space="preserve"> </w:t>
      </w:r>
      <w:r w:rsidR="00421AA7">
        <w:rPr>
          <w:rFonts w:ascii="Times New Roman" w:hAnsi="Times New Roman" w:cs="Times New Roman"/>
          <w:sz w:val="24"/>
          <w:szCs w:val="24"/>
        </w:rPr>
        <w:t>The noting of an appeal by an accused who is not legally represented against a sentence imposed by a magistrate is governed by R 103 of the High Court Rules, 2021. It states as follows:</w:t>
      </w:r>
    </w:p>
    <w:p w:rsidR="00421AA7" w:rsidRPr="00D65D21" w:rsidRDefault="00D65D21" w:rsidP="00421AA7">
      <w:pPr>
        <w:autoSpaceDE w:val="0"/>
        <w:autoSpaceDN w:val="0"/>
        <w:adjustRightInd w:val="0"/>
        <w:spacing w:after="0" w:line="240" w:lineRule="auto"/>
        <w:ind w:left="720"/>
        <w:jc w:val="both"/>
        <w:rPr>
          <w:rFonts w:ascii="Times New Roman" w:hAnsi="Times New Roman" w:cs="Times New Roman"/>
          <w:b/>
          <w:bCs/>
          <w:i/>
          <w:iCs/>
          <w:color w:val="231F20"/>
        </w:rPr>
      </w:pPr>
      <w:r>
        <w:rPr>
          <w:rFonts w:ascii="Times New Roman" w:hAnsi="Times New Roman" w:cs="Times New Roman"/>
          <w:b/>
          <w:bCs/>
          <w:i/>
          <w:iCs/>
          <w:color w:val="231F20"/>
        </w:rPr>
        <w:t>“</w:t>
      </w:r>
      <w:r w:rsidR="00421AA7" w:rsidRPr="00D65D21">
        <w:rPr>
          <w:rFonts w:ascii="Times New Roman" w:hAnsi="Times New Roman" w:cs="Times New Roman"/>
          <w:b/>
          <w:bCs/>
          <w:i/>
          <w:iCs/>
          <w:color w:val="231F20"/>
        </w:rPr>
        <w:t>103. Appeal against sentence by convicted person in person</w:t>
      </w:r>
    </w:p>
    <w:p w:rsidR="00421AA7" w:rsidRPr="00D65D21" w:rsidRDefault="00421AA7" w:rsidP="00421AA7">
      <w:pPr>
        <w:autoSpaceDE w:val="0"/>
        <w:autoSpaceDN w:val="0"/>
        <w:adjustRightInd w:val="0"/>
        <w:spacing w:after="0" w:line="240" w:lineRule="auto"/>
        <w:ind w:left="720"/>
        <w:jc w:val="both"/>
        <w:rPr>
          <w:rFonts w:ascii="Times New Roman" w:hAnsi="Times New Roman" w:cs="Times New Roman"/>
          <w:color w:val="231F20"/>
        </w:rPr>
      </w:pPr>
      <w:r w:rsidRPr="00D65D21">
        <w:rPr>
          <w:rFonts w:ascii="Times New Roman" w:hAnsi="Times New Roman" w:cs="Times New Roman"/>
          <w:color w:val="231F20"/>
        </w:rPr>
        <w:t>(1) The provisions of this rule shall apply in respect of an appeal by a person convicted and sentenced by a court who intends to appeal in person and who appeals against sentence only (hereinafter in this rule called “the appellant”).</w:t>
      </w:r>
    </w:p>
    <w:p w:rsidR="00421AA7" w:rsidRPr="00D65D21" w:rsidRDefault="00421AA7" w:rsidP="00421AA7">
      <w:pPr>
        <w:autoSpaceDE w:val="0"/>
        <w:autoSpaceDN w:val="0"/>
        <w:adjustRightInd w:val="0"/>
        <w:spacing w:after="0" w:line="240" w:lineRule="auto"/>
        <w:ind w:left="720"/>
        <w:jc w:val="both"/>
        <w:rPr>
          <w:rFonts w:ascii="Times New Roman" w:hAnsi="Times New Roman" w:cs="Times New Roman"/>
          <w:color w:val="231F20"/>
        </w:rPr>
      </w:pPr>
      <w:r w:rsidRPr="00D65D21">
        <w:rPr>
          <w:rFonts w:ascii="Times New Roman" w:hAnsi="Times New Roman" w:cs="Times New Roman"/>
          <w:color w:val="231F20"/>
        </w:rPr>
        <w:t>(2) The appellant shall, within five days of the passing of sentence, note his or her appeal by lodging with the clerk of the court a notice in septuplicate—</w:t>
      </w:r>
    </w:p>
    <w:p w:rsidR="00421AA7" w:rsidRPr="00D65D21" w:rsidRDefault="00421AA7" w:rsidP="00421AA7">
      <w:pPr>
        <w:autoSpaceDE w:val="0"/>
        <w:autoSpaceDN w:val="0"/>
        <w:adjustRightInd w:val="0"/>
        <w:spacing w:after="0" w:line="240" w:lineRule="auto"/>
        <w:ind w:left="720"/>
        <w:jc w:val="both"/>
        <w:rPr>
          <w:rFonts w:ascii="Times New Roman" w:hAnsi="Times New Roman" w:cs="Times New Roman"/>
          <w:color w:val="231F20"/>
        </w:rPr>
      </w:pPr>
      <w:r w:rsidRPr="00D65D21">
        <w:rPr>
          <w:rFonts w:ascii="Times New Roman" w:hAnsi="Times New Roman" w:cs="Times New Roman"/>
          <w:color w:val="231F20"/>
        </w:rPr>
        <w:t>(a) setting out clearly and specifically the grounds of appeal and giving for the purpose of service the address of the convicted person; and</w:t>
      </w:r>
    </w:p>
    <w:p w:rsidR="00421AA7" w:rsidRPr="00D65D21" w:rsidRDefault="00421AA7" w:rsidP="00421AA7">
      <w:pPr>
        <w:spacing w:line="360" w:lineRule="auto"/>
        <w:ind w:left="720"/>
        <w:jc w:val="both"/>
        <w:rPr>
          <w:rFonts w:ascii="Times New Roman" w:hAnsi="Times New Roman" w:cs="Times New Roman"/>
        </w:rPr>
      </w:pPr>
      <w:r w:rsidRPr="00D65D21">
        <w:rPr>
          <w:rFonts w:ascii="Times New Roman" w:hAnsi="Times New Roman" w:cs="Times New Roman"/>
          <w:color w:val="231F20"/>
        </w:rPr>
        <w:t>(b) stating that the appellant intends to prosecute the appeal in person</w:t>
      </w:r>
      <w:r w:rsidR="00D65D21">
        <w:rPr>
          <w:rFonts w:ascii="Times New Roman" w:hAnsi="Times New Roman" w:cs="Times New Roman"/>
          <w:color w:val="231F20"/>
        </w:rPr>
        <w:t>”</w:t>
      </w:r>
      <w:r w:rsidRPr="00D65D21">
        <w:rPr>
          <w:rFonts w:ascii="Times New Roman" w:hAnsi="Times New Roman" w:cs="Times New Roman"/>
          <w:color w:val="231F20"/>
        </w:rPr>
        <w:t>.</w:t>
      </w:r>
    </w:p>
    <w:p w:rsidR="00421AA7" w:rsidRDefault="00421AA7" w:rsidP="00D65D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w:t>
      </w:r>
      <w:r w:rsidR="00F93015">
        <w:rPr>
          <w:rFonts w:ascii="Times New Roman" w:hAnsi="Times New Roman" w:cs="Times New Roman"/>
          <w:sz w:val="24"/>
          <w:szCs w:val="24"/>
        </w:rPr>
        <w:t>,</w:t>
      </w:r>
      <w:r>
        <w:rPr>
          <w:rFonts w:ascii="Times New Roman" w:hAnsi="Times New Roman" w:cs="Times New Roman"/>
          <w:sz w:val="24"/>
          <w:szCs w:val="24"/>
        </w:rPr>
        <w:t xml:space="preserve"> sub rule (2) (a) is critical. The appellant must set out intelligibly, distinctly and precisely the basis of the appeal. In addition the appellant must indicate in the body of the notice of appeal and not separately that it is his intention to prosecute the appeal in person. In this application, the draft notice of appeal attached by the applicant contains two grounds of appeal which are circuitous </w:t>
      </w:r>
      <w:r w:rsidR="002F4ABC">
        <w:rPr>
          <w:rFonts w:ascii="Times New Roman" w:hAnsi="Times New Roman" w:cs="Times New Roman"/>
          <w:sz w:val="24"/>
          <w:szCs w:val="24"/>
        </w:rPr>
        <w:t xml:space="preserve">and illogical. For instance the second ground makes the allegation that the trial magistrate did not explain special circumstances to </w:t>
      </w:r>
      <w:r w:rsidR="00931FF9">
        <w:rPr>
          <w:rFonts w:ascii="Times New Roman" w:hAnsi="Times New Roman" w:cs="Times New Roman"/>
          <w:sz w:val="24"/>
          <w:szCs w:val="24"/>
        </w:rPr>
        <w:t>the applicant</w:t>
      </w:r>
      <w:r w:rsidR="002F4ABC">
        <w:rPr>
          <w:rFonts w:ascii="Times New Roman" w:hAnsi="Times New Roman" w:cs="Times New Roman"/>
          <w:sz w:val="24"/>
          <w:szCs w:val="24"/>
        </w:rPr>
        <w:t>. The offence of robbery in aggravating circumstances is created by s</w:t>
      </w:r>
      <w:r w:rsidR="00931FF9">
        <w:rPr>
          <w:rFonts w:ascii="Times New Roman" w:hAnsi="Times New Roman" w:cs="Times New Roman"/>
          <w:sz w:val="24"/>
          <w:szCs w:val="24"/>
        </w:rPr>
        <w:t xml:space="preserve"> </w:t>
      </w:r>
      <w:r w:rsidR="002F4ABC">
        <w:rPr>
          <w:rFonts w:ascii="Times New Roman" w:hAnsi="Times New Roman" w:cs="Times New Roman"/>
          <w:sz w:val="24"/>
          <w:szCs w:val="24"/>
        </w:rPr>
        <w:t xml:space="preserve">126 </w:t>
      </w:r>
      <w:r w:rsidR="00931FF9">
        <w:rPr>
          <w:rFonts w:ascii="Times New Roman" w:hAnsi="Times New Roman" w:cs="Times New Roman"/>
          <w:sz w:val="24"/>
          <w:szCs w:val="24"/>
        </w:rPr>
        <w:t xml:space="preserve">(1). The sentences imposable for the offence are specified under subsection (2) thereof. Special circumstances apply in cases where the crime attracts a minimum mandatory penalty. The offence of robbery is not one such. It becomes obvious that the applicant without giving it any thought, must have found it fashionable to attack the trial court on the unhelpful basis that special circumstances were not explained. Such an ill-conceived ground of appeal cannot breed success. It is doomed to fail. The first ground is incomprehensible. It is vague as to be meaningless. </w:t>
      </w:r>
      <w:r w:rsidR="00EA69F9">
        <w:rPr>
          <w:rFonts w:ascii="Times New Roman" w:hAnsi="Times New Roman" w:cs="Times New Roman"/>
          <w:sz w:val="24"/>
          <w:szCs w:val="24"/>
        </w:rPr>
        <w:t>It cites case authorities and incorporates mounts of irrelevant material. It flies in the face of the requirement in R 103 (2) (a) of the High Court Rules, 2021. It is fatally defect</w:t>
      </w:r>
      <w:r w:rsidR="00F93015">
        <w:rPr>
          <w:rFonts w:ascii="Times New Roman" w:hAnsi="Times New Roman" w:cs="Times New Roman"/>
          <w:sz w:val="24"/>
          <w:szCs w:val="24"/>
        </w:rPr>
        <w:t>ive and renders the grounds of appeal a complete nullity. If they are</w:t>
      </w:r>
      <w:r w:rsidR="00EA69F9">
        <w:rPr>
          <w:rFonts w:ascii="Times New Roman" w:hAnsi="Times New Roman" w:cs="Times New Roman"/>
          <w:sz w:val="24"/>
          <w:szCs w:val="24"/>
        </w:rPr>
        <w:t xml:space="preserve"> not, t</w:t>
      </w:r>
      <w:r w:rsidR="00931FF9">
        <w:rPr>
          <w:rFonts w:ascii="Times New Roman" w:hAnsi="Times New Roman" w:cs="Times New Roman"/>
          <w:sz w:val="24"/>
          <w:szCs w:val="24"/>
        </w:rPr>
        <w:t xml:space="preserve">o </w:t>
      </w:r>
      <w:r w:rsidR="00EA69F9">
        <w:rPr>
          <w:rFonts w:ascii="Times New Roman" w:hAnsi="Times New Roman" w:cs="Times New Roman"/>
          <w:sz w:val="24"/>
          <w:szCs w:val="24"/>
        </w:rPr>
        <w:t xml:space="preserve">then </w:t>
      </w:r>
      <w:r w:rsidR="00931FF9">
        <w:rPr>
          <w:rFonts w:ascii="Times New Roman" w:hAnsi="Times New Roman" w:cs="Times New Roman"/>
          <w:sz w:val="24"/>
          <w:szCs w:val="24"/>
        </w:rPr>
        <w:t xml:space="preserve">say the court erred </w:t>
      </w:r>
      <w:r w:rsidR="00931FF9" w:rsidRPr="00931FF9">
        <w:rPr>
          <w:rFonts w:ascii="Times New Roman" w:hAnsi="Times New Roman" w:cs="Times New Roman"/>
          <w:i/>
          <w:sz w:val="24"/>
          <w:szCs w:val="24"/>
        </w:rPr>
        <w:t>‘in adopting aggravation</w:t>
      </w:r>
      <w:r w:rsidR="00F93015">
        <w:rPr>
          <w:rFonts w:ascii="Times New Roman" w:hAnsi="Times New Roman" w:cs="Times New Roman"/>
          <w:i/>
          <w:sz w:val="24"/>
          <w:szCs w:val="24"/>
        </w:rPr>
        <w:t>’</w:t>
      </w:r>
      <w:r w:rsidR="00931FF9" w:rsidRPr="00931FF9">
        <w:rPr>
          <w:rFonts w:ascii="Times New Roman" w:hAnsi="Times New Roman" w:cs="Times New Roman"/>
          <w:i/>
          <w:sz w:val="24"/>
          <w:szCs w:val="24"/>
        </w:rPr>
        <w:t xml:space="preserve"> </w:t>
      </w:r>
      <w:r w:rsidR="00F93015">
        <w:rPr>
          <w:rFonts w:ascii="Times New Roman" w:hAnsi="Times New Roman" w:cs="Times New Roman"/>
          <w:sz w:val="24"/>
          <w:szCs w:val="24"/>
        </w:rPr>
        <w:t xml:space="preserve">in circumstances </w:t>
      </w:r>
      <w:r w:rsidR="00931FF9">
        <w:rPr>
          <w:rFonts w:ascii="Times New Roman" w:hAnsi="Times New Roman" w:cs="Times New Roman"/>
          <w:sz w:val="24"/>
          <w:szCs w:val="24"/>
        </w:rPr>
        <w:t xml:space="preserve">where the applicant admitted that he and his accomplices used firearms in the robberies is to contradict oneself. There is no argument from the papers that the robbery was committed in aggravating </w:t>
      </w:r>
      <w:r w:rsidR="00EA69F9">
        <w:rPr>
          <w:rFonts w:ascii="Times New Roman" w:hAnsi="Times New Roman" w:cs="Times New Roman"/>
          <w:sz w:val="24"/>
          <w:szCs w:val="24"/>
        </w:rPr>
        <w:t>circumstances</w:t>
      </w:r>
      <w:r w:rsidR="00931FF9">
        <w:rPr>
          <w:rFonts w:ascii="Times New Roman" w:hAnsi="Times New Roman" w:cs="Times New Roman"/>
          <w:sz w:val="24"/>
          <w:szCs w:val="24"/>
        </w:rPr>
        <w:t>. Based on that</w:t>
      </w:r>
      <w:r w:rsidR="00F93015">
        <w:rPr>
          <w:rFonts w:ascii="Times New Roman" w:hAnsi="Times New Roman" w:cs="Times New Roman"/>
          <w:sz w:val="24"/>
          <w:szCs w:val="24"/>
        </w:rPr>
        <w:t>,</w:t>
      </w:r>
      <w:r w:rsidR="00931FF9">
        <w:rPr>
          <w:rFonts w:ascii="Times New Roman" w:hAnsi="Times New Roman" w:cs="Times New Roman"/>
          <w:sz w:val="24"/>
          <w:szCs w:val="24"/>
        </w:rPr>
        <w:t xml:space="preserve"> the ground </w:t>
      </w:r>
      <w:r w:rsidR="00EA69F9">
        <w:rPr>
          <w:rFonts w:ascii="Times New Roman" w:hAnsi="Times New Roman" w:cs="Times New Roman"/>
          <w:sz w:val="24"/>
          <w:szCs w:val="24"/>
        </w:rPr>
        <w:t>of appeal</w:t>
      </w:r>
      <w:r w:rsidR="00F93015">
        <w:rPr>
          <w:rFonts w:ascii="Times New Roman" w:hAnsi="Times New Roman" w:cs="Times New Roman"/>
          <w:sz w:val="24"/>
          <w:szCs w:val="24"/>
        </w:rPr>
        <w:t>,</w:t>
      </w:r>
      <w:r w:rsidR="00EA69F9">
        <w:rPr>
          <w:rFonts w:ascii="Times New Roman" w:hAnsi="Times New Roman" w:cs="Times New Roman"/>
          <w:sz w:val="24"/>
          <w:szCs w:val="24"/>
        </w:rPr>
        <w:t xml:space="preserve"> if it is not fatally defective will inescapably fail. </w:t>
      </w:r>
    </w:p>
    <w:p w:rsidR="00D65D21" w:rsidRDefault="00D65D21" w:rsidP="00D83FB6">
      <w:pPr>
        <w:spacing w:line="360" w:lineRule="auto"/>
        <w:jc w:val="both"/>
        <w:rPr>
          <w:rFonts w:ascii="Times New Roman" w:hAnsi="Times New Roman" w:cs="Times New Roman"/>
          <w:b/>
          <w:sz w:val="24"/>
          <w:szCs w:val="24"/>
        </w:rPr>
      </w:pPr>
    </w:p>
    <w:p w:rsidR="00D65D21" w:rsidRDefault="00D65D21" w:rsidP="00D83FB6">
      <w:pPr>
        <w:spacing w:line="360" w:lineRule="auto"/>
        <w:jc w:val="both"/>
        <w:rPr>
          <w:rFonts w:ascii="Times New Roman" w:hAnsi="Times New Roman" w:cs="Times New Roman"/>
          <w:b/>
          <w:sz w:val="24"/>
          <w:szCs w:val="24"/>
        </w:rPr>
      </w:pPr>
    </w:p>
    <w:p w:rsidR="00EA69F9" w:rsidRDefault="00EA69F9" w:rsidP="00D83FB6">
      <w:pPr>
        <w:spacing w:line="360" w:lineRule="auto"/>
        <w:jc w:val="both"/>
        <w:rPr>
          <w:rFonts w:ascii="Times New Roman" w:hAnsi="Times New Roman" w:cs="Times New Roman"/>
          <w:b/>
          <w:sz w:val="24"/>
          <w:szCs w:val="24"/>
        </w:rPr>
      </w:pPr>
      <w:r w:rsidRPr="00EA69F9">
        <w:rPr>
          <w:rFonts w:ascii="Times New Roman" w:hAnsi="Times New Roman" w:cs="Times New Roman"/>
          <w:b/>
          <w:sz w:val="24"/>
          <w:szCs w:val="24"/>
        </w:rPr>
        <w:t>Disposition</w:t>
      </w:r>
    </w:p>
    <w:p w:rsidR="00EA69F9" w:rsidRPr="00EA69F9" w:rsidRDefault="00EA69F9" w:rsidP="00D65D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of an implausible explanation justifying a delay threatening to run into seven years and a hopeless appeal predicated on non– existent grounds is a toxic recipe for the applicant. He dismally failed to establish any of the requirements for the grant of condonation.  There is no gainsaying that the application cannot succeed. It was for those reasons that I accordingly directed that the application be dismissed. </w:t>
      </w:r>
    </w:p>
    <w:p w:rsidR="00E45B9C" w:rsidRPr="00E45B9C" w:rsidRDefault="00E45B9C" w:rsidP="00E45B9C">
      <w:pPr>
        <w:spacing w:after="0" w:line="480" w:lineRule="auto"/>
        <w:ind w:firstLine="1134"/>
        <w:jc w:val="both"/>
        <w:rPr>
          <w:rFonts w:ascii="Times New Roman" w:hAnsi="Times New Roman" w:cs="Times New Roman"/>
          <w:color w:val="FF0000"/>
          <w:sz w:val="24"/>
          <w:szCs w:val="24"/>
        </w:rPr>
      </w:pPr>
    </w:p>
    <w:sectPr w:rsidR="00E45B9C" w:rsidRPr="00E45B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3A" w:rsidRDefault="00A6583A" w:rsidP="00C8415A">
      <w:pPr>
        <w:spacing w:after="0" w:line="240" w:lineRule="auto"/>
      </w:pPr>
      <w:r>
        <w:separator/>
      </w:r>
    </w:p>
  </w:endnote>
  <w:endnote w:type="continuationSeparator" w:id="0">
    <w:p w:rsidR="00A6583A" w:rsidRDefault="00A6583A" w:rsidP="00C8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3A" w:rsidRDefault="00A6583A" w:rsidP="00C8415A">
      <w:pPr>
        <w:spacing w:after="0" w:line="240" w:lineRule="auto"/>
      </w:pPr>
      <w:r>
        <w:separator/>
      </w:r>
    </w:p>
  </w:footnote>
  <w:footnote w:type="continuationSeparator" w:id="0">
    <w:p w:rsidR="00A6583A" w:rsidRDefault="00A6583A" w:rsidP="00C8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099298"/>
      <w:docPartObj>
        <w:docPartGallery w:val="Page Numbers (Top of Page)"/>
        <w:docPartUnique/>
      </w:docPartObj>
    </w:sdtPr>
    <w:sdtEndPr>
      <w:rPr>
        <w:noProof/>
      </w:rPr>
    </w:sdtEndPr>
    <w:sdtContent>
      <w:p w:rsidR="00D65D21" w:rsidRDefault="00C8415A">
        <w:pPr>
          <w:pStyle w:val="Header"/>
          <w:jc w:val="right"/>
          <w:rPr>
            <w:noProof/>
          </w:rPr>
        </w:pPr>
        <w:r>
          <w:fldChar w:fldCharType="begin"/>
        </w:r>
        <w:r>
          <w:instrText xml:space="preserve"> PAGE   \* MERGEFORMAT </w:instrText>
        </w:r>
        <w:r>
          <w:fldChar w:fldCharType="separate"/>
        </w:r>
        <w:r w:rsidR="00362789">
          <w:rPr>
            <w:noProof/>
          </w:rPr>
          <w:t>1</w:t>
        </w:r>
        <w:r>
          <w:rPr>
            <w:noProof/>
          </w:rPr>
          <w:fldChar w:fldCharType="end"/>
        </w:r>
      </w:p>
      <w:p w:rsidR="00D65D21" w:rsidRDefault="00D65D21">
        <w:pPr>
          <w:pStyle w:val="Header"/>
          <w:jc w:val="right"/>
          <w:rPr>
            <w:noProof/>
          </w:rPr>
        </w:pPr>
        <w:r>
          <w:rPr>
            <w:noProof/>
          </w:rPr>
          <w:t>HH</w:t>
        </w:r>
        <w:r w:rsidR="00BB4948">
          <w:rPr>
            <w:noProof/>
          </w:rPr>
          <w:t xml:space="preserve"> 525-23</w:t>
        </w:r>
      </w:p>
      <w:p w:rsidR="00C8415A" w:rsidRDefault="00FC30AD">
        <w:pPr>
          <w:pStyle w:val="Header"/>
          <w:jc w:val="right"/>
        </w:pPr>
        <w:r>
          <w:rPr>
            <w:noProof/>
          </w:rPr>
          <w:t>CON 40/22</w:t>
        </w:r>
      </w:p>
    </w:sdtContent>
  </w:sdt>
  <w:p w:rsidR="00C8415A" w:rsidRDefault="00C841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E4AEF"/>
    <w:multiLevelType w:val="hybridMultilevel"/>
    <w:tmpl w:val="A89E36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4A"/>
    <w:rsid w:val="001F0A91"/>
    <w:rsid w:val="00215202"/>
    <w:rsid w:val="002276A5"/>
    <w:rsid w:val="002459E7"/>
    <w:rsid w:val="002F4ABC"/>
    <w:rsid w:val="00311290"/>
    <w:rsid w:val="00362789"/>
    <w:rsid w:val="00421AA7"/>
    <w:rsid w:val="004D3A98"/>
    <w:rsid w:val="00594385"/>
    <w:rsid w:val="005A05B2"/>
    <w:rsid w:val="006721CF"/>
    <w:rsid w:val="00690B2A"/>
    <w:rsid w:val="006A7322"/>
    <w:rsid w:val="006C12BE"/>
    <w:rsid w:val="007A3832"/>
    <w:rsid w:val="00857F11"/>
    <w:rsid w:val="00864D4A"/>
    <w:rsid w:val="008B0371"/>
    <w:rsid w:val="008D7AAD"/>
    <w:rsid w:val="0092697A"/>
    <w:rsid w:val="00931FF9"/>
    <w:rsid w:val="00992910"/>
    <w:rsid w:val="00A6583A"/>
    <w:rsid w:val="00A9055C"/>
    <w:rsid w:val="00B60654"/>
    <w:rsid w:val="00BA288E"/>
    <w:rsid w:val="00BB4948"/>
    <w:rsid w:val="00C23D38"/>
    <w:rsid w:val="00C44538"/>
    <w:rsid w:val="00C8415A"/>
    <w:rsid w:val="00CA220A"/>
    <w:rsid w:val="00CE0500"/>
    <w:rsid w:val="00D51E83"/>
    <w:rsid w:val="00D65D21"/>
    <w:rsid w:val="00D83FB6"/>
    <w:rsid w:val="00DA1CA0"/>
    <w:rsid w:val="00E363B4"/>
    <w:rsid w:val="00E45B9C"/>
    <w:rsid w:val="00E83DE0"/>
    <w:rsid w:val="00EA69F9"/>
    <w:rsid w:val="00EF05E9"/>
    <w:rsid w:val="00F12395"/>
    <w:rsid w:val="00F37166"/>
    <w:rsid w:val="00F93015"/>
    <w:rsid w:val="00FA608D"/>
    <w:rsid w:val="00FC30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16F11-B56E-4E56-98E2-DC23CFA3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00"/>
    <w:pPr>
      <w:ind w:left="720"/>
      <w:contextualSpacing/>
    </w:pPr>
  </w:style>
  <w:style w:type="paragraph" w:styleId="Header">
    <w:name w:val="header"/>
    <w:basedOn w:val="Normal"/>
    <w:link w:val="HeaderChar"/>
    <w:uiPriority w:val="99"/>
    <w:unhideWhenUsed/>
    <w:rsid w:val="00C84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5A"/>
  </w:style>
  <w:style w:type="paragraph" w:styleId="Footer">
    <w:name w:val="footer"/>
    <w:basedOn w:val="Normal"/>
    <w:link w:val="FooterChar"/>
    <w:uiPriority w:val="99"/>
    <w:unhideWhenUsed/>
    <w:rsid w:val="00C84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5A"/>
  </w:style>
  <w:style w:type="paragraph" w:styleId="BalloonText">
    <w:name w:val="Balloon Text"/>
    <w:basedOn w:val="Normal"/>
    <w:link w:val="BalloonTextChar"/>
    <w:uiPriority w:val="99"/>
    <w:semiHidden/>
    <w:unhideWhenUsed/>
    <w:rsid w:val="00BA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2023-08-15T04:23:00Z</cp:lastPrinted>
  <dcterms:created xsi:type="dcterms:W3CDTF">2023-09-15T08:52:00Z</dcterms:created>
  <dcterms:modified xsi:type="dcterms:W3CDTF">2023-09-15T08:52:00Z</dcterms:modified>
</cp:coreProperties>
</file>