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49" w:rsidRDefault="00A22E56" w:rsidP="00E553CC">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A15100">
        <w:rPr>
          <w:rFonts w:asciiTheme="majorHAnsi" w:hAnsiTheme="majorHAnsi"/>
          <w:b/>
          <w:sz w:val="24"/>
          <w:szCs w:val="24"/>
        </w:rPr>
        <w:t>706</w:t>
      </w:r>
      <w:bookmarkStart w:id="0" w:name="_GoBack"/>
      <w:bookmarkEnd w:id="0"/>
      <w:r>
        <w:rPr>
          <w:rFonts w:asciiTheme="majorHAnsi" w:hAnsiTheme="majorHAnsi"/>
          <w:b/>
          <w:sz w:val="24"/>
          <w:szCs w:val="24"/>
        </w:rPr>
        <w:t>/16</w:t>
      </w: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HELD AT HARARE 8 JULY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LC/H/LRA/53/16</w:t>
      </w: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&amp; 4 NOVEMBER 2016</w:t>
      </w:r>
    </w:p>
    <w:p w:rsidR="00A22E56" w:rsidRDefault="00A22E56" w:rsidP="00E553CC">
      <w:pPr>
        <w:spacing w:line="360" w:lineRule="auto"/>
        <w:jc w:val="both"/>
        <w:rPr>
          <w:rFonts w:asciiTheme="majorHAnsi" w:hAnsiTheme="majorHAnsi"/>
          <w:sz w:val="24"/>
          <w:szCs w:val="24"/>
        </w:rPr>
      </w:pPr>
      <w:r>
        <w:rPr>
          <w:rFonts w:asciiTheme="majorHAnsi" w:hAnsiTheme="majorHAnsi"/>
          <w:sz w:val="24"/>
          <w:szCs w:val="24"/>
        </w:rPr>
        <w:t>In the matter between:</w:t>
      </w: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MERCY DARE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And</w:t>
      </w: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FARM &amp; CITY CENTRE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A22E56" w:rsidRDefault="00A22E56" w:rsidP="00E553CC">
      <w:pPr>
        <w:spacing w:line="360" w:lineRule="auto"/>
        <w:jc w:val="both"/>
        <w:rPr>
          <w:rFonts w:asciiTheme="majorHAnsi" w:hAnsiTheme="majorHAnsi"/>
          <w:sz w:val="24"/>
          <w:szCs w:val="24"/>
        </w:rPr>
      </w:pPr>
      <w:r>
        <w:rPr>
          <w:rFonts w:asciiTheme="majorHAnsi" w:hAnsiTheme="majorHAnsi"/>
          <w:sz w:val="24"/>
          <w:szCs w:val="24"/>
        </w:rPr>
        <w:t xml:space="preserve">Before The </w:t>
      </w:r>
      <w:proofErr w:type="spellStart"/>
      <w:r>
        <w:rPr>
          <w:rFonts w:asciiTheme="majorHAnsi" w:hAnsiTheme="majorHAnsi"/>
          <w:sz w:val="24"/>
          <w:szCs w:val="24"/>
        </w:rPr>
        <w:t>Honourable</w:t>
      </w:r>
      <w:r w:rsidR="007D4D91">
        <w:rPr>
          <w:rFonts w:asciiTheme="majorHAnsi" w:hAnsiTheme="majorHAnsi"/>
          <w:sz w:val="24"/>
          <w:szCs w:val="24"/>
        </w:rPr>
        <w:t>s</w:t>
      </w:r>
      <w:proofErr w:type="spellEnd"/>
      <w:r w:rsidR="007D4D91">
        <w:rPr>
          <w:rFonts w:asciiTheme="majorHAnsi" w:hAnsiTheme="majorHAnsi"/>
          <w:sz w:val="24"/>
          <w:szCs w:val="24"/>
        </w:rPr>
        <w:t xml:space="preserve"> </w:t>
      </w:r>
      <w:proofErr w:type="spellStart"/>
      <w:r w:rsidR="007D4D91">
        <w:rPr>
          <w:rFonts w:asciiTheme="majorHAnsi" w:hAnsiTheme="majorHAnsi"/>
          <w:sz w:val="24"/>
          <w:szCs w:val="24"/>
        </w:rPr>
        <w:t>Makamure</w:t>
      </w:r>
      <w:proofErr w:type="spellEnd"/>
      <w:r w:rsidR="007D4D91">
        <w:rPr>
          <w:rFonts w:asciiTheme="majorHAnsi" w:hAnsiTheme="majorHAnsi"/>
          <w:sz w:val="24"/>
          <w:szCs w:val="24"/>
        </w:rPr>
        <w:t xml:space="preserve"> &amp;</w:t>
      </w:r>
      <w:r>
        <w:rPr>
          <w:rFonts w:asciiTheme="majorHAnsi" w:hAnsiTheme="majorHAnsi"/>
          <w:sz w:val="24"/>
          <w:szCs w:val="24"/>
        </w:rPr>
        <w:t xml:space="preserve"> </w:t>
      </w:r>
      <w:proofErr w:type="spellStart"/>
      <w:r>
        <w:rPr>
          <w:rFonts w:asciiTheme="majorHAnsi" w:hAnsiTheme="majorHAnsi"/>
          <w:sz w:val="24"/>
          <w:szCs w:val="24"/>
        </w:rPr>
        <w:t>Muchawa</w:t>
      </w:r>
      <w:proofErr w:type="spellEnd"/>
      <w:r>
        <w:rPr>
          <w:rFonts w:asciiTheme="majorHAnsi" w:hAnsiTheme="majorHAnsi"/>
          <w:sz w:val="24"/>
          <w:szCs w:val="24"/>
        </w:rPr>
        <w:t>, J</w:t>
      </w:r>
      <w:r w:rsidR="007D4D91">
        <w:rPr>
          <w:rFonts w:asciiTheme="majorHAnsi" w:hAnsiTheme="majorHAnsi"/>
          <w:sz w:val="24"/>
          <w:szCs w:val="24"/>
        </w:rPr>
        <w:t>J</w:t>
      </w: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Applicant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In person</w:t>
      </w: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Mrs T </w:t>
      </w:r>
      <w:proofErr w:type="spellStart"/>
      <w:r>
        <w:rPr>
          <w:rFonts w:asciiTheme="majorHAnsi" w:hAnsiTheme="majorHAnsi"/>
          <w:b/>
          <w:sz w:val="24"/>
          <w:szCs w:val="24"/>
        </w:rPr>
        <w:t>Manjonjo</w:t>
      </w:r>
      <w:proofErr w:type="spellEnd"/>
      <w:r>
        <w:rPr>
          <w:rFonts w:asciiTheme="majorHAnsi" w:hAnsiTheme="majorHAnsi"/>
          <w:b/>
          <w:sz w:val="24"/>
          <w:szCs w:val="24"/>
        </w:rPr>
        <w:t xml:space="preserve"> (Legal Practitioner)</w:t>
      </w:r>
    </w:p>
    <w:p w:rsidR="00A22E56" w:rsidRDefault="00A22E56" w:rsidP="00E553CC">
      <w:pPr>
        <w:spacing w:line="360" w:lineRule="auto"/>
        <w:jc w:val="both"/>
        <w:rPr>
          <w:rFonts w:asciiTheme="majorHAnsi" w:hAnsiTheme="majorHAnsi"/>
          <w:b/>
          <w:sz w:val="24"/>
          <w:szCs w:val="24"/>
        </w:rPr>
      </w:pPr>
    </w:p>
    <w:p w:rsidR="00A22E56" w:rsidRDefault="00A22E56" w:rsidP="00E553CC">
      <w:pPr>
        <w:spacing w:line="360" w:lineRule="auto"/>
        <w:jc w:val="both"/>
        <w:rPr>
          <w:rFonts w:asciiTheme="majorHAnsi" w:hAnsiTheme="majorHAnsi"/>
          <w:b/>
          <w:sz w:val="24"/>
          <w:szCs w:val="24"/>
        </w:rPr>
      </w:pPr>
      <w:r>
        <w:rPr>
          <w:rFonts w:asciiTheme="majorHAnsi" w:hAnsiTheme="majorHAnsi"/>
          <w:b/>
          <w:sz w:val="24"/>
          <w:szCs w:val="24"/>
        </w:rPr>
        <w:t>MUCHAWA J:</w:t>
      </w:r>
    </w:p>
    <w:p w:rsidR="00A22E56" w:rsidRDefault="00A22E56" w:rsidP="00E553CC">
      <w:pPr>
        <w:spacing w:line="360" w:lineRule="auto"/>
        <w:jc w:val="both"/>
        <w:rPr>
          <w:rFonts w:asciiTheme="majorHAnsi" w:hAnsiTheme="majorHAnsi"/>
          <w:sz w:val="24"/>
          <w:szCs w:val="24"/>
        </w:rPr>
      </w:pPr>
      <w:r>
        <w:rPr>
          <w:rFonts w:asciiTheme="majorHAnsi" w:hAnsiTheme="majorHAnsi"/>
          <w:b/>
          <w:sz w:val="24"/>
          <w:szCs w:val="24"/>
        </w:rPr>
        <w:tab/>
      </w:r>
      <w:r w:rsidR="00E553CC">
        <w:rPr>
          <w:rFonts w:asciiTheme="majorHAnsi" w:hAnsiTheme="majorHAnsi"/>
          <w:sz w:val="24"/>
          <w:szCs w:val="24"/>
        </w:rPr>
        <w:t xml:space="preserve">This matter came before </w:t>
      </w:r>
      <w:r w:rsidR="007D4D91">
        <w:rPr>
          <w:rFonts w:asciiTheme="majorHAnsi" w:hAnsiTheme="majorHAnsi"/>
          <w:sz w:val="24"/>
          <w:szCs w:val="24"/>
        </w:rPr>
        <w:t>us</w:t>
      </w:r>
      <w:r w:rsidR="00E553CC">
        <w:rPr>
          <w:rFonts w:asciiTheme="majorHAnsi" w:hAnsiTheme="majorHAnsi"/>
          <w:sz w:val="24"/>
          <w:szCs w:val="24"/>
        </w:rPr>
        <w:t xml:space="preserve"> as an application made in terms of s</w:t>
      </w:r>
      <w:r w:rsidR="00553A3B">
        <w:rPr>
          <w:rFonts w:asciiTheme="majorHAnsi" w:hAnsiTheme="majorHAnsi"/>
          <w:sz w:val="24"/>
          <w:szCs w:val="24"/>
        </w:rPr>
        <w:t xml:space="preserve">ection 93 (5a) and (5b) of the </w:t>
      </w:r>
      <w:r w:rsidR="00E553CC">
        <w:rPr>
          <w:rFonts w:asciiTheme="majorHAnsi" w:hAnsiTheme="majorHAnsi"/>
          <w:sz w:val="24"/>
          <w:szCs w:val="24"/>
        </w:rPr>
        <w:t>Labour Act [Chapter 28:01], as amended.  An order confirming the ruling of the applicant was sought.</w:t>
      </w:r>
    </w:p>
    <w:p w:rsidR="00E553CC" w:rsidRDefault="00E553CC" w:rsidP="00E553CC">
      <w:pPr>
        <w:spacing w:line="360" w:lineRule="auto"/>
        <w:jc w:val="both"/>
        <w:rPr>
          <w:rFonts w:asciiTheme="majorHAnsi" w:hAnsiTheme="majorHAnsi"/>
          <w:sz w:val="24"/>
          <w:szCs w:val="24"/>
        </w:rPr>
      </w:pPr>
      <w:r>
        <w:rPr>
          <w:rFonts w:asciiTheme="majorHAnsi" w:hAnsiTheme="majorHAnsi"/>
          <w:sz w:val="24"/>
          <w:szCs w:val="24"/>
        </w:rPr>
        <w:tab/>
        <w:t>The respondent opposed this application and filed a counter application seeking a referral of certain matters to the Constitutional Court.</w:t>
      </w:r>
    </w:p>
    <w:p w:rsidR="00E553CC" w:rsidRDefault="00E553CC" w:rsidP="00553A3B">
      <w:pPr>
        <w:spacing w:line="360" w:lineRule="auto"/>
        <w:rPr>
          <w:rFonts w:asciiTheme="majorHAnsi" w:hAnsiTheme="majorHAnsi"/>
          <w:sz w:val="24"/>
          <w:szCs w:val="24"/>
        </w:rPr>
      </w:pPr>
      <w:r>
        <w:rPr>
          <w:rFonts w:asciiTheme="majorHAnsi" w:hAnsiTheme="majorHAnsi"/>
          <w:sz w:val="24"/>
          <w:szCs w:val="24"/>
        </w:rPr>
        <w:tab/>
      </w:r>
      <w:r w:rsidR="00553A3B">
        <w:rPr>
          <w:rFonts w:asciiTheme="majorHAnsi" w:hAnsiTheme="majorHAnsi"/>
          <w:sz w:val="24"/>
          <w:szCs w:val="24"/>
        </w:rPr>
        <w:t xml:space="preserve">The applicant is a labour officer who presided over a labour dispute pitting the respondent against two former employees, one Isabella </w:t>
      </w:r>
      <w:proofErr w:type="spellStart"/>
      <w:r w:rsidR="00553A3B">
        <w:rPr>
          <w:rFonts w:asciiTheme="majorHAnsi" w:hAnsiTheme="majorHAnsi"/>
          <w:sz w:val="24"/>
          <w:szCs w:val="24"/>
        </w:rPr>
        <w:t>Rutsito</w:t>
      </w:r>
      <w:proofErr w:type="spellEnd"/>
      <w:r w:rsidR="00553A3B">
        <w:rPr>
          <w:rFonts w:asciiTheme="majorHAnsi" w:hAnsiTheme="majorHAnsi"/>
          <w:sz w:val="24"/>
          <w:szCs w:val="24"/>
        </w:rPr>
        <w:t xml:space="preserve"> and Leo </w:t>
      </w:r>
      <w:proofErr w:type="spellStart"/>
      <w:r w:rsidR="00553A3B">
        <w:rPr>
          <w:rFonts w:asciiTheme="majorHAnsi" w:hAnsiTheme="majorHAnsi"/>
          <w:sz w:val="24"/>
          <w:szCs w:val="24"/>
        </w:rPr>
        <w:t>Shuro</w:t>
      </w:r>
      <w:proofErr w:type="spellEnd"/>
      <w:r w:rsidR="00553A3B">
        <w:rPr>
          <w:rFonts w:asciiTheme="majorHAnsi" w:hAnsiTheme="majorHAnsi"/>
          <w:sz w:val="24"/>
          <w:szCs w:val="24"/>
        </w:rPr>
        <w:t xml:space="preserve"> (the claimants).</w:t>
      </w:r>
    </w:p>
    <w:p w:rsidR="00553A3B" w:rsidRDefault="00553A3B" w:rsidP="00553A3B">
      <w:pPr>
        <w:spacing w:line="360" w:lineRule="auto"/>
        <w:rPr>
          <w:rFonts w:asciiTheme="majorHAnsi" w:hAnsiTheme="majorHAnsi"/>
          <w:sz w:val="24"/>
          <w:szCs w:val="24"/>
        </w:rPr>
      </w:pPr>
      <w:r>
        <w:rPr>
          <w:rFonts w:asciiTheme="majorHAnsi" w:hAnsiTheme="majorHAnsi"/>
          <w:sz w:val="24"/>
          <w:szCs w:val="24"/>
        </w:rPr>
        <w:tab/>
        <w:t xml:space="preserve">The claimants were employed by the respondent at different times in </w:t>
      </w:r>
      <w:proofErr w:type="gramStart"/>
      <w:r>
        <w:rPr>
          <w:rFonts w:asciiTheme="majorHAnsi" w:hAnsiTheme="majorHAnsi"/>
          <w:sz w:val="24"/>
          <w:szCs w:val="24"/>
        </w:rPr>
        <w:t>divers</w:t>
      </w:r>
      <w:proofErr w:type="gramEnd"/>
      <w:r>
        <w:rPr>
          <w:rFonts w:asciiTheme="majorHAnsi" w:hAnsiTheme="majorHAnsi"/>
          <w:sz w:val="24"/>
          <w:szCs w:val="24"/>
        </w:rPr>
        <w:t xml:space="preserve"> capacities.  Both contracts of employment were terminated on notice, on 2 July 2015 a</w:t>
      </w:r>
      <w:r w:rsidR="007D4D91">
        <w:rPr>
          <w:rFonts w:asciiTheme="majorHAnsi" w:hAnsiTheme="majorHAnsi"/>
          <w:sz w:val="24"/>
          <w:szCs w:val="24"/>
        </w:rPr>
        <w:t>t</w:t>
      </w:r>
      <w:r>
        <w:rPr>
          <w:rFonts w:asciiTheme="majorHAnsi" w:hAnsiTheme="majorHAnsi"/>
          <w:sz w:val="24"/>
          <w:szCs w:val="24"/>
        </w:rPr>
        <w:t xml:space="preserve"> which point M </w:t>
      </w:r>
      <w:proofErr w:type="spellStart"/>
      <w:r>
        <w:rPr>
          <w:rFonts w:asciiTheme="majorHAnsi" w:hAnsiTheme="majorHAnsi"/>
          <w:sz w:val="24"/>
          <w:szCs w:val="24"/>
        </w:rPr>
        <w:t>Rutsito</w:t>
      </w:r>
      <w:proofErr w:type="spellEnd"/>
      <w:r>
        <w:rPr>
          <w:rFonts w:asciiTheme="majorHAnsi" w:hAnsiTheme="majorHAnsi"/>
          <w:sz w:val="24"/>
          <w:szCs w:val="24"/>
        </w:rPr>
        <w:t xml:space="preserve"> had served for 14 years whilst Mr </w:t>
      </w:r>
      <w:proofErr w:type="spellStart"/>
      <w:r>
        <w:rPr>
          <w:rFonts w:asciiTheme="majorHAnsi" w:hAnsiTheme="majorHAnsi"/>
          <w:sz w:val="24"/>
          <w:szCs w:val="24"/>
        </w:rPr>
        <w:t>Shuro</w:t>
      </w:r>
      <w:proofErr w:type="spellEnd"/>
      <w:r>
        <w:rPr>
          <w:rFonts w:asciiTheme="majorHAnsi" w:hAnsiTheme="majorHAnsi"/>
          <w:sz w:val="24"/>
          <w:szCs w:val="24"/>
        </w:rPr>
        <w:t xml:space="preserve"> had served for 26 years.  The claimants were claiming payment of compensation for loss of employment in terms of section 12 (4b) of the Labour Act as amended.</w:t>
      </w:r>
    </w:p>
    <w:p w:rsidR="00553A3B" w:rsidRDefault="00553A3B" w:rsidP="00553A3B">
      <w:pPr>
        <w:spacing w:line="360" w:lineRule="auto"/>
        <w:rPr>
          <w:rFonts w:asciiTheme="majorHAnsi" w:hAnsiTheme="majorHAnsi"/>
          <w:sz w:val="24"/>
          <w:szCs w:val="24"/>
        </w:rPr>
      </w:pPr>
      <w:r>
        <w:rPr>
          <w:rFonts w:asciiTheme="majorHAnsi" w:hAnsiTheme="majorHAnsi"/>
          <w:sz w:val="24"/>
          <w:szCs w:val="24"/>
        </w:rPr>
        <w:lastRenderedPageBreak/>
        <w:tab/>
        <w:t>Even though the respondent opposed the claim for payment, the applicant found that the claimants were entitled to compensation for loss of employment and ordered that they be paid $2 149 and $4 966 respectively.</w:t>
      </w:r>
    </w:p>
    <w:p w:rsidR="00553A3B" w:rsidRDefault="00553A3B" w:rsidP="00553A3B">
      <w:pPr>
        <w:spacing w:line="360" w:lineRule="auto"/>
        <w:rPr>
          <w:rFonts w:asciiTheme="majorHAnsi" w:hAnsiTheme="majorHAnsi"/>
          <w:sz w:val="24"/>
          <w:szCs w:val="24"/>
          <w:u w:val="single"/>
        </w:rPr>
      </w:pPr>
      <w:r>
        <w:rPr>
          <w:rFonts w:asciiTheme="majorHAnsi" w:hAnsiTheme="majorHAnsi"/>
          <w:sz w:val="24"/>
          <w:szCs w:val="24"/>
          <w:u w:val="single"/>
        </w:rPr>
        <w:t>Application for confirmation</w:t>
      </w:r>
    </w:p>
    <w:p w:rsidR="00553A3B" w:rsidRDefault="00553A3B" w:rsidP="00553A3B">
      <w:pPr>
        <w:spacing w:line="360" w:lineRule="auto"/>
        <w:rPr>
          <w:rFonts w:asciiTheme="majorHAnsi" w:hAnsiTheme="majorHAnsi"/>
          <w:sz w:val="24"/>
          <w:szCs w:val="24"/>
        </w:rPr>
      </w:pPr>
      <w:r>
        <w:rPr>
          <w:rFonts w:asciiTheme="majorHAnsi" w:hAnsiTheme="majorHAnsi"/>
          <w:sz w:val="24"/>
          <w:szCs w:val="24"/>
        </w:rPr>
        <w:tab/>
        <w:t>In the application for confirmation, the applicant moved the court to confirm her ruling as she had awarded the claims based on the provisions in section 12 (4a) and (4b) which state that no</w:t>
      </w:r>
      <w:r w:rsidR="007D4D91">
        <w:rPr>
          <w:rFonts w:asciiTheme="majorHAnsi" w:hAnsiTheme="majorHAnsi"/>
          <w:sz w:val="24"/>
          <w:szCs w:val="24"/>
        </w:rPr>
        <w:t>t</w:t>
      </w:r>
      <w:r>
        <w:rPr>
          <w:rFonts w:asciiTheme="majorHAnsi" w:hAnsiTheme="majorHAnsi"/>
          <w:sz w:val="24"/>
          <w:szCs w:val="24"/>
        </w:rPr>
        <w:t xml:space="preserve"> employer shall terminate a contract of employment on notice unless certain conditions are met and where such notice is given under subsection (4a) then the provisions in section 12 C relating to a minimum retrenchment package would apply.</w:t>
      </w:r>
    </w:p>
    <w:p w:rsidR="00553A3B" w:rsidRDefault="00553A3B" w:rsidP="00553A3B">
      <w:pPr>
        <w:spacing w:line="360" w:lineRule="auto"/>
        <w:rPr>
          <w:rFonts w:asciiTheme="majorHAnsi" w:hAnsiTheme="majorHAnsi"/>
          <w:sz w:val="24"/>
          <w:szCs w:val="24"/>
        </w:rPr>
      </w:pPr>
      <w:r>
        <w:rPr>
          <w:rFonts w:asciiTheme="majorHAnsi" w:hAnsiTheme="majorHAnsi"/>
          <w:sz w:val="24"/>
          <w:szCs w:val="24"/>
        </w:rPr>
        <w:tab/>
        <w:t xml:space="preserve">The respondent’s Mrs </w:t>
      </w:r>
      <w:proofErr w:type="spellStart"/>
      <w:r>
        <w:rPr>
          <w:rFonts w:asciiTheme="majorHAnsi" w:hAnsiTheme="majorHAnsi"/>
          <w:sz w:val="24"/>
          <w:szCs w:val="24"/>
        </w:rPr>
        <w:t>Manjonjo</w:t>
      </w:r>
      <w:proofErr w:type="spellEnd"/>
      <w:r>
        <w:rPr>
          <w:rFonts w:asciiTheme="majorHAnsi" w:hAnsiTheme="majorHAnsi"/>
          <w:sz w:val="24"/>
          <w:szCs w:val="24"/>
        </w:rPr>
        <w:t xml:space="preserve"> submitted that the ruling by the labour officer was wrongly made and should not be confirmed because though a constitutional issue was raised before her, the applicant refrained from pronouncing a ruling on it.  The stance taken by the applicant of no</w:t>
      </w:r>
      <w:r w:rsidR="00D33A5F">
        <w:rPr>
          <w:rFonts w:asciiTheme="majorHAnsi" w:hAnsiTheme="majorHAnsi"/>
          <w:sz w:val="24"/>
          <w:szCs w:val="24"/>
        </w:rPr>
        <w:t>t</w:t>
      </w:r>
      <w:r>
        <w:rPr>
          <w:rFonts w:asciiTheme="majorHAnsi" w:hAnsiTheme="majorHAnsi"/>
          <w:sz w:val="24"/>
          <w:szCs w:val="24"/>
        </w:rPr>
        <w:t xml:space="preserve"> ruling on the constitutional issue is sa</w:t>
      </w:r>
      <w:r w:rsidR="007D4D91">
        <w:rPr>
          <w:rFonts w:asciiTheme="majorHAnsi" w:hAnsiTheme="majorHAnsi"/>
          <w:sz w:val="24"/>
          <w:szCs w:val="24"/>
        </w:rPr>
        <w:t>id to be correct but proceeding</w:t>
      </w:r>
      <w:r>
        <w:rPr>
          <w:rFonts w:asciiTheme="majorHAnsi" w:hAnsiTheme="majorHAnsi"/>
          <w:sz w:val="24"/>
          <w:szCs w:val="24"/>
        </w:rPr>
        <w:t xml:space="preserve"> to then order that respondent pays the minimum retrenchment package is what respondent</w:t>
      </w:r>
      <w:r w:rsidR="003F4089">
        <w:rPr>
          <w:rFonts w:asciiTheme="majorHAnsi" w:hAnsiTheme="majorHAnsi"/>
          <w:sz w:val="24"/>
          <w:szCs w:val="24"/>
        </w:rPr>
        <w:t xml:space="preserve"> takes issues with.  It is averred that the correct position is that the application for confirmation be held in abeyance pending the decision of the</w:t>
      </w:r>
      <w:r w:rsidR="007D4D91">
        <w:rPr>
          <w:rFonts w:asciiTheme="majorHAnsi" w:hAnsiTheme="majorHAnsi"/>
          <w:sz w:val="24"/>
          <w:szCs w:val="24"/>
        </w:rPr>
        <w:t xml:space="preserve"> Constitution</w:t>
      </w:r>
      <w:r w:rsidR="00D33A5F">
        <w:rPr>
          <w:rFonts w:asciiTheme="majorHAnsi" w:hAnsiTheme="majorHAnsi"/>
          <w:sz w:val="24"/>
          <w:szCs w:val="24"/>
        </w:rPr>
        <w:t>al</w:t>
      </w:r>
      <w:r w:rsidR="007D4D91">
        <w:rPr>
          <w:rFonts w:asciiTheme="majorHAnsi" w:hAnsiTheme="majorHAnsi"/>
          <w:sz w:val="24"/>
          <w:szCs w:val="24"/>
        </w:rPr>
        <w:t xml:space="preserve"> Court on the issues </w:t>
      </w:r>
      <w:r w:rsidR="003F4089">
        <w:rPr>
          <w:rFonts w:asciiTheme="majorHAnsi" w:hAnsiTheme="majorHAnsi"/>
          <w:sz w:val="24"/>
          <w:szCs w:val="24"/>
        </w:rPr>
        <w:t>sought to be referred to it in the counter application.</w:t>
      </w:r>
    </w:p>
    <w:p w:rsidR="00D33A5F" w:rsidRPr="00D33A5F" w:rsidRDefault="00D33A5F" w:rsidP="00553A3B">
      <w:pPr>
        <w:spacing w:line="360" w:lineRule="auto"/>
        <w:rPr>
          <w:rFonts w:asciiTheme="majorHAnsi" w:hAnsiTheme="majorHAnsi"/>
          <w:sz w:val="24"/>
          <w:szCs w:val="24"/>
          <w:u w:val="single"/>
        </w:rPr>
      </w:pPr>
      <w:r w:rsidRPr="00D33A5F">
        <w:rPr>
          <w:rFonts w:asciiTheme="majorHAnsi" w:hAnsiTheme="majorHAnsi"/>
          <w:sz w:val="24"/>
          <w:szCs w:val="24"/>
          <w:u w:val="single"/>
        </w:rPr>
        <w:t>The Counter Application</w:t>
      </w:r>
    </w:p>
    <w:p w:rsidR="003F4089" w:rsidRDefault="007D4D91" w:rsidP="003F4089">
      <w:pPr>
        <w:spacing w:line="360" w:lineRule="auto"/>
        <w:ind w:firstLine="720"/>
        <w:rPr>
          <w:rFonts w:asciiTheme="majorHAnsi" w:hAnsiTheme="majorHAnsi"/>
          <w:sz w:val="24"/>
          <w:szCs w:val="24"/>
        </w:rPr>
      </w:pPr>
      <w:r>
        <w:rPr>
          <w:rFonts w:asciiTheme="majorHAnsi" w:hAnsiTheme="majorHAnsi"/>
          <w:sz w:val="24"/>
          <w:szCs w:val="24"/>
        </w:rPr>
        <w:t xml:space="preserve"> In the counter application, </w:t>
      </w:r>
      <w:r w:rsidR="003F4089">
        <w:rPr>
          <w:rFonts w:asciiTheme="majorHAnsi" w:hAnsiTheme="majorHAnsi"/>
          <w:sz w:val="24"/>
          <w:szCs w:val="24"/>
        </w:rPr>
        <w:t xml:space="preserve">Mrs </w:t>
      </w:r>
      <w:proofErr w:type="spellStart"/>
      <w:r w:rsidR="003F4089">
        <w:rPr>
          <w:rFonts w:asciiTheme="majorHAnsi" w:hAnsiTheme="majorHAnsi"/>
          <w:sz w:val="24"/>
          <w:szCs w:val="24"/>
        </w:rPr>
        <w:t>Manjonjo</w:t>
      </w:r>
      <w:proofErr w:type="spellEnd"/>
      <w:r>
        <w:rPr>
          <w:rFonts w:asciiTheme="majorHAnsi" w:hAnsiTheme="majorHAnsi"/>
          <w:sz w:val="24"/>
          <w:szCs w:val="24"/>
        </w:rPr>
        <w:t>,</w:t>
      </w:r>
      <w:r w:rsidR="003F4089">
        <w:rPr>
          <w:rFonts w:asciiTheme="majorHAnsi" w:hAnsiTheme="majorHAnsi"/>
          <w:sz w:val="24"/>
          <w:szCs w:val="24"/>
        </w:rPr>
        <w:t xml:space="preserve"> counsel for the respondent averred that they seek a referral of certain issues to the Constitutional C</w:t>
      </w:r>
      <w:r>
        <w:rPr>
          <w:rFonts w:asciiTheme="majorHAnsi" w:hAnsiTheme="majorHAnsi"/>
          <w:sz w:val="24"/>
          <w:szCs w:val="24"/>
        </w:rPr>
        <w:t>ourt in terms of section 175 (4)</w:t>
      </w:r>
      <w:r w:rsidR="003F4089">
        <w:rPr>
          <w:rFonts w:asciiTheme="majorHAnsi" w:hAnsiTheme="majorHAnsi"/>
          <w:sz w:val="24"/>
          <w:szCs w:val="24"/>
        </w:rPr>
        <w:t xml:space="preserve"> of the Constitution.</w:t>
      </w:r>
    </w:p>
    <w:p w:rsidR="003F4089" w:rsidRDefault="003F4089" w:rsidP="003F4089">
      <w:pPr>
        <w:spacing w:line="360" w:lineRule="auto"/>
        <w:ind w:firstLine="720"/>
        <w:rPr>
          <w:rFonts w:asciiTheme="majorHAnsi" w:hAnsiTheme="majorHAnsi"/>
          <w:sz w:val="24"/>
          <w:szCs w:val="24"/>
        </w:rPr>
      </w:pPr>
      <w:r>
        <w:rPr>
          <w:rFonts w:asciiTheme="majorHAnsi" w:hAnsiTheme="majorHAnsi"/>
          <w:sz w:val="24"/>
          <w:szCs w:val="24"/>
        </w:rPr>
        <w:t>It is argued that section 18 of the Labour Amendment Act No 5 of 2015 in providing for the retrospective application to section 12 of the Labour Act in relation to every employee whose services were terminated on three months’ notice on or after 17 July 2015 is unconstitutional.</w:t>
      </w:r>
    </w:p>
    <w:p w:rsidR="003F4089" w:rsidRDefault="003F4089" w:rsidP="003F4089">
      <w:pPr>
        <w:spacing w:line="360" w:lineRule="auto"/>
        <w:ind w:firstLine="720"/>
        <w:rPr>
          <w:rFonts w:asciiTheme="majorHAnsi" w:hAnsiTheme="majorHAnsi"/>
          <w:sz w:val="24"/>
          <w:szCs w:val="24"/>
        </w:rPr>
      </w:pPr>
      <w:r>
        <w:rPr>
          <w:rFonts w:asciiTheme="majorHAnsi" w:hAnsiTheme="majorHAnsi"/>
          <w:sz w:val="24"/>
          <w:szCs w:val="24"/>
        </w:rPr>
        <w:t xml:space="preserve">Miss </w:t>
      </w:r>
      <w:proofErr w:type="spellStart"/>
      <w:r>
        <w:rPr>
          <w:rFonts w:asciiTheme="majorHAnsi" w:hAnsiTheme="majorHAnsi"/>
          <w:sz w:val="24"/>
          <w:szCs w:val="24"/>
        </w:rPr>
        <w:t>Manjonjo</w:t>
      </w:r>
      <w:proofErr w:type="spellEnd"/>
      <w:r>
        <w:rPr>
          <w:rFonts w:asciiTheme="majorHAnsi" w:hAnsiTheme="majorHAnsi"/>
          <w:sz w:val="24"/>
          <w:szCs w:val="24"/>
        </w:rPr>
        <w:t xml:space="preserve"> argued that this provision which was relied on by the applicant to award compensation for loss of employment infringes sections 3 (2) (k) and 56 </w:t>
      </w:r>
      <w:r w:rsidR="007D4D91">
        <w:rPr>
          <w:rFonts w:asciiTheme="majorHAnsi" w:hAnsiTheme="majorHAnsi"/>
          <w:sz w:val="24"/>
          <w:szCs w:val="24"/>
        </w:rPr>
        <w:t>(1)</w:t>
      </w:r>
      <w:r>
        <w:rPr>
          <w:rFonts w:asciiTheme="majorHAnsi" w:hAnsiTheme="majorHAnsi"/>
          <w:sz w:val="24"/>
          <w:szCs w:val="24"/>
        </w:rPr>
        <w:t xml:space="preserve"> of the Constitution.</w:t>
      </w:r>
    </w:p>
    <w:p w:rsidR="003F4089" w:rsidRDefault="003F4089" w:rsidP="003F4089">
      <w:pPr>
        <w:spacing w:line="360" w:lineRule="auto"/>
        <w:ind w:firstLine="720"/>
        <w:rPr>
          <w:rFonts w:asciiTheme="majorHAnsi" w:hAnsiTheme="majorHAnsi"/>
          <w:sz w:val="24"/>
          <w:szCs w:val="24"/>
        </w:rPr>
      </w:pPr>
      <w:r>
        <w:rPr>
          <w:rFonts w:asciiTheme="majorHAnsi" w:hAnsiTheme="majorHAnsi"/>
          <w:sz w:val="24"/>
          <w:szCs w:val="24"/>
        </w:rPr>
        <w:lastRenderedPageBreak/>
        <w:t>The respondent also takes issue with section 93 (5) of the Labour Act, as amended.  It was argued that the procedure introduced in section 93</w:t>
      </w:r>
      <w:r w:rsidR="00CA6628">
        <w:rPr>
          <w:rFonts w:asciiTheme="majorHAnsi" w:hAnsiTheme="majorHAnsi"/>
          <w:sz w:val="24"/>
          <w:szCs w:val="24"/>
        </w:rPr>
        <w:t xml:space="preserve"> (5a) and (5b) makes the labour officer an interested party by turning him from an adjudicator to a litigant.</w:t>
      </w:r>
    </w:p>
    <w:p w:rsidR="00CA6628" w:rsidRDefault="00CA6628" w:rsidP="003F4089">
      <w:pPr>
        <w:spacing w:line="360" w:lineRule="auto"/>
        <w:ind w:firstLine="720"/>
        <w:rPr>
          <w:rFonts w:asciiTheme="majorHAnsi" w:hAnsiTheme="majorHAnsi"/>
          <w:sz w:val="24"/>
          <w:szCs w:val="24"/>
        </w:rPr>
      </w:pPr>
      <w:r>
        <w:rPr>
          <w:rFonts w:asciiTheme="majorHAnsi" w:hAnsiTheme="majorHAnsi"/>
          <w:sz w:val="24"/>
          <w:szCs w:val="24"/>
        </w:rPr>
        <w:t>This same procedure is alleged to take away the right of appeal from the losing party.</w:t>
      </w:r>
    </w:p>
    <w:p w:rsidR="00CA6628" w:rsidRDefault="00CA6628" w:rsidP="003F4089">
      <w:pPr>
        <w:spacing w:line="360" w:lineRule="auto"/>
        <w:ind w:firstLine="720"/>
        <w:rPr>
          <w:rFonts w:asciiTheme="majorHAnsi" w:hAnsiTheme="majorHAnsi"/>
          <w:sz w:val="24"/>
          <w:szCs w:val="24"/>
        </w:rPr>
      </w:pPr>
      <w:r>
        <w:rPr>
          <w:rFonts w:asciiTheme="majorHAnsi" w:hAnsiTheme="majorHAnsi"/>
          <w:sz w:val="24"/>
          <w:szCs w:val="24"/>
        </w:rPr>
        <w:t xml:space="preserve">Mrs </w:t>
      </w:r>
      <w:proofErr w:type="spellStart"/>
      <w:r>
        <w:rPr>
          <w:rFonts w:asciiTheme="majorHAnsi" w:hAnsiTheme="majorHAnsi"/>
          <w:sz w:val="24"/>
          <w:szCs w:val="24"/>
        </w:rPr>
        <w:t>Manjonjo</w:t>
      </w:r>
      <w:proofErr w:type="spellEnd"/>
      <w:r>
        <w:rPr>
          <w:rFonts w:asciiTheme="majorHAnsi" w:hAnsiTheme="majorHAnsi"/>
          <w:sz w:val="24"/>
          <w:szCs w:val="24"/>
        </w:rPr>
        <w:t xml:space="preserve"> contended that this very procedure was followed by the applicant and it i</w:t>
      </w:r>
      <w:r w:rsidR="004B4263">
        <w:rPr>
          <w:rFonts w:asciiTheme="majorHAnsi" w:hAnsiTheme="majorHAnsi"/>
          <w:sz w:val="24"/>
          <w:szCs w:val="24"/>
        </w:rPr>
        <w:t>nfringes section 169 (1), 68 (1)</w:t>
      </w:r>
      <w:r>
        <w:rPr>
          <w:rFonts w:asciiTheme="majorHAnsi" w:hAnsiTheme="majorHAnsi"/>
          <w:sz w:val="24"/>
          <w:szCs w:val="24"/>
        </w:rPr>
        <w:t xml:space="preserve"> and 69 (2) of the constitution.</w:t>
      </w:r>
    </w:p>
    <w:p w:rsidR="00CA6628" w:rsidRDefault="00CA6628" w:rsidP="003F4089">
      <w:pPr>
        <w:spacing w:line="360" w:lineRule="auto"/>
        <w:ind w:firstLine="720"/>
        <w:rPr>
          <w:rFonts w:asciiTheme="majorHAnsi" w:hAnsiTheme="majorHAnsi"/>
          <w:sz w:val="24"/>
          <w:szCs w:val="24"/>
        </w:rPr>
      </w:pPr>
      <w:r>
        <w:rPr>
          <w:rFonts w:asciiTheme="majorHAnsi" w:hAnsiTheme="majorHAnsi"/>
          <w:sz w:val="24"/>
          <w:szCs w:val="24"/>
        </w:rPr>
        <w:t>The applicant submitted that in proceedings to issue the ruling and order, she was upholding the purpose of the Labour Act which is to ensure speedy and expeditious resolution of labour matter</w:t>
      </w:r>
      <w:r w:rsidR="007D4D91">
        <w:rPr>
          <w:rFonts w:asciiTheme="majorHAnsi" w:hAnsiTheme="majorHAnsi"/>
          <w:sz w:val="24"/>
          <w:szCs w:val="24"/>
        </w:rPr>
        <w:t>s</w:t>
      </w:r>
      <w:r>
        <w:rPr>
          <w:rFonts w:asciiTheme="majorHAnsi" w:hAnsiTheme="majorHAnsi"/>
          <w:sz w:val="24"/>
          <w:szCs w:val="24"/>
        </w:rPr>
        <w:t>.   A referral of the matter of the Constitutional Court was alleged to be likely to cause a delay in the claimants</w:t>
      </w:r>
      <w:r w:rsidR="007D4D91">
        <w:rPr>
          <w:rFonts w:asciiTheme="majorHAnsi" w:hAnsiTheme="majorHAnsi"/>
          <w:sz w:val="24"/>
          <w:szCs w:val="24"/>
        </w:rPr>
        <w:t xml:space="preserve"> enjoying justice </w:t>
      </w:r>
      <w:r>
        <w:rPr>
          <w:rFonts w:asciiTheme="majorHAnsi" w:hAnsiTheme="majorHAnsi"/>
          <w:sz w:val="24"/>
          <w:szCs w:val="24"/>
        </w:rPr>
        <w:t>and the respondent was alleged to be employing delaying tactics.</w:t>
      </w:r>
    </w:p>
    <w:p w:rsidR="00CA6628" w:rsidRDefault="00CA6628" w:rsidP="00CA6628">
      <w:pPr>
        <w:spacing w:line="360" w:lineRule="auto"/>
        <w:rPr>
          <w:rFonts w:asciiTheme="majorHAnsi" w:hAnsiTheme="majorHAnsi"/>
          <w:sz w:val="24"/>
          <w:szCs w:val="24"/>
          <w:u w:val="single"/>
        </w:rPr>
      </w:pPr>
      <w:r>
        <w:rPr>
          <w:rFonts w:asciiTheme="majorHAnsi" w:hAnsiTheme="majorHAnsi"/>
          <w:sz w:val="24"/>
          <w:szCs w:val="24"/>
          <w:u w:val="single"/>
        </w:rPr>
        <w:t xml:space="preserve">Disposal </w:t>
      </w:r>
    </w:p>
    <w:p w:rsidR="00CA6628" w:rsidRDefault="00CA6628" w:rsidP="00CA6628">
      <w:pPr>
        <w:spacing w:line="360" w:lineRule="auto"/>
        <w:rPr>
          <w:rFonts w:asciiTheme="majorHAnsi" w:hAnsiTheme="majorHAnsi"/>
          <w:sz w:val="24"/>
          <w:szCs w:val="24"/>
        </w:rPr>
      </w:pPr>
      <w:r>
        <w:rPr>
          <w:rFonts w:asciiTheme="majorHAnsi" w:hAnsiTheme="majorHAnsi"/>
          <w:sz w:val="24"/>
          <w:szCs w:val="24"/>
        </w:rPr>
        <w:tab/>
        <w:t>The counter application, due to the prayer sought of staying the main application pending the</w:t>
      </w:r>
      <w:r w:rsidR="00CE1B70">
        <w:rPr>
          <w:rFonts w:asciiTheme="majorHAnsi" w:hAnsiTheme="majorHAnsi"/>
          <w:sz w:val="24"/>
          <w:szCs w:val="24"/>
        </w:rPr>
        <w:t xml:space="preserve"> decision of the Constitutional Court is best dealt with as a point </w:t>
      </w:r>
      <w:r w:rsidR="00CE1B70">
        <w:rPr>
          <w:rFonts w:asciiTheme="majorHAnsi" w:hAnsiTheme="majorHAnsi"/>
          <w:i/>
          <w:sz w:val="24"/>
          <w:szCs w:val="24"/>
        </w:rPr>
        <w:t xml:space="preserve">in </w:t>
      </w:r>
      <w:proofErr w:type="spellStart"/>
      <w:r w:rsidR="00CE1B70">
        <w:rPr>
          <w:rFonts w:asciiTheme="majorHAnsi" w:hAnsiTheme="majorHAnsi"/>
          <w:i/>
          <w:sz w:val="24"/>
          <w:szCs w:val="24"/>
        </w:rPr>
        <w:t>limine</w:t>
      </w:r>
      <w:proofErr w:type="spellEnd"/>
      <w:r w:rsidR="00CE1B70">
        <w:rPr>
          <w:rFonts w:asciiTheme="majorHAnsi" w:hAnsiTheme="majorHAnsi"/>
          <w:i/>
          <w:sz w:val="24"/>
          <w:szCs w:val="24"/>
        </w:rPr>
        <w:t xml:space="preserve">.  </w:t>
      </w:r>
      <w:r w:rsidR="00CE1B70">
        <w:rPr>
          <w:rFonts w:asciiTheme="majorHAnsi" w:hAnsiTheme="majorHAnsi"/>
          <w:sz w:val="24"/>
          <w:szCs w:val="24"/>
        </w:rPr>
        <w:t>I will deal with the counter application first.</w:t>
      </w:r>
    </w:p>
    <w:p w:rsidR="00CE1B70" w:rsidRDefault="00CE1B70" w:rsidP="00CA6628">
      <w:pPr>
        <w:spacing w:line="360" w:lineRule="auto"/>
        <w:rPr>
          <w:rFonts w:asciiTheme="majorHAnsi" w:hAnsiTheme="majorHAnsi"/>
          <w:sz w:val="24"/>
          <w:szCs w:val="24"/>
        </w:rPr>
      </w:pPr>
      <w:r>
        <w:rPr>
          <w:rFonts w:asciiTheme="majorHAnsi" w:hAnsiTheme="majorHAnsi"/>
          <w:sz w:val="24"/>
          <w:szCs w:val="24"/>
        </w:rPr>
        <w:tab/>
        <w:t>Section 175 (4) of the Constitution provides that where a constitutional matter arises in any proceedings before a court, the person presiding over the matter may, and if so requested by a party to the proceedings, must refer the matter to the Constitutional Court unless the request is considered to be merely frivolous and vexatious.</w:t>
      </w:r>
    </w:p>
    <w:p w:rsidR="00CE1B70" w:rsidRDefault="00CE1B70" w:rsidP="00CA6628">
      <w:pPr>
        <w:spacing w:line="360" w:lineRule="auto"/>
        <w:rPr>
          <w:rFonts w:asciiTheme="majorHAnsi" w:hAnsiTheme="majorHAnsi"/>
          <w:sz w:val="24"/>
          <w:szCs w:val="24"/>
        </w:rPr>
      </w:pPr>
      <w:r>
        <w:rPr>
          <w:rFonts w:asciiTheme="majorHAnsi" w:hAnsiTheme="majorHAnsi"/>
          <w:sz w:val="24"/>
          <w:szCs w:val="24"/>
        </w:rPr>
        <w:tab/>
        <w:t>I am therefore enjoined to make the inquiry whether this request is merely frivolous and vexatious.  “Frivolous” connotes a lack of seriousness or a request that is devoid of merit</w:t>
      </w:r>
      <w:r w:rsidR="007D4D91">
        <w:rPr>
          <w:rFonts w:asciiTheme="majorHAnsi" w:hAnsiTheme="majorHAnsi"/>
          <w:sz w:val="24"/>
          <w:szCs w:val="24"/>
        </w:rPr>
        <w:t>,</w:t>
      </w:r>
      <w:r>
        <w:rPr>
          <w:rFonts w:asciiTheme="majorHAnsi" w:hAnsiTheme="majorHAnsi"/>
          <w:sz w:val="24"/>
          <w:szCs w:val="24"/>
        </w:rPr>
        <w:t xml:space="preserve"> and “vexatious” means a question put forward to cause annoyance and which is not raised bona fide.  </w:t>
      </w:r>
      <w:proofErr w:type="gramStart"/>
      <w:r w:rsidR="00D5416D">
        <w:rPr>
          <w:rFonts w:asciiTheme="majorHAnsi" w:hAnsiTheme="majorHAnsi"/>
          <w:i/>
          <w:sz w:val="24"/>
          <w:szCs w:val="24"/>
        </w:rPr>
        <w:t xml:space="preserve">Martin </w:t>
      </w:r>
      <w:r w:rsidR="00D5416D">
        <w:rPr>
          <w:rFonts w:asciiTheme="majorHAnsi" w:hAnsiTheme="majorHAnsi"/>
          <w:sz w:val="24"/>
          <w:szCs w:val="24"/>
        </w:rPr>
        <w:t xml:space="preserve">v </w:t>
      </w:r>
      <w:r w:rsidR="00D5416D">
        <w:rPr>
          <w:rFonts w:asciiTheme="majorHAnsi" w:hAnsiTheme="majorHAnsi"/>
          <w:i/>
          <w:sz w:val="24"/>
          <w:szCs w:val="24"/>
        </w:rPr>
        <w:t xml:space="preserve">AG &amp; </w:t>
      </w:r>
      <w:proofErr w:type="spellStart"/>
      <w:r w:rsidR="00D5416D">
        <w:rPr>
          <w:rFonts w:asciiTheme="majorHAnsi" w:hAnsiTheme="majorHAnsi"/>
          <w:i/>
          <w:sz w:val="24"/>
          <w:szCs w:val="24"/>
        </w:rPr>
        <w:t>Anor</w:t>
      </w:r>
      <w:proofErr w:type="spellEnd"/>
      <w:r w:rsidR="00D5416D">
        <w:rPr>
          <w:rFonts w:asciiTheme="majorHAnsi" w:hAnsiTheme="majorHAnsi"/>
          <w:i/>
          <w:sz w:val="24"/>
          <w:szCs w:val="24"/>
        </w:rPr>
        <w:t xml:space="preserve"> </w:t>
      </w:r>
      <w:r w:rsidR="00D5416D">
        <w:rPr>
          <w:rFonts w:asciiTheme="majorHAnsi" w:hAnsiTheme="majorHAnsi"/>
          <w:sz w:val="24"/>
          <w:szCs w:val="24"/>
        </w:rPr>
        <w:t>1993 (1) ZLR 153 (S) at 157 C – F.</w:t>
      </w:r>
      <w:proofErr w:type="gramEnd"/>
      <w:r w:rsidR="00D5416D">
        <w:rPr>
          <w:rFonts w:asciiTheme="majorHAnsi" w:hAnsiTheme="majorHAnsi"/>
          <w:sz w:val="24"/>
          <w:szCs w:val="24"/>
        </w:rPr>
        <w:t xml:space="preserve"> </w:t>
      </w:r>
    </w:p>
    <w:p w:rsidR="00D5416D" w:rsidRDefault="00D5416D" w:rsidP="00CA6628">
      <w:pPr>
        <w:spacing w:line="360" w:lineRule="auto"/>
        <w:rPr>
          <w:rFonts w:asciiTheme="majorHAnsi" w:hAnsiTheme="majorHAnsi"/>
          <w:sz w:val="24"/>
          <w:szCs w:val="24"/>
        </w:rPr>
      </w:pPr>
      <w:r>
        <w:rPr>
          <w:rFonts w:asciiTheme="majorHAnsi" w:hAnsiTheme="majorHAnsi"/>
          <w:sz w:val="24"/>
          <w:szCs w:val="24"/>
        </w:rPr>
        <w:tab/>
        <w:t>The issue</w:t>
      </w:r>
      <w:r w:rsidR="007D4D91">
        <w:rPr>
          <w:rFonts w:asciiTheme="majorHAnsi" w:hAnsiTheme="majorHAnsi"/>
          <w:sz w:val="24"/>
          <w:szCs w:val="24"/>
        </w:rPr>
        <w:t>s</w:t>
      </w:r>
      <w:r>
        <w:rPr>
          <w:rFonts w:asciiTheme="majorHAnsi" w:hAnsiTheme="majorHAnsi"/>
          <w:sz w:val="24"/>
          <w:szCs w:val="24"/>
        </w:rPr>
        <w:t xml:space="preserve"> raised are genuine issues on which the Constitutional Court is yet to make a pronouncement.</w:t>
      </w:r>
    </w:p>
    <w:p w:rsidR="00D5416D" w:rsidRDefault="00D5416D" w:rsidP="00CA6628">
      <w:pPr>
        <w:spacing w:line="360" w:lineRule="auto"/>
        <w:rPr>
          <w:rFonts w:asciiTheme="majorHAnsi" w:hAnsiTheme="majorHAnsi"/>
          <w:sz w:val="24"/>
          <w:szCs w:val="24"/>
        </w:rPr>
      </w:pPr>
      <w:r>
        <w:rPr>
          <w:rFonts w:asciiTheme="majorHAnsi" w:hAnsiTheme="majorHAnsi"/>
          <w:sz w:val="24"/>
          <w:szCs w:val="24"/>
        </w:rPr>
        <w:lastRenderedPageBreak/>
        <w:tab/>
        <w:t xml:space="preserve">One cannot seriously </w:t>
      </w:r>
      <w:r w:rsidR="007D4D91">
        <w:rPr>
          <w:rFonts w:asciiTheme="majorHAnsi" w:hAnsiTheme="majorHAnsi"/>
          <w:sz w:val="24"/>
          <w:szCs w:val="24"/>
        </w:rPr>
        <w:t xml:space="preserve"> say </w:t>
      </w:r>
      <w:r>
        <w:rPr>
          <w:rFonts w:asciiTheme="majorHAnsi" w:hAnsiTheme="majorHAnsi"/>
          <w:sz w:val="24"/>
          <w:szCs w:val="24"/>
        </w:rPr>
        <w:t>that the ques</w:t>
      </w:r>
      <w:r w:rsidR="007D4D91">
        <w:rPr>
          <w:rFonts w:asciiTheme="majorHAnsi" w:hAnsiTheme="majorHAnsi"/>
          <w:sz w:val="24"/>
          <w:szCs w:val="24"/>
        </w:rPr>
        <w:t>tion whether the law giver’s int</w:t>
      </w:r>
      <w:r>
        <w:rPr>
          <w:rFonts w:asciiTheme="majorHAnsi" w:hAnsiTheme="majorHAnsi"/>
          <w:sz w:val="24"/>
          <w:szCs w:val="24"/>
        </w:rPr>
        <w:t xml:space="preserve">ention in providing for </w:t>
      </w:r>
      <w:proofErr w:type="spellStart"/>
      <w:r>
        <w:rPr>
          <w:rFonts w:asciiTheme="majorHAnsi" w:hAnsiTheme="majorHAnsi"/>
          <w:sz w:val="24"/>
          <w:szCs w:val="24"/>
        </w:rPr>
        <w:t>retrospectivity</w:t>
      </w:r>
      <w:proofErr w:type="spellEnd"/>
      <w:r>
        <w:rPr>
          <w:rFonts w:asciiTheme="majorHAnsi" w:hAnsiTheme="majorHAnsi"/>
          <w:sz w:val="24"/>
          <w:szCs w:val="24"/>
        </w:rPr>
        <w:t xml:space="preserve"> in section 18 of the Amendment Act is to take away rights such as the respondent’s right to give notice without paying a minimum retrenchment package, is a violation of </w:t>
      </w:r>
      <w:r w:rsidR="001E32DE">
        <w:rPr>
          <w:rFonts w:asciiTheme="majorHAnsi" w:hAnsiTheme="majorHAnsi"/>
          <w:sz w:val="24"/>
          <w:szCs w:val="24"/>
        </w:rPr>
        <w:t>section 56 (1) as read with section 3 (2)</w:t>
      </w:r>
      <w:r>
        <w:rPr>
          <w:rFonts w:asciiTheme="majorHAnsi" w:hAnsiTheme="majorHAnsi"/>
          <w:sz w:val="24"/>
          <w:szCs w:val="24"/>
        </w:rPr>
        <w:t xml:space="preserve"> (k) of the Constitution.  These provide for equality before the law and the right to equal</w:t>
      </w:r>
      <w:r w:rsidR="00403BC7">
        <w:rPr>
          <w:rFonts w:asciiTheme="majorHAnsi" w:hAnsiTheme="majorHAnsi"/>
          <w:sz w:val="24"/>
          <w:szCs w:val="24"/>
        </w:rPr>
        <w:t xml:space="preserve"> protection of the law as well as due respect for vested rights, respectively.</w:t>
      </w:r>
    </w:p>
    <w:p w:rsidR="00403BC7" w:rsidRDefault="00403BC7" w:rsidP="00CA6628">
      <w:pPr>
        <w:spacing w:line="360" w:lineRule="auto"/>
        <w:rPr>
          <w:rFonts w:asciiTheme="majorHAnsi" w:hAnsiTheme="majorHAnsi"/>
          <w:sz w:val="24"/>
          <w:szCs w:val="24"/>
        </w:rPr>
      </w:pPr>
      <w:r>
        <w:rPr>
          <w:rFonts w:asciiTheme="majorHAnsi" w:hAnsiTheme="majorHAnsi"/>
          <w:sz w:val="24"/>
          <w:szCs w:val="24"/>
        </w:rPr>
        <w:tab/>
        <w:t>I be</w:t>
      </w:r>
      <w:r w:rsidR="007D4D91">
        <w:rPr>
          <w:rFonts w:asciiTheme="majorHAnsi" w:hAnsiTheme="majorHAnsi"/>
          <w:sz w:val="24"/>
          <w:szCs w:val="24"/>
        </w:rPr>
        <w:t>lieve</w:t>
      </w:r>
      <w:r w:rsidR="00A76CCE">
        <w:rPr>
          <w:rFonts w:asciiTheme="majorHAnsi" w:hAnsiTheme="majorHAnsi"/>
          <w:sz w:val="24"/>
          <w:szCs w:val="24"/>
        </w:rPr>
        <w:t xml:space="preserve"> the issue is with merit and has been raised bona fide.</w:t>
      </w:r>
    </w:p>
    <w:p w:rsidR="00A76CCE" w:rsidRDefault="00A76CCE" w:rsidP="00CA6628">
      <w:pPr>
        <w:spacing w:line="360" w:lineRule="auto"/>
        <w:rPr>
          <w:rFonts w:asciiTheme="majorHAnsi" w:hAnsiTheme="majorHAnsi"/>
          <w:sz w:val="24"/>
          <w:szCs w:val="24"/>
        </w:rPr>
      </w:pPr>
      <w:r>
        <w:rPr>
          <w:rFonts w:asciiTheme="majorHAnsi" w:hAnsiTheme="majorHAnsi"/>
          <w:sz w:val="24"/>
          <w:szCs w:val="24"/>
        </w:rPr>
        <w:tab/>
      </w:r>
      <w:proofErr w:type="gramStart"/>
      <w:r>
        <w:rPr>
          <w:rFonts w:asciiTheme="majorHAnsi" w:hAnsiTheme="majorHAnsi"/>
          <w:sz w:val="24"/>
          <w:szCs w:val="24"/>
        </w:rPr>
        <w:t>As to the legality of section 93 (5) the issues arising from the new procedure cannot be dismissed as frivolous and vexatious.</w:t>
      </w:r>
      <w:proofErr w:type="gramEnd"/>
    </w:p>
    <w:p w:rsidR="00A76CCE" w:rsidRDefault="00A76CCE" w:rsidP="00CA6628">
      <w:pPr>
        <w:spacing w:line="360" w:lineRule="auto"/>
        <w:rPr>
          <w:rFonts w:asciiTheme="majorHAnsi" w:hAnsiTheme="majorHAnsi"/>
          <w:sz w:val="24"/>
          <w:szCs w:val="24"/>
        </w:rPr>
      </w:pPr>
      <w:r>
        <w:rPr>
          <w:rFonts w:asciiTheme="majorHAnsi" w:hAnsiTheme="majorHAnsi"/>
          <w:sz w:val="24"/>
          <w:szCs w:val="24"/>
        </w:rPr>
        <w:tab/>
        <w:t>I accordingly uphold the counter application and order as follows</w:t>
      </w:r>
    </w:p>
    <w:p w:rsidR="00A76CCE" w:rsidRDefault="00A76CCE" w:rsidP="00A76CCE">
      <w:pPr>
        <w:pStyle w:val="ListParagraph"/>
        <w:numPr>
          <w:ilvl w:val="0"/>
          <w:numId w:val="1"/>
        </w:numPr>
        <w:spacing w:line="360" w:lineRule="auto"/>
        <w:rPr>
          <w:rFonts w:asciiTheme="majorHAnsi" w:hAnsiTheme="majorHAnsi"/>
          <w:sz w:val="24"/>
          <w:szCs w:val="24"/>
        </w:rPr>
      </w:pPr>
      <w:r>
        <w:rPr>
          <w:rFonts w:asciiTheme="majorHAnsi" w:hAnsiTheme="majorHAnsi"/>
          <w:sz w:val="24"/>
          <w:szCs w:val="24"/>
        </w:rPr>
        <w:t>The counter application by the respondent for referral of the Constitutional issues set out in paragraphs 2.1 and 2.2 hereunder is granted.</w:t>
      </w:r>
    </w:p>
    <w:p w:rsidR="00A76CCE" w:rsidRDefault="00A76CCE" w:rsidP="00A76CCE">
      <w:pPr>
        <w:spacing w:line="360" w:lineRule="auto"/>
        <w:ind w:left="360"/>
        <w:rPr>
          <w:rFonts w:asciiTheme="majorHAnsi" w:hAnsiTheme="majorHAnsi"/>
          <w:sz w:val="24"/>
          <w:szCs w:val="24"/>
        </w:rPr>
      </w:pPr>
      <w:r>
        <w:rPr>
          <w:rFonts w:asciiTheme="majorHAnsi" w:hAnsiTheme="majorHAnsi"/>
          <w:sz w:val="24"/>
          <w:szCs w:val="24"/>
        </w:rPr>
        <w:t xml:space="preserve">2.1 Whether or not section 18 of the Labour Amendment Act No 5 of 2015 violates sections 56 (1) and 3 (2) (k) of the Constitution </w:t>
      </w:r>
      <w:r w:rsidR="007D4D91">
        <w:rPr>
          <w:rFonts w:asciiTheme="majorHAnsi" w:hAnsiTheme="majorHAnsi"/>
          <w:sz w:val="24"/>
          <w:szCs w:val="24"/>
        </w:rPr>
        <w:t>of</w:t>
      </w:r>
      <w:r>
        <w:rPr>
          <w:rFonts w:asciiTheme="majorHAnsi" w:hAnsiTheme="majorHAnsi"/>
          <w:sz w:val="24"/>
          <w:szCs w:val="24"/>
        </w:rPr>
        <w:t xml:space="preserve"> Zimbabwe, 2013, and should therefore be struck down.</w:t>
      </w:r>
    </w:p>
    <w:p w:rsidR="00A76CCE" w:rsidRDefault="00A76CCE" w:rsidP="00A76CCE">
      <w:pPr>
        <w:spacing w:line="360" w:lineRule="auto"/>
        <w:ind w:left="360"/>
        <w:rPr>
          <w:rFonts w:asciiTheme="majorHAnsi" w:hAnsiTheme="majorHAnsi"/>
          <w:sz w:val="24"/>
          <w:szCs w:val="24"/>
        </w:rPr>
      </w:pPr>
      <w:r>
        <w:rPr>
          <w:rFonts w:asciiTheme="majorHAnsi" w:hAnsiTheme="majorHAnsi"/>
          <w:sz w:val="24"/>
          <w:szCs w:val="24"/>
        </w:rPr>
        <w:t>2.2 Whether or not section 93 (5) of the Labour Act, as amended, is in contravention of sections 68 (1), 69 (2)</w:t>
      </w:r>
      <w:r w:rsidR="004B6381">
        <w:rPr>
          <w:rFonts w:asciiTheme="majorHAnsi" w:hAnsiTheme="majorHAnsi"/>
          <w:sz w:val="24"/>
          <w:szCs w:val="24"/>
        </w:rPr>
        <w:t xml:space="preserve"> and 169 </w:t>
      </w:r>
      <w:r w:rsidR="007D4D91">
        <w:rPr>
          <w:rFonts w:asciiTheme="majorHAnsi" w:hAnsiTheme="majorHAnsi"/>
          <w:sz w:val="24"/>
          <w:szCs w:val="24"/>
        </w:rPr>
        <w:t>(1)</w:t>
      </w:r>
      <w:r w:rsidR="004B6381">
        <w:rPr>
          <w:rFonts w:asciiTheme="majorHAnsi" w:hAnsiTheme="majorHAnsi"/>
          <w:sz w:val="24"/>
          <w:szCs w:val="24"/>
        </w:rPr>
        <w:t xml:space="preserve"> of the Constitution of Zimbabwe, 2013.</w:t>
      </w:r>
    </w:p>
    <w:p w:rsidR="004B6381" w:rsidRDefault="004B6381" w:rsidP="004B6381">
      <w:pPr>
        <w:spacing w:line="360" w:lineRule="auto"/>
        <w:ind w:left="720" w:hanging="360"/>
        <w:rPr>
          <w:rFonts w:asciiTheme="majorHAnsi" w:hAnsiTheme="majorHAnsi"/>
          <w:sz w:val="24"/>
          <w:szCs w:val="24"/>
        </w:rPr>
      </w:pPr>
      <w:r>
        <w:rPr>
          <w:rFonts w:asciiTheme="majorHAnsi" w:hAnsiTheme="majorHAnsi"/>
          <w:sz w:val="24"/>
          <w:szCs w:val="24"/>
        </w:rPr>
        <w:t>3.</w:t>
      </w:r>
      <w:r>
        <w:rPr>
          <w:rFonts w:asciiTheme="majorHAnsi" w:hAnsiTheme="majorHAnsi"/>
          <w:sz w:val="24"/>
          <w:szCs w:val="24"/>
        </w:rPr>
        <w:tab/>
        <w:t>The application in the main be and is hereby stayed pending the decision of the Constitutional Court.</w:t>
      </w:r>
    </w:p>
    <w:p w:rsidR="007D4D91" w:rsidRDefault="007D4D91" w:rsidP="004B6381">
      <w:pPr>
        <w:spacing w:line="360" w:lineRule="auto"/>
        <w:ind w:left="720" w:hanging="360"/>
        <w:rPr>
          <w:rFonts w:asciiTheme="majorHAnsi" w:hAnsiTheme="majorHAnsi"/>
          <w:sz w:val="24"/>
          <w:szCs w:val="24"/>
        </w:rPr>
      </w:pPr>
    </w:p>
    <w:p w:rsidR="007D4D91" w:rsidRDefault="007D4D91" w:rsidP="007D4D91">
      <w:pPr>
        <w:spacing w:after="0" w:line="240" w:lineRule="auto"/>
        <w:ind w:left="720" w:hanging="360"/>
        <w:rPr>
          <w:rFonts w:asciiTheme="majorHAnsi" w:hAnsiTheme="majorHAnsi"/>
          <w:sz w:val="24"/>
          <w:szCs w:val="24"/>
        </w:rPr>
      </w:pPr>
      <w:r>
        <w:rPr>
          <w:rFonts w:asciiTheme="majorHAnsi" w:hAnsiTheme="majorHAnsi"/>
          <w:sz w:val="24"/>
          <w:szCs w:val="24"/>
        </w:rPr>
        <w:t>………………………..</w:t>
      </w:r>
    </w:p>
    <w:p w:rsidR="007D4D91" w:rsidRPr="007D4D91" w:rsidRDefault="007D4D91" w:rsidP="007D4D91">
      <w:pPr>
        <w:spacing w:after="0" w:line="240" w:lineRule="auto"/>
        <w:ind w:left="720" w:hanging="360"/>
        <w:rPr>
          <w:rFonts w:asciiTheme="majorHAnsi" w:hAnsiTheme="majorHAnsi"/>
          <w:b/>
          <w:sz w:val="24"/>
          <w:szCs w:val="24"/>
        </w:rPr>
      </w:pPr>
      <w:r w:rsidRPr="007D4D91">
        <w:rPr>
          <w:rFonts w:asciiTheme="majorHAnsi" w:hAnsiTheme="majorHAnsi"/>
          <w:b/>
          <w:sz w:val="24"/>
          <w:szCs w:val="24"/>
        </w:rPr>
        <w:t>MUCHAWA J</w:t>
      </w:r>
    </w:p>
    <w:p w:rsidR="007D4D91" w:rsidRDefault="007D4D91" w:rsidP="007D4D91">
      <w:pPr>
        <w:spacing w:after="0" w:line="240" w:lineRule="auto"/>
        <w:ind w:left="720" w:hanging="360"/>
        <w:rPr>
          <w:rFonts w:asciiTheme="majorHAnsi" w:hAnsiTheme="majorHAnsi"/>
          <w:b/>
          <w:sz w:val="24"/>
          <w:szCs w:val="24"/>
        </w:rPr>
      </w:pPr>
    </w:p>
    <w:p w:rsidR="007D4D91" w:rsidRPr="007D4D91" w:rsidRDefault="007D4D91" w:rsidP="007D4D91">
      <w:pPr>
        <w:spacing w:after="0" w:line="240" w:lineRule="auto"/>
        <w:ind w:left="720" w:hanging="360"/>
        <w:rPr>
          <w:rFonts w:asciiTheme="majorHAnsi" w:hAnsiTheme="majorHAnsi"/>
          <w:b/>
          <w:sz w:val="24"/>
          <w:szCs w:val="24"/>
        </w:rPr>
      </w:pPr>
    </w:p>
    <w:p w:rsidR="007D4D91" w:rsidRPr="007D4D91" w:rsidRDefault="007D4D91" w:rsidP="007D4D91">
      <w:pPr>
        <w:spacing w:after="0" w:line="240" w:lineRule="auto"/>
        <w:ind w:left="720" w:hanging="360"/>
        <w:rPr>
          <w:rFonts w:asciiTheme="majorHAnsi" w:hAnsiTheme="majorHAnsi"/>
          <w:sz w:val="24"/>
          <w:szCs w:val="24"/>
        </w:rPr>
      </w:pPr>
      <w:r w:rsidRPr="007D4D91">
        <w:rPr>
          <w:rFonts w:asciiTheme="majorHAnsi" w:hAnsiTheme="majorHAnsi"/>
          <w:b/>
          <w:sz w:val="24"/>
          <w:szCs w:val="24"/>
        </w:rPr>
        <w:t>…………………….</w:t>
      </w:r>
      <w:r w:rsidRPr="007D4D91">
        <w:rPr>
          <w:rFonts w:asciiTheme="majorHAnsi" w:hAnsiTheme="majorHAnsi"/>
          <w:b/>
          <w:sz w:val="24"/>
          <w:szCs w:val="24"/>
        </w:rPr>
        <w:tab/>
      </w:r>
      <w:r w:rsidRPr="007D4D91">
        <w:rPr>
          <w:rFonts w:asciiTheme="majorHAnsi" w:hAnsiTheme="majorHAnsi"/>
          <w:b/>
          <w:sz w:val="24"/>
          <w:szCs w:val="24"/>
        </w:rPr>
        <w:tab/>
      </w:r>
      <w:r w:rsidRPr="007D4D91">
        <w:rPr>
          <w:rFonts w:asciiTheme="majorHAnsi" w:hAnsiTheme="majorHAnsi"/>
          <w:b/>
          <w:sz w:val="24"/>
          <w:szCs w:val="24"/>
        </w:rPr>
        <w:tab/>
      </w:r>
      <w:r w:rsidRPr="007D4D91">
        <w:rPr>
          <w:rFonts w:asciiTheme="majorHAnsi" w:hAnsiTheme="majorHAnsi"/>
          <w:sz w:val="24"/>
          <w:szCs w:val="24"/>
        </w:rPr>
        <w:t>I agree</w:t>
      </w:r>
    </w:p>
    <w:p w:rsidR="007D4D91" w:rsidRDefault="007D4D91" w:rsidP="007D4D91">
      <w:pPr>
        <w:spacing w:after="0" w:line="240" w:lineRule="auto"/>
        <w:ind w:left="720" w:hanging="360"/>
        <w:rPr>
          <w:rFonts w:asciiTheme="majorHAnsi" w:hAnsiTheme="majorHAnsi"/>
          <w:sz w:val="24"/>
          <w:szCs w:val="24"/>
        </w:rPr>
      </w:pPr>
      <w:r w:rsidRPr="007D4D91">
        <w:rPr>
          <w:rFonts w:asciiTheme="majorHAnsi" w:hAnsiTheme="majorHAnsi"/>
          <w:b/>
          <w:sz w:val="24"/>
          <w:szCs w:val="24"/>
        </w:rPr>
        <w:t>MAKAMURE</w:t>
      </w:r>
      <w:r>
        <w:rPr>
          <w:rFonts w:asciiTheme="majorHAnsi" w:hAnsiTheme="majorHAnsi"/>
          <w:sz w:val="24"/>
          <w:szCs w:val="24"/>
        </w:rPr>
        <w:t xml:space="preserve"> J</w:t>
      </w:r>
      <w:r>
        <w:rPr>
          <w:rFonts w:asciiTheme="majorHAnsi" w:hAnsiTheme="majorHAnsi"/>
          <w:sz w:val="24"/>
          <w:szCs w:val="24"/>
        </w:rPr>
        <w:tab/>
      </w:r>
      <w:r>
        <w:rPr>
          <w:rFonts w:asciiTheme="majorHAnsi" w:hAnsiTheme="majorHAnsi"/>
          <w:sz w:val="24"/>
          <w:szCs w:val="24"/>
        </w:rPr>
        <w:tab/>
      </w:r>
    </w:p>
    <w:p w:rsidR="004B6381" w:rsidRDefault="004B6381" w:rsidP="004B6381">
      <w:pPr>
        <w:spacing w:line="360" w:lineRule="auto"/>
        <w:ind w:left="720" w:hanging="360"/>
        <w:rPr>
          <w:rFonts w:asciiTheme="majorHAnsi" w:hAnsiTheme="majorHAnsi"/>
          <w:sz w:val="24"/>
          <w:szCs w:val="24"/>
        </w:rPr>
      </w:pPr>
    </w:p>
    <w:p w:rsidR="004B6381" w:rsidRDefault="004B6381" w:rsidP="004B6381">
      <w:pPr>
        <w:spacing w:line="360" w:lineRule="auto"/>
        <w:ind w:left="720" w:hanging="360"/>
        <w:rPr>
          <w:rFonts w:asciiTheme="majorHAnsi" w:hAnsiTheme="majorHAnsi"/>
          <w:sz w:val="24"/>
          <w:szCs w:val="24"/>
        </w:rPr>
      </w:pPr>
    </w:p>
    <w:p w:rsidR="00A22E56" w:rsidRPr="00A22E56" w:rsidRDefault="004B6381" w:rsidP="007D4D91">
      <w:pPr>
        <w:spacing w:line="360" w:lineRule="auto"/>
        <w:ind w:left="720" w:hanging="360"/>
        <w:rPr>
          <w:rFonts w:asciiTheme="majorHAnsi" w:hAnsiTheme="majorHAnsi"/>
          <w:b/>
          <w:sz w:val="24"/>
          <w:szCs w:val="24"/>
        </w:rPr>
      </w:pPr>
      <w:proofErr w:type="spellStart"/>
      <w:r>
        <w:rPr>
          <w:rFonts w:asciiTheme="majorHAnsi" w:hAnsiTheme="majorHAnsi"/>
          <w:i/>
        </w:rPr>
        <w:t>Lunga</w:t>
      </w:r>
      <w:proofErr w:type="spellEnd"/>
      <w:r>
        <w:rPr>
          <w:rFonts w:asciiTheme="majorHAnsi" w:hAnsiTheme="majorHAnsi"/>
          <w:i/>
        </w:rPr>
        <w:t xml:space="preserve"> </w:t>
      </w:r>
      <w:proofErr w:type="spellStart"/>
      <w:r>
        <w:rPr>
          <w:rFonts w:asciiTheme="majorHAnsi" w:hAnsiTheme="majorHAnsi"/>
          <w:i/>
        </w:rPr>
        <w:t>Gonese</w:t>
      </w:r>
      <w:proofErr w:type="spellEnd"/>
      <w:r>
        <w:rPr>
          <w:rFonts w:asciiTheme="majorHAnsi" w:hAnsiTheme="majorHAnsi"/>
          <w:i/>
        </w:rPr>
        <w:t xml:space="preserve"> Attorneys, </w:t>
      </w:r>
      <w:r>
        <w:rPr>
          <w:rFonts w:asciiTheme="majorHAnsi" w:hAnsiTheme="majorHAnsi"/>
        </w:rPr>
        <w:t>respondent’s legal practitioners</w:t>
      </w:r>
    </w:p>
    <w:sectPr w:rsidR="00A22E56" w:rsidRPr="00A22E56" w:rsidSect="00553A3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EDF" w:rsidRDefault="00C41EDF" w:rsidP="00553A3B">
      <w:pPr>
        <w:spacing w:after="0" w:line="240" w:lineRule="auto"/>
      </w:pPr>
      <w:r>
        <w:separator/>
      </w:r>
    </w:p>
  </w:endnote>
  <w:endnote w:type="continuationSeparator" w:id="0">
    <w:p w:rsidR="00C41EDF" w:rsidRDefault="00C41EDF" w:rsidP="0055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995793"/>
      <w:docPartObj>
        <w:docPartGallery w:val="Page Numbers (Bottom of Page)"/>
        <w:docPartUnique/>
      </w:docPartObj>
    </w:sdtPr>
    <w:sdtEndPr>
      <w:rPr>
        <w:noProof/>
      </w:rPr>
    </w:sdtEndPr>
    <w:sdtContent>
      <w:p w:rsidR="004B6381" w:rsidRDefault="004B6381">
        <w:pPr>
          <w:pStyle w:val="Footer"/>
          <w:jc w:val="right"/>
        </w:pPr>
        <w:r>
          <w:fldChar w:fldCharType="begin"/>
        </w:r>
        <w:r>
          <w:instrText xml:space="preserve"> PAGE   \* MERGEFORMAT </w:instrText>
        </w:r>
        <w:r>
          <w:fldChar w:fldCharType="separate"/>
        </w:r>
        <w:r w:rsidR="00A15100">
          <w:rPr>
            <w:noProof/>
          </w:rPr>
          <w:t>4</w:t>
        </w:r>
        <w:r>
          <w:rPr>
            <w:noProof/>
          </w:rPr>
          <w:fldChar w:fldCharType="end"/>
        </w:r>
      </w:p>
    </w:sdtContent>
  </w:sdt>
  <w:p w:rsidR="004B6381" w:rsidRDefault="004B6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EDF" w:rsidRDefault="00C41EDF" w:rsidP="00553A3B">
      <w:pPr>
        <w:spacing w:after="0" w:line="240" w:lineRule="auto"/>
      </w:pPr>
      <w:r>
        <w:separator/>
      </w:r>
    </w:p>
  </w:footnote>
  <w:footnote w:type="continuationSeparator" w:id="0">
    <w:p w:rsidR="00C41EDF" w:rsidRDefault="00C41EDF" w:rsidP="00553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3B" w:rsidRDefault="00553A3B" w:rsidP="00553A3B">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A15100">
      <w:rPr>
        <w:rFonts w:asciiTheme="majorHAnsi" w:hAnsiTheme="majorHAnsi"/>
        <w:b/>
        <w:sz w:val="24"/>
        <w:szCs w:val="24"/>
      </w:rPr>
      <w:t>706</w:t>
    </w:r>
    <w:r>
      <w:rPr>
        <w:rFonts w:asciiTheme="majorHAnsi" w:hAnsiTheme="majorHAnsi"/>
        <w:b/>
        <w:sz w:val="24"/>
        <w:szCs w:val="24"/>
      </w:rPr>
      <w:t>/16</w:t>
    </w:r>
  </w:p>
  <w:p w:rsidR="00553A3B" w:rsidRDefault="00553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42D"/>
    <w:multiLevelType w:val="hybridMultilevel"/>
    <w:tmpl w:val="B5422A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6"/>
    <w:rsid w:val="001E32DE"/>
    <w:rsid w:val="003B739E"/>
    <w:rsid w:val="003F4089"/>
    <w:rsid w:val="00403BC7"/>
    <w:rsid w:val="004B4263"/>
    <w:rsid w:val="004B6381"/>
    <w:rsid w:val="00553A3B"/>
    <w:rsid w:val="00590149"/>
    <w:rsid w:val="005D073E"/>
    <w:rsid w:val="007D4D91"/>
    <w:rsid w:val="00A15100"/>
    <w:rsid w:val="00A22E56"/>
    <w:rsid w:val="00A76CCE"/>
    <w:rsid w:val="00C41EDF"/>
    <w:rsid w:val="00CA6628"/>
    <w:rsid w:val="00CE1B70"/>
    <w:rsid w:val="00CF682A"/>
    <w:rsid w:val="00D33A5F"/>
    <w:rsid w:val="00D5416D"/>
    <w:rsid w:val="00E553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3B"/>
  </w:style>
  <w:style w:type="paragraph" w:styleId="Footer">
    <w:name w:val="footer"/>
    <w:basedOn w:val="Normal"/>
    <w:link w:val="FooterChar"/>
    <w:uiPriority w:val="99"/>
    <w:unhideWhenUsed/>
    <w:rsid w:val="0055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3B"/>
  </w:style>
  <w:style w:type="paragraph" w:styleId="ListParagraph">
    <w:name w:val="List Paragraph"/>
    <w:basedOn w:val="Normal"/>
    <w:uiPriority w:val="34"/>
    <w:qFormat/>
    <w:rsid w:val="00A76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3B"/>
  </w:style>
  <w:style w:type="paragraph" w:styleId="Footer">
    <w:name w:val="footer"/>
    <w:basedOn w:val="Normal"/>
    <w:link w:val="FooterChar"/>
    <w:uiPriority w:val="99"/>
    <w:unhideWhenUsed/>
    <w:rsid w:val="0055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3B"/>
  </w:style>
  <w:style w:type="paragraph" w:styleId="ListParagraph">
    <w:name w:val="List Paragraph"/>
    <w:basedOn w:val="Normal"/>
    <w:uiPriority w:val="34"/>
    <w:qFormat/>
    <w:rsid w:val="00A76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2016-10-28T07:23:00Z</dcterms:created>
  <dcterms:modified xsi:type="dcterms:W3CDTF">2016-11-02T13:50:00Z</dcterms:modified>
</cp:coreProperties>
</file>