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891" w:rsidRDefault="00845891" w:rsidP="005274D7">
      <w:pPr>
        <w:pStyle w:val="NoSpacing"/>
        <w:jc w:val="both"/>
        <w:rPr>
          <w:b/>
          <w:szCs w:val="24"/>
        </w:rPr>
      </w:pPr>
      <w:r>
        <w:rPr>
          <w:b/>
          <w:szCs w:val="24"/>
        </w:rPr>
        <w:t>MENDELSON MOYO</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STENFORD VUNDLA</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LOWANI NYONI</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JETHRO TSHABALALA</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TONGAI NCUBE</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SABELO KHOZA</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JONAH NYATHI</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SIMUDZA MULEYA</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COSMAS MPOTE</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ROBERT SIBANDA</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GEDION MUMPANDE</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EMMACULATE MHLANGA</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VUKANI MASEKO</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JIME RIVAL</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SHEILA RUDZUNA</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NTOMBIZAMI NCUBE</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NGQABUTHO MOYO</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BRIAN NYAMANDE</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MOSES DARLINGTON SIBANDA</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SHERINAH SIBANDA</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MLONDI MLOTSHWA</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BHEKISIPHO DUBE</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LAZAROUS MUDENDA</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NATHAN SEITH NGWENYA</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Versus</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 xml:space="preserve">MINISTER OF PUBLIC SERVICE, </w:t>
      </w:r>
    </w:p>
    <w:p w:rsidR="00845891" w:rsidRDefault="00845891" w:rsidP="005274D7">
      <w:pPr>
        <w:pStyle w:val="NoSpacing"/>
        <w:jc w:val="both"/>
        <w:rPr>
          <w:b/>
          <w:szCs w:val="24"/>
        </w:rPr>
      </w:pPr>
      <w:r>
        <w:rPr>
          <w:b/>
          <w:szCs w:val="24"/>
        </w:rPr>
        <w:t>LABOUR AND SOCIAL WELFARE, N.O.</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C62436" w:rsidRDefault="00C62436" w:rsidP="005274D7">
      <w:pPr>
        <w:pStyle w:val="NoSpacing"/>
        <w:jc w:val="both"/>
        <w:rPr>
          <w:b/>
          <w:szCs w:val="24"/>
        </w:rPr>
      </w:pPr>
    </w:p>
    <w:p w:rsidR="00845891" w:rsidRDefault="00845891" w:rsidP="005274D7">
      <w:pPr>
        <w:pStyle w:val="NoSpacing"/>
        <w:jc w:val="both"/>
        <w:rPr>
          <w:b/>
          <w:szCs w:val="24"/>
        </w:rPr>
      </w:pPr>
      <w:r>
        <w:rPr>
          <w:b/>
          <w:szCs w:val="24"/>
        </w:rPr>
        <w:t>ATTORNEY-GENERAL N.O</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And</w:t>
      </w:r>
    </w:p>
    <w:p w:rsidR="00845891" w:rsidRDefault="00845891" w:rsidP="005274D7">
      <w:pPr>
        <w:pStyle w:val="NoSpacing"/>
        <w:jc w:val="both"/>
        <w:rPr>
          <w:b/>
          <w:szCs w:val="24"/>
        </w:rPr>
      </w:pPr>
    </w:p>
    <w:p w:rsidR="00845891" w:rsidRDefault="00845891" w:rsidP="005274D7">
      <w:pPr>
        <w:pStyle w:val="NoSpacing"/>
        <w:jc w:val="both"/>
        <w:rPr>
          <w:b/>
          <w:szCs w:val="24"/>
        </w:rPr>
      </w:pPr>
      <w:r>
        <w:rPr>
          <w:b/>
          <w:szCs w:val="24"/>
        </w:rPr>
        <w:t>MUNICIPALITY OF VICTORIA FALLS</w:t>
      </w:r>
    </w:p>
    <w:p w:rsidR="00845891" w:rsidRDefault="00845891" w:rsidP="005274D7">
      <w:pPr>
        <w:pStyle w:val="NoSpacing"/>
        <w:jc w:val="both"/>
        <w:rPr>
          <w:szCs w:val="24"/>
        </w:rPr>
      </w:pPr>
    </w:p>
    <w:p w:rsidR="00845891" w:rsidRDefault="00845891" w:rsidP="005274D7">
      <w:pPr>
        <w:pStyle w:val="NoSpacing"/>
        <w:jc w:val="both"/>
        <w:rPr>
          <w:szCs w:val="24"/>
        </w:rPr>
      </w:pPr>
    </w:p>
    <w:p w:rsidR="00845891" w:rsidRDefault="00845891" w:rsidP="005274D7">
      <w:pPr>
        <w:pStyle w:val="NoSpacing"/>
        <w:jc w:val="both"/>
        <w:rPr>
          <w:szCs w:val="24"/>
        </w:rPr>
      </w:pPr>
      <w:r>
        <w:rPr>
          <w:szCs w:val="24"/>
        </w:rPr>
        <w:t>IN THE HIGH COURT OF ZIMBABWE</w:t>
      </w:r>
    </w:p>
    <w:p w:rsidR="00845891" w:rsidRDefault="00845891" w:rsidP="005274D7">
      <w:pPr>
        <w:pStyle w:val="NoSpacing"/>
        <w:jc w:val="both"/>
        <w:rPr>
          <w:szCs w:val="24"/>
        </w:rPr>
      </w:pPr>
      <w:r>
        <w:rPr>
          <w:szCs w:val="24"/>
        </w:rPr>
        <w:t>MOYO J</w:t>
      </w:r>
    </w:p>
    <w:p w:rsidR="00845891" w:rsidRDefault="00C46374" w:rsidP="005274D7">
      <w:pPr>
        <w:pStyle w:val="NoSpacing"/>
        <w:jc w:val="both"/>
        <w:rPr>
          <w:szCs w:val="24"/>
        </w:rPr>
      </w:pPr>
      <w:r>
        <w:rPr>
          <w:szCs w:val="24"/>
        </w:rPr>
        <w:t>BULAWAYO 22 JUNE</w:t>
      </w:r>
      <w:r w:rsidR="00845891">
        <w:rPr>
          <w:szCs w:val="24"/>
        </w:rPr>
        <w:t xml:space="preserve"> AND 29 SEPTEMBER 2022</w:t>
      </w:r>
    </w:p>
    <w:p w:rsidR="00845891" w:rsidRDefault="00845891" w:rsidP="005274D7">
      <w:pPr>
        <w:pStyle w:val="NoSpacing"/>
        <w:jc w:val="both"/>
        <w:rPr>
          <w:szCs w:val="24"/>
        </w:rPr>
      </w:pPr>
    </w:p>
    <w:p w:rsidR="00845891" w:rsidRDefault="00845891" w:rsidP="005274D7">
      <w:pPr>
        <w:pStyle w:val="NoSpacing"/>
        <w:jc w:val="both"/>
        <w:rPr>
          <w:b/>
          <w:szCs w:val="24"/>
        </w:rPr>
      </w:pPr>
    </w:p>
    <w:p w:rsidR="00845891" w:rsidRDefault="00C46374" w:rsidP="005274D7">
      <w:pPr>
        <w:pStyle w:val="NoSpacing"/>
        <w:jc w:val="both"/>
        <w:rPr>
          <w:b/>
          <w:szCs w:val="24"/>
        </w:rPr>
      </w:pPr>
      <w:r>
        <w:rPr>
          <w:b/>
          <w:szCs w:val="24"/>
        </w:rPr>
        <w:t>Opposed Application</w:t>
      </w:r>
      <w:r w:rsidR="00845891">
        <w:rPr>
          <w:b/>
          <w:szCs w:val="24"/>
        </w:rPr>
        <w:t xml:space="preserve"> </w:t>
      </w:r>
    </w:p>
    <w:p w:rsidR="00845891" w:rsidRDefault="00845891" w:rsidP="005274D7">
      <w:pPr>
        <w:pStyle w:val="NoSpacing"/>
        <w:jc w:val="both"/>
        <w:rPr>
          <w:szCs w:val="24"/>
        </w:rPr>
      </w:pPr>
    </w:p>
    <w:p w:rsidR="00845891" w:rsidRDefault="00845891" w:rsidP="005274D7">
      <w:pPr>
        <w:pStyle w:val="NoSpacing"/>
        <w:jc w:val="both"/>
        <w:rPr>
          <w:i/>
          <w:szCs w:val="24"/>
        </w:rPr>
      </w:pPr>
    </w:p>
    <w:p w:rsidR="00845891" w:rsidRDefault="009017B5" w:rsidP="005274D7">
      <w:pPr>
        <w:pStyle w:val="NoSpacing"/>
        <w:jc w:val="both"/>
        <w:rPr>
          <w:szCs w:val="24"/>
        </w:rPr>
      </w:pPr>
      <w:r>
        <w:rPr>
          <w:i/>
          <w:szCs w:val="24"/>
        </w:rPr>
        <w:t xml:space="preserve">M. </w:t>
      </w:r>
      <w:proofErr w:type="spellStart"/>
      <w:r>
        <w:rPr>
          <w:i/>
          <w:szCs w:val="24"/>
        </w:rPr>
        <w:t>Ncube</w:t>
      </w:r>
      <w:proofErr w:type="spellEnd"/>
      <w:r w:rsidR="00845891">
        <w:rPr>
          <w:i/>
          <w:szCs w:val="24"/>
        </w:rPr>
        <w:t xml:space="preserve">, </w:t>
      </w:r>
      <w:r w:rsidR="00845891">
        <w:rPr>
          <w:szCs w:val="24"/>
        </w:rPr>
        <w:t>for the applicant</w:t>
      </w:r>
      <w:r>
        <w:rPr>
          <w:szCs w:val="24"/>
        </w:rPr>
        <w:t>s</w:t>
      </w:r>
    </w:p>
    <w:p w:rsidR="00845891" w:rsidRDefault="009017B5" w:rsidP="005274D7">
      <w:pPr>
        <w:pStyle w:val="NoSpacing"/>
        <w:jc w:val="both"/>
        <w:rPr>
          <w:szCs w:val="24"/>
        </w:rPr>
      </w:pPr>
      <w:proofErr w:type="spellStart"/>
      <w:r>
        <w:rPr>
          <w:i/>
          <w:szCs w:val="24"/>
        </w:rPr>
        <w:t>Ms</w:t>
      </w:r>
      <w:proofErr w:type="spellEnd"/>
      <w:r>
        <w:rPr>
          <w:i/>
          <w:szCs w:val="24"/>
        </w:rPr>
        <w:t xml:space="preserve"> T.E </w:t>
      </w:r>
      <w:proofErr w:type="spellStart"/>
      <w:r>
        <w:rPr>
          <w:i/>
          <w:szCs w:val="24"/>
        </w:rPr>
        <w:t>Kamema</w:t>
      </w:r>
      <w:proofErr w:type="spellEnd"/>
      <w:r>
        <w:rPr>
          <w:i/>
          <w:szCs w:val="24"/>
        </w:rPr>
        <w:t xml:space="preserve">, </w:t>
      </w:r>
      <w:r w:rsidRPr="009017B5">
        <w:rPr>
          <w:szCs w:val="24"/>
        </w:rPr>
        <w:t>for the 1</w:t>
      </w:r>
      <w:r w:rsidRPr="009017B5">
        <w:rPr>
          <w:szCs w:val="24"/>
          <w:vertAlign w:val="superscript"/>
        </w:rPr>
        <w:t>st</w:t>
      </w:r>
      <w:r w:rsidRPr="009017B5">
        <w:rPr>
          <w:szCs w:val="24"/>
        </w:rPr>
        <w:t xml:space="preserve"> and 2</w:t>
      </w:r>
      <w:r w:rsidRPr="009017B5">
        <w:rPr>
          <w:szCs w:val="24"/>
          <w:vertAlign w:val="superscript"/>
        </w:rPr>
        <w:t>nd</w:t>
      </w:r>
      <w:r w:rsidRPr="009017B5">
        <w:rPr>
          <w:szCs w:val="24"/>
        </w:rPr>
        <w:t xml:space="preserve"> respondents</w:t>
      </w:r>
    </w:p>
    <w:p w:rsidR="009017B5" w:rsidRDefault="009017B5" w:rsidP="005274D7">
      <w:pPr>
        <w:pStyle w:val="NoSpacing"/>
        <w:jc w:val="both"/>
        <w:rPr>
          <w:i/>
          <w:szCs w:val="24"/>
        </w:rPr>
      </w:pPr>
      <w:r w:rsidRPr="009017B5">
        <w:rPr>
          <w:i/>
          <w:szCs w:val="24"/>
        </w:rPr>
        <w:t xml:space="preserve">K. </w:t>
      </w:r>
      <w:proofErr w:type="spellStart"/>
      <w:r w:rsidRPr="009017B5">
        <w:rPr>
          <w:i/>
          <w:szCs w:val="24"/>
        </w:rPr>
        <w:t>Ngwenya</w:t>
      </w:r>
      <w:proofErr w:type="spellEnd"/>
      <w:r>
        <w:rPr>
          <w:szCs w:val="24"/>
        </w:rPr>
        <w:t>, for the 3</w:t>
      </w:r>
      <w:r w:rsidRPr="009017B5">
        <w:rPr>
          <w:szCs w:val="24"/>
          <w:vertAlign w:val="superscript"/>
        </w:rPr>
        <w:t>rd</w:t>
      </w:r>
      <w:r>
        <w:rPr>
          <w:szCs w:val="24"/>
        </w:rPr>
        <w:t xml:space="preserve"> respondent</w:t>
      </w:r>
    </w:p>
    <w:p w:rsidR="00845891" w:rsidRDefault="00845891" w:rsidP="005274D7">
      <w:pPr>
        <w:jc w:val="both"/>
        <w:rPr>
          <w:rFonts w:ascii="Times New Roman" w:hAnsi="Times New Roman" w:cs="Times New Roman"/>
          <w:b/>
          <w:sz w:val="24"/>
          <w:szCs w:val="24"/>
        </w:rPr>
      </w:pPr>
    </w:p>
    <w:p w:rsidR="00223694" w:rsidRDefault="00845891" w:rsidP="005274D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 xml:space="preserve">: </w:t>
      </w:r>
      <w:r>
        <w:rPr>
          <w:rFonts w:ascii="Times New Roman" w:hAnsi="Times New Roman" w:cs="Times New Roman"/>
          <w:sz w:val="24"/>
          <w:szCs w:val="24"/>
        </w:rPr>
        <w:tab/>
        <w:t xml:space="preserve">This is </w:t>
      </w:r>
      <w:r w:rsidR="009017B5">
        <w:rPr>
          <w:rFonts w:ascii="Times New Roman" w:hAnsi="Times New Roman" w:cs="Times New Roman"/>
          <w:sz w:val="24"/>
          <w:szCs w:val="24"/>
        </w:rPr>
        <w:t xml:space="preserve">an application for a </w:t>
      </w:r>
      <w:proofErr w:type="spellStart"/>
      <w:r w:rsidR="009017B5">
        <w:rPr>
          <w:rFonts w:ascii="Times New Roman" w:hAnsi="Times New Roman" w:cs="Times New Roman"/>
          <w:sz w:val="24"/>
          <w:szCs w:val="24"/>
        </w:rPr>
        <w:t>declaratur</w:t>
      </w:r>
      <w:proofErr w:type="spellEnd"/>
      <w:r w:rsidR="009017B5">
        <w:rPr>
          <w:rFonts w:ascii="Times New Roman" w:hAnsi="Times New Roman" w:cs="Times New Roman"/>
          <w:sz w:val="24"/>
          <w:szCs w:val="24"/>
        </w:rPr>
        <w:t xml:space="preserve"> wherein the 24 applicants seek an order concluded in the following terms:-</w:t>
      </w:r>
    </w:p>
    <w:p w:rsidR="009017B5" w:rsidRDefault="009017B5" w:rsidP="00C6243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declaratur</w:t>
      </w:r>
      <w:proofErr w:type="spellEnd"/>
      <w:r>
        <w:rPr>
          <w:rFonts w:ascii="Times New Roman" w:hAnsi="Times New Roman" w:cs="Times New Roman"/>
          <w:sz w:val="24"/>
          <w:szCs w:val="24"/>
        </w:rPr>
        <w:t xml:space="preserve"> be and is hereby issued that the 1</w:t>
      </w:r>
      <w:r w:rsidRPr="009017B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decision contained in her letter dated 14 February 2017 addressed to the 3</w:t>
      </w:r>
      <w:r w:rsidRPr="009017B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Town Clerk that sections 21 and 22 of CBA being part of the conditions of service of the 3</w:t>
      </w:r>
      <w:r w:rsidRPr="009017B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suspended is null, void and of no force or effect in that the ground relied upon by 1</w:t>
      </w:r>
      <w:r w:rsidRPr="009017B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for her decision is </w:t>
      </w:r>
      <w:r w:rsidRPr="001619C4">
        <w:rPr>
          <w:rFonts w:ascii="Times New Roman" w:hAnsi="Times New Roman" w:cs="Times New Roman"/>
          <w:i/>
          <w:sz w:val="24"/>
          <w:szCs w:val="24"/>
        </w:rPr>
        <w:t>ultra vires</w:t>
      </w:r>
      <w:r>
        <w:rPr>
          <w:rFonts w:ascii="Times New Roman" w:hAnsi="Times New Roman" w:cs="Times New Roman"/>
          <w:sz w:val="24"/>
          <w:szCs w:val="24"/>
        </w:rPr>
        <w:t xml:space="preserve"> section 25 (2)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Chapter 28:01.”</w:t>
      </w:r>
    </w:p>
    <w:p w:rsidR="009017B5" w:rsidRDefault="009017B5" w:rsidP="005274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of this matter is that the applicants being the employees of 3</w:t>
      </w:r>
      <w:r w:rsidRPr="009017B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entered into a collective bargaining agreement</w:t>
      </w:r>
      <w:r w:rsidR="00BA5BAD">
        <w:rPr>
          <w:rFonts w:ascii="Times New Roman" w:hAnsi="Times New Roman" w:cs="Times New Roman"/>
          <w:sz w:val="24"/>
          <w:szCs w:val="24"/>
        </w:rPr>
        <w:t xml:space="preserve"> (hereinafter referred to as the CBA) </w:t>
      </w:r>
      <w:r>
        <w:rPr>
          <w:rFonts w:ascii="Times New Roman" w:hAnsi="Times New Roman" w:cs="Times New Roman"/>
          <w:sz w:val="24"/>
          <w:szCs w:val="24"/>
        </w:rPr>
        <w:t xml:space="preserve"> in terms of section 25 (1)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(Chapter 28:01) which provides thus:-</w:t>
      </w:r>
    </w:p>
    <w:p w:rsidR="009017B5" w:rsidRDefault="00280C9E" w:rsidP="00490C9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9017B5">
        <w:rPr>
          <w:rFonts w:ascii="Times New Roman" w:hAnsi="Times New Roman" w:cs="Times New Roman"/>
          <w:sz w:val="24"/>
          <w:szCs w:val="24"/>
        </w:rPr>
        <w:t xml:space="preserve">Every collective bargaining agreement which has been negotiated by a Workers Committee shall be referred by the Workers Committee to the employees and the Trade Union concerned, and, if approved by </w:t>
      </w:r>
      <w:r>
        <w:rPr>
          <w:rFonts w:ascii="Times New Roman" w:hAnsi="Times New Roman" w:cs="Times New Roman"/>
          <w:sz w:val="24"/>
          <w:szCs w:val="24"/>
        </w:rPr>
        <w:t>the Trade Union and by more than 50 percent of the employees, shall become binding on the employer and the employees concerned.”</w:t>
      </w:r>
      <w:r w:rsidR="009017B5">
        <w:rPr>
          <w:rFonts w:ascii="Times New Roman" w:hAnsi="Times New Roman" w:cs="Times New Roman"/>
          <w:sz w:val="24"/>
          <w:szCs w:val="24"/>
        </w:rPr>
        <w:t xml:space="preserve"> </w:t>
      </w:r>
    </w:p>
    <w:p w:rsidR="00280C9E" w:rsidRDefault="00280C9E" w:rsidP="005274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 the purview of this section that the applicants and 3</w:t>
      </w:r>
      <w:r w:rsidRPr="00280C9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entered into the CBA being the subject matter of this application.  The terms and conditions of the CBA are irrelevant for purposes of this application but what is relevant are the Minister</w:t>
      </w:r>
      <w:r w:rsidR="00AE06D5">
        <w:rPr>
          <w:rFonts w:ascii="Times New Roman" w:hAnsi="Times New Roman" w:cs="Times New Roman"/>
          <w:sz w:val="24"/>
          <w:szCs w:val="24"/>
        </w:rPr>
        <w:t>’</w:t>
      </w:r>
      <w:r>
        <w:rPr>
          <w:rFonts w:ascii="Times New Roman" w:hAnsi="Times New Roman" w:cs="Times New Roman"/>
          <w:sz w:val="24"/>
          <w:szCs w:val="24"/>
        </w:rPr>
        <w:t>s (1</w:t>
      </w:r>
      <w:r w:rsidRPr="00280C9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rPr>
        <w:lastRenderedPageBreak/>
        <w:t>respondents) actions to suspend the operations of the CBA in terms of section 25 (2) of the same Act.  The section provides thus:-</w:t>
      </w:r>
    </w:p>
    <w:p w:rsidR="00280C9E" w:rsidRDefault="00280C9E" w:rsidP="00AE06D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“Where a collective bargaining agreement which has been negotiated by a Workers’ Committee contains any provision which is, or has become</w:t>
      </w:r>
    </w:p>
    <w:p w:rsidR="00280C9E" w:rsidRDefault="00280C9E" w:rsidP="00AE06D5">
      <w:pPr>
        <w:pStyle w:val="ListParagraph"/>
        <w:numPr>
          <w:ilvl w:val="0"/>
          <w:numId w:val="1"/>
        </w:numPr>
        <w:spacing w:line="240" w:lineRule="auto"/>
        <w:jc w:val="both"/>
        <w:rPr>
          <w:rFonts w:ascii="Times New Roman" w:hAnsi="Times New Roman" w:cs="Times New Roman"/>
          <w:sz w:val="24"/>
          <w:szCs w:val="24"/>
        </w:rPr>
      </w:pPr>
      <w:r w:rsidRPr="00280C9E">
        <w:rPr>
          <w:rFonts w:ascii="Times New Roman" w:hAnsi="Times New Roman" w:cs="Times New Roman"/>
          <w:sz w:val="24"/>
          <w:szCs w:val="24"/>
        </w:rPr>
        <w:t>inconsistent with this Act or any other enactment or</w:t>
      </w:r>
    </w:p>
    <w:p w:rsidR="00280C9E" w:rsidRDefault="00280C9E" w:rsidP="00AE06D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1B339E">
        <w:rPr>
          <w:rFonts w:ascii="Times New Roman" w:hAnsi="Times New Roman" w:cs="Times New Roman"/>
          <w:sz w:val="24"/>
          <w:szCs w:val="24"/>
        </w:rPr>
        <w:tab/>
        <w:t>(subsection repeated)</w:t>
      </w:r>
    </w:p>
    <w:p w:rsidR="00280C9E" w:rsidRDefault="00280C9E" w:rsidP="00AE06D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unreasonable or unfair, having regard to the respective rights of the parties, the Minister may direct the parties to the </w:t>
      </w:r>
      <w:r w:rsidR="0076123A">
        <w:rPr>
          <w:rFonts w:ascii="Times New Roman" w:hAnsi="Times New Roman" w:cs="Times New Roman"/>
          <w:sz w:val="24"/>
          <w:szCs w:val="24"/>
        </w:rPr>
        <w:t xml:space="preserve">agreement to negotiate, within such a period as he may specify, an amendment to the agreement in such a manner or to such </w:t>
      </w:r>
      <w:r w:rsidR="00A65423">
        <w:rPr>
          <w:rFonts w:ascii="Times New Roman" w:hAnsi="Times New Roman" w:cs="Times New Roman"/>
          <w:sz w:val="24"/>
          <w:szCs w:val="24"/>
        </w:rPr>
        <w:t>an extent as he may specify, and he may give such other directions relating to the operation of the agreement pending its amendment as he may deem fit, and such directions shall be binding on the parties.”</w:t>
      </w:r>
    </w:p>
    <w:p w:rsidR="000B29B9" w:rsidRDefault="000B29B9" w:rsidP="005274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case is that on or about 6 February 2009 the Workers</w:t>
      </w:r>
      <w:r w:rsidR="00E55532">
        <w:rPr>
          <w:rFonts w:ascii="Times New Roman" w:hAnsi="Times New Roman" w:cs="Times New Roman"/>
          <w:sz w:val="24"/>
          <w:szCs w:val="24"/>
        </w:rPr>
        <w:t xml:space="preserve">’ Council </w:t>
      </w:r>
      <w:r>
        <w:rPr>
          <w:rFonts w:ascii="Times New Roman" w:hAnsi="Times New Roman" w:cs="Times New Roman"/>
          <w:sz w:val="24"/>
          <w:szCs w:val="24"/>
        </w:rPr>
        <w:t>of the 3</w:t>
      </w:r>
      <w:r w:rsidRPr="000B29B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entered into a Collective Bargaining Agreement for all the employees of the 3</w:t>
      </w:r>
      <w:r w:rsidRPr="000B29B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CBA was duly registered and applied by the parties.  It remained in force until in March 2017 when 1</w:t>
      </w:r>
      <w:r w:rsidRPr="000B29B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sought t</w:t>
      </w:r>
      <w:r w:rsidR="0037442C">
        <w:rPr>
          <w:rFonts w:ascii="Times New Roman" w:hAnsi="Times New Roman" w:cs="Times New Roman"/>
          <w:sz w:val="24"/>
          <w:szCs w:val="24"/>
        </w:rPr>
        <w:t>o suspend the CBA citing that i</w:t>
      </w:r>
      <w:r>
        <w:rPr>
          <w:rFonts w:ascii="Times New Roman" w:hAnsi="Times New Roman" w:cs="Times New Roman"/>
          <w:sz w:val="24"/>
          <w:szCs w:val="24"/>
        </w:rPr>
        <w:t>t negatively affected the operations of Council.</w:t>
      </w:r>
      <w:r w:rsidR="00537C2C">
        <w:rPr>
          <w:rFonts w:ascii="Times New Roman" w:hAnsi="Times New Roman" w:cs="Times New Roman"/>
          <w:sz w:val="24"/>
          <w:szCs w:val="24"/>
        </w:rPr>
        <w:t xml:space="preserve">  The applicants’ bone of contention is that the 1</w:t>
      </w:r>
      <w:r w:rsidR="00537C2C" w:rsidRPr="00537C2C">
        <w:rPr>
          <w:rFonts w:ascii="Times New Roman" w:hAnsi="Times New Roman" w:cs="Times New Roman"/>
          <w:sz w:val="24"/>
          <w:szCs w:val="24"/>
          <w:vertAlign w:val="superscript"/>
        </w:rPr>
        <w:t>st</w:t>
      </w:r>
      <w:r w:rsidR="00537C2C">
        <w:rPr>
          <w:rFonts w:ascii="Times New Roman" w:hAnsi="Times New Roman" w:cs="Times New Roman"/>
          <w:sz w:val="24"/>
          <w:szCs w:val="24"/>
        </w:rPr>
        <w:t xml:space="preserve"> respondent’s interference with the CBA is not in accordance with the law as she has no such authority to interfere on th</w:t>
      </w:r>
      <w:r w:rsidR="00E55532">
        <w:rPr>
          <w:rFonts w:ascii="Times New Roman" w:hAnsi="Times New Roman" w:cs="Times New Roman"/>
          <w:sz w:val="24"/>
          <w:szCs w:val="24"/>
        </w:rPr>
        <w:t xml:space="preserve">e grounds stated in her </w:t>
      </w:r>
      <w:proofErr w:type="gramStart"/>
      <w:r w:rsidR="00E55532">
        <w:rPr>
          <w:rFonts w:ascii="Times New Roman" w:hAnsi="Times New Roman" w:cs="Times New Roman"/>
          <w:sz w:val="24"/>
          <w:szCs w:val="24"/>
        </w:rPr>
        <w:t xml:space="preserve">letter, </w:t>
      </w:r>
      <w:r w:rsidR="00537C2C">
        <w:rPr>
          <w:rFonts w:ascii="Times New Roman" w:hAnsi="Times New Roman" w:cs="Times New Roman"/>
          <w:sz w:val="24"/>
          <w:szCs w:val="24"/>
        </w:rPr>
        <w:t>that</w:t>
      </w:r>
      <w:proofErr w:type="gramEnd"/>
      <w:r w:rsidR="00537C2C">
        <w:rPr>
          <w:rFonts w:ascii="Times New Roman" w:hAnsi="Times New Roman" w:cs="Times New Roman"/>
          <w:sz w:val="24"/>
          <w:szCs w:val="24"/>
        </w:rPr>
        <w:t xml:space="preserve"> is to suspend pays of the CBA on the strength that they “negatively affected the viability of Council.”   The applicants accordingly seek a </w:t>
      </w:r>
      <w:proofErr w:type="spellStart"/>
      <w:r w:rsidR="00537C2C">
        <w:rPr>
          <w:rFonts w:ascii="Times New Roman" w:hAnsi="Times New Roman" w:cs="Times New Roman"/>
          <w:sz w:val="24"/>
          <w:szCs w:val="24"/>
        </w:rPr>
        <w:t>declaratur</w:t>
      </w:r>
      <w:proofErr w:type="spellEnd"/>
      <w:r w:rsidR="00537C2C">
        <w:rPr>
          <w:rFonts w:ascii="Times New Roman" w:hAnsi="Times New Roman" w:cs="Times New Roman"/>
          <w:sz w:val="24"/>
          <w:szCs w:val="24"/>
        </w:rPr>
        <w:t xml:space="preserve"> that 1</w:t>
      </w:r>
      <w:r w:rsidR="00537C2C" w:rsidRPr="00537C2C">
        <w:rPr>
          <w:rFonts w:ascii="Times New Roman" w:hAnsi="Times New Roman" w:cs="Times New Roman"/>
          <w:sz w:val="24"/>
          <w:szCs w:val="24"/>
          <w:vertAlign w:val="superscript"/>
        </w:rPr>
        <w:t>st</w:t>
      </w:r>
      <w:r w:rsidR="00537C2C">
        <w:rPr>
          <w:rFonts w:ascii="Times New Roman" w:hAnsi="Times New Roman" w:cs="Times New Roman"/>
          <w:sz w:val="24"/>
          <w:szCs w:val="24"/>
        </w:rPr>
        <w:t xml:space="preserve"> respondent’s purported interference is unlawful and therefore null and void.</w:t>
      </w:r>
    </w:p>
    <w:p w:rsidR="00077BE0" w:rsidRDefault="00537C2C" w:rsidP="005274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537C2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raised a point </w:t>
      </w:r>
      <w:r w:rsidRPr="00E55532">
        <w:rPr>
          <w:rFonts w:ascii="Times New Roman" w:hAnsi="Times New Roman" w:cs="Times New Roman"/>
          <w:i/>
          <w:sz w:val="24"/>
          <w:szCs w:val="24"/>
        </w:rPr>
        <w:t xml:space="preserve">in </w:t>
      </w:r>
      <w:proofErr w:type="spellStart"/>
      <w:r w:rsidRPr="00E55532">
        <w:rPr>
          <w:rFonts w:ascii="Times New Roman" w:hAnsi="Times New Roman" w:cs="Times New Roman"/>
          <w:i/>
          <w:sz w:val="24"/>
          <w:szCs w:val="24"/>
        </w:rPr>
        <w:t>limine</w:t>
      </w:r>
      <w:proofErr w:type="spellEnd"/>
      <w:r>
        <w:rPr>
          <w:rFonts w:ascii="Times New Roman" w:hAnsi="Times New Roman" w:cs="Times New Roman"/>
          <w:sz w:val="24"/>
          <w:szCs w:val="24"/>
        </w:rPr>
        <w:t>, that is to say, the applicants should not be heard by this court before exhausting available remedies.  The 1</w:t>
      </w:r>
      <w:r w:rsidRPr="00537C2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opposing affidavit together with the Heads of Argument, simply refer to the exhaustion of internal remedies without specifying them.  The 1</w:t>
      </w:r>
      <w:r w:rsidRPr="00537C2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refers to a settlement of the dispute through dialogue and negotiations.  There is no reference at all to stipulated remedies in terms of the law which </w:t>
      </w:r>
      <w:r w:rsidR="00077BE0">
        <w:rPr>
          <w:rFonts w:ascii="Times New Roman" w:hAnsi="Times New Roman" w:cs="Times New Roman"/>
          <w:sz w:val="24"/>
          <w:szCs w:val="24"/>
        </w:rPr>
        <w:t>remedies would suffice to resolve the dispute.  It was imperative on the 1</w:t>
      </w:r>
      <w:r w:rsidR="00077BE0" w:rsidRPr="00077BE0">
        <w:rPr>
          <w:rFonts w:ascii="Times New Roman" w:hAnsi="Times New Roman" w:cs="Times New Roman"/>
          <w:sz w:val="24"/>
          <w:szCs w:val="24"/>
          <w:vertAlign w:val="superscript"/>
        </w:rPr>
        <w:t>st</w:t>
      </w:r>
      <w:r w:rsidR="00077BE0">
        <w:rPr>
          <w:rFonts w:ascii="Times New Roman" w:hAnsi="Times New Roman" w:cs="Times New Roman"/>
          <w:sz w:val="24"/>
          <w:szCs w:val="24"/>
        </w:rPr>
        <w:t xml:space="preserve"> respondent to state in no uncertain terms the available remedies and where they are provided for.</w:t>
      </w:r>
    </w:p>
    <w:p w:rsidR="00077BE0" w:rsidRDefault="00077BE0" w:rsidP="005274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this reason the preliminary point has not been substantiated in any manner and I cannot uphold it.  It is accordingly dismissed.</w:t>
      </w:r>
    </w:p>
    <w:p w:rsidR="00077BE0" w:rsidRDefault="00077BE0" w:rsidP="005274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merits, the letter of the Minister dated 14 February 2017, was written after it had come to the Minister’s attention that the manner in whi</w:t>
      </w:r>
      <w:r w:rsidR="00766D5F">
        <w:rPr>
          <w:rFonts w:ascii="Times New Roman" w:hAnsi="Times New Roman" w:cs="Times New Roman"/>
          <w:sz w:val="24"/>
          <w:szCs w:val="24"/>
        </w:rPr>
        <w:t xml:space="preserve">ch the gratuity provisions are </w:t>
      </w:r>
      <w:r w:rsidR="00E55532">
        <w:rPr>
          <w:rFonts w:ascii="Times New Roman" w:hAnsi="Times New Roman" w:cs="Times New Roman"/>
          <w:sz w:val="24"/>
          <w:szCs w:val="24"/>
        </w:rPr>
        <w:t>s</w:t>
      </w:r>
      <w:r>
        <w:rPr>
          <w:rFonts w:ascii="Times New Roman" w:hAnsi="Times New Roman" w:cs="Times New Roman"/>
          <w:sz w:val="24"/>
          <w:szCs w:val="24"/>
        </w:rPr>
        <w:t>tructur</w:t>
      </w:r>
      <w:r w:rsidR="00766D5F">
        <w:rPr>
          <w:rFonts w:ascii="Times New Roman" w:hAnsi="Times New Roman" w:cs="Times New Roman"/>
          <w:sz w:val="24"/>
          <w:szCs w:val="24"/>
        </w:rPr>
        <w:t xml:space="preserve">ed </w:t>
      </w:r>
      <w:r w:rsidR="00E55532">
        <w:rPr>
          <w:rFonts w:ascii="Times New Roman" w:hAnsi="Times New Roman" w:cs="Times New Roman"/>
          <w:sz w:val="24"/>
          <w:szCs w:val="24"/>
        </w:rPr>
        <w:t xml:space="preserve">negatively affects the viability </w:t>
      </w:r>
      <w:r>
        <w:rPr>
          <w:rFonts w:ascii="Times New Roman" w:hAnsi="Times New Roman" w:cs="Times New Roman"/>
          <w:sz w:val="24"/>
          <w:szCs w:val="24"/>
        </w:rPr>
        <w:t xml:space="preserve">of Council, that in terms of section 25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the Minister was directing the parties to renegotiate that conditions No. 21 and 22 of the CBA were suspended with immediate effect.</w:t>
      </w:r>
    </w:p>
    <w:p w:rsidR="00077BE0" w:rsidRPr="008411E0" w:rsidRDefault="00077BE0" w:rsidP="005274D7">
      <w:pPr>
        <w:spacing w:line="360" w:lineRule="auto"/>
        <w:ind w:firstLine="720"/>
        <w:jc w:val="both"/>
        <w:rPr>
          <w:rFonts w:ascii="Times New Roman" w:hAnsi="Times New Roman" w:cs="Times New Roman"/>
          <w:b/>
          <w:sz w:val="24"/>
          <w:szCs w:val="24"/>
        </w:rPr>
      </w:pPr>
      <w:r w:rsidRPr="008411E0">
        <w:rPr>
          <w:rFonts w:ascii="Times New Roman" w:hAnsi="Times New Roman" w:cs="Times New Roman"/>
          <w:b/>
          <w:sz w:val="24"/>
          <w:szCs w:val="24"/>
        </w:rPr>
        <w:t>The problems with the 1</w:t>
      </w:r>
      <w:r w:rsidRPr="008411E0">
        <w:rPr>
          <w:rFonts w:ascii="Times New Roman" w:hAnsi="Times New Roman" w:cs="Times New Roman"/>
          <w:b/>
          <w:sz w:val="24"/>
          <w:szCs w:val="24"/>
          <w:vertAlign w:val="superscript"/>
        </w:rPr>
        <w:t>st</w:t>
      </w:r>
      <w:r w:rsidRPr="008411E0">
        <w:rPr>
          <w:rFonts w:ascii="Times New Roman" w:hAnsi="Times New Roman" w:cs="Times New Roman"/>
          <w:b/>
          <w:sz w:val="24"/>
          <w:szCs w:val="24"/>
        </w:rPr>
        <w:t xml:space="preserve"> respondent’s letter dated 14 February 2017</w:t>
      </w:r>
    </w:p>
    <w:p w:rsidR="00B03B16" w:rsidRDefault="00077BE0" w:rsidP="005274D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To start with, as suggested by applicants</w:t>
      </w:r>
      <w:r w:rsidR="004878F3">
        <w:rPr>
          <w:rFonts w:ascii="Times New Roman" w:hAnsi="Times New Roman" w:cs="Times New Roman"/>
          <w:sz w:val="24"/>
          <w:szCs w:val="24"/>
        </w:rPr>
        <w:t>,</w:t>
      </w:r>
      <w:r>
        <w:rPr>
          <w:rFonts w:ascii="Times New Roman" w:hAnsi="Times New Roman" w:cs="Times New Roman"/>
          <w:sz w:val="24"/>
          <w:szCs w:val="24"/>
        </w:rPr>
        <w:t xml:space="preserve"> </w:t>
      </w:r>
      <w:r w:rsidR="006F3FDF">
        <w:rPr>
          <w:rFonts w:ascii="Times New Roman" w:hAnsi="Times New Roman" w:cs="Times New Roman"/>
          <w:sz w:val="24"/>
          <w:szCs w:val="24"/>
        </w:rPr>
        <w:t xml:space="preserve">section 25 (2) of the </w:t>
      </w:r>
      <w:proofErr w:type="spellStart"/>
      <w:r w:rsidR="006F3FDF">
        <w:rPr>
          <w:rFonts w:ascii="Times New Roman" w:hAnsi="Times New Roman" w:cs="Times New Roman"/>
          <w:sz w:val="24"/>
          <w:szCs w:val="24"/>
        </w:rPr>
        <w:t>Labour</w:t>
      </w:r>
      <w:proofErr w:type="spellEnd"/>
      <w:r w:rsidR="004A5E6A">
        <w:rPr>
          <w:rFonts w:ascii="Times New Roman" w:hAnsi="Times New Roman" w:cs="Times New Roman"/>
          <w:sz w:val="24"/>
          <w:szCs w:val="24"/>
        </w:rPr>
        <w:t xml:space="preserve"> Act does not give the Minister </w:t>
      </w:r>
      <w:proofErr w:type="gramStart"/>
      <w:r w:rsidR="006F3FDF">
        <w:rPr>
          <w:rFonts w:ascii="Times New Roman" w:hAnsi="Times New Roman" w:cs="Times New Roman"/>
          <w:sz w:val="24"/>
          <w:szCs w:val="24"/>
        </w:rPr>
        <w:t>powers</w:t>
      </w:r>
      <w:proofErr w:type="gramEnd"/>
      <w:r w:rsidR="006F3FDF">
        <w:rPr>
          <w:rFonts w:ascii="Times New Roman" w:hAnsi="Times New Roman" w:cs="Times New Roman"/>
          <w:sz w:val="24"/>
          <w:szCs w:val="24"/>
        </w:rPr>
        <w:t xml:space="preserve"> to act in the manner that she did.  Clearly, as the section is alluded to herein, it does not give the 1</w:t>
      </w:r>
      <w:r w:rsidR="006F3FDF" w:rsidRPr="006F3FDF">
        <w:rPr>
          <w:rFonts w:ascii="Times New Roman" w:hAnsi="Times New Roman" w:cs="Times New Roman"/>
          <w:sz w:val="24"/>
          <w:szCs w:val="24"/>
          <w:vertAlign w:val="superscript"/>
        </w:rPr>
        <w:t>st</w:t>
      </w:r>
      <w:r w:rsidR="006F3FDF">
        <w:rPr>
          <w:rFonts w:ascii="Times New Roman" w:hAnsi="Times New Roman" w:cs="Times New Roman"/>
          <w:sz w:val="24"/>
          <w:szCs w:val="24"/>
        </w:rPr>
        <w:t xml:space="preserve"> respondent the power to suspend the operations of a CBA or part thereof by reason of negative effects on the viability of Council.  The Minister should have stuck to the enabling section in her interference.  She should h</w:t>
      </w:r>
      <w:r w:rsidR="008411E0">
        <w:rPr>
          <w:rFonts w:ascii="Times New Roman" w:hAnsi="Times New Roman" w:cs="Times New Roman"/>
          <w:sz w:val="24"/>
          <w:szCs w:val="24"/>
        </w:rPr>
        <w:t>ave either pointed out that</w:t>
      </w:r>
      <w:r w:rsidR="006F3FDF">
        <w:rPr>
          <w:rFonts w:ascii="Times New Roman" w:hAnsi="Times New Roman" w:cs="Times New Roman"/>
          <w:sz w:val="24"/>
          <w:szCs w:val="24"/>
        </w:rPr>
        <w:t xml:space="preserve"> the CBA was unreasonable or unfair, given the respective rights of the parties.  The Minister instead gave a reason that is not provided for in section 25 and yet that is the section from which she derived the authority to intervene.  If the Minister wanted to intervene in terms of that section then she was duty bound to expressly confine herself on the wording of her interference to the provisions of the enabling legislation.  Anything else would mean that the Minister acted outside the purview of that section and therefore sought to exercise authority that she did not have.  For that reason, her acti</w:t>
      </w:r>
      <w:r w:rsidR="00B03B16">
        <w:rPr>
          <w:rFonts w:ascii="Times New Roman" w:hAnsi="Times New Roman" w:cs="Times New Roman"/>
          <w:sz w:val="24"/>
          <w:szCs w:val="24"/>
        </w:rPr>
        <w:t xml:space="preserve">ons would then be </w:t>
      </w:r>
      <w:r w:rsidR="00B03B16" w:rsidRPr="008411E0">
        <w:rPr>
          <w:rFonts w:ascii="Times New Roman" w:hAnsi="Times New Roman" w:cs="Times New Roman"/>
          <w:i/>
          <w:sz w:val="24"/>
          <w:szCs w:val="24"/>
        </w:rPr>
        <w:t>ultra vires</w:t>
      </w:r>
      <w:r w:rsidR="00B03B16">
        <w:rPr>
          <w:rFonts w:ascii="Times New Roman" w:hAnsi="Times New Roman" w:cs="Times New Roman"/>
          <w:sz w:val="24"/>
          <w:szCs w:val="24"/>
        </w:rPr>
        <w:t xml:space="preserve"> the enabling legislation and consequently null and void.</w:t>
      </w:r>
    </w:p>
    <w:p w:rsidR="00B03B16" w:rsidRDefault="00B03B16" w:rsidP="005274D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for these reasons that I would grant relief as sought in paragraph </w:t>
      </w:r>
      <w:proofErr w:type="gramStart"/>
      <w:r>
        <w:rPr>
          <w:rFonts w:ascii="Times New Roman" w:hAnsi="Times New Roman" w:cs="Times New Roman"/>
          <w:sz w:val="24"/>
          <w:szCs w:val="24"/>
        </w:rPr>
        <w:t>a of</w:t>
      </w:r>
      <w:proofErr w:type="gramEnd"/>
      <w:r>
        <w:rPr>
          <w:rFonts w:ascii="Times New Roman" w:hAnsi="Times New Roman" w:cs="Times New Roman"/>
          <w:sz w:val="24"/>
          <w:szCs w:val="24"/>
        </w:rPr>
        <w:t xml:space="preserve"> the Draft Order.</w:t>
      </w:r>
    </w:p>
    <w:p w:rsidR="00B03B16" w:rsidRDefault="00B03B16" w:rsidP="005274D7">
      <w:pPr>
        <w:spacing w:line="360" w:lineRule="auto"/>
        <w:jc w:val="both"/>
        <w:rPr>
          <w:rFonts w:ascii="Times New Roman" w:hAnsi="Times New Roman" w:cs="Times New Roman"/>
          <w:sz w:val="24"/>
          <w:szCs w:val="24"/>
        </w:rPr>
      </w:pPr>
      <w:r>
        <w:rPr>
          <w:rFonts w:ascii="Times New Roman" w:hAnsi="Times New Roman" w:cs="Times New Roman"/>
          <w:sz w:val="24"/>
          <w:szCs w:val="24"/>
        </w:rPr>
        <w:tab/>
        <w:t>I accordingly order as follows:-</w:t>
      </w:r>
    </w:p>
    <w:p w:rsidR="00B03B16" w:rsidRDefault="00B03B16" w:rsidP="005274D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It be and is hereby declared that the 1</w:t>
      </w:r>
      <w:r w:rsidRPr="00B03B1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decision dated 14 February 2017 addressed to 3</w:t>
      </w:r>
      <w:r w:rsidRPr="00B03B1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Town Clerk, that sections 21 and 22 of the CBA be suspended is null and void and of no force or effect as the ground relied upon by the 1</w:t>
      </w:r>
      <w:r w:rsidRPr="00B03B1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not provided for by the relevant legislation and her actions are consequently </w:t>
      </w:r>
      <w:r w:rsidRPr="008411E0">
        <w:rPr>
          <w:rFonts w:ascii="Times New Roman" w:hAnsi="Times New Roman" w:cs="Times New Roman"/>
          <w:i/>
          <w:sz w:val="24"/>
          <w:szCs w:val="24"/>
        </w:rPr>
        <w:t>ultra vires</w:t>
      </w:r>
      <w:r>
        <w:rPr>
          <w:rFonts w:ascii="Times New Roman" w:hAnsi="Times New Roman" w:cs="Times New Roman"/>
          <w:sz w:val="24"/>
          <w:szCs w:val="24"/>
        </w:rPr>
        <w:t xml:space="preserve"> the enabling legislation, namely section 25 (2)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Act Chapter 28:01.</w:t>
      </w:r>
    </w:p>
    <w:p w:rsidR="008411E0" w:rsidRDefault="008411E0" w:rsidP="005274D7">
      <w:pPr>
        <w:spacing w:line="360" w:lineRule="auto"/>
        <w:ind w:left="1440" w:hanging="720"/>
        <w:jc w:val="both"/>
        <w:rPr>
          <w:rFonts w:ascii="Times New Roman" w:hAnsi="Times New Roman" w:cs="Times New Roman"/>
          <w:sz w:val="24"/>
          <w:szCs w:val="24"/>
        </w:rPr>
      </w:pPr>
    </w:p>
    <w:p w:rsidR="00B03B16" w:rsidRDefault="00B03B16" w:rsidP="005274D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That 1</w:t>
      </w:r>
      <w:r w:rsidRPr="00B03B1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bears the costs of suit.</w:t>
      </w:r>
    </w:p>
    <w:p w:rsidR="00B03B16" w:rsidRDefault="00B03B16" w:rsidP="005274D7">
      <w:pPr>
        <w:spacing w:line="360" w:lineRule="auto"/>
        <w:jc w:val="both"/>
        <w:rPr>
          <w:rFonts w:ascii="Times New Roman" w:hAnsi="Times New Roman" w:cs="Times New Roman"/>
          <w:sz w:val="24"/>
          <w:szCs w:val="24"/>
        </w:rPr>
      </w:pPr>
    </w:p>
    <w:p w:rsidR="00B03B16" w:rsidRDefault="00B03B16" w:rsidP="005274D7">
      <w:pPr>
        <w:spacing w:line="360" w:lineRule="auto"/>
        <w:jc w:val="both"/>
        <w:rPr>
          <w:rFonts w:ascii="Times New Roman" w:hAnsi="Times New Roman" w:cs="Times New Roman"/>
          <w:sz w:val="24"/>
          <w:szCs w:val="24"/>
        </w:rPr>
      </w:pPr>
    </w:p>
    <w:p w:rsidR="00F62742" w:rsidRDefault="00F62742" w:rsidP="005274D7">
      <w:pPr>
        <w:spacing w:line="360" w:lineRule="auto"/>
        <w:jc w:val="both"/>
        <w:rPr>
          <w:rFonts w:ascii="Times New Roman" w:hAnsi="Times New Roman" w:cs="Times New Roman"/>
          <w:sz w:val="24"/>
          <w:szCs w:val="24"/>
        </w:rPr>
      </w:pPr>
    </w:p>
    <w:p w:rsidR="00B03B16" w:rsidRDefault="00B03B16" w:rsidP="005274D7">
      <w:pPr>
        <w:pStyle w:val="NoSpacing"/>
        <w:jc w:val="both"/>
      </w:pPr>
      <w:proofErr w:type="spellStart"/>
      <w:r w:rsidRPr="00C73EB1">
        <w:rPr>
          <w:i/>
        </w:rPr>
        <w:t>Ncube</w:t>
      </w:r>
      <w:proofErr w:type="spellEnd"/>
      <w:r w:rsidRPr="00C73EB1">
        <w:rPr>
          <w:i/>
        </w:rPr>
        <w:t xml:space="preserve"> Attorneys</w:t>
      </w:r>
      <w:r>
        <w:t>, applicants’ legal practit</w:t>
      </w:r>
      <w:r w:rsidR="0038268C">
        <w:t>i</w:t>
      </w:r>
      <w:r>
        <w:t>oners</w:t>
      </w:r>
    </w:p>
    <w:p w:rsidR="00C06ED5" w:rsidRDefault="00C06ED5" w:rsidP="005274D7">
      <w:pPr>
        <w:pStyle w:val="NoSpacing"/>
        <w:jc w:val="both"/>
      </w:pPr>
      <w:r w:rsidRPr="00C73EB1">
        <w:rPr>
          <w:i/>
        </w:rPr>
        <w:t>Civil Divis</w:t>
      </w:r>
      <w:r w:rsidR="00C73EB1" w:rsidRPr="00C73EB1">
        <w:rPr>
          <w:i/>
        </w:rPr>
        <w:t>i</w:t>
      </w:r>
      <w:r w:rsidRPr="00C73EB1">
        <w:rPr>
          <w:i/>
        </w:rPr>
        <w:t>o</w:t>
      </w:r>
      <w:r w:rsidR="00C73EB1" w:rsidRPr="00C73EB1">
        <w:rPr>
          <w:i/>
        </w:rPr>
        <w:t>n</w:t>
      </w:r>
      <w:r w:rsidRPr="00C73EB1">
        <w:rPr>
          <w:i/>
        </w:rPr>
        <w:t xml:space="preserve"> of the Attorney-General’s Office</w:t>
      </w:r>
      <w:r>
        <w:t xml:space="preserve">, </w:t>
      </w:r>
      <w:r w:rsidR="00C73EB1">
        <w:t>1</w:t>
      </w:r>
      <w:r w:rsidR="00C73EB1" w:rsidRPr="00C73EB1">
        <w:rPr>
          <w:vertAlign w:val="superscript"/>
        </w:rPr>
        <w:t>st</w:t>
      </w:r>
      <w:r w:rsidR="00C73EB1">
        <w:t xml:space="preserve"> and 2</w:t>
      </w:r>
      <w:r w:rsidR="00C73EB1" w:rsidRPr="00C73EB1">
        <w:rPr>
          <w:vertAlign w:val="superscript"/>
        </w:rPr>
        <w:t>nd</w:t>
      </w:r>
      <w:r w:rsidR="00C73EB1">
        <w:t xml:space="preserve"> respondents’ legal practitioners</w:t>
      </w:r>
    </w:p>
    <w:p w:rsidR="0038268C" w:rsidRDefault="0038268C" w:rsidP="005274D7">
      <w:pPr>
        <w:pStyle w:val="NoSpacing"/>
        <w:jc w:val="both"/>
      </w:pPr>
      <w:proofErr w:type="spellStart"/>
      <w:r w:rsidRPr="00C73EB1">
        <w:rPr>
          <w:i/>
        </w:rPr>
        <w:t>Dube</w:t>
      </w:r>
      <w:proofErr w:type="spellEnd"/>
      <w:r w:rsidRPr="00C73EB1">
        <w:rPr>
          <w:i/>
        </w:rPr>
        <w:t xml:space="preserve">, </w:t>
      </w:r>
      <w:proofErr w:type="spellStart"/>
      <w:r w:rsidRPr="00C73EB1">
        <w:rPr>
          <w:i/>
        </w:rPr>
        <w:t>Nkala</w:t>
      </w:r>
      <w:proofErr w:type="spellEnd"/>
      <w:r w:rsidRPr="00C73EB1">
        <w:rPr>
          <w:i/>
        </w:rPr>
        <w:t xml:space="preserve"> an</w:t>
      </w:r>
      <w:r w:rsidR="00FF6F87">
        <w:rPr>
          <w:i/>
        </w:rPr>
        <w:t xml:space="preserve">d Company c/o T.J </w:t>
      </w:r>
      <w:proofErr w:type="spellStart"/>
      <w:r w:rsidR="00FF6F87">
        <w:rPr>
          <w:i/>
        </w:rPr>
        <w:t>Mabhikwa</w:t>
      </w:r>
      <w:proofErr w:type="spellEnd"/>
      <w:r w:rsidR="00FF6F87">
        <w:rPr>
          <w:i/>
        </w:rPr>
        <w:t xml:space="preserve"> and P</w:t>
      </w:r>
      <w:r w:rsidRPr="00C73EB1">
        <w:rPr>
          <w:i/>
        </w:rPr>
        <w:t>artners</w:t>
      </w:r>
      <w:r>
        <w:t>, 3</w:t>
      </w:r>
      <w:r w:rsidRPr="0038268C">
        <w:rPr>
          <w:vertAlign w:val="superscript"/>
        </w:rPr>
        <w:t>rd</w:t>
      </w:r>
      <w:r>
        <w:t xml:space="preserve"> respondent’s legal practitioners</w:t>
      </w:r>
    </w:p>
    <w:p w:rsidR="00537C2C" w:rsidRPr="00077BE0" w:rsidRDefault="00537C2C" w:rsidP="005274D7">
      <w:pPr>
        <w:pStyle w:val="NoSpacing"/>
        <w:jc w:val="both"/>
      </w:pPr>
      <w:r w:rsidRPr="00077BE0">
        <w:t xml:space="preserve"> </w:t>
      </w:r>
    </w:p>
    <w:p w:rsidR="00280C9E" w:rsidRPr="00280C9E" w:rsidRDefault="00280C9E" w:rsidP="00280C9E">
      <w:pPr>
        <w:spacing w:line="360" w:lineRule="auto"/>
        <w:rPr>
          <w:rFonts w:ascii="Times New Roman" w:hAnsi="Times New Roman" w:cs="Times New Roman"/>
          <w:sz w:val="24"/>
          <w:szCs w:val="24"/>
        </w:rPr>
      </w:pPr>
    </w:p>
    <w:p w:rsidR="00280C9E" w:rsidRDefault="00280C9E" w:rsidP="00280C9E">
      <w:pPr>
        <w:spacing w:line="360" w:lineRule="auto"/>
        <w:rPr>
          <w:rFonts w:ascii="Times New Roman" w:hAnsi="Times New Roman" w:cs="Times New Roman"/>
          <w:sz w:val="24"/>
          <w:szCs w:val="24"/>
        </w:rPr>
      </w:pPr>
    </w:p>
    <w:p w:rsidR="00D64129" w:rsidRPr="00280C9E" w:rsidRDefault="00D64129" w:rsidP="00280C9E">
      <w:pPr>
        <w:spacing w:line="360" w:lineRule="auto"/>
        <w:rPr>
          <w:rFonts w:ascii="Times New Roman" w:hAnsi="Times New Roman" w:cs="Times New Roman"/>
          <w:sz w:val="24"/>
          <w:szCs w:val="24"/>
        </w:rPr>
      </w:pPr>
    </w:p>
    <w:p w:rsidR="00280C9E" w:rsidRDefault="00280C9E" w:rsidP="00280C9E">
      <w:pPr>
        <w:spacing w:line="360" w:lineRule="auto"/>
        <w:ind w:firstLine="720"/>
      </w:pPr>
      <w:r>
        <w:rPr>
          <w:rFonts w:ascii="Times New Roman" w:hAnsi="Times New Roman" w:cs="Times New Roman"/>
          <w:sz w:val="24"/>
          <w:szCs w:val="24"/>
        </w:rPr>
        <w:t xml:space="preserve"> </w:t>
      </w:r>
    </w:p>
    <w:sectPr w:rsidR="00280C9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D7B" w:rsidRDefault="005C2D7B" w:rsidP="005274D7">
      <w:pPr>
        <w:spacing w:after="0" w:line="240" w:lineRule="auto"/>
      </w:pPr>
      <w:r>
        <w:separator/>
      </w:r>
    </w:p>
  </w:endnote>
  <w:endnote w:type="continuationSeparator" w:id="0">
    <w:p w:rsidR="005C2D7B" w:rsidRDefault="005C2D7B" w:rsidP="00527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13A" w:rsidRDefault="00C611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13A" w:rsidRDefault="00C611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13A" w:rsidRDefault="00C61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D7B" w:rsidRDefault="005C2D7B" w:rsidP="005274D7">
      <w:pPr>
        <w:spacing w:after="0" w:line="240" w:lineRule="auto"/>
      </w:pPr>
      <w:r>
        <w:separator/>
      </w:r>
    </w:p>
  </w:footnote>
  <w:footnote w:type="continuationSeparator" w:id="0">
    <w:p w:rsidR="005C2D7B" w:rsidRDefault="005C2D7B" w:rsidP="00527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13A" w:rsidRDefault="00C611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51298"/>
      <w:docPartObj>
        <w:docPartGallery w:val="Page Numbers (Top of Page)"/>
        <w:docPartUnique/>
      </w:docPartObj>
    </w:sdtPr>
    <w:sdtEndPr>
      <w:rPr>
        <w:rFonts w:ascii="Times New Roman" w:hAnsi="Times New Roman" w:cs="Times New Roman"/>
        <w:noProof/>
        <w:sz w:val="24"/>
        <w:szCs w:val="24"/>
      </w:rPr>
    </w:sdtEndPr>
    <w:sdtContent>
      <w:p w:rsidR="005274D7" w:rsidRPr="005274D7" w:rsidRDefault="005274D7">
        <w:pPr>
          <w:pStyle w:val="Header"/>
          <w:jc w:val="right"/>
          <w:rPr>
            <w:rFonts w:ascii="Times New Roman" w:hAnsi="Times New Roman" w:cs="Times New Roman"/>
            <w:noProof/>
            <w:sz w:val="24"/>
            <w:szCs w:val="24"/>
          </w:rPr>
        </w:pPr>
        <w:r w:rsidRPr="005274D7">
          <w:rPr>
            <w:rFonts w:ascii="Times New Roman" w:hAnsi="Times New Roman" w:cs="Times New Roman"/>
            <w:sz w:val="24"/>
            <w:szCs w:val="24"/>
          </w:rPr>
          <w:fldChar w:fldCharType="begin"/>
        </w:r>
        <w:r w:rsidRPr="005274D7">
          <w:rPr>
            <w:rFonts w:ascii="Times New Roman" w:hAnsi="Times New Roman" w:cs="Times New Roman"/>
            <w:sz w:val="24"/>
            <w:szCs w:val="24"/>
          </w:rPr>
          <w:instrText xml:space="preserve"> PAGE   \* MERGEFORMAT </w:instrText>
        </w:r>
        <w:r w:rsidRPr="005274D7">
          <w:rPr>
            <w:rFonts w:ascii="Times New Roman" w:hAnsi="Times New Roman" w:cs="Times New Roman"/>
            <w:sz w:val="24"/>
            <w:szCs w:val="24"/>
          </w:rPr>
          <w:fldChar w:fldCharType="separate"/>
        </w:r>
        <w:r w:rsidR="00911886">
          <w:rPr>
            <w:rFonts w:ascii="Times New Roman" w:hAnsi="Times New Roman" w:cs="Times New Roman"/>
            <w:noProof/>
            <w:sz w:val="24"/>
            <w:szCs w:val="24"/>
          </w:rPr>
          <w:t>1</w:t>
        </w:r>
        <w:r w:rsidRPr="005274D7">
          <w:rPr>
            <w:rFonts w:ascii="Times New Roman" w:hAnsi="Times New Roman" w:cs="Times New Roman"/>
            <w:noProof/>
            <w:sz w:val="24"/>
            <w:szCs w:val="24"/>
          </w:rPr>
          <w:fldChar w:fldCharType="end"/>
        </w:r>
      </w:p>
      <w:p w:rsidR="005274D7" w:rsidRPr="005274D7" w:rsidRDefault="005274D7">
        <w:pPr>
          <w:pStyle w:val="Header"/>
          <w:jc w:val="right"/>
          <w:rPr>
            <w:rFonts w:ascii="Times New Roman" w:hAnsi="Times New Roman" w:cs="Times New Roman"/>
            <w:noProof/>
            <w:sz w:val="24"/>
            <w:szCs w:val="24"/>
          </w:rPr>
        </w:pPr>
        <w:r w:rsidRPr="005274D7">
          <w:rPr>
            <w:rFonts w:ascii="Times New Roman" w:hAnsi="Times New Roman" w:cs="Times New Roman"/>
            <w:noProof/>
            <w:sz w:val="24"/>
            <w:szCs w:val="24"/>
          </w:rPr>
          <w:t>HB</w:t>
        </w:r>
        <w:r w:rsidR="00C6113A">
          <w:rPr>
            <w:rFonts w:ascii="Times New Roman" w:hAnsi="Times New Roman" w:cs="Times New Roman"/>
            <w:noProof/>
            <w:sz w:val="24"/>
            <w:szCs w:val="24"/>
          </w:rPr>
          <w:t xml:space="preserve"> </w:t>
        </w:r>
        <w:r w:rsidR="00911886">
          <w:rPr>
            <w:rFonts w:ascii="Times New Roman" w:hAnsi="Times New Roman" w:cs="Times New Roman"/>
            <w:noProof/>
            <w:sz w:val="24"/>
            <w:szCs w:val="24"/>
          </w:rPr>
          <w:t>246/22</w:t>
        </w:r>
        <w:bookmarkStart w:id="0" w:name="_GoBack"/>
        <w:bookmarkEnd w:id="0"/>
      </w:p>
      <w:p w:rsidR="005274D7" w:rsidRPr="005274D7" w:rsidRDefault="005274D7">
        <w:pPr>
          <w:pStyle w:val="Header"/>
          <w:jc w:val="right"/>
          <w:rPr>
            <w:rFonts w:ascii="Times New Roman" w:hAnsi="Times New Roman" w:cs="Times New Roman"/>
            <w:sz w:val="24"/>
            <w:szCs w:val="24"/>
          </w:rPr>
        </w:pPr>
        <w:r w:rsidRPr="005274D7">
          <w:rPr>
            <w:rFonts w:ascii="Times New Roman" w:hAnsi="Times New Roman" w:cs="Times New Roman"/>
            <w:noProof/>
            <w:sz w:val="24"/>
            <w:szCs w:val="24"/>
          </w:rPr>
          <w:t>HC 2564/19</w:t>
        </w:r>
      </w:p>
    </w:sdtContent>
  </w:sdt>
  <w:p w:rsidR="005274D7" w:rsidRDefault="005274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13A" w:rsidRDefault="00C61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419E3"/>
    <w:multiLevelType w:val="hybridMultilevel"/>
    <w:tmpl w:val="E12C01D2"/>
    <w:lvl w:ilvl="0" w:tplc="DA56D1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89F1F4A"/>
    <w:multiLevelType w:val="hybridMultilevel"/>
    <w:tmpl w:val="84EE0B42"/>
    <w:lvl w:ilvl="0" w:tplc="C520151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891"/>
    <w:rsid w:val="00011CBD"/>
    <w:rsid w:val="00077BE0"/>
    <w:rsid w:val="000B29B9"/>
    <w:rsid w:val="00127022"/>
    <w:rsid w:val="001619C4"/>
    <w:rsid w:val="001B339E"/>
    <w:rsid w:val="001C459C"/>
    <w:rsid w:val="00223694"/>
    <w:rsid w:val="00251689"/>
    <w:rsid w:val="00280C9E"/>
    <w:rsid w:val="002C1C13"/>
    <w:rsid w:val="0037442C"/>
    <w:rsid w:val="0038268C"/>
    <w:rsid w:val="004878F3"/>
    <w:rsid w:val="00490C9F"/>
    <w:rsid w:val="004A5E6A"/>
    <w:rsid w:val="005274D7"/>
    <w:rsid w:val="00537C2C"/>
    <w:rsid w:val="00541D42"/>
    <w:rsid w:val="005C2D7B"/>
    <w:rsid w:val="006A225D"/>
    <w:rsid w:val="006F3FDF"/>
    <w:rsid w:val="00752099"/>
    <w:rsid w:val="0076123A"/>
    <w:rsid w:val="00766D5F"/>
    <w:rsid w:val="008411E0"/>
    <w:rsid w:val="00845891"/>
    <w:rsid w:val="009017B5"/>
    <w:rsid w:val="00911886"/>
    <w:rsid w:val="009A497F"/>
    <w:rsid w:val="009B33C7"/>
    <w:rsid w:val="00A65423"/>
    <w:rsid w:val="00A7690D"/>
    <w:rsid w:val="00AB3EB3"/>
    <w:rsid w:val="00AE06D5"/>
    <w:rsid w:val="00B03B16"/>
    <w:rsid w:val="00BA5BAD"/>
    <w:rsid w:val="00C06ED5"/>
    <w:rsid w:val="00C46374"/>
    <w:rsid w:val="00C6113A"/>
    <w:rsid w:val="00C62436"/>
    <w:rsid w:val="00C73EB1"/>
    <w:rsid w:val="00D33470"/>
    <w:rsid w:val="00D348E4"/>
    <w:rsid w:val="00D64129"/>
    <w:rsid w:val="00D66918"/>
    <w:rsid w:val="00DC2BF8"/>
    <w:rsid w:val="00DD22FA"/>
    <w:rsid w:val="00DF54BE"/>
    <w:rsid w:val="00E55532"/>
    <w:rsid w:val="00F32E6B"/>
    <w:rsid w:val="00F62742"/>
    <w:rsid w:val="00FA0E7A"/>
    <w:rsid w:val="00FF6F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061BF-9690-407C-9D7E-6699E6A5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891"/>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5891"/>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280C9E"/>
    <w:pPr>
      <w:ind w:left="720"/>
      <w:contextualSpacing/>
    </w:pPr>
  </w:style>
  <w:style w:type="paragraph" w:styleId="Header">
    <w:name w:val="header"/>
    <w:basedOn w:val="Normal"/>
    <w:link w:val="HeaderChar"/>
    <w:uiPriority w:val="99"/>
    <w:unhideWhenUsed/>
    <w:rsid w:val="00527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4D7"/>
    <w:rPr>
      <w:rFonts w:eastAsiaTheme="minorEastAsia"/>
      <w:lang w:val="en-US"/>
    </w:rPr>
  </w:style>
  <w:style w:type="paragraph" w:styleId="Footer">
    <w:name w:val="footer"/>
    <w:basedOn w:val="Normal"/>
    <w:link w:val="FooterChar"/>
    <w:uiPriority w:val="99"/>
    <w:unhideWhenUsed/>
    <w:rsid w:val="00527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4D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2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41</cp:revision>
  <dcterms:created xsi:type="dcterms:W3CDTF">2022-09-22T06:48:00Z</dcterms:created>
  <dcterms:modified xsi:type="dcterms:W3CDTF">2022-09-26T13:40:00Z</dcterms:modified>
</cp:coreProperties>
</file>