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CA9EF" w14:textId="67C363C2" w:rsidR="00E658E1" w:rsidRDefault="000F3243" w:rsidP="000F3243">
      <w:pPr>
        <w:pStyle w:val="NoSpacing"/>
        <w:jc w:val="both"/>
        <w:rPr>
          <w:rFonts w:ascii="Times New Roman" w:hAnsi="Times New Roman" w:cs="Times New Roman"/>
          <w:lang w:val="en-US"/>
        </w:rPr>
      </w:pPr>
      <w:bookmarkStart w:id="0" w:name="_GoBack"/>
      <w:bookmarkEnd w:id="0"/>
      <w:r>
        <w:rPr>
          <w:rFonts w:ascii="Times New Roman" w:hAnsi="Times New Roman" w:cs="Times New Roman"/>
          <w:lang w:val="en-US"/>
        </w:rPr>
        <w:t>MEHLULI SIBANDA</w:t>
      </w:r>
    </w:p>
    <w:p w14:paraId="485426AA" w14:textId="4291B44E" w:rsidR="000F3243" w:rsidRDefault="000F3243" w:rsidP="000F3243">
      <w:pPr>
        <w:pStyle w:val="NoSpacing"/>
        <w:jc w:val="both"/>
        <w:rPr>
          <w:rFonts w:ascii="Times New Roman" w:hAnsi="Times New Roman" w:cs="Times New Roman"/>
          <w:lang w:val="en-US"/>
        </w:rPr>
      </w:pPr>
      <w:r>
        <w:rPr>
          <w:rFonts w:ascii="Times New Roman" w:hAnsi="Times New Roman" w:cs="Times New Roman"/>
          <w:lang w:val="en-US"/>
        </w:rPr>
        <w:t>versus</w:t>
      </w:r>
    </w:p>
    <w:p w14:paraId="79EECEB6" w14:textId="097520D5" w:rsidR="000F3243" w:rsidRDefault="000F3243" w:rsidP="000F3243">
      <w:pPr>
        <w:pStyle w:val="NoSpacing"/>
        <w:jc w:val="both"/>
        <w:rPr>
          <w:rFonts w:ascii="Times New Roman" w:hAnsi="Times New Roman" w:cs="Times New Roman"/>
          <w:lang w:val="en-US"/>
        </w:rPr>
      </w:pPr>
      <w:r>
        <w:rPr>
          <w:rFonts w:ascii="Times New Roman" w:hAnsi="Times New Roman" w:cs="Times New Roman"/>
          <w:lang w:val="en-US"/>
        </w:rPr>
        <w:t>THE STATE</w:t>
      </w:r>
    </w:p>
    <w:p w14:paraId="3AC4B915" w14:textId="77777777" w:rsidR="000F3243" w:rsidRDefault="000F3243" w:rsidP="000F3243">
      <w:pPr>
        <w:pStyle w:val="NoSpacing"/>
        <w:jc w:val="both"/>
        <w:rPr>
          <w:rFonts w:ascii="Times New Roman" w:hAnsi="Times New Roman" w:cs="Times New Roman"/>
          <w:lang w:val="en-US"/>
        </w:rPr>
      </w:pPr>
    </w:p>
    <w:p w14:paraId="266C448A" w14:textId="77777777" w:rsidR="000F3243" w:rsidRDefault="000F3243" w:rsidP="000F3243">
      <w:pPr>
        <w:pStyle w:val="NoSpacing"/>
        <w:jc w:val="both"/>
        <w:rPr>
          <w:rFonts w:ascii="Times New Roman" w:hAnsi="Times New Roman" w:cs="Times New Roman"/>
          <w:lang w:val="en-US"/>
        </w:rPr>
      </w:pPr>
    </w:p>
    <w:p w14:paraId="34FE51DB" w14:textId="07D7B152" w:rsidR="000F3243" w:rsidRDefault="000F3243" w:rsidP="000F3243">
      <w:pPr>
        <w:pStyle w:val="NoSpacing"/>
        <w:jc w:val="both"/>
        <w:rPr>
          <w:rFonts w:ascii="Times New Roman" w:hAnsi="Times New Roman" w:cs="Times New Roman"/>
          <w:lang w:val="en-US"/>
        </w:rPr>
      </w:pPr>
      <w:r>
        <w:rPr>
          <w:rFonts w:ascii="Times New Roman" w:hAnsi="Times New Roman" w:cs="Times New Roman"/>
          <w:lang w:val="en-US"/>
        </w:rPr>
        <w:t>HIGH COURT OF ZIMBABWE</w:t>
      </w:r>
    </w:p>
    <w:p w14:paraId="1E1BE03D" w14:textId="63B38366" w:rsidR="000F3243" w:rsidRPr="000F3243" w:rsidRDefault="000F3243" w:rsidP="000F3243">
      <w:pPr>
        <w:pStyle w:val="NoSpacing"/>
        <w:jc w:val="both"/>
        <w:rPr>
          <w:rFonts w:ascii="Times New Roman" w:hAnsi="Times New Roman" w:cs="Times New Roman"/>
          <w:b/>
          <w:bCs/>
          <w:lang w:val="en-US"/>
        </w:rPr>
      </w:pPr>
      <w:r w:rsidRPr="000F3243">
        <w:rPr>
          <w:rFonts w:ascii="Times New Roman" w:hAnsi="Times New Roman" w:cs="Times New Roman"/>
          <w:b/>
          <w:bCs/>
          <w:lang w:val="en-US"/>
        </w:rPr>
        <w:t>ZHOU and CHIKOWERO JJ</w:t>
      </w:r>
    </w:p>
    <w:p w14:paraId="330D1EF6" w14:textId="0922B2C5" w:rsidR="000F3243" w:rsidRDefault="000F3243" w:rsidP="000F3243">
      <w:pPr>
        <w:pStyle w:val="NoSpacing"/>
        <w:jc w:val="both"/>
        <w:rPr>
          <w:rFonts w:ascii="Times New Roman" w:hAnsi="Times New Roman" w:cs="Times New Roman"/>
          <w:lang w:val="en-US"/>
        </w:rPr>
      </w:pPr>
      <w:r>
        <w:rPr>
          <w:rFonts w:ascii="Times New Roman" w:hAnsi="Times New Roman" w:cs="Times New Roman"/>
          <w:lang w:val="en-US"/>
        </w:rPr>
        <w:t xml:space="preserve">HARARE; 28 July 2025 and </w:t>
      </w:r>
      <w:r w:rsidR="003046BA">
        <w:rPr>
          <w:rFonts w:ascii="Times New Roman" w:hAnsi="Times New Roman" w:cs="Times New Roman"/>
          <w:lang w:val="en-US"/>
        </w:rPr>
        <w:t xml:space="preserve">08 </w:t>
      </w:r>
      <w:r>
        <w:rPr>
          <w:rFonts w:ascii="Times New Roman" w:hAnsi="Times New Roman" w:cs="Times New Roman"/>
          <w:lang w:val="en-US"/>
        </w:rPr>
        <w:t>September 2025</w:t>
      </w:r>
    </w:p>
    <w:p w14:paraId="0F806586" w14:textId="77777777" w:rsidR="000F3243" w:rsidRDefault="000F3243" w:rsidP="000F3243">
      <w:pPr>
        <w:pStyle w:val="NoSpacing"/>
        <w:jc w:val="both"/>
        <w:rPr>
          <w:rFonts w:ascii="Times New Roman" w:hAnsi="Times New Roman" w:cs="Times New Roman"/>
          <w:lang w:val="en-US"/>
        </w:rPr>
      </w:pPr>
    </w:p>
    <w:p w14:paraId="250045B9" w14:textId="77777777" w:rsidR="000F3243" w:rsidRDefault="000F3243" w:rsidP="000F3243">
      <w:pPr>
        <w:pStyle w:val="NoSpacing"/>
        <w:jc w:val="both"/>
        <w:rPr>
          <w:rFonts w:ascii="Times New Roman" w:hAnsi="Times New Roman" w:cs="Times New Roman"/>
          <w:lang w:val="en-US"/>
        </w:rPr>
      </w:pPr>
    </w:p>
    <w:p w14:paraId="366C9892" w14:textId="01410597" w:rsidR="000F3243" w:rsidRPr="000F3243" w:rsidRDefault="000F3243" w:rsidP="000F3243">
      <w:pPr>
        <w:pStyle w:val="NoSpacing"/>
        <w:jc w:val="both"/>
        <w:rPr>
          <w:rFonts w:ascii="Times New Roman" w:hAnsi="Times New Roman" w:cs="Times New Roman"/>
          <w:b/>
          <w:bCs/>
          <w:lang w:val="en-US"/>
        </w:rPr>
      </w:pPr>
      <w:r w:rsidRPr="000F3243">
        <w:rPr>
          <w:rFonts w:ascii="Times New Roman" w:hAnsi="Times New Roman" w:cs="Times New Roman"/>
          <w:b/>
          <w:bCs/>
          <w:lang w:val="en-US"/>
        </w:rPr>
        <w:t>Criminal Appeal</w:t>
      </w:r>
    </w:p>
    <w:p w14:paraId="6D97FA60" w14:textId="77777777" w:rsidR="000F3243" w:rsidRDefault="000F3243" w:rsidP="000F3243">
      <w:pPr>
        <w:pStyle w:val="NoSpacing"/>
        <w:jc w:val="both"/>
        <w:rPr>
          <w:rFonts w:ascii="Times New Roman" w:hAnsi="Times New Roman" w:cs="Times New Roman"/>
          <w:b/>
          <w:bCs/>
          <w:lang w:val="en-US"/>
        </w:rPr>
      </w:pPr>
    </w:p>
    <w:p w14:paraId="1CCAE051" w14:textId="77777777" w:rsidR="000F3243" w:rsidRPr="000F3243" w:rsidRDefault="000F3243" w:rsidP="000F3243">
      <w:pPr>
        <w:pStyle w:val="NoSpacing"/>
        <w:jc w:val="both"/>
        <w:rPr>
          <w:rFonts w:ascii="Times New Roman" w:hAnsi="Times New Roman" w:cs="Times New Roman"/>
          <w:b/>
          <w:bCs/>
          <w:lang w:val="en-US"/>
        </w:rPr>
      </w:pPr>
    </w:p>
    <w:p w14:paraId="4A8BB2BC" w14:textId="03DB9284" w:rsidR="000F3243" w:rsidRDefault="000F3243" w:rsidP="000F3243">
      <w:pPr>
        <w:pStyle w:val="NoSpacing"/>
        <w:jc w:val="both"/>
        <w:rPr>
          <w:rFonts w:ascii="Times New Roman" w:hAnsi="Times New Roman" w:cs="Times New Roman"/>
          <w:lang w:val="en-US"/>
        </w:rPr>
      </w:pPr>
      <w:r w:rsidRPr="000F3243">
        <w:rPr>
          <w:rFonts w:ascii="Times New Roman" w:hAnsi="Times New Roman" w:cs="Times New Roman"/>
          <w:i/>
          <w:iCs/>
          <w:lang w:val="en-US"/>
        </w:rPr>
        <w:t>K Ngwenya</w:t>
      </w:r>
      <w:r>
        <w:rPr>
          <w:rFonts w:ascii="Times New Roman" w:hAnsi="Times New Roman" w:cs="Times New Roman"/>
          <w:lang w:val="en-US"/>
        </w:rPr>
        <w:t>, for the appellant</w:t>
      </w:r>
    </w:p>
    <w:p w14:paraId="5A050B7E" w14:textId="183804DC" w:rsidR="000F3243" w:rsidRDefault="000F3243" w:rsidP="000F3243">
      <w:pPr>
        <w:pStyle w:val="NoSpacing"/>
        <w:jc w:val="both"/>
        <w:rPr>
          <w:rFonts w:ascii="Times New Roman" w:hAnsi="Times New Roman" w:cs="Times New Roman"/>
          <w:lang w:val="en-US"/>
        </w:rPr>
      </w:pPr>
      <w:r w:rsidRPr="000F3243">
        <w:rPr>
          <w:rFonts w:ascii="Times New Roman" w:hAnsi="Times New Roman" w:cs="Times New Roman"/>
          <w:i/>
          <w:iCs/>
          <w:lang w:val="en-US"/>
        </w:rPr>
        <w:t>R Chikosha</w:t>
      </w:r>
      <w:r>
        <w:rPr>
          <w:rFonts w:ascii="Times New Roman" w:hAnsi="Times New Roman" w:cs="Times New Roman"/>
          <w:lang w:val="en-US"/>
        </w:rPr>
        <w:t>, for the respondent</w:t>
      </w:r>
    </w:p>
    <w:p w14:paraId="3AF4B850" w14:textId="77777777" w:rsidR="000F3243" w:rsidRDefault="000F3243" w:rsidP="000F3243">
      <w:pPr>
        <w:pStyle w:val="NoSpacing"/>
        <w:jc w:val="both"/>
        <w:rPr>
          <w:rFonts w:ascii="Times New Roman" w:hAnsi="Times New Roman" w:cs="Times New Roman"/>
          <w:lang w:val="en-US"/>
        </w:rPr>
      </w:pPr>
    </w:p>
    <w:p w14:paraId="5EAB3FF9" w14:textId="0FE1C852" w:rsidR="000F3243" w:rsidRDefault="000F3243" w:rsidP="000F3243">
      <w:pPr>
        <w:pStyle w:val="NoSpacing"/>
        <w:jc w:val="both"/>
        <w:rPr>
          <w:rFonts w:ascii="Times New Roman" w:hAnsi="Times New Roman" w:cs="Times New Roman"/>
          <w:lang w:val="en-US"/>
        </w:rPr>
      </w:pPr>
      <w:r>
        <w:rPr>
          <w:rFonts w:ascii="Times New Roman" w:hAnsi="Times New Roman" w:cs="Times New Roman"/>
          <w:lang w:val="en-US"/>
        </w:rPr>
        <w:t>CHIKOWERO J:</w:t>
      </w:r>
    </w:p>
    <w:p w14:paraId="0D2D8AC5" w14:textId="77777777" w:rsidR="000F3243" w:rsidRDefault="000F3243" w:rsidP="000F3243">
      <w:pPr>
        <w:pStyle w:val="NoSpacing"/>
        <w:jc w:val="both"/>
        <w:rPr>
          <w:rFonts w:ascii="Times New Roman" w:hAnsi="Times New Roman" w:cs="Times New Roman"/>
          <w:lang w:val="en-US"/>
        </w:rPr>
      </w:pPr>
    </w:p>
    <w:p w14:paraId="2CF9F599" w14:textId="002D7DC6" w:rsidR="000F3243" w:rsidRDefault="000F3243" w:rsidP="000F3243">
      <w:pPr>
        <w:pStyle w:val="NoSpacing"/>
        <w:spacing w:line="360" w:lineRule="auto"/>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 xml:space="preserve">This is an appeal from the judgment of the Magistrates Court sitting at Harare delivered on 9 April 2025 convicting the appellant of the crime of unlawful possession of a firearm as defined in </w:t>
      </w:r>
      <w:r w:rsidR="00C811B5">
        <w:rPr>
          <w:rFonts w:ascii="Times New Roman" w:hAnsi="Times New Roman" w:cs="Times New Roman"/>
          <w:lang w:val="en-US"/>
        </w:rPr>
        <w:t xml:space="preserve">s </w:t>
      </w:r>
      <w:r>
        <w:rPr>
          <w:rFonts w:ascii="Times New Roman" w:hAnsi="Times New Roman" w:cs="Times New Roman"/>
          <w:lang w:val="en-US"/>
        </w:rPr>
        <w:t xml:space="preserve">4(1) of the </w:t>
      </w:r>
      <w:r w:rsidR="003046BA">
        <w:rPr>
          <w:rFonts w:ascii="Times New Roman" w:hAnsi="Times New Roman" w:cs="Times New Roman"/>
          <w:lang w:val="en-US"/>
        </w:rPr>
        <w:t>F</w:t>
      </w:r>
      <w:r>
        <w:rPr>
          <w:rFonts w:ascii="Times New Roman" w:hAnsi="Times New Roman" w:cs="Times New Roman"/>
          <w:lang w:val="en-US"/>
        </w:rPr>
        <w:t>irearms Act [</w:t>
      </w:r>
      <w:r w:rsidRPr="000F3243">
        <w:rPr>
          <w:rFonts w:ascii="Times New Roman" w:hAnsi="Times New Roman" w:cs="Times New Roman"/>
          <w:i/>
          <w:iCs/>
          <w:lang w:val="en-US"/>
        </w:rPr>
        <w:t>Chapter 10:09</w:t>
      </w:r>
      <w:r>
        <w:rPr>
          <w:rFonts w:ascii="Times New Roman" w:hAnsi="Times New Roman" w:cs="Times New Roman"/>
          <w:lang w:val="en-US"/>
        </w:rPr>
        <w:t>].</w:t>
      </w:r>
    </w:p>
    <w:p w14:paraId="21EB76B2" w14:textId="09707683" w:rsidR="000F3243" w:rsidRDefault="000F3243" w:rsidP="000F3243">
      <w:pPr>
        <w:pStyle w:val="NoSpacing"/>
        <w:spacing w:line="360" w:lineRule="auto"/>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The sole </w:t>
      </w:r>
      <w:r w:rsidR="00A27CF3">
        <w:rPr>
          <w:rFonts w:ascii="Times New Roman" w:hAnsi="Times New Roman" w:cs="Times New Roman"/>
          <w:lang w:val="en-US"/>
        </w:rPr>
        <w:t xml:space="preserve">issue arising in this appeal is whether the court </w:t>
      </w:r>
      <w:r w:rsidR="00A27CF3" w:rsidRPr="00A27CF3">
        <w:rPr>
          <w:rFonts w:ascii="Times New Roman" w:hAnsi="Times New Roman" w:cs="Times New Roman"/>
          <w:i/>
          <w:iCs/>
          <w:lang w:val="en-US"/>
        </w:rPr>
        <w:t>a quo</w:t>
      </w:r>
      <w:r w:rsidR="00A27CF3">
        <w:rPr>
          <w:rFonts w:ascii="Times New Roman" w:hAnsi="Times New Roman" w:cs="Times New Roman"/>
          <w:lang w:val="en-US"/>
        </w:rPr>
        <w:t xml:space="preserve"> was correct in finding, as a fact, that the appellant possessed the firearm in question</w:t>
      </w:r>
      <w:r w:rsidR="003046BA">
        <w:rPr>
          <w:rFonts w:ascii="Times New Roman" w:hAnsi="Times New Roman" w:cs="Times New Roman"/>
          <w:lang w:val="en-US"/>
        </w:rPr>
        <w:t>,</w:t>
      </w:r>
      <w:r w:rsidR="00A27CF3">
        <w:rPr>
          <w:rFonts w:ascii="Times New Roman" w:hAnsi="Times New Roman" w:cs="Times New Roman"/>
          <w:lang w:val="en-US"/>
        </w:rPr>
        <w:t xml:space="preserve"> namely a 9 mm Norinco Star Pistol serial number 43007403.</w:t>
      </w:r>
    </w:p>
    <w:p w14:paraId="38978677" w14:textId="221C946C" w:rsidR="00A27CF3" w:rsidRDefault="00A27CF3" w:rsidP="000F3243">
      <w:pPr>
        <w:pStyle w:val="NoSpacing"/>
        <w:spacing w:line="360" w:lineRule="auto"/>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After a contested trial, the court a</w:t>
      </w:r>
      <w:r w:rsidRPr="00A27CF3">
        <w:rPr>
          <w:rFonts w:ascii="Times New Roman" w:hAnsi="Times New Roman" w:cs="Times New Roman"/>
          <w:i/>
          <w:iCs/>
          <w:lang w:val="en-US"/>
        </w:rPr>
        <w:t xml:space="preserve"> quo</w:t>
      </w:r>
      <w:r>
        <w:rPr>
          <w:rFonts w:ascii="Times New Roman" w:hAnsi="Times New Roman" w:cs="Times New Roman"/>
          <w:lang w:val="en-US"/>
        </w:rPr>
        <w:t xml:space="preserve"> found that on 21 February 2024and at 0200hours at Mehluli Ncube Homestead, village 2 C Chief </w:t>
      </w:r>
      <w:proofErr w:type="spellStart"/>
      <w:r>
        <w:rPr>
          <w:rFonts w:ascii="Times New Roman" w:hAnsi="Times New Roman" w:cs="Times New Roman"/>
          <w:lang w:val="en-US"/>
        </w:rPr>
        <w:t>Mabhikwa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Insuza</w:t>
      </w:r>
      <w:proofErr w:type="spellEnd"/>
      <w:r>
        <w:rPr>
          <w:rFonts w:ascii="Times New Roman" w:hAnsi="Times New Roman" w:cs="Times New Roman"/>
          <w:lang w:val="en-US"/>
        </w:rPr>
        <w:t>, the appellant had in his possession the firearm in question without a certificate authorizing such possession.</w:t>
      </w:r>
    </w:p>
    <w:p w14:paraId="15736F93" w14:textId="57F511E3" w:rsidR="00A27CF3" w:rsidRDefault="00A27CF3" w:rsidP="000F3243">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[4] </w:t>
      </w:r>
      <w:r>
        <w:rPr>
          <w:rFonts w:ascii="Times New Roman" w:hAnsi="Times New Roman" w:cs="Times New Roman"/>
          <w:lang w:val="en-US"/>
        </w:rPr>
        <w:tab/>
        <w:t>The conviction rest</w:t>
      </w:r>
      <w:r w:rsidR="003046BA">
        <w:rPr>
          <w:rFonts w:ascii="Times New Roman" w:hAnsi="Times New Roman" w:cs="Times New Roman"/>
          <w:lang w:val="en-US"/>
        </w:rPr>
        <w:t>ed</w:t>
      </w:r>
      <w:r>
        <w:rPr>
          <w:rFonts w:ascii="Times New Roman" w:hAnsi="Times New Roman" w:cs="Times New Roman"/>
          <w:lang w:val="en-US"/>
        </w:rPr>
        <w:t xml:space="preserve"> on a finding that the prosecution witnesses were credible.  That being so we can only interfere with the factual finding mentioned in the preceding paragraph if </w:t>
      </w:r>
      <w:r w:rsidR="00C92883">
        <w:rPr>
          <w:rFonts w:ascii="Times New Roman" w:hAnsi="Times New Roman" w:cs="Times New Roman"/>
          <w:lang w:val="en-US"/>
        </w:rPr>
        <w:t xml:space="preserve">we are satisfied that there is something </w:t>
      </w:r>
      <w:r w:rsidR="00C811B5">
        <w:rPr>
          <w:rFonts w:ascii="Times New Roman" w:hAnsi="Times New Roman" w:cs="Times New Roman"/>
          <w:lang w:val="en-US"/>
        </w:rPr>
        <w:t>grossly</w:t>
      </w:r>
      <w:r w:rsidR="00C92883">
        <w:rPr>
          <w:rFonts w:ascii="Times New Roman" w:hAnsi="Times New Roman" w:cs="Times New Roman"/>
          <w:lang w:val="en-US"/>
        </w:rPr>
        <w:t xml:space="preserve"> irregular in the proceedings to warrant such interference.  See </w:t>
      </w:r>
      <w:r w:rsidR="00C92883" w:rsidRPr="00C92883">
        <w:rPr>
          <w:rFonts w:ascii="Times New Roman" w:hAnsi="Times New Roman" w:cs="Times New Roman"/>
          <w:i/>
          <w:iCs/>
          <w:lang w:val="en-US"/>
        </w:rPr>
        <w:t>S</w:t>
      </w:r>
      <w:r w:rsidR="00C92883">
        <w:rPr>
          <w:rFonts w:ascii="Times New Roman" w:hAnsi="Times New Roman" w:cs="Times New Roman"/>
          <w:lang w:val="en-US"/>
        </w:rPr>
        <w:t xml:space="preserve"> v </w:t>
      </w:r>
      <w:r w:rsidR="00C92883" w:rsidRPr="00C92883">
        <w:rPr>
          <w:rFonts w:ascii="Times New Roman" w:hAnsi="Times New Roman" w:cs="Times New Roman"/>
          <w:i/>
          <w:iCs/>
          <w:lang w:val="en-US"/>
        </w:rPr>
        <w:t>Soko</w:t>
      </w:r>
      <w:r w:rsidR="00C92883">
        <w:rPr>
          <w:rFonts w:ascii="Times New Roman" w:hAnsi="Times New Roman" w:cs="Times New Roman"/>
          <w:lang w:val="en-US"/>
        </w:rPr>
        <w:t xml:space="preserve"> SC 118/92.  Absent such gross irregularity, the appellant must persuade us that the finding of fact that </w:t>
      </w:r>
      <w:r w:rsidR="003046BA">
        <w:rPr>
          <w:rFonts w:ascii="Times New Roman" w:hAnsi="Times New Roman" w:cs="Times New Roman"/>
          <w:lang w:val="en-US"/>
        </w:rPr>
        <w:t>he</w:t>
      </w:r>
      <w:r w:rsidR="00C92883">
        <w:rPr>
          <w:rFonts w:ascii="Times New Roman" w:hAnsi="Times New Roman" w:cs="Times New Roman"/>
          <w:lang w:val="en-US"/>
        </w:rPr>
        <w:t xml:space="preserve"> possessed the firearm defies reason and common sense.  See S V Mlambo 1994(2) ZLR 410 (S) at 413C.</w:t>
      </w:r>
    </w:p>
    <w:p w14:paraId="606DD5B7" w14:textId="54CC7670" w:rsidR="00C92883" w:rsidRDefault="00C92883" w:rsidP="000F3243">
      <w:pPr>
        <w:pStyle w:val="NoSpacing"/>
        <w:spacing w:line="360" w:lineRule="auto"/>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 xml:space="preserve">The kind of possession </w:t>
      </w:r>
      <w:r w:rsidRPr="00C92883">
        <w:rPr>
          <w:rFonts w:ascii="Times New Roman" w:hAnsi="Times New Roman" w:cs="Times New Roman"/>
          <w:i/>
          <w:iCs/>
          <w:lang w:val="en-US"/>
        </w:rPr>
        <w:t>in casu</w:t>
      </w:r>
      <w:r>
        <w:rPr>
          <w:rFonts w:ascii="Times New Roman" w:hAnsi="Times New Roman" w:cs="Times New Roman"/>
          <w:lang w:val="en-US"/>
        </w:rPr>
        <w:t xml:space="preserve"> is that defined in </w:t>
      </w:r>
      <w:r w:rsidRPr="00C92883">
        <w:rPr>
          <w:rFonts w:ascii="Times New Roman" w:hAnsi="Times New Roman" w:cs="Times New Roman"/>
          <w:i/>
          <w:iCs/>
          <w:lang w:val="en-US"/>
        </w:rPr>
        <w:t>S</w:t>
      </w:r>
      <w:r>
        <w:rPr>
          <w:rFonts w:ascii="Times New Roman" w:hAnsi="Times New Roman" w:cs="Times New Roman"/>
          <w:lang w:val="en-US"/>
        </w:rPr>
        <w:t xml:space="preserve"> v </w:t>
      </w:r>
      <w:proofErr w:type="spellStart"/>
      <w:r w:rsidRPr="00C92883">
        <w:rPr>
          <w:rFonts w:ascii="Times New Roman" w:hAnsi="Times New Roman" w:cs="Times New Roman"/>
          <w:i/>
          <w:iCs/>
          <w:lang w:val="en-US"/>
        </w:rPr>
        <w:t>Mpa</w:t>
      </w:r>
      <w:proofErr w:type="spellEnd"/>
      <w:r>
        <w:rPr>
          <w:rFonts w:ascii="Times New Roman" w:hAnsi="Times New Roman" w:cs="Times New Roman"/>
          <w:lang w:val="en-US"/>
        </w:rPr>
        <w:t xml:space="preserve"> 2014(1) ZLR 572 (H) where </w:t>
      </w:r>
      <w:r w:rsidRPr="00C92883">
        <w:rPr>
          <w:rFonts w:ascii="Times New Roman" w:hAnsi="Times New Roman" w:cs="Times New Roman"/>
          <w:smallCaps/>
          <w:lang w:val="en-US"/>
        </w:rPr>
        <w:t>Hungwe</w:t>
      </w:r>
      <w:r>
        <w:rPr>
          <w:rFonts w:ascii="Times New Roman" w:hAnsi="Times New Roman" w:cs="Times New Roman"/>
          <w:lang w:val="en-US"/>
        </w:rPr>
        <w:t xml:space="preserve"> and </w:t>
      </w:r>
      <w:r w:rsidRPr="00C92883">
        <w:rPr>
          <w:rFonts w:ascii="Times New Roman" w:hAnsi="Times New Roman" w:cs="Times New Roman"/>
          <w:smallCaps/>
          <w:lang w:val="en-US"/>
        </w:rPr>
        <w:t>Bere</w:t>
      </w:r>
      <w:r>
        <w:rPr>
          <w:rFonts w:ascii="Times New Roman" w:hAnsi="Times New Roman" w:cs="Times New Roman"/>
          <w:lang w:val="en-US"/>
        </w:rPr>
        <w:t xml:space="preserve"> JJ (as they then were) said at 574C:</w:t>
      </w:r>
    </w:p>
    <w:p w14:paraId="6E0A5C07" w14:textId="7B03ED78" w:rsidR="00C92883" w:rsidRDefault="00C92883" w:rsidP="00C92883">
      <w:pPr>
        <w:pStyle w:val="NoSpacing"/>
        <w:ind w:left="720"/>
        <w:jc w:val="both"/>
        <w:rPr>
          <w:rFonts w:ascii="Times New Roman" w:hAnsi="Times New Roman" w:cs="Times New Roman"/>
          <w:sz w:val="22"/>
          <w:szCs w:val="22"/>
          <w:lang w:val="en-US"/>
        </w:rPr>
      </w:pPr>
      <w:r w:rsidRPr="00C92883">
        <w:rPr>
          <w:rFonts w:ascii="Times New Roman" w:hAnsi="Times New Roman" w:cs="Times New Roman"/>
          <w:sz w:val="22"/>
          <w:szCs w:val="22"/>
          <w:lang w:val="en-US"/>
        </w:rPr>
        <w:t>“A person has possession of something if the person knows of its presence and has physical control of it, or has the power and intention to control it.”</w:t>
      </w:r>
    </w:p>
    <w:p w14:paraId="32ED786E" w14:textId="77777777" w:rsidR="00C92883" w:rsidRPr="00C92883" w:rsidRDefault="00C92883" w:rsidP="00C92883">
      <w:pPr>
        <w:pStyle w:val="NoSpacing"/>
        <w:ind w:left="720"/>
        <w:jc w:val="both"/>
        <w:rPr>
          <w:rFonts w:ascii="Times New Roman" w:hAnsi="Times New Roman" w:cs="Times New Roman"/>
          <w:sz w:val="22"/>
          <w:szCs w:val="22"/>
          <w:lang w:val="en-US"/>
        </w:rPr>
      </w:pPr>
    </w:p>
    <w:p w14:paraId="44C3D89F" w14:textId="103981C3" w:rsidR="00AD3E37" w:rsidRDefault="00C92883" w:rsidP="00C92883">
      <w:pPr>
        <w:pStyle w:val="NoSpacing"/>
        <w:spacing w:line="360" w:lineRule="auto"/>
        <w:jc w:val="both"/>
        <w:rPr>
          <w:rFonts w:ascii="Times New Roman" w:hAnsi="Times New Roman" w:cs="Times New Roman"/>
          <w:lang w:val="en-US"/>
        </w:rPr>
      </w:pPr>
      <w:r w:rsidRPr="00C92883">
        <w:rPr>
          <w:rFonts w:ascii="Times New Roman" w:hAnsi="Times New Roman" w:cs="Times New Roman"/>
          <w:lang w:val="en-US"/>
        </w:rPr>
        <w:lastRenderedPageBreak/>
        <w:t>[6]</w:t>
      </w:r>
      <w:r>
        <w:rPr>
          <w:rFonts w:ascii="Times New Roman" w:hAnsi="Times New Roman" w:cs="Times New Roman"/>
          <w:lang w:val="en-US"/>
        </w:rPr>
        <w:tab/>
        <w:t>The two witnesses produced by the prosecution were Detective Sergeants Isai</w:t>
      </w:r>
      <w:r w:rsidR="003046BA">
        <w:rPr>
          <w:rFonts w:ascii="Times New Roman" w:hAnsi="Times New Roman" w:cs="Times New Roman"/>
          <w:lang w:val="en-US"/>
        </w:rPr>
        <w:t>a</w:t>
      </w:r>
      <w:r>
        <w:rPr>
          <w:rFonts w:ascii="Times New Roman" w:hAnsi="Times New Roman" w:cs="Times New Roman"/>
          <w:lang w:val="en-US"/>
        </w:rPr>
        <w:t xml:space="preserve">h Chikanda and Artwell Chidziva.  The former testified on 10 February 2025 and 12 March 2025.  The latter </w:t>
      </w:r>
      <w:r w:rsidR="00AD3E37">
        <w:rPr>
          <w:rFonts w:ascii="Times New Roman" w:hAnsi="Times New Roman" w:cs="Times New Roman"/>
          <w:lang w:val="en-US"/>
        </w:rPr>
        <w:t>gave evidence on 12 March 2025.  This means both testified more than a year after the occurrence of the events forming the subject of the charge.</w:t>
      </w:r>
    </w:p>
    <w:p w14:paraId="72D95225" w14:textId="0933D0AA" w:rsidR="004933A6" w:rsidRDefault="00AD3E37"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t xml:space="preserve">They told a simple and straightforward story.  They were part of a team of police officers investigating a case of robbery committed in aggravating circumstances.  The other team members were Detective Sergeant Gutsa and Detective Assistant Inspector </w:t>
      </w:r>
      <w:proofErr w:type="spellStart"/>
      <w:r>
        <w:rPr>
          <w:rFonts w:ascii="Times New Roman" w:hAnsi="Times New Roman" w:cs="Times New Roman"/>
          <w:lang w:val="en-US"/>
        </w:rPr>
        <w:t>Mudyawabikwa</w:t>
      </w:r>
      <w:proofErr w:type="spellEnd"/>
      <w:r>
        <w:rPr>
          <w:rFonts w:ascii="Times New Roman" w:hAnsi="Times New Roman" w:cs="Times New Roman"/>
          <w:lang w:val="en-US"/>
        </w:rPr>
        <w:t xml:space="preserve">.  All four were based at the </w:t>
      </w:r>
      <w:r w:rsidR="004933A6">
        <w:rPr>
          <w:rFonts w:ascii="Times New Roman" w:hAnsi="Times New Roman" w:cs="Times New Roman"/>
          <w:lang w:val="en-US"/>
        </w:rPr>
        <w:t>Criminal</w:t>
      </w:r>
      <w:r>
        <w:rPr>
          <w:rFonts w:ascii="Times New Roman" w:hAnsi="Times New Roman" w:cs="Times New Roman"/>
          <w:lang w:val="en-US"/>
        </w:rPr>
        <w:t xml:space="preserve"> Investigations </w:t>
      </w:r>
      <w:r w:rsidR="004933A6">
        <w:rPr>
          <w:rFonts w:ascii="Times New Roman" w:hAnsi="Times New Roman" w:cs="Times New Roman"/>
          <w:lang w:val="en-US"/>
        </w:rPr>
        <w:t>Department</w:t>
      </w:r>
      <w:r>
        <w:rPr>
          <w:rFonts w:ascii="Times New Roman" w:hAnsi="Times New Roman" w:cs="Times New Roman"/>
          <w:lang w:val="en-US"/>
        </w:rPr>
        <w:t xml:space="preserve"> in Harare</w:t>
      </w:r>
      <w:r w:rsidR="004933A6">
        <w:rPr>
          <w:rFonts w:ascii="Times New Roman" w:hAnsi="Times New Roman" w:cs="Times New Roman"/>
          <w:lang w:val="en-US"/>
        </w:rPr>
        <w:t>.</w:t>
      </w:r>
    </w:p>
    <w:p w14:paraId="64D2A8A5" w14:textId="7A0EF8C8" w:rsidR="00603E77" w:rsidRDefault="004933A6"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[8]</w:t>
      </w:r>
      <w:r>
        <w:rPr>
          <w:rFonts w:ascii="Times New Roman" w:hAnsi="Times New Roman" w:cs="Times New Roman"/>
          <w:lang w:val="en-US"/>
        </w:rPr>
        <w:tab/>
        <w:t xml:space="preserve">Their investigations took them to Bulawayo where they arrested one </w:t>
      </w:r>
      <w:proofErr w:type="spellStart"/>
      <w:r>
        <w:rPr>
          <w:rFonts w:ascii="Times New Roman" w:hAnsi="Times New Roman" w:cs="Times New Roman"/>
          <w:lang w:val="en-US"/>
        </w:rPr>
        <w:t>Bekimp</w:t>
      </w:r>
      <w:r w:rsidR="00603E77">
        <w:rPr>
          <w:rFonts w:ascii="Times New Roman" w:hAnsi="Times New Roman" w:cs="Times New Roman"/>
          <w:lang w:val="en-US"/>
        </w:rPr>
        <w:t>ilo</w:t>
      </w:r>
      <w:proofErr w:type="spellEnd"/>
      <w:r w:rsidR="00603E77">
        <w:rPr>
          <w:rFonts w:ascii="Times New Roman" w:hAnsi="Times New Roman" w:cs="Times New Roman"/>
          <w:lang w:val="en-US"/>
        </w:rPr>
        <w:t xml:space="preserve"> </w:t>
      </w:r>
      <w:proofErr w:type="spellStart"/>
      <w:r w:rsidR="00603E77">
        <w:rPr>
          <w:rFonts w:ascii="Times New Roman" w:hAnsi="Times New Roman" w:cs="Times New Roman"/>
          <w:lang w:val="en-US"/>
        </w:rPr>
        <w:t>Ncube</w:t>
      </w:r>
      <w:proofErr w:type="spellEnd"/>
      <w:r w:rsidR="00603E77">
        <w:rPr>
          <w:rFonts w:ascii="Times New Roman" w:hAnsi="Times New Roman" w:cs="Times New Roman"/>
          <w:lang w:val="en-US"/>
        </w:rPr>
        <w:t xml:space="preserve">.  The appellant, as was </w:t>
      </w:r>
      <w:proofErr w:type="spellStart"/>
      <w:r w:rsidR="00603E77">
        <w:rPr>
          <w:rFonts w:ascii="Times New Roman" w:hAnsi="Times New Roman" w:cs="Times New Roman"/>
          <w:lang w:val="en-US"/>
        </w:rPr>
        <w:t>Bekimpilo</w:t>
      </w:r>
      <w:proofErr w:type="spellEnd"/>
      <w:r w:rsidR="00603E77">
        <w:rPr>
          <w:rFonts w:ascii="Times New Roman" w:hAnsi="Times New Roman" w:cs="Times New Roman"/>
          <w:lang w:val="en-US"/>
        </w:rPr>
        <w:t xml:space="preserve"> </w:t>
      </w:r>
      <w:proofErr w:type="spellStart"/>
      <w:r w:rsidR="00603E77">
        <w:rPr>
          <w:rFonts w:ascii="Times New Roman" w:hAnsi="Times New Roman" w:cs="Times New Roman"/>
          <w:lang w:val="en-US"/>
        </w:rPr>
        <w:t>Ncube</w:t>
      </w:r>
      <w:proofErr w:type="spellEnd"/>
      <w:r w:rsidR="00603E77">
        <w:rPr>
          <w:rFonts w:ascii="Times New Roman" w:hAnsi="Times New Roman" w:cs="Times New Roman"/>
          <w:lang w:val="en-US"/>
        </w:rPr>
        <w:t xml:space="preserve"> (</w:t>
      </w:r>
      <w:proofErr w:type="spellStart"/>
      <w:r w:rsidR="00603E77">
        <w:rPr>
          <w:rFonts w:ascii="Times New Roman" w:hAnsi="Times New Roman" w:cs="Times New Roman"/>
          <w:lang w:val="en-US"/>
        </w:rPr>
        <w:t>Bekimpilo</w:t>
      </w:r>
      <w:proofErr w:type="spellEnd"/>
      <w:r w:rsidR="00603E77">
        <w:rPr>
          <w:rFonts w:ascii="Times New Roman" w:hAnsi="Times New Roman" w:cs="Times New Roman"/>
          <w:lang w:val="en-US"/>
        </w:rPr>
        <w:t>)</w:t>
      </w:r>
      <w:r w:rsidR="003046BA">
        <w:rPr>
          <w:rFonts w:ascii="Times New Roman" w:hAnsi="Times New Roman" w:cs="Times New Roman"/>
          <w:lang w:val="en-US"/>
        </w:rPr>
        <w:t xml:space="preserve"> was</w:t>
      </w:r>
      <w:r w:rsidR="00603E77">
        <w:rPr>
          <w:rFonts w:ascii="Times New Roman" w:hAnsi="Times New Roman" w:cs="Times New Roman"/>
          <w:lang w:val="en-US"/>
        </w:rPr>
        <w:t xml:space="preserve"> a suspect in the robbery case. Since they did not know where the appellant resided, </w:t>
      </w:r>
      <w:proofErr w:type="spellStart"/>
      <w:r w:rsidR="00603E77">
        <w:rPr>
          <w:rFonts w:ascii="Times New Roman" w:hAnsi="Times New Roman" w:cs="Times New Roman"/>
          <w:lang w:val="en-US"/>
        </w:rPr>
        <w:t>Bekimpilo</w:t>
      </w:r>
      <w:proofErr w:type="spellEnd"/>
      <w:r w:rsidR="00603E77">
        <w:rPr>
          <w:rFonts w:ascii="Times New Roman" w:hAnsi="Times New Roman" w:cs="Times New Roman"/>
          <w:lang w:val="en-US"/>
        </w:rPr>
        <w:t xml:space="preserve"> led</w:t>
      </w:r>
      <w:r w:rsidR="003046BA">
        <w:rPr>
          <w:rFonts w:ascii="Times New Roman" w:hAnsi="Times New Roman" w:cs="Times New Roman"/>
          <w:lang w:val="en-US"/>
        </w:rPr>
        <w:t xml:space="preserve"> </w:t>
      </w:r>
      <w:r w:rsidR="00603E77">
        <w:rPr>
          <w:rFonts w:ascii="Times New Roman" w:hAnsi="Times New Roman" w:cs="Times New Roman"/>
          <w:lang w:val="en-US"/>
        </w:rPr>
        <w:t>the police to the appellant</w:t>
      </w:r>
      <w:r w:rsidR="003046BA">
        <w:rPr>
          <w:rFonts w:ascii="Times New Roman" w:hAnsi="Times New Roman" w:cs="Times New Roman"/>
          <w:lang w:val="en-US"/>
        </w:rPr>
        <w:t>’</w:t>
      </w:r>
      <w:r w:rsidR="00603E77">
        <w:rPr>
          <w:rFonts w:ascii="Times New Roman" w:hAnsi="Times New Roman" w:cs="Times New Roman"/>
          <w:lang w:val="en-US"/>
        </w:rPr>
        <w:t>s residence mentioned at para 3 of this judgment.</w:t>
      </w:r>
    </w:p>
    <w:p w14:paraId="18B85B08" w14:textId="77777777" w:rsidR="00603E77" w:rsidRDefault="00603E77"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[9]</w:t>
      </w:r>
      <w:r>
        <w:rPr>
          <w:rFonts w:ascii="Times New Roman" w:hAnsi="Times New Roman" w:cs="Times New Roman"/>
          <w:lang w:val="en-US"/>
        </w:rPr>
        <w:tab/>
        <w:t>It is there that they stumbled upon the firearm in question.  The same was on the bedroom floor, stashed in a black bag.  The only persons in that bedroom were the appellant and his spouse.</w:t>
      </w:r>
    </w:p>
    <w:p w14:paraId="1CA485CD" w14:textId="77777777" w:rsidR="00603E77" w:rsidRDefault="00603E77"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[10]</w:t>
      </w:r>
      <w:r>
        <w:rPr>
          <w:rFonts w:ascii="Times New Roman" w:hAnsi="Times New Roman" w:cs="Times New Roman"/>
          <w:lang w:val="en-US"/>
        </w:rPr>
        <w:tab/>
        <w:t>The two state witnesses explained that the reason why they did not arrest the appellant’s wife for unlawful possession of the firearm was because the appellant exonerated her.  He said it was him who possessed the firearm.</w:t>
      </w:r>
    </w:p>
    <w:p w14:paraId="547C5458" w14:textId="274D6445" w:rsidR="009B2169" w:rsidRDefault="00603E77"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[11]</w:t>
      </w:r>
      <w:r>
        <w:rPr>
          <w:rFonts w:ascii="Times New Roman" w:hAnsi="Times New Roman" w:cs="Times New Roman"/>
          <w:lang w:val="en-US"/>
        </w:rPr>
        <w:tab/>
        <w:t xml:space="preserve">At the trial Chikanda testified as the investigating officer.  He said it was him who recovered the firearm.  He said Chidziva took the firearm and proceeded to make the appellant sign for the recovery of the </w:t>
      </w:r>
      <w:r w:rsidR="00C811B5">
        <w:rPr>
          <w:rFonts w:ascii="Times New Roman" w:hAnsi="Times New Roman" w:cs="Times New Roman"/>
          <w:lang w:val="en-US"/>
        </w:rPr>
        <w:t>firearm in</w:t>
      </w:r>
      <w:r>
        <w:rPr>
          <w:rFonts w:ascii="Times New Roman" w:hAnsi="Times New Roman" w:cs="Times New Roman"/>
          <w:lang w:val="en-US"/>
        </w:rPr>
        <w:t xml:space="preserve"> Chidziva</w:t>
      </w:r>
      <w:r w:rsidR="003046BA">
        <w:rPr>
          <w:rFonts w:ascii="Times New Roman" w:hAnsi="Times New Roman" w:cs="Times New Roman"/>
          <w:lang w:val="en-US"/>
        </w:rPr>
        <w:t>’s</w:t>
      </w:r>
      <w:r>
        <w:rPr>
          <w:rFonts w:ascii="Times New Roman" w:hAnsi="Times New Roman" w:cs="Times New Roman"/>
          <w:lang w:val="en-US"/>
        </w:rPr>
        <w:t xml:space="preserve"> police notebook.  Chikanda told the court </w:t>
      </w:r>
      <w:r w:rsidRPr="00603E77">
        <w:rPr>
          <w:rFonts w:ascii="Times New Roman" w:hAnsi="Times New Roman" w:cs="Times New Roman"/>
          <w:i/>
          <w:iCs/>
          <w:lang w:val="en-US"/>
        </w:rPr>
        <w:t xml:space="preserve">a quo </w:t>
      </w:r>
      <w:r>
        <w:rPr>
          <w:rFonts w:ascii="Times New Roman" w:hAnsi="Times New Roman" w:cs="Times New Roman"/>
          <w:lang w:val="en-US"/>
        </w:rPr>
        <w:t xml:space="preserve">that Chidziva and Gutsa conducted a search in the appellant’s bedroom while he himself was observing the search.  Chidziva said Chikanda conducted </w:t>
      </w:r>
      <w:r w:rsidR="009B2169">
        <w:rPr>
          <w:rFonts w:ascii="Times New Roman" w:hAnsi="Times New Roman" w:cs="Times New Roman"/>
          <w:lang w:val="en-US"/>
        </w:rPr>
        <w:t>the search and recovered the firearm while he, Chidziva, observed the search.  Nothing turns on these minor variations in detail.  They do not go to the root of the matter.  The gist of the matter is that, working as a team, the police officers were investigating not a case of the unlawful</w:t>
      </w:r>
      <w:r w:rsidR="00C811B5">
        <w:rPr>
          <w:rFonts w:ascii="Times New Roman" w:hAnsi="Times New Roman" w:cs="Times New Roman"/>
          <w:lang w:val="en-US"/>
        </w:rPr>
        <w:t xml:space="preserve"> </w:t>
      </w:r>
      <w:r w:rsidR="009B2169">
        <w:rPr>
          <w:rFonts w:ascii="Times New Roman" w:hAnsi="Times New Roman" w:cs="Times New Roman"/>
          <w:lang w:val="en-US"/>
        </w:rPr>
        <w:t xml:space="preserve">possession of a firearm by the appellant.  Instead, they were investigating a case of robbery, arrested </w:t>
      </w:r>
      <w:proofErr w:type="spellStart"/>
      <w:r w:rsidR="009B2169">
        <w:rPr>
          <w:rFonts w:ascii="Times New Roman" w:hAnsi="Times New Roman" w:cs="Times New Roman"/>
          <w:lang w:val="en-US"/>
        </w:rPr>
        <w:t>Bekimpilo</w:t>
      </w:r>
      <w:proofErr w:type="spellEnd"/>
      <w:r w:rsidR="009B2169">
        <w:rPr>
          <w:rFonts w:ascii="Times New Roman" w:hAnsi="Times New Roman" w:cs="Times New Roman"/>
          <w:lang w:val="en-US"/>
        </w:rPr>
        <w:t xml:space="preserve"> in Bulawayo in connection therewith, were led by the latter to the appellant’s residence in </w:t>
      </w:r>
      <w:proofErr w:type="spellStart"/>
      <w:r w:rsidR="009B2169">
        <w:rPr>
          <w:rFonts w:ascii="Times New Roman" w:hAnsi="Times New Roman" w:cs="Times New Roman"/>
          <w:lang w:val="en-US"/>
        </w:rPr>
        <w:t>Ins</w:t>
      </w:r>
      <w:r w:rsidR="003046BA">
        <w:rPr>
          <w:rFonts w:ascii="Times New Roman" w:hAnsi="Times New Roman" w:cs="Times New Roman"/>
          <w:lang w:val="en-US"/>
        </w:rPr>
        <w:t>u</w:t>
      </w:r>
      <w:r w:rsidR="009B2169">
        <w:rPr>
          <w:rFonts w:ascii="Times New Roman" w:hAnsi="Times New Roman" w:cs="Times New Roman"/>
          <w:lang w:val="en-US"/>
        </w:rPr>
        <w:t>za</w:t>
      </w:r>
      <w:proofErr w:type="spellEnd"/>
      <w:r w:rsidR="009B2169">
        <w:rPr>
          <w:rFonts w:ascii="Times New Roman" w:hAnsi="Times New Roman" w:cs="Times New Roman"/>
          <w:lang w:val="en-US"/>
        </w:rPr>
        <w:t xml:space="preserve"> where, by chance, they</w:t>
      </w:r>
      <w:r w:rsidR="003046BA">
        <w:rPr>
          <w:rFonts w:ascii="Times New Roman" w:hAnsi="Times New Roman" w:cs="Times New Roman"/>
          <w:lang w:val="en-US"/>
        </w:rPr>
        <w:t>,</w:t>
      </w:r>
      <w:r w:rsidR="009B2169">
        <w:rPr>
          <w:rFonts w:ascii="Times New Roman" w:hAnsi="Times New Roman" w:cs="Times New Roman"/>
          <w:lang w:val="en-US"/>
        </w:rPr>
        <w:t xml:space="preserve"> still as a team, stumbled upon the firearm in question in the circumstances that we now know.</w:t>
      </w:r>
    </w:p>
    <w:p w14:paraId="4FA6AFB3" w14:textId="736E07E0" w:rsidR="00C92883" w:rsidRDefault="009B2169"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[12]</w:t>
      </w:r>
      <w:r>
        <w:rPr>
          <w:rFonts w:ascii="Times New Roman" w:hAnsi="Times New Roman" w:cs="Times New Roman"/>
          <w:lang w:val="en-US"/>
        </w:rPr>
        <w:tab/>
        <w:t xml:space="preserve">We agree with Mr Chikosha that the court a quo did not err in rejecting the appellant’s defence.  That defence was simply a denial of possession of the firearm in question.  At the trial, the prosecution produced that firearm as an exhibit.  Also produced by the prosecution </w:t>
      </w:r>
      <w:r>
        <w:rPr>
          <w:rFonts w:ascii="Times New Roman" w:hAnsi="Times New Roman" w:cs="Times New Roman"/>
          <w:lang w:val="en-US"/>
        </w:rPr>
        <w:lastRenderedPageBreak/>
        <w:t>was the ballistics report relating to that firearm</w:t>
      </w:r>
      <w:r w:rsidR="0021477C">
        <w:rPr>
          <w:rFonts w:ascii="Times New Roman" w:hAnsi="Times New Roman" w:cs="Times New Roman"/>
          <w:lang w:val="en-US"/>
        </w:rPr>
        <w:t xml:space="preserve">.  What this means is that the firearm existed and that, therefore, the prosecution witnesses were not fabricating its existence and recovery.  The appellant wanted the court a quo to accept that the police planted that firearm on him in order to raise a false charge that he was in unlawful possession of that firearm at his residence in </w:t>
      </w:r>
      <w:proofErr w:type="spellStart"/>
      <w:r w:rsidR="0021477C">
        <w:rPr>
          <w:rFonts w:ascii="Times New Roman" w:hAnsi="Times New Roman" w:cs="Times New Roman"/>
          <w:lang w:val="en-US"/>
        </w:rPr>
        <w:t>Insuza</w:t>
      </w:r>
      <w:proofErr w:type="spellEnd"/>
      <w:r w:rsidR="0021477C">
        <w:rPr>
          <w:rFonts w:ascii="Times New Roman" w:hAnsi="Times New Roman" w:cs="Times New Roman"/>
          <w:lang w:val="en-US"/>
        </w:rPr>
        <w:t xml:space="preserve">.  That to us appears illogical.  If the police were minded to plant a firearm on anybody so as to falsely allege that the person unlawfully possessed the firearm they could easily have done that with </w:t>
      </w:r>
      <w:proofErr w:type="spellStart"/>
      <w:r w:rsidR="0021477C">
        <w:rPr>
          <w:rFonts w:ascii="Times New Roman" w:hAnsi="Times New Roman" w:cs="Times New Roman"/>
          <w:lang w:val="en-US"/>
        </w:rPr>
        <w:t>Bekimpilo</w:t>
      </w:r>
      <w:proofErr w:type="spellEnd"/>
      <w:r w:rsidR="0021477C">
        <w:rPr>
          <w:rFonts w:ascii="Times New Roman" w:hAnsi="Times New Roman" w:cs="Times New Roman"/>
          <w:lang w:val="en-US"/>
        </w:rPr>
        <w:t xml:space="preserve"> whom they arrested in Bulawayo.  We have carefully read the record.  We did not detect anything to suggest that there was anything peculiar about the appellant that could have driven the police to plant a firearm on him, and not on </w:t>
      </w:r>
      <w:proofErr w:type="spellStart"/>
      <w:r w:rsidR="0021477C">
        <w:rPr>
          <w:rFonts w:ascii="Times New Roman" w:hAnsi="Times New Roman" w:cs="Times New Roman"/>
          <w:lang w:val="en-US"/>
        </w:rPr>
        <w:t>Bekimpilo</w:t>
      </w:r>
      <w:proofErr w:type="spellEnd"/>
      <w:r w:rsidR="0021477C">
        <w:rPr>
          <w:rFonts w:ascii="Times New Roman" w:hAnsi="Times New Roman" w:cs="Times New Roman"/>
          <w:lang w:val="en-US"/>
        </w:rPr>
        <w:t xml:space="preserve">, so as to fabricate a charge against him.  It will be remembered that both </w:t>
      </w:r>
      <w:proofErr w:type="spellStart"/>
      <w:r w:rsidR="0021477C">
        <w:rPr>
          <w:rFonts w:ascii="Times New Roman" w:hAnsi="Times New Roman" w:cs="Times New Roman"/>
          <w:lang w:val="en-US"/>
        </w:rPr>
        <w:t>Bekimpilo</w:t>
      </w:r>
      <w:proofErr w:type="spellEnd"/>
      <w:r w:rsidR="0021477C">
        <w:rPr>
          <w:rFonts w:ascii="Times New Roman" w:hAnsi="Times New Roman" w:cs="Times New Roman"/>
          <w:lang w:val="en-US"/>
        </w:rPr>
        <w:t xml:space="preserve"> and the appellant were being investigated on a robbery charge.  It is that investigation which led the police to leave Harare for Bulawayo (where </w:t>
      </w:r>
      <w:r w:rsidR="00C92883" w:rsidRPr="00603E77">
        <w:rPr>
          <w:rFonts w:ascii="Times New Roman" w:hAnsi="Times New Roman" w:cs="Times New Roman"/>
          <w:i/>
          <w:iCs/>
          <w:lang w:val="en-US"/>
        </w:rPr>
        <w:tab/>
      </w:r>
      <w:proofErr w:type="spellStart"/>
      <w:r w:rsidR="0021477C">
        <w:rPr>
          <w:rFonts w:ascii="Times New Roman" w:hAnsi="Times New Roman" w:cs="Times New Roman"/>
          <w:lang w:val="en-US"/>
        </w:rPr>
        <w:t>Bekimpilo</w:t>
      </w:r>
      <w:proofErr w:type="spellEnd"/>
      <w:r w:rsidR="0021477C">
        <w:rPr>
          <w:rFonts w:ascii="Times New Roman" w:hAnsi="Times New Roman" w:cs="Times New Roman"/>
          <w:lang w:val="en-US"/>
        </w:rPr>
        <w:t xml:space="preserve"> was arrested).  It is that investigation which also led the police from Bulawayo to the appellant’s residence in </w:t>
      </w:r>
      <w:proofErr w:type="spellStart"/>
      <w:r w:rsidR="0021477C">
        <w:rPr>
          <w:rFonts w:ascii="Times New Roman" w:hAnsi="Times New Roman" w:cs="Times New Roman"/>
          <w:lang w:val="en-US"/>
        </w:rPr>
        <w:t>Insuza</w:t>
      </w:r>
      <w:proofErr w:type="spellEnd"/>
      <w:r w:rsidR="0021477C">
        <w:rPr>
          <w:rFonts w:ascii="Times New Roman" w:hAnsi="Times New Roman" w:cs="Times New Roman"/>
          <w:lang w:val="en-US"/>
        </w:rPr>
        <w:t xml:space="preserve">.  The evidence of Chikanda and Chidziva make good reading.  They did not arrest the appellant’s spouse </w:t>
      </w:r>
      <w:r w:rsidR="00717033">
        <w:rPr>
          <w:rFonts w:ascii="Times New Roman" w:hAnsi="Times New Roman" w:cs="Times New Roman"/>
          <w:lang w:val="en-US"/>
        </w:rPr>
        <w:t>for unlawful possession of the firearm in question, despite her presence together with the appellant in the bedroom where the firearm was found because the appellant exonerated her.  If the police were malicious, as suggested by the appellant, there would have been nothing precluding them from arresting both spouses for unlawful possession of the same firearm.</w:t>
      </w:r>
    </w:p>
    <w:p w14:paraId="7A7587AF" w14:textId="4CC942E1" w:rsidR="00717033" w:rsidRDefault="00717033"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[13]</w:t>
      </w:r>
      <w:r>
        <w:rPr>
          <w:rFonts w:ascii="Times New Roman" w:hAnsi="Times New Roman" w:cs="Times New Roman"/>
          <w:lang w:val="en-US"/>
        </w:rPr>
        <w:tab/>
        <w:t>Each case depends on its own facts.  It is not every case where police officers will be able to issue the seizure receipt in the form contemplated in S 49 of the Criminal Procedure and Evidence Act [</w:t>
      </w:r>
      <w:r w:rsidRPr="00717033">
        <w:rPr>
          <w:rFonts w:ascii="Times New Roman" w:hAnsi="Times New Roman" w:cs="Times New Roman"/>
          <w:i/>
          <w:iCs/>
          <w:lang w:val="en-US"/>
        </w:rPr>
        <w:t>Chapter 9:07</w:t>
      </w:r>
      <w:r>
        <w:rPr>
          <w:rFonts w:ascii="Times New Roman" w:hAnsi="Times New Roman" w:cs="Times New Roman"/>
          <w:lang w:val="en-US"/>
        </w:rPr>
        <w:t xml:space="preserve">].  In the present matter, the two state witnesses explained that they did not issue such a seizure receipt relative to the firearm because no such book was available both at neighboring stations and at their own station.  There is nothing strange about stationary </w:t>
      </w:r>
      <w:r w:rsidR="003046BA">
        <w:rPr>
          <w:rFonts w:ascii="Times New Roman" w:hAnsi="Times New Roman" w:cs="Times New Roman"/>
          <w:lang w:val="en-US"/>
        </w:rPr>
        <w:t>runn</w:t>
      </w:r>
      <w:r>
        <w:rPr>
          <w:rFonts w:ascii="Times New Roman" w:hAnsi="Times New Roman" w:cs="Times New Roman"/>
          <w:lang w:val="en-US"/>
        </w:rPr>
        <w:t xml:space="preserve">ing out at police stations.  But Chidziva still had his notebook.  He recorded the recovery of the firearm in that notebook.  The relevant page of the notebook was produced by consent.  If the appellant, who was legally represented at the trial, thought that the page did not form part of the relevant notebook he should not have </w:t>
      </w:r>
      <w:r w:rsidR="00A6109C">
        <w:rPr>
          <w:rFonts w:ascii="Times New Roman" w:hAnsi="Times New Roman" w:cs="Times New Roman"/>
          <w:lang w:val="en-US"/>
        </w:rPr>
        <w:t xml:space="preserve">consented to the production of the page only.  For our purposes, we must proceed on the basis that, the relevant exhibit having been produced by consent, the court a quo properly related to its contents, as spoken to by the two state witnesses, in assessing the evidence in its totality.  Both said that the appellant signed in the notebook to acknowledge recovery of the firearm from his possession.  It would have been desirable to subject that signature for examination </w:t>
      </w:r>
      <w:r w:rsidR="00A6109C">
        <w:rPr>
          <w:rFonts w:ascii="Times New Roman" w:hAnsi="Times New Roman" w:cs="Times New Roman"/>
          <w:lang w:val="en-US"/>
        </w:rPr>
        <w:lastRenderedPageBreak/>
        <w:t xml:space="preserve">by a questioned document examiner in case the purported signatory were to distance himself from being the author thereof.  However, the fact that the prosecution did not produce expert evidence to prove that it is the appellant who signed in the police notebook was not fatal to its case.  It is not the law that every piece of alleged fact must be proved beyond reasonable doubt </w:t>
      </w:r>
      <w:r w:rsidR="003046BA">
        <w:rPr>
          <w:rFonts w:ascii="Times New Roman" w:hAnsi="Times New Roman" w:cs="Times New Roman"/>
          <w:lang w:val="en-US"/>
        </w:rPr>
        <w:t>for a conviction to ensure.  What must be proved beyond reasonable doubt is the case against an accused, and not</w:t>
      </w:r>
      <w:r w:rsidR="00D016DE">
        <w:rPr>
          <w:rFonts w:ascii="Times New Roman" w:hAnsi="Times New Roman" w:cs="Times New Roman"/>
          <w:lang w:val="en-US"/>
        </w:rPr>
        <w:t xml:space="preserve"> </w:t>
      </w:r>
      <w:r w:rsidR="00C811B5">
        <w:rPr>
          <w:rFonts w:ascii="Times New Roman" w:hAnsi="Times New Roman" w:cs="Times New Roman"/>
          <w:lang w:val="en-US"/>
        </w:rPr>
        <w:t xml:space="preserve">an </w:t>
      </w:r>
      <w:r w:rsidR="00D016DE">
        <w:rPr>
          <w:rFonts w:ascii="Times New Roman" w:hAnsi="Times New Roman" w:cs="Times New Roman"/>
          <w:lang w:val="en-US"/>
        </w:rPr>
        <w:t>allegation.  At the end of the day, a court presiding over a criminal trial is required to weigh all the evidence in its totality to determine whether the case against an accused has been proved beyond reasonable doubt.</w:t>
      </w:r>
    </w:p>
    <w:p w14:paraId="1CC3865B" w14:textId="44CC85E3" w:rsidR="00F76F1F" w:rsidRDefault="00D016DE"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[14]</w:t>
      </w:r>
      <w:r>
        <w:rPr>
          <w:rFonts w:ascii="Times New Roman" w:hAnsi="Times New Roman" w:cs="Times New Roman"/>
          <w:lang w:val="en-US"/>
        </w:rPr>
        <w:tab/>
        <w:t xml:space="preserve">The court a quo did not have to decide whether it was the appellant who signed in the police notebook to acknowledge recovery of the firearm from his possession.  All it did, which was supported by the evidence on record, was to observe that the relevant signature, to a lay person (of which the court </w:t>
      </w:r>
      <w:r w:rsidRPr="00D016DE">
        <w:rPr>
          <w:rFonts w:ascii="Times New Roman" w:hAnsi="Times New Roman" w:cs="Times New Roman"/>
          <w:i/>
          <w:iCs/>
          <w:lang w:val="en-US"/>
        </w:rPr>
        <w:t>a quo</w:t>
      </w:r>
      <w:r>
        <w:rPr>
          <w:rFonts w:ascii="Times New Roman" w:hAnsi="Times New Roman" w:cs="Times New Roman"/>
          <w:lang w:val="en-US"/>
        </w:rPr>
        <w:t xml:space="preserve"> was one) looked like the appellant’s signature on his warned and cautioned statement.  The entry in the police notebook (even without the appellant’s signature), taken together with the testimony of Chikanda and Chidziva, proves that a pistol was recovered from the appellant on </w:t>
      </w:r>
      <w:r w:rsidR="00834EDE">
        <w:rPr>
          <w:rFonts w:ascii="Times New Roman" w:hAnsi="Times New Roman" w:cs="Times New Roman"/>
          <w:lang w:val="en-US"/>
        </w:rPr>
        <w:t xml:space="preserve">the day in question at his named residence.  The recovery was </w:t>
      </w:r>
      <w:proofErr w:type="gramStart"/>
      <w:r w:rsidR="00834EDE">
        <w:rPr>
          <w:rFonts w:ascii="Times New Roman" w:hAnsi="Times New Roman" w:cs="Times New Roman"/>
          <w:lang w:val="en-US"/>
        </w:rPr>
        <w:t>effected</w:t>
      </w:r>
      <w:proofErr w:type="gramEnd"/>
      <w:r w:rsidR="00834EDE">
        <w:rPr>
          <w:rFonts w:ascii="Times New Roman" w:hAnsi="Times New Roman" w:cs="Times New Roman"/>
          <w:lang w:val="en-US"/>
        </w:rPr>
        <w:t xml:space="preserve"> at 2:00am.  This was not daytime.  It explains why neither the n</w:t>
      </w:r>
      <w:r w:rsidR="003046BA">
        <w:rPr>
          <w:rFonts w:ascii="Times New Roman" w:hAnsi="Times New Roman" w:cs="Times New Roman"/>
          <w:lang w:val="en-US"/>
        </w:rPr>
        <w:t>am</w:t>
      </w:r>
      <w:r w:rsidR="00834EDE">
        <w:rPr>
          <w:rFonts w:ascii="Times New Roman" w:hAnsi="Times New Roman" w:cs="Times New Roman"/>
          <w:lang w:val="en-US"/>
        </w:rPr>
        <w:t>e of the pistol nor its serial number were recorded in the police notebook.  These were the early stages of that particular investigation.  Even the</w:t>
      </w:r>
      <w:r w:rsidR="003046BA">
        <w:rPr>
          <w:rFonts w:ascii="Times New Roman" w:hAnsi="Times New Roman" w:cs="Times New Roman"/>
          <w:lang w:val="en-US"/>
        </w:rPr>
        <w:t>n</w:t>
      </w:r>
      <w:r w:rsidR="00834EDE">
        <w:rPr>
          <w:rFonts w:ascii="Times New Roman" w:hAnsi="Times New Roman" w:cs="Times New Roman"/>
          <w:lang w:val="en-US"/>
        </w:rPr>
        <w:t xml:space="preserve">, that the firearm was </w:t>
      </w:r>
      <w:r w:rsidR="00BD3692">
        <w:rPr>
          <w:rFonts w:ascii="Times New Roman" w:hAnsi="Times New Roman" w:cs="Times New Roman"/>
          <w:lang w:val="en-US"/>
        </w:rPr>
        <w:t>a pistol</w:t>
      </w:r>
      <w:r w:rsidR="00834EDE">
        <w:rPr>
          <w:rFonts w:ascii="Times New Roman" w:hAnsi="Times New Roman" w:cs="Times New Roman"/>
          <w:lang w:val="en-US"/>
        </w:rPr>
        <w:t xml:space="preserve"> and a 9mm one had been established.  Details relating to the type of the pistol and its serial number could always </w:t>
      </w:r>
      <w:r w:rsidR="00BD3692">
        <w:rPr>
          <w:rFonts w:ascii="Times New Roman" w:hAnsi="Times New Roman" w:cs="Times New Roman"/>
          <w:lang w:val="en-US"/>
        </w:rPr>
        <w:t xml:space="preserve">be established as the investigations unfolded.  We pause to say this.  If the team of police officers were malicious, bent on planting a firearm which was already </w:t>
      </w:r>
      <w:r w:rsidR="003046BA">
        <w:rPr>
          <w:rFonts w:ascii="Times New Roman" w:hAnsi="Times New Roman" w:cs="Times New Roman"/>
          <w:lang w:val="en-US"/>
        </w:rPr>
        <w:t>in</w:t>
      </w:r>
      <w:r w:rsidR="00BD3692">
        <w:rPr>
          <w:rFonts w:ascii="Times New Roman" w:hAnsi="Times New Roman" w:cs="Times New Roman"/>
          <w:lang w:val="en-US"/>
        </w:rPr>
        <w:t xml:space="preserve"> their possession (with both the serial number and type of firearm already known to them before reaching the appellant’s residence in </w:t>
      </w:r>
      <w:proofErr w:type="spellStart"/>
      <w:r w:rsidR="00BD3692">
        <w:rPr>
          <w:rFonts w:ascii="Times New Roman" w:hAnsi="Times New Roman" w:cs="Times New Roman"/>
          <w:lang w:val="en-US"/>
        </w:rPr>
        <w:t>Insuza</w:t>
      </w:r>
      <w:proofErr w:type="spellEnd"/>
      <w:r w:rsidR="00BD3692">
        <w:rPr>
          <w:rFonts w:ascii="Times New Roman" w:hAnsi="Times New Roman" w:cs="Times New Roman"/>
          <w:lang w:val="en-US"/>
        </w:rPr>
        <w:t xml:space="preserve">) one would have expected to see those serial numbers and the type of the firearm reflected in that police notebook. As it is, the notebook records that </w:t>
      </w:r>
      <w:r w:rsidR="00F76F1F">
        <w:rPr>
          <w:rFonts w:ascii="Times New Roman" w:hAnsi="Times New Roman" w:cs="Times New Roman"/>
          <w:lang w:val="en-US"/>
        </w:rPr>
        <w:t>it was a “9mm, unnamed pistol.” The appellant</w:t>
      </w:r>
      <w:r w:rsidR="00203967">
        <w:rPr>
          <w:rFonts w:ascii="Times New Roman" w:hAnsi="Times New Roman" w:cs="Times New Roman"/>
          <w:lang w:val="en-US"/>
        </w:rPr>
        <w:t>’</w:t>
      </w:r>
      <w:r w:rsidR="00F76F1F">
        <w:rPr>
          <w:rFonts w:ascii="Times New Roman" w:hAnsi="Times New Roman" w:cs="Times New Roman"/>
          <w:lang w:val="en-US"/>
        </w:rPr>
        <w:t xml:space="preserve">s warned and cautioned statement was recorded on 22 February 2024 at 12.45pm.  This was a day after the </w:t>
      </w:r>
      <w:proofErr w:type="spellStart"/>
      <w:r w:rsidR="00F76F1F">
        <w:rPr>
          <w:rFonts w:ascii="Times New Roman" w:hAnsi="Times New Roman" w:cs="Times New Roman"/>
          <w:lang w:val="en-US"/>
        </w:rPr>
        <w:t>Insuza</w:t>
      </w:r>
      <w:proofErr w:type="spellEnd"/>
      <w:r w:rsidR="00F76F1F">
        <w:rPr>
          <w:rFonts w:ascii="Times New Roman" w:hAnsi="Times New Roman" w:cs="Times New Roman"/>
          <w:lang w:val="en-US"/>
        </w:rPr>
        <w:t xml:space="preserve"> incident.  It was now daytime.  The warn and caution alleged that the appellant was found in possession of a “9mm star pistol serial number 43007403 </w:t>
      </w:r>
      <w:r w:rsidR="002B0C90">
        <w:rPr>
          <w:rFonts w:ascii="Times New Roman" w:hAnsi="Times New Roman" w:cs="Times New Roman"/>
          <w:lang w:val="en-US"/>
        </w:rPr>
        <w:t>without a</w:t>
      </w:r>
      <w:r w:rsidR="00F76F1F">
        <w:rPr>
          <w:rFonts w:ascii="Times New Roman" w:hAnsi="Times New Roman" w:cs="Times New Roman"/>
          <w:lang w:val="en-US"/>
        </w:rPr>
        <w:t xml:space="preserve"> valid certificate”</w:t>
      </w:r>
    </w:p>
    <w:p w14:paraId="146A7FFA" w14:textId="2C4EC6BA" w:rsidR="00F76F1F" w:rsidRDefault="00F76F1F"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00203967">
        <w:rPr>
          <w:rFonts w:ascii="Times New Roman" w:hAnsi="Times New Roman" w:cs="Times New Roman"/>
          <w:lang w:val="en-US"/>
        </w:rPr>
        <w:t>F</w:t>
      </w:r>
      <w:r>
        <w:rPr>
          <w:rFonts w:ascii="Times New Roman" w:hAnsi="Times New Roman" w:cs="Times New Roman"/>
          <w:lang w:val="en-US"/>
        </w:rPr>
        <w:t>orensic Ballistics Report recorded that it was a “9x19mm Norinco Pistol serial number 43007403.”</w:t>
      </w:r>
    </w:p>
    <w:p w14:paraId="308B5E35" w14:textId="0FDE04F1" w:rsidR="002B0C90" w:rsidRDefault="00F76F1F"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Despite Mr Ngwenya’s submissions, we are satisfied that the firearm reflected in the police notebook, warned and cautioned statement and the </w:t>
      </w:r>
      <w:r w:rsidR="00203967">
        <w:rPr>
          <w:rFonts w:ascii="Times New Roman" w:hAnsi="Times New Roman" w:cs="Times New Roman"/>
          <w:lang w:val="en-US"/>
        </w:rPr>
        <w:t>F</w:t>
      </w:r>
      <w:r>
        <w:rPr>
          <w:rFonts w:ascii="Times New Roman" w:hAnsi="Times New Roman" w:cs="Times New Roman"/>
          <w:lang w:val="en-US"/>
        </w:rPr>
        <w:t xml:space="preserve">orensic Ballistics Report was the same.  The serial number on the latter two </w:t>
      </w:r>
      <w:r w:rsidR="002B0C90">
        <w:rPr>
          <w:rFonts w:ascii="Times New Roman" w:hAnsi="Times New Roman" w:cs="Times New Roman"/>
          <w:lang w:val="en-US"/>
        </w:rPr>
        <w:t>exhibit</w:t>
      </w:r>
      <w:r w:rsidR="00203967">
        <w:rPr>
          <w:rFonts w:ascii="Times New Roman" w:hAnsi="Times New Roman" w:cs="Times New Roman"/>
          <w:lang w:val="en-US"/>
        </w:rPr>
        <w:t>s</w:t>
      </w:r>
      <w:r>
        <w:rPr>
          <w:rFonts w:ascii="Times New Roman" w:hAnsi="Times New Roman" w:cs="Times New Roman"/>
          <w:lang w:val="en-US"/>
        </w:rPr>
        <w:t xml:space="preserve"> puts </w:t>
      </w:r>
      <w:r w:rsidR="002B0C90">
        <w:rPr>
          <w:rFonts w:ascii="Times New Roman" w:hAnsi="Times New Roman" w:cs="Times New Roman"/>
          <w:lang w:val="en-US"/>
        </w:rPr>
        <w:t xml:space="preserve">this beyond reasonable doubt.  It is the same </w:t>
      </w:r>
      <w:r w:rsidR="002B0C90">
        <w:rPr>
          <w:rFonts w:ascii="Times New Roman" w:hAnsi="Times New Roman" w:cs="Times New Roman"/>
          <w:lang w:val="en-US"/>
        </w:rPr>
        <w:lastRenderedPageBreak/>
        <w:t xml:space="preserve">serial number.  It </w:t>
      </w:r>
      <w:r w:rsidR="00203967">
        <w:rPr>
          <w:rFonts w:ascii="Times New Roman" w:hAnsi="Times New Roman" w:cs="Times New Roman"/>
          <w:lang w:val="en-US"/>
        </w:rPr>
        <w:t>is the</w:t>
      </w:r>
      <w:r w:rsidR="002B0C90">
        <w:rPr>
          <w:rFonts w:ascii="Times New Roman" w:hAnsi="Times New Roman" w:cs="Times New Roman"/>
          <w:lang w:val="en-US"/>
        </w:rPr>
        <w:t xml:space="preserve"> same firearm</w:t>
      </w:r>
      <w:r w:rsidR="00203967">
        <w:rPr>
          <w:rFonts w:ascii="Times New Roman" w:hAnsi="Times New Roman" w:cs="Times New Roman"/>
          <w:lang w:val="en-US"/>
        </w:rPr>
        <w:t xml:space="preserve">.  We have </w:t>
      </w:r>
      <w:r w:rsidR="002B0C90">
        <w:rPr>
          <w:rFonts w:ascii="Times New Roman" w:hAnsi="Times New Roman" w:cs="Times New Roman"/>
          <w:lang w:val="en-US"/>
        </w:rPr>
        <w:t xml:space="preserve">already explained why we take the view that the court </w:t>
      </w:r>
      <w:r w:rsidR="002B0C90" w:rsidRPr="002B0C90">
        <w:rPr>
          <w:rFonts w:ascii="Times New Roman" w:hAnsi="Times New Roman" w:cs="Times New Roman"/>
          <w:i/>
          <w:iCs/>
          <w:lang w:val="en-US"/>
        </w:rPr>
        <w:t>a quo</w:t>
      </w:r>
      <w:r w:rsidR="002B0C90">
        <w:rPr>
          <w:rFonts w:ascii="Times New Roman" w:hAnsi="Times New Roman" w:cs="Times New Roman"/>
          <w:lang w:val="en-US"/>
        </w:rPr>
        <w:t xml:space="preserve"> did not err in finding that this firearm was recovered from the appellant’s possession in </w:t>
      </w:r>
      <w:proofErr w:type="spellStart"/>
      <w:r w:rsidR="002B0C90">
        <w:rPr>
          <w:rFonts w:ascii="Times New Roman" w:hAnsi="Times New Roman" w:cs="Times New Roman"/>
          <w:lang w:val="en-US"/>
        </w:rPr>
        <w:t>Insuza</w:t>
      </w:r>
      <w:proofErr w:type="spellEnd"/>
      <w:r w:rsidR="002B0C90">
        <w:rPr>
          <w:rFonts w:ascii="Times New Roman" w:hAnsi="Times New Roman" w:cs="Times New Roman"/>
          <w:lang w:val="en-US"/>
        </w:rPr>
        <w:t>.</w:t>
      </w:r>
    </w:p>
    <w:p w14:paraId="144DC8A2" w14:textId="537054E9" w:rsidR="002B0C90" w:rsidRDefault="002B0C90" w:rsidP="00C92883">
      <w:pPr>
        <w:pStyle w:val="NoSpacing"/>
        <w:spacing w:line="360" w:lineRule="auto"/>
        <w:jc w:val="both"/>
        <w:rPr>
          <w:rFonts w:ascii="Times New Roman" w:hAnsi="Times New Roman" w:cs="Times New Roman"/>
          <w:lang w:val="en-US"/>
        </w:rPr>
      </w:pPr>
      <w:r>
        <w:rPr>
          <w:rFonts w:ascii="Times New Roman" w:hAnsi="Times New Roman" w:cs="Times New Roman"/>
          <w:lang w:val="en-US"/>
        </w:rPr>
        <w:t>[15]</w:t>
      </w:r>
      <w:r>
        <w:rPr>
          <w:rFonts w:ascii="Times New Roman" w:hAnsi="Times New Roman" w:cs="Times New Roman"/>
          <w:lang w:val="en-US"/>
        </w:rPr>
        <w:tab/>
        <w:t xml:space="preserve">We have looked at </w:t>
      </w:r>
      <w:r w:rsidRPr="002B0C90">
        <w:rPr>
          <w:rFonts w:ascii="Times New Roman" w:hAnsi="Times New Roman" w:cs="Times New Roman"/>
          <w:i/>
          <w:iCs/>
          <w:lang w:val="en-US"/>
        </w:rPr>
        <w:t>Nd</w:t>
      </w:r>
      <w:r w:rsidR="00203967">
        <w:rPr>
          <w:rFonts w:ascii="Times New Roman" w:hAnsi="Times New Roman" w:cs="Times New Roman"/>
          <w:i/>
          <w:iCs/>
          <w:lang w:val="en-US"/>
        </w:rPr>
        <w:t>l</w:t>
      </w:r>
      <w:r w:rsidRPr="002B0C90">
        <w:rPr>
          <w:rFonts w:ascii="Times New Roman" w:hAnsi="Times New Roman" w:cs="Times New Roman"/>
          <w:i/>
          <w:iCs/>
          <w:lang w:val="en-US"/>
        </w:rPr>
        <w:t>ovu</w:t>
      </w:r>
      <w:r>
        <w:rPr>
          <w:rFonts w:ascii="Times New Roman" w:hAnsi="Times New Roman" w:cs="Times New Roman"/>
          <w:lang w:val="en-US"/>
        </w:rPr>
        <w:t xml:space="preserve"> v </w:t>
      </w:r>
      <w:r w:rsidRPr="002B0C90">
        <w:rPr>
          <w:rFonts w:ascii="Times New Roman" w:hAnsi="Times New Roman" w:cs="Times New Roman"/>
          <w:i/>
          <w:iCs/>
          <w:lang w:val="en-US"/>
        </w:rPr>
        <w:t>The State</w:t>
      </w:r>
      <w:r>
        <w:rPr>
          <w:rFonts w:ascii="Times New Roman" w:hAnsi="Times New Roman" w:cs="Times New Roman"/>
          <w:lang w:val="en-US"/>
        </w:rPr>
        <w:t xml:space="preserve"> HB 240/23as it speaks to the chain of custody.  There, </w:t>
      </w:r>
      <w:r w:rsidRPr="002B0C90">
        <w:rPr>
          <w:rFonts w:ascii="Times New Roman" w:hAnsi="Times New Roman" w:cs="Times New Roman"/>
          <w:smallCaps/>
          <w:lang w:val="en-US"/>
        </w:rPr>
        <w:t>Dube-Banda</w:t>
      </w:r>
      <w:r>
        <w:rPr>
          <w:rFonts w:ascii="Times New Roman" w:hAnsi="Times New Roman" w:cs="Times New Roman"/>
          <w:lang w:val="en-US"/>
        </w:rPr>
        <w:t xml:space="preserve"> J with the concurrence of </w:t>
      </w:r>
      <w:r w:rsidRPr="002B0C90">
        <w:rPr>
          <w:rFonts w:ascii="Times New Roman" w:hAnsi="Times New Roman" w:cs="Times New Roman"/>
          <w:smallCaps/>
          <w:lang w:val="en-US"/>
        </w:rPr>
        <w:t>Kabasa</w:t>
      </w:r>
      <w:r>
        <w:rPr>
          <w:rFonts w:ascii="Times New Roman" w:hAnsi="Times New Roman" w:cs="Times New Roman"/>
          <w:lang w:val="en-US"/>
        </w:rPr>
        <w:t xml:space="preserve"> J said at p4:  </w:t>
      </w:r>
    </w:p>
    <w:p w14:paraId="01725380" w14:textId="2380CC2D" w:rsidR="00D016DE" w:rsidRDefault="002B0C90" w:rsidP="00305484">
      <w:pPr>
        <w:pStyle w:val="NoSpacing"/>
        <w:ind w:left="720"/>
        <w:jc w:val="both"/>
        <w:rPr>
          <w:rFonts w:ascii="Times New Roman" w:hAnsi="Times New Roman" w:cs="Times New Roman"/>
          <w:sz w:val="22"/>
          <w:szCs w:val="22"/>
          <w:lang w:val="en-US"/>
        </w:rPr>
      </w:pPr>
      <w:r w:rsidRPr="00305484">
        <w:rPr>
          <w:rFonts w:ascii="Times New Roman" w:hAnsi="Times New Roman" w:cs="Times New Roman"/>
          <w:sz w:val="22"/>
          <w:szCs w:val="22"/>
          <w:lang w:val="en-US"/>
        </w:rPr>
        <w:t xml:space="preserve">“The continuity of possession of evidence or custody of exhibits and its movement and location from the point of recovery at the scene of a crime or from a person, to its </w:t>
      </w:r>
      <w:r w:rsidR="00305484" w:rsidRPr="00305484">
        <w:rPr>
          <w:rFonts w:ascii="Times New Roman" w:hAnsi="Times New Roman" w:cs="Times New Roman"/>
          <w:sz w:val="22"/>
          <w:szCs w:val="22"/>
          <w:lang w:val="en-US"/>
        </w:rPr>
        <w:t>transportation to the laboratory for examination and until the time it is allowed and admitted in court, is known as the chain of custody or chain of evidence. The chain of custody is the most critical process of evidence documentation.”</w:t>
      </w:r>
      <w:r w:rsidR="00F76F1F" w:rsidRPr="00305484">
        <w:rPr>
          <w:rFonts w:ascii="Times New Roman" w:hAnsi="Times New Roman" w:cs="Times New Roman"/>
          <w:sz w:val="22"/>
          <w:szCs w:val="22"/>
          <w:lang w:val="en-US"/>
        </w:rPr>
        <w:t xml:space="preserve">   </w:t>
      </w:r>
      <w:r w:rsidR="00BD3692" w:rsidRPr="00305484">
        <w:rPr>
          <w:rFonts w:ascii="Times New Roman" w:hAnsi="Times New Roman" w:cs="Times New Roman"/>
          <w:sz w:val="22"/>
          <w:szCs w:val="22"/>
          <w:lang w:val="en-US"/>
        </w:rPr>
        <w:t xml:space="preserve"> </w:t>
      </w:r>
    </w:p>
    <w:p w14:paraId="5D933B00" w14:textId="77777777" w:rsidR="00305484" w:rsidRDefault="00305484" w:rsidP="00305484">
      <w:pPr>
        <w:pStyle w:val="NoSpacing"/>
        <w:jc w:val="both"/>
        <w:rPr>
          <w:rFonts w:ascii="Times New Roman" w:hAnsi="Times New Roman" w:cs="Times New Roman"/>
          <w:lang w:val="en-US"/>
        </w:rPr>
      </w:pPr>
    </w:p>
    <w:p w14:paraId="3CABD271" w14:textId="02807C5F" w:rsidR="003D09D2" w:rsidRDefault="00305484" w:rsidP="00305484">
      <w:pPr>
        <w:pStyle w:val="NoSpacing"/>
        <w:spacing w:line="360" w:lineRule="auto"/>
        <w:jc w:val="both"/>
        <w:rPr>
          <w:rFonts w:ascii="Times New Roman" w:hAnsi="Times New Roman" w:cs="Times New Roman"/>
          <w:lang w:val="en-US"/>
        </w:rPr>
      </w:pPr>
      <w:r w:rsidRPr="00305484">
        <w:rPr>
          <w:rFonts w:ascii="Times New Roman" w:hAnsi="Times New Roman" w:cs="Times New Roman"/>
          <w:lang w:val="en-US"/>
        </w:rPr>
        <w:t>It is t</w:t>
      </w:r>
      <w:r w:rsidR="00203967">
        <w:rPr>
          <w:rFonts w:ascii="Times New Roman" w:hAnsi="Times New Roman" w:cs="Times New Roman"/>
          <w:lang w:val="en-US"/>
        </w:rPr>
        <w:t>ru</w:t>
      </w:r>
      <w:r w:rsidRPr="00305484">
        <w:rPr>
          <w:rFonts w:ascii="Times New Roman" w:hAnsi="Times New Roman" w:cs="Times New Roman"/>
          <w:lang w:val="en-US"/>
        </w:rPr>
        <w:t xml:space="preserve">e, as submitted by </w:t>
      </w:r>
      <w:r>
        <w:rPr>
          <w:rFonts w:ascii="Times New Roman" w:hAnsi="Times New Roman" w:cs="Times New Roman"/>
          <w:lang w:val="en-US"/>
        </w:rPr>
        <w:t>Mr Ngwenya, that not all the documentation tracing the movement of the firearm as contemplated in the chain was produced at the trial</w:t>
      </w:r>
      <w:r w:rsidR="00203967">
        <w:rPr>
          <w:rFonts w:ascii="Times New Roman" w:hAnsi="Times New Roman" w:cs="Times New Roman"/>
          <w:lang w:val="en-US"/>
        </w:rPr>
        <w:t xml:space="preserve">. </w:t>
      </w:r>
      <w:r>
        <w:rPr>
          <w:rFonts w:ascii="Times New Roman" w:hAnsi="Times New Roman" w:cs="Times New Roman"/>
          <w:lang w:val="en-US"/>
        </w:rPr>
        <w:t xml:space="preserve"> </w:t>
      </w:r>
      <w:r w:rsidR="00203967">
        <w:rPr>
          <w:rFonts w:ascii="Times New Roman" w:hAnsi="Times New Roman" w:cs="Times New Roman"/>
          <w:lang w:val="en-US"/>
        </w:rPr>
        <w:t>F</w:t>
      </w:r>
      <w:r>
        <w:rPr>
          <w:rFonts w:ascii="Times New Roman" w:hAnsi="Times New Roman" w:cs="Times New Roman"/>
          <w:lang w:val="en-US"/>
        </w:rPr>
        <w:t>or instance, the exhibits register was not produced.  However, in the particular circumstances of this matter, the non-production of affidavits deposed to by each and every person who handled the firearm in question as well as the fact that the exhibits register was not produced does not detract from the correctness of the conviction.  The defence was a simple denial of possession of the firearm.  It was not an admission of possession of some lawful object, recovered from the appellant, but substituted along the way with</w:t>
      </w:r>
      <w:r w:rsidR="00203967">
        <w:rPr>
          <w:rFonts w:ascii="Times New Roman" w:hAnsi="Times New Roman" w:cs="Times New Roman"/>
          <w:lang w:val="en-US"/>
        </w:rPr>
        <w:t xml:space="preserve"> the</w:t>
      </w:r>
      <w:r>
        <w:rPr>
          <w:rFonts w:ascii="Times New Roman" w:hAnsi="Times New Roman" w:cs="Times New Roman"/>
          <w:lang w:val="en-US"/>
        </w:rPr>
        <w:t xml:space="preserve"> firearm which formed the subject of the charge. On the evidence on record, once the court a quo believed the oral testimony of the two state witnesses, supported by such exhibits as were produced </w:t>
      </w:r>
      <w:r w:rsidRPr="009F0304">
        <w:rPr>
          <w:rFonts w:ascii="Times New Roman" w:hAnsi="Times New Roman" w:cs="Times New Roman"/>
          <w:i/>
          <w:iCs/>
          <w:lang w:val="en-US"/>
        </w:rPr>
        <w:t>a quo</w:t>
      </w:r>
      <w:r>
        <w:rPr>
          <w:rFonts w:ascii="Times New Roman" w:hAnsi="Times New Roman" w:cs="Times New Roman"/>
          <w:lang w:val="en-US"/>
        </w:rPr>
        <w:t xml:space="preserve">, the conviction of the appellant </w:t>
      </w:r>
      <w:r w:rsidR="003D09D2">
        <w:rPr>
          <w:rFonts w:ascii="Times New Roman" w:hAnsi="Times New Roman" w:cs="Times New Roman"/>
          <w:lang w:val="en-US"/>
        </w:rPr>
        <w:t>was inevitable.  A blow-by-blow production of all the documents tracing the movement of the f</w:t>
      </w:r>
      <w:r w:rsidR="00C811B5">
        <w:rPr>
          <w:rFonts w:ascii="Times New Roman" w:hAnsi="Times New Roman" w:cs="Times New Roman"/>
          <w:lang w:val="en-US"/>
        </w:rPr>
        <w:t>i</w:t>
      </w:r>
      <w:r w:rsidR="003D09D2">
        <w:rPr>
          <w:rFonts w:ascii="Times New Roman" w:hAnsi="Times New Roman" w:cs="Times New Roman"/>
          <w:lang w:val="en-US"/>
        </w:rPr>
        <w:t xml:space="preserve">rearm from its recovery to its eventual production in court was not necessary.  The two state witnesses testified and were believed that Chikanda took custody of the firearm from its recovery in </w:t>
      </w:r>
      <w:proofErr w:type="spellStart"/>
      <w:r w:rsidR="003D09D2">
        <w:rPr>
          <w:rFonts w:ascii="Times New Roman" w:hAnsi="Times New Roman" w:cs="Times New Roman"/>
          <w:lang w:val="en-US"/>
        </w:rPr>
        <w:t>Insuza</w:t>
      </w:r>
      <w:proofErr w:type="spellEnd"/>
      <w:r w:rsidR="003D09D2">
        <w:rPr>
          <w:rFonts w:ascii="Times New Roman" w:hAnsi="Times New Roman" w:cs="Times New Roman"/>
          <w:lang w:val="en-US"/>
        </w:rPr>
        <w:t xml:space="preserve"> right up to it being entered in the exhibits register at </w:t>
      </w:r>
      <w:r w:rsidR="00203967">
        <w:rPr>
          <w:rFonts w:ascii="Times New Roman" w:hAnsi="Times New Roman" w:cs="Times New Roman"/>
          <w:lang w:val="en-US"/>
        </w:rPr>
        <w:t>the C</w:t>
      </w:r>
      <w:r w:rsidR="003D09D2">
        <w:rPr>
          <w:rFonts w:ascii="Times New Roman" w:hAnsi="Times New Roman" w:cs="Times New Roman"/>
          <w:lang w:val="en-US"/>
        </w:rPr>
        <w:t xml:space="preserve">riminal </w:t>
      </w:r>
      <w:r w:rsidR="00203967">
        <w:rPr>
          <w:rFonts w:ascii="Times New Roman" w:hAnsi="Times New Roman" w:cs="Times New Roman"/>
          <w:lang w:val="en-US"/>
        </w:rPr>
        <w:t>I</w:t>
      </w:r>
      <w:r w:rsidR="003D09D2">
        <w:rPr>
          <w:rFonts w:ascii="Times New Roman" w:hAnsi="Times New Roman" w:cs="Times New Roman"/>
          <w:lang w:val="en-US"/>
        </w:rPr>
        <w:t xml:space="preserve">nvestigations </w:t>
      </w:r>
      <w:r w:rsidR="00203967">
        <w:rPr>
          <w:rFonts w:ascii="Times New Roman" w:hAnsi="Times New Roman" w:cs="Times New Roman"/>
          <w:lang w:val="en-US"/>
        </w:rPr>
        <w:t>D</w:t>
      </w:r>
      <w:r w:rsidR="003D09D2">
        <w:rPr>
          <w:rFonts w:ascii="Times New Roman" w:hAnsi="Times New Roman" w:cs="Times New Roman"/>
          <w:lang w:val="en-US"/>
        </w:rPr>
        <w:t>epartment in Harare.</w:t>
      </w:r>
    </w:p>
    <w:p w14:paraId="67345174" w14:textId="4E05EA5B" w:rsidR="003D09D2" w:rsidRDefault="003D09D2" w:rsidP="00305484">
      <w:pPr>
        <w:pStyle w:val="NoSpacing"/>
        <w:spacing w:line="360" w:lineRule="auto"/>
        <w:jc w:val="both"/>
        <w:rPr>
          <w:rFonts w:ascii="Times New Roman" w:hAnsi="Times New Roman" w:cs="Times New Roman"/>
          <w:lang w:val="en-US"/>
        </w:rPr>
      </w:pPr>
      <w:r>
        <w:rPr>
          <w:rFonts w:ascii="Times New Roman" w:hAnsi="Times New Roman" w:cs="Times New Roman"/>
          <w:lang w:val="en-US"/>
        </w:rPr>
        <w:t>[16]</w:t>
      </w:r>
      <w:r>
        <w:rPr>
          <w:rFonts w:ascii="Times New Roman" w:hAnsi="Times New Roman" w:cs="Times New Roman"/>
          <w:lang w:val="en-US"/>
        </w:rPr>
        <w:tab/>
        <w:t xml:space="preserve">Despite Mr Ngwenya’s painstaking efforts, the appellant has failed to reach the threshold for </w:t>
      </w:r>
      <w:proofErr w:type="spellStart"/>
      <w:r>
        <w:rPr>
          <w:rFonts w:ascii="Times New Roman" w:hAnsi="Times New Roman" w:cs="Times New Roman"/>
          <w:lang w:val="en-US"/>
        </w:rPr>
        <w:t>intereference</w:t>
      </w:r>
      <w:proofErr w:type="spellEnd"/>
      <w:r>
        <w:rPr>
          <w:rFonts w:ascii="Times New Roman" w:hAnsi="Times New Roman" w:cs="Times New Roman"/>
          <w:lang w:val="en-US"/>
        </w:rPr>
        <w:t xml:space="preserve"> by this court with the factual findings made </w:t>
      </w:r>
      <w:r w:rsidRPr="009F0304">
        <w:rPr>
          <w:rFonts w:ascii="Times New Roman" w:hAnsi="Times New Roman" w:cs="Times New Roman"/>
          <w:i/>
          <w:iCs/>
          <w:lang w:val="en-US"/>
        </w:rPr>
        <w:t>aquo</w:t>
      </w:r>
      <w:r>
        <w:rPr>
          <w:rFonts w:ascii="Times New Roman" w:hAnsi="Times New Roman" w:cs="Times New Roman"/>
          <w:lang w:val="en-US"/>
        </w:rPr>
        <w:t xml:space="preserve">.  The appeal against the conviction is without merit.  To hold otherwise would be to accede to a suggestion that the court </w:t>
      </w:r>
      <w:r w:rsidRPr="009F0304">
        <w:rPr>
          <w:rFonts w:ascii="Times New Roman" w:hAnsi="Times New Roman" w:cs="Times New Roman"/>
          <w:i/>
          <w:iCs/>
          <w:lang w:val="en-US"/>
        </w:rPr>
        <w:t>a quo</w:t>
      </w:r>
      <w:r>
        <w:rPr>
          <w:rFonts w:ascii="Times New Roman" w:hAnsi="Times New Roman" w:cs="Times New Roman"/>
          <w:lang w:val="en-US"/>
        </w:rPr>
        <w:t xml:space="preserve"> should have assess</w:t>
      </w:r>
      <w:r w:rsidR="00203967">
        <w:rPr>
          <w:rFonts w:ascii="Times New Roman" w:hAnsi="Times New Roman" w:cs="Times New Roman"/>
          <w:lang w:val="en-US"/>
        </w:rPr>
        <w:t>e</w:t>
      </w:r>
      <w:r>
        <w:rPr>
          <w:rFonts w:ascii="Times New Roman" w:hAnsi="Times New Roman" w:cs="Times New Roman"/>
          <w:lang w:val="en-US"/>
        </w:rPr>
        <w:t>d the evidence as if it were involved in a mathematical exercise.</w:t>
      </w:r>
    </w:p>
    <w:p w14:paraId="13D1A09D" w14:textId="77777777" w:rsidR="009F0304" w:rsidRDefault="009F0304" w:rsidP="00305484">
      <w:pPr>
        <w:pStyle w:val="NoSpacing"/>
        <w:spacing w:line="360" w:lineRule="auto"/>
        <w:jc w:val="both"/>
        <w:rPr>
          <w:rFonts w:ascii="Times New Roman" w:hAnsi="Times New Roman" w:cs="Times New Roman"/>
          <w:lang w:val="en-US"/>
        </w:rPr>
      </w:pPr>
    </w:p>
    <w:p w14:paraId="0C681093" w14:textId="77777777" w:rsidR="009F0304" w:rsidRDefault="009F0304" w:rsidP="00305484">
      <w:pPr>
        <w:pStyle w:val="NoSpacing"/>
        <w:spacing w:line="360" w:lineRule="auto"/>
        <w:jc w:val="both"/>
        <w:rPr>
          <w:rFonts w:ascii="Times New Roman" w:hAnsi="Times New Roman" w:cs="Times New Roman"/>
          <w:lang w:val="en-US"/>
        </w:rPr>
      </w:pPr>
    </w:p>
    <w:p w14:paraId="1ECD3858" w14:textId="77777777" w:rsidR="009F0304" w:rsidRDefault="009F0304" w:rsidP="00305484">
      <w:pPr>
        <w:pStyle w:val="NoSpacing"/>
        <w:spacing w:line="360" w:lineRule="auto"/>
        <w:jc w:val="both"/>
        <w:rPr>
          <w:rFonts w:ascii="Times New Roman" w:hAnsi="Times New Roman" w:cs="Times New Roman"/>
          <w:lang w:val="en-US"/>
        </w:rPr>
      </w:pPr>
    </w:p>
    <w:p w14:paraId="48E365B8" w14:textId="77777777" w:rsidR="009F0304" w:rsidRDefault="009F0304" w:rsidP="00305484">
      <w:pPr>
        <w:pStyle w:val="NoSpacing"/>
        <w:spacing w:line="360" w:lineRule="auto"/>
        <w:jc w:val="both"/>
        <w:rPr>
          <w:rFonts w:ascii="Times New Roman" w:hAnsi="Times New Roman" w:cs="Times New Roman"/>
          <w:lang w:val="en-US"/>
        </w:rPr>
      </w:pPr>
    </w:p>
    <w:p w14:paraId="6EE5A0A9" w14:textId="77777777" w:rsidR="009F0304" w:rsidRDefault="009F0304" w:rsidP="00305484">
      <w:pPr>
        <w:pStyle w:val="NoSpacing"/>
        <w:spacing w:line="360" w:lineRule="auto"/>
        <w:jc w:val="both"/>
        <w:rPr>
          <w:rFonts w:ascii="Times New Roman" w:hAnsi="Times New Roman" w:cs="Times New Roman"/>
          <w:lang w:val="en-US"/>
        </w:rPr>
      </w:pPr>
    </w:p>
    <w:p w14:paraId="1DC774A1" w14:textId="77777777" w:rsidR="009F0304" w:rsidRDefault="009F0304" w:rsidP="00305484">
      <w:pPr>
        <w:pStyle w:val="NoSpacing"/>
        <w:spacing w:line="360" w:lineRule="auto"/>
        <w:jc w:val="both"/>
        <w:rPr>
          <w:rFonts w:ascii="Times New Roman" w:hAnsi="Times New Roman" w:cs="Times New Roman"/>
          <w:lang w:val="en-US"/>
        </w:rPr>
      </w:pPr>
    </w:p>
    <w:p w14:paraId="20C026C3" w14:textId="77777777" w:rsidR="009F0304" w:rsidRDefault="009F0304" w:rsidP="00305484">
      <w:pPr>
        <w:pStyle w:val="NoSpacing"/>
        <w:spacing w:line="360" w:lineRule="auto"/>
        <w:jc w:val="both"/>
        <w:rPr>
          <w:rFonts w:ascii="Times New Roman" w:hAnsi="Times New Roman" w:cs="Times New Roman"/>
          <w:lang w:val="en-US"/>
        </w:rPr>
      </w:pPr>
    </w:p>
    <w:p w14:paraId="77A94E93" w14:textId="07D21018" w:rsidR="003D09D2" w:rsidRDefault="003D09D2" w:rsidP="00305484">
      <w:pPr>
        <w:pStyle w:val="NoSpacing"/>
        <w:spacing w:line="360" w:lineRule="auto"/>
        <w:jc w:val="both"/>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lang w:val="en-US"/>
        </w:rPr>
        <w:tab/>
        <w:t>The appeal be is dismissed.</w:t>
      </w:r>
    </w:p>
    <w:p w14:paraId="79EBDA66" w14:textId="77777777" w:rsidR="003D09D2" w:rsidRDefault="003D09D2" w:rsidP="00305484">
      <w:pPr>
        <w:pStyle w:val="NoSpacing"/>
        <w:spacing w:line="360" w:lineRule="auto"/>
        <w:jc w:val="both"/>
        <w:rPr>
          <w:rFonts w:ascii="Times New Roman" w:hAnsi="Times New Roman" w:cs="Times New Roman"/>
          <w:lang w:val="en-US"/>
        </w:rPr>
      </w:pPr>
    </w:p>
    <w:p w14:paraId="278FC1EF" w14:textId="77777777" w:rsidR="003D09D2" w:rsidRDefault="003D09D2" w:rsidP="00305484">
      <w:pPr>
        <w:pStyle w:val="NoSpacing"/>
        <w:spacing w:line="360" w:lineRule="auto"/>
        <w:jc w:val="both"/>
        <w:rPr>
          <w:rFonts w:ascii="Times New Roman" w:hAnsi="Times New Roman" w:cs="Times New Roman"/>
          <w:lang w:val="en-US"/>
        </w:rPr>
      </w:pPr>
    </w:p>
    <w:p w14:paraId="63E1C825" w14:textId="7EC56343" w:rsidR="003D09D2" w:rsidRPr="003D09D2" w:rsidRDefault="003D09D2" w:rsidP="00305484">
      <w:pPr>
        <w:pStyle w:val="NoSpacing"/>
        <w:spacing w:line="360" w:lineRule="auto"/>
        <w:jc w:val="both"/>
        <w:rPr>
          <w:rFonts w:ascii="Times New Roman" w:hAnsi="Times New Roman" w:cs="Times New Roman"/>
          <w:b/>
          <w:bCs/>
          <w:smallCaps/>
          <w:lang w:val="en-US"/>
        </w:rPr>
      </w:pPr>
      <w:r w:rsidRPr="003D09D2">
        <w:rPr>
          <w:rFonts w:ascii="Times New Roman" w:hAnsi="Times New Roman" w:cs="Times New Roman"/>
          <w:b/>
          <w:bCs/>
          <w:smallCaps/>
          <w:lang w:val="en-US"/>
        </w:rPr>
        <w:t xml:space="preserve">Chikowero </w:t>
      </w:r>
      <w:r w:rsidR="009F0304" w:rsidRPr="003D09D2">
        <w:rPr>
          <w:rFonts w:ascii="Times New Roman" w:hAnsi="Times New Roman" w:cs="Times New Roman"/>
          <w:b/>
          <w:bCs/>
          <w:smallCaps/>
          <w:lang w:val="en-US"/>
        </w:rPr>
        <w:t>J: ...................................................</w:t>
      </w:r>
    </w:p>
    <w:p w14:paraId="46DE38AE" w14:textId="77777777" w:rsidR="003D09D2" w:rsidRDefault="003D09D2" w:rsidP="00305484">
      <w:pPr>
        <w:pStyle w:val="NoSpacing"/>
        <w:spacing w:line="360" w:lineRule="auto"/>
        <w:jc w:val="both"/>
        <w:rPr>
          <w:rFonts w:ascii="Times New Roman" w:hAnsi="Times New Roman" w:cs="Times New Roman"/>
          <w:lang w:val="en-US"/>
        </w:rPr>
      </w:pPr>
    </w:p>
    <w:p w14:paraId="1E5A108D" w14:textId="77777777" w:rsidR="009F0304" w:rsidRDefault="009F0304" w:rsidP="00305484">
      <w:pPr>
        <w:pStyle w:val="NoSpacing"/>
        <w:spacing w:line="360" w:lineRule="auto"/>
        <w:jc w:val="both"/>
        <w:rPr>
          <w:rFonts w:ascii="Times New Roman" w:hAnsi="Times New Roman" w:cs="Times New Roman"/>
          <w:lang w:val="en-US"/>
        </w:rPr>
      </w:pPr>
    </w:p>
    <w:p w14:paraId="39446BA4" w14:textId="7AF9B967" w:rsidR="003D09D2" w:rsidRPr="003D09D2" w:rsidRDefault="003D09D2" w:rsidP="00305484">
      <w:pPr>
        <w:pStyle w:val="NoSpacing"/>
        <w:spacing w:line="360" w:lineRule="auto"/>
        <w:jc w:val="both"/>
        <w:rPr>
          <w:rFonts w:ascii="Times New Roman" w:hAnsi="Times New Roman" w:cs="Times New Roman"/>
          <w:b/>
          <w:bCs/>
          <w:smallCaps/>
          <w:lang w:val="en-US"/>
        </w:rPr>
      </w:pPr>
      <w:r w:rsidRPr="003D09D2">
        <w:rPr>
          <w:rFonts w:ascii="Times New Roman" w:hAnsi="Times New Roman" w:cs="Times New Roman"/>
          <w:b/>
          <w:bCs/>
          <w:smallCaps/>
          <w:lang w:val="en-US"/>
        </w:rPr>
        <w:t xml:space="preserve">Zhou </w:t>
      </w:r>
      <w:r w:rsidR="009F0304" w:rsidRPr="003D09D2">
        <w:rPr>
          <w:rFonts w:ascii="Times New Roman" w:hAnsi="Times New Roman" w:cs="Times New Roman"/>
          <w:b/>
          <w:bCs/>
          <w:smallCaps/>
          <w:lang w:val="en-US"/>
        </w:rPr>
        <w:t>J: .................................................................</w:t>
      </w:r>
    </w:p>
    <w:p w14:paraId="259D0EE4" w14:textId="60364E25" w:rsidR="003D09D2" w:rsidRPr="003D09D2" w:rsidRDefault="003D09D2" w:rsidP="00305484">
      <w:pPr>
        <w:pStyle w:val="NoSpacing"/>
        <w:spacing w:line="360" w:lineRule="auto"/>
        <w:jc w:val="both"/>
        <w:rPr>
          <w:rFonts w:ascii="Times New Roman" w:hAnsi="Times New Roman" w:cs="Times New Roman"/>
          <w:b/>
          <w:bCs/>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3D09D2">
        <w:rPr>
          <w:rFonts w:ascii="Times New Roman" w:hAnsi="Times New Roman" w:cs="Times New Roman"/>
          <w:b/>
          <w:bCs/>
          <w:lang w:val="en-US"/>
        </w:rPr>
        <w:t>I agree</w:t>
      </w:r>
    </w:p>
    <w:p w14:paraId="035BE409" w14:textId="77777777" w:rsidR="003D09D2" w:rsidRDefault="003D09D2" w:rsidP="00305484">
      <w:pPr>
        <w:pStyle w:val="NoSpacing"/>
        <w:spacing w:line="360" w:lineRule="auto"/>
        <w:jc w:val="both"/>
        <w:rPr>
          <w:rFonts w:ascii="Times New Roman" w:hAnsi="Times New Roman" w:cs="Times New Roman"/>
          <w:lang w:val="en-US"/>
        </w:rPr>
      </w:pPr>
    </w:p>
    <w:p w14:paraId="1A2720D7" w14:textId="7218D1C0" w:rsidR="003D09D2" w:rsidRDefault="003D09D2" w:rsidP="003D09D2">
      <w:pPr>
        <w:pStyle w:val="NoSpacing"/>
        <w:jc w:val="both"/>
        <w:rPr>
          <w:rFonts w:ascii="Times New Roman" w:hAnsi="Times New Roman" w:cs="Times New Roman"/>
          <w:lang w:val="en-US"/>
        </w:rPr>
      </w:pPr>
      <w:r w:rsidRPr="003D09D2">
        <w:rPr>
          <w:rFonts w:ascii="Times New Roman" w:hAnsi="Times New Roman" w:cs="Times New Roman"/>
          <w:i/>
          <w:iCs/>
          <w:lang w:val="en-US"/>
        </w:rPr>
        <w:t xml:space="preserve">T J </w:t>
      </w:r>
      <w:proofErr w:type="spellStart"/>
      <w:r w:rsidRPr="003D09D2">
        <w:rPr>
          <w:rFonts w:ascii="Times New Roman" w:hAnsi="Times New Roman" w:cs="Times New Roman"/>
          <w:i/>
          <w:iCs/>
          <w:lang w:val="en-US"/>
        </w:rPr>
        <w:t>Mabhikwa</w:t>
      </w:r>
      <w:proofErr w:type="spellEnd"/>
      <w:r w:rsidRPr="003D09D2">
        <w:rPr>
          <w:rFonts w:ascii="Times New Roman" w:hAnsi="Times New Roman" w:cs="Times New Roman"/>
          <w:i/>
          <w:iCs/>
          <w:lang w:val="en-US"/>
        </w:rPr>
        <w:t xml:space="preserve"> and Partners</w:t>
      </w:r>
      <w:r>
        <w:rPr>
          <w:rFonts w:ascii="Times New Roman" w:hAnsi="Times New Roman" w:cs="Times New Roman"/>
          <w:lang w:val="en-US"/>
        </w:rPr>
        <w:t>, appellant’s legal practitioners.</w:t>
      </w:r>
    </w:p>
    <w:p w14:paraId="253F2F42" w14:textId="5690A5EF" w:rsidR="003D09D2" w:rsidRDefault="003D09D2" w:rsidP="003D09D2">
      <w:pPr>
        <w:pStyle w:val="NoSpacing"/>
        <w:jc w:val="both"/>
        <w:rPr>
          <w:rFonts w:ascii="Times New Roman" w:hAnsi="Times New Roman" w:cs="Times New Roman"/>
          <w:lang w:val="en-US"/>
        </w:rPr>
      </w:pPr>
      <w:r w:rsidRPr="003D09D2">
        <w:rPr>
          <w:rFonts w:ascii="Times New Roman" w:hAnsi="Times New Roman" w:cs="Times New Roman"/>
          <w:i/>
          <w:iCs/>
          <w:lang w:val="en-US"/>
        </w:rPr>
        <w:t>The National Prosecuting Authority</w:t>
      </w:r>
      <w:r>
        <w:rPr>
          <w:rFonts w:ascii="Times New Roman" w:hAnsi="Times New Roman" w:cs="Times New Roman"/>
          <w:lang w:val="en-US"/>
        </w:rPr>
        <w:t>, respondent’s legal practitioners.</w:t>
      </w:r>
    </w:p>
    <w:p w14:paraId="0628242A" w14:textId="610CA1E6" w:rsidR="00305484" w:rsidRPr="00305484" w:rsidRDefault="003D09D2" w:rsidP="003D09D2">
      <w:pPr>
        <w:pStyle w:val="NoSpacing"/>
        <w:jc w:val="both"/>
        <w:rPr>
          <w:rFonts w:ascii="Times New Roman" w:hAnsi="Times New Roman" w:cs="Times New Roman"/>
          <w:i/>
          <w:iCs/>
          <w:lang w:val="en-US"/>
        </w:rPr>
      </w:pPr>
      <w:r>
        <w:rPr>
          <w:rFonts w:ascii="Times New Roman" w:hAnsi="Times New Roman" w:cs="Times New Roman"/>
          <w:lang w:val="en-US"/>
        </w:rPr>
        <w:t xml:space="preserve"> </w:t>
      </w:r>
    </w:p>
    <w:sectPr w:rsidR="00305484" w:rsidRPr="003054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07C80" w14:textId="77777777" w:rsidR="00EF1485" w:rsidRDefault="00EF1485" w:rsidP="000F3243">
      <w:pPr>
        <w:spacing w:after="0" w:line="240" w:lineRule="auto"/>
      </w:pPr>
      <w:r>
        <w:separator/>
      </w:r>
    </w:p>
  </w:endnote>
  <w:endnote w:type="continuationSeparator" w:id="0">
    <w:p w14:paraId="3BCFB382" w14:textId="77777777" w:rsidR="00EF1485" w:rsidRDefault="00EF1485" w:rsidP="000F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B7A11" w14:textId="77777777" w:rsidR="00EF1485" w:rsidRDefault="00EF1485" w:rsidP="000F3243">
      <w:pPr>
        <w:spacing w:after="0" w:line="240" w:lineRule="auto"/>
      </w:pPr>
      <w:r>
        <w:separator/>
      </w:r>
    </w:p>
  </w:footnote>
  <w:footnote w:type="continuationSeparator" w:id="0">
    <w:p w14:paraId="6685B23D" w14:textId="77777777" w:rsidR="00EF1485" w:rsidRDefault="00EF1485" w:rsidP="000F3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007602"/>
      <w:docPartObj>
        <w:docPartGallery w:val="Page Numbers (Top of Page)"/>
        <w:docPartUnique/>
      </w:docPartObj>
    </w:sdtPr>
    <w:sdtEndPr>
      <w:rPr>
        <w:rFonts w:ascii="Times New Roman" w:hAnsi="Times New Roman" w:cs="Times New Roman"/>
        <w:noProof/>
        <w:sz w:val="22"/>
        <w:szCs w:val="22"/>
      </w:rPr>
    </w:sdtEndPr>
    <w:sdtContent>
      <w:p w14:paraId="348BCF92" w14:textId="77777777" w:rsidR="000F3243" w:rsidRPr="000F3243" w:rsidRDefault="000F3243">
        <w:pPr>
          <w:pStyle w:val="Header"/>
          <w:jc w:val="right"/>
          <w:rPr>
            <w:rFonts w:ascii="Times New Roman" w:hAnsi="Times New Roman" w:cs="Times New Roman"/>
            <w:noProof/>
            <w:sz w:val="22"/>
            <w:szCs w:val="22"/>
          </w:rPr>
        </w:pPr>
        <w:r w:rsidRPr="000F3243">
          <w:rPr>
            <w:rFonts w:ascii="Times New Roman" w:hAnsi="Times New Roman" w:cs="Times New Roman"/>
            <w:sz w:val="22"/>
            <w:szCs w:val="22"/>
          </w:rPr>
          <w:fldChar w:fldCharType="begin"/>
        </w:r>
        <w:r w:rsidRPr="000F3243">
          <w:rPr>
            <w:rFonts w:ascii="Times New Roman" w:hAnsi="Times New Roman" w:cs="Times New Roman"/>
            <w:sz w:val="22"/>
            <w:szCs w:val="22"/>
          </w:rPr>
          <w:instrText xml:space="preserve"> PAGE   \* MERGEFORMAT </w:instrText>
        </w:r>
        <w:r w:rsidRPr="000F3243">
          <w:rPr>
            <w:rFonts w:ascii="Times New Roman" w:hAnsi="Times New Roman" w:cs="Times New Roman"/>
            <w:sz w:val="22"/>
            <w:szCs w:val="22"/>
          </w:rPr>
          <w:fldChar w:fldCharType="separate"/>
        </w:r>
        <w:r w:rsidR="00915551">
          <w:rPr>
            <w:rFonts w:ascii="Times New Roman" w:hAnsi="Times New Roman" w:cs="Times New Roman"/>
            <w:noProof/>
            <w:sz w:val="22"/>
            <w:szCs w:val="22"/>
          </w:rPr>
          <w:t>1</w:t>
        </w:r>
        <w:r w:rsidRPr="000F3243">
          <w:rPr>
            <w:rFonts w:ascii="Times New Roman" w:hAnsi="Times New Roman" w:cs="Times New Roman"/>
            <w:noProof/>
            <w:sz w:val="22"/>
            <w:szCs w:val="22"/>
          </w:rPr>
          <w:fldChar w:fldCharType="end"/>
        </w:r>
      </w:p>
      <w:p w14:paraId="7D25E0E7" w14:textId="3F87872D" w:rsidR="000F3243" w:rsidRPr="000F3243" w:rsidRDefault="000F3243">
        <w:pPr>
          <w:pStyle w:val="Header"/>
          <w:jc w:val="right"/>
          <w:rPr>
            <w:rFonts w:ascii="Times New Roman" w:hAnsi="Times New Roman" w:cs="Times New Roman"/>
            <w:noProof/>
            <w:sz w:val="22"/>
            <w:szCs w:val="22"/>
          </w:rPr>
        </w:pPr>
        <w:r w:rsidRPr="000F3243">
          <w:rPr>
            <w:rFonts w:ascii="Times New Roman" w:hAnsi="Times New Roman" w:cs="Times New Roman"/>
            <w:noProof/>
            <w:sz w:val="22"/>
            <w:szCs w:val="22"/>
          </w:rPr>
          <w:t>HH</w:t>
        </w:r>
        <w:r w:rsidR="00094F4E">
          <w:rPr>
            <w:rFonts w:ascii="Times New Roman" w:hAnsi="Times New Roman" w:cs="Times New Roman"/>
            <w:noProof/>
            <w:sz w:val="22"/>
            <w:szCs w:val="22"/>
          </w:rPr>
          <w:t xml:space="preserve"> 533-25</w:t>
        </w:r>
      </w:p>
      <w:p w14:paraId="38575F0E" w14:textId="26CF2EC2" w:rsidR="000F3243" w:rsidRPr="000F3243" w:rsidRDefault="000F3243">
        <w:pPr>
          <w:pStyle w:val="Header"/>
          <w:jc w:val="right"/>
          <w:rPr>
            <w:rFonts w:ascii="Times New Roman" w:hAnsi="Times New Roman" w:cs="Times New Roman"/>
            <w:sz w:val="22"/>
            <w:szCs w:val="22"/>
          </w:rPr>
        </w:pPr>
        <w:r w:rsidRPr="000F3243">
          <w:rPr>
            <w:rFonts w:ascii="Times New Roman" w:hAnsi="Times New Roman" w:cs="Times New Roman"/>
            <w:noProof/>
            <w:sz w:val="22"/>
            <w:szCs w:val="22"/>
          </w:rPr>
          <w:t>HCHCR 2006/25</w:t>
        </w:r>
      </w:p>
    </w:sdtContent>
  </w:sdt>
  <w:p w14:paraId="2681B658" w14:textId="77777777" w:rsidR="000F3243" w:rsidRDefault="000F32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8E1"/>
    <w:rsid w:val="00094F4E"/>
    <w:rsid w:val="000F3243"/>
    <w:rsid w:val="0010552F"/>
    <w:rsid w:val="00203967"/>
    <w:rsid w:val="0021477C"/>
    <w:rsid w:val="00295B94"/>
    <w:rsid w:val="002B0C90"/>
    <w:rsid w:val="003046BA"/>
    <w:rsid w:val="00305484"/>
    <w:rsid w:val="003D09D2"/>
    <w:rsid w:val="004933A6"/>
    <w:rsid w:val="00570A64"/>
    <w:rsid w:val="005B771D"/>
    <w:rsid w:val="00603E77"/>
    <w:rsid w:val="0067268F"/>
    <w:rsid w:val="00673B40"/>
    <w:rsid w:val="00675676"/>
    <w:rsid w:val="00717033"/>
    <w:rsid w:val="0082274D"/>
    <w:rsid w:val="00834EDE"/>
    <w:rsid w:val="00900EB1"/>
    <w:rsid w:val="00915551"/>
    <w:rsid w:val="00924A3C"/>
    <w:rsid w:val="009B2169"/>
    <w:rsid w:val="009F0304"/>
    <w:rsid w:val="00A27CF3"/>
    <w:rsid w:val="00A6109C"/>
    <w:rsid w:val="00AD3E37"/>
    <w:rsid w:val="00BD3692"/>
    <w:rsid w:val="00C24737"/>
    <w:rsid w:val="00C811B5"/>
    <w:rsid w:val="00C92883"/>
    <w:rsid w:val="00D016DE"/>
    <w:rsid w:val="00E572B4"/>
    <w:rsid w:val="00E658E1"/>
    <w:rsid w:val="00EF1485"/>
    <w:rsid w:val="00F76F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8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8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8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8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8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8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8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8E1"/>
    <w:rPr>
      <w:rFonts w:eastAsiaTheme="majorEastAsia" w:cstheme="majorBidi"/>
      <w:color w:val="272727" w:themeColor="text1" w:themeTint="D8"/>
    </w:rPr>
  </w:style>
  <w:style w:type="paragraph" w:styleId="Title">
    <w:name w:val="Title"/>
    <w:basedOn w:val="Normal"/>
    <w:next w:val="Normal"/>
    <w:link w:val="TitleChar"/>
    <w:uiPriority w:val="10"/>
    <w:qFormat/>
    <w:rsid w:val="00E65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8E1"/>
    <w:pPr>
      <w:spacing w:before="160"/>
      <w:jc w:val="center"/>
    </w:pPr>
    <w:rPr>
      <w:i/>
      <w:iCs/>
      <w:color w:val="404040" w:themeColor="text1" w:themeTint="BF"/>
    </w:rPr>
  </w:style>
  <w:style w:type="character" w:customStyle="1" w:styleId="QuoteChar">
    <w:name w:val="Quote Char"/>
    <w:basedOn w:val="DefaultParagraphFont"/>
    <w:link w:val="Quote"/>
    <w:uiPriority w:val="29"/>
    <w:rsid w:val="00E658E1"/>
    <w:rPr>
      <w:i/>
      <w:iCs/>
      <w:color w:val="404040" w:themeColor="text1" w:themeTint="BF"/>
    </w:rPr>
  </w:style>
  <w:style w:type="paragraph" w:styleId="ListParagraph">
    <w:name w:val="List Paragraph"/>
    <w:basedOn w:val="Normal"/>
    <w:uiPriority w:val="34"/>
    <w:qFormat/>
    <w:rsid w:val="00E658E1"/>
    <w:pPr>
      <w:ind w:left="720"/>
      <w:contextualSpacing/>
    </w:pPr>
  </w:style>
  <w:style w:type="character" w:styleId="IntenseEmphasis">
    <w:name w:val="Intense Emphasis"/>
    <w:basedOn w:val="DefaultParagraphFont"/>
    <w:uiPriority w:val="21"/>
    <w:qFormat/>
    <w:rsid w:val="00E658E1"/>
    <w:rPr>
      <w:i/>
      <w:iCs/>
      <w:color w:val="2F5496" w:themeColor="accent1" w:themeShade="BF"/>
    </w:rPr>
  </w:style>
  <w:style w:type="paragraph" w:styleId="IntenseQuote">
    <w:name w:val="Intense Quote"/>
    <w:basedOn w:val="Normal"/>
    <w:next w:val="Normal"/>
    <w:link w:val="IntenseQuoteChar"/>
    <w:uiPriority w:val="30"/>
    <w:qFormat/>
    <w:rsid w:val="00E65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8E1"/>
    <w:rPr>
      <w:i/>
      <w:iCs/>
      <w:color w:val="2F5496" w:themeColor="accent1" w:themeShade="BF"/>
    </w:rPr>
  </w:style>
  <w:style w:type="character" w:styleId="IntenseReference">
    <w:name w:val="Intense Reference"/>
    <w:basedOn w:val="DefaultParagraphFont"/>
    <w:uiPriority w:val="32"/>
    <w:qFormat/>
    <w:rsid w:val="00E658E1"/>
    <w:rPr>
      <w:b/>
      <w:bCs/>
      <w:smallCaps/>
      <w:color w:val="2F5496" w:themeColor="accent1" w:themeShade="BF"/>
      <w:spacing w:val="5"/>
    </w:rPr>
  </w:style>
  <w:style w:type="paragraph" w:styleId="NoSpacing">
    <w:name w:val="No Spacing"/>
    <w:uiPriority w:val="1"/>
    <w:qFormat/>
    <w:rsid w:val="000F3243"/>
    <w:pPr>
      <w:spacing w:after="0" w:line="240" w:lineRule="auto"/>
    </w:pPr>
  </w:style>
  <w:style w:type="paragraph" w:styleId="Header">
    <w:name w:val="header"/>
    <w:basedOn w:val="Normal"/>
    <w:link w:val="HeaderChar"/>
    <w:uiPriority w:val="99"/>
    <w:unhideWhenUsed/>
    <w:rsid w:val="000F3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243"/>
  </w:style>
  <w:style w:type="paragraph" w:styleId="Footer">
    <w:name w:val="footer"/>
    <w:basedOn w:val="Normal"/>
    <w:link w:val="FooterChar"/>
    <w:uiPriority w:val="99"/>
    <w:unhideWhenUsed/>
    <w:rsid w:val="000F3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8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8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8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8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8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8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8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8E1"/>
    <w:rPr>
      <w:rFonts w:eastAsiaTheme="majorEastAsia" w:cstheme="majorBidi"/>
      <w:color w:val="272727" w:themeColor="text1" w:themeTint="D8"/>
    </w:rPr>
  </w:style>
  <w:style w:type="paragraph" w:styleId="Title">
    <w:name w:val="Title"/>
    <w:basedOn w:val="Normal"/>
    <w:next w:val="Normal"/>
    <w:link w:val="TitleChar"/>
    <w:uiPriority w:val="10"/>
    <w:qFormat/>
    <w:rsid w:val="00E65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8E1"/>
    <w:pPr>
      <w:spacing w:before="160"/>
      <w:jc w:val="center"/>
    </w:pPr>
    <w:rPr>
      <w:i/>
      <w:iCs/>
      <w:color w:val="404040" w:themeColor="text1" w:themeTint="BF"/>
    </w:rPr>
  </w:style>
  <w:style w:type="character" w:customStyle="1" w:styleId="QuoteChar">
    <w:name w:val="Quote Char"/>
    <w:basedOn w:val="DefaultParagraphFont"/>
    <w:link w:val="Quote"/>
    <w:uiPriority w:val="29"/>
    <w:rsid w:val="00E658E1"/>
    <w:rPr>
      <w:i/>
      <w:iCs/>
      <w:color w:val="404040" w:themeColor="text1" w:themeTint="BF"/>
    </w:rPr>
  </w:style>
  <w:style w:type="paragraph" w:styleId="ListParagraph">
    <w:name w:val="List Paragraph"/>
    <w:basedOn w:val="Normal"/>
    <w:uiPriority w:val="34"/>
    <w:qFormat/>
    <w:rsid w:val="00E658E1"/>
    <w:pPr>
      <w:ind w:left="720"/>
      <w:contextualSpacing/>
    </w:pPr>
  </w:style>
  <w:style w:type="character" w:styleId="IntenseEmphasis">
    <w:name w:val="Intense Emphasis"/>
    <w:basedOn w:val="DefaultParagraphFont"/>
    <w:uiPriority w:val="21"/>
    <w:qFormat/>
    <w:rsid w:val="00E658E1"/>
    <w:rPr>
      <w:i/>
      <w:iCs/>
      <w:color w:val="2F5496" w:themeColor="accent1" w:themeShade="BF"/>
    </w:rPr>
  </w:style>
  <w:style w:type="paragraph" w:styleId="IntenseQuote">
    <w:name w:val="Intense Quote"/>
    <w:basedOn w:val="Normal"/>
    <w:next w:val="Normal"/>
    <w:link w:val="IntenseQuoteChar"/>
    <w:uiPriority w:val="30"/>
    <w:qFormat/>
    <w:rsid w:val="00E65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8E1"/>
    <w:rPr>
      <w:i/>
      <w:iCs/>
      <w:color w:val="2F5496" w:themeColor="accent1" w:themeShade="BF"/>
    </w:rPr>
  </w:style>
  <w:style w:type="character" w:styleId="IntenseReference">
    <w:name w:val="Intense Reference"/>
    <w:basedOn w:val="DefaultParagraphFont"/>
    <w:uiPriority w:val="32"/>
    <w:qFormat/>
    <w:rsid w:val="00E658E1"/>
    <w:rPr>
      <w:b/>
      <w:bCs/>
      <w:smallCaps/>
      <w:color w:val="2F5496" w:themeColor="accent1" w:themeShade="BF"/>
      <w:spacing w:val="5"/>
    </w:rPr>
  </w:style>
  <w:style w:type="paragraph" w:styleId="NoSpacing">
    <w:name w:val="No Spacing"/>
    <w:uiPriority w:val="1"/>
    <w:qFormat/>
    <w:rsid w:val="000F3243"/>
    <w:pPr>
      <w:spacing w:after="0" w:line="240" w:lineRule="auto"/>
    </w:pPr>
  </w:style>
  <w:style w:type="paragraph" w:styleId="Header">
    <w:name w:val="header"/>
    <w:basedOn w:val="Normal"/>
    <w:link w:val="HeaderChar"/>
    <w:uiPriority w:val="99"/>
    <w:unhideWhenUsed/>
    <w:rsid w:val="000F3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243"/>
  </w:style>
  <w:style w:type="paragraph" w:styleId="Footer">
    <w:name w:val="footer"/>
    <w:basedOn w:val="Normal"/>
    <w:link w:val="FooterChar"/>
    <w:uiPriority w:val="99"/>
    <w:unhideWhenUsed/>
    <w:rsid w:val="000F3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Gumbodete</dc:creator>
  <cp:lastModifiedBy>User</cp:lastModifiedBy>
  <cp:revision>2</cp:revision>
  <dcterms:created xsi:type="dcterms:W3CDTF">2025-09-12T11:08:00Z</dcterms:created>
  <dcterms:modified xsi:type="dcterms:W3CDTF">2025-09-12T11:08:00Z</dcterms:modified>
</cp:coreProperties>
</file>