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2D5" w:rsidRDefault="00890DFD"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MEGA MARKET (PRIVATE) LIMITED</w:t>
      </w:r>
      <w:r w:rsidR="00FD4C0E">
        <w:rPr>
          <w:rFonts w:ascii="Times New Roman" w:hAnsi="Times New Roman" w:cs="Times New Roman"/>
          <w:sz w:val="24"/>
          <w:szCs w:val="24"/>
        </w:rPr>
        <w:tab/>
      </w:r>
      <w:r w:rsidR="00FD4C0E">
        <w:rPr>
          <w:rFonts w:ascii="Times New Roman" w:hAnsi="Times New Roman" w:cs="Times New Roman"/>
          <w:sz w:val="24"/>
          <w:szCs w:val="24"/>
        </w:rPr>
        <w:tab/>
      </w:r>
      <w:r>
        <w:rPr>
          <w:rFonts w:ascii="Times New Roman" w:hAnsi="Times New Roman" w:cs="Times New Roman"/>
          <w:sz w:val="24"/>
          <w:szCs w:val="24"/>
        </w:rPr>
        <w:tab/>
      </w:r>
      <w:r w:rsidR="00FD4C0E">
        <w:rPr>
          <w:rFonts w:ascii="Times New Roman" w:hAnsi="Times New Roman" w:cs="Times New Roman"/>
          <w:sz w:val="24"/>
          <w:szCs w:val="24"/>
        </w:rPr>
        <w:t>APPLICANT</w:t>
      </w:r>
    </w:p>
    <w:p w:rsidR="007742D5" w:rsidRDefault="007742D5" w:rsidP="001A1A68">
      <w:pPr>
        <w:spacing w:after="0" w:line="240" w:lineRule="auto"/>
        <w:rPr>
          <w:rFonts w:ascii="Times New Roman" w:hAnsi="Times New Roman" w:cs="Times New Roman"/>
          <w:sz w:val="24"/>
          <w:szCs w:val="24"/>
        </w:rPr>
      </w:pPr>
    </w:p>
    <w:p w:rsidR="001A1A68"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7742D5" w:rsidRDefault="007742D5" w:rsidP="001A1A68">
      <w:pPr>
        <w:spacing w:after="0" w:line="240" w:lineRule="auto"/>
        <w:rPr>
          <w:rFonts w:ascii="Times New Roman" w:hAnsi="Times New Roman" w:cs="Times New Roman"/>
          <w:sz w:val="24"/>
          <w:szCs w:val="24"/>
        </w:rPr>
      </w:pPr>
    </w:p>
    <w:p w:rsidR="00B83004" w:rsidRDefault="00890DFD"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NEDBANK ZIMBABWE LIMITED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RESPONDENT</w:t>
      </w:r>
    </w:p>
    <w:p w:rsidR="00FD4C0E" w:rsidRDefault="00FD4C0E"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890DFD"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1A1A68">
        <w:rPr>
          <w:rFonts w:ascii="Times New Roman" w:hAnsi="Times New Roman" w:cs="Times New Roman"/>
          <w:sz w:val="24"/>
          <w:szCs w:val="24"/>
        </w:rPr>
        <w:t xml:space="preserve"> J</w:t>
      </w:r>
    </w:p>
    <w:p w:rsidR="001A1A68" w:rsidRDefault="005C36C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B25AB0">
        <w:rPr>
          <w:rFonts w:ascii="Times New Roman" w:hAnsi="Times New Roman" w:cs="Times New Roman"/>
          <w:sz w:val="24"/>
          <w:szCs w:val="24"/>
        </w:rPr>
        <w:t>4</w:t>
      </w:r>
      <w:r w:rsidR="00D2448D">
        <w:rPr>
          <w:rFonts w:ascii="Times New Roman" w:hAnsi="Times New Roman" w:cs="Times New Roman"/>
          <w:sz w:val="24"/>
          <w:szCs w:val="24"/>
        </w:rPr>
        <w:t>, 8 and 12</w:t>
      </w:r>
      <w:r w:rsidR="00B25AB0">
        <w:rPr>
          <w:rFonts w:ascii="Times New Roman" w:hAnsi="Times New Roman" w:cs="Times New Roman"/>
          <w:sz w:val="24"/>
          <w:szCs w:val="24"/>
        </w:rPr>
        <w:t xml:space="preserve"> April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171E3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Urgent </w:t>
      </w:r>
      <w:r w:rsidR="00B25AB0">
        <w:rPr>
          <w:rFonts w:ascii="Times New Roman" w:hAnsi="Times New Roman" w:cs="Times New Roman"/>
          <w:b/>
          <w:sz w:val="24"/>
          <w:szCs w:val="24"/>
        </w:rPr>
        <w:t xml:space="preserve">Chamber </w:t>
      </w:r>
      <w:r w:rsidR="00FD4C0E">
        <w:rPr>
          <w:rFonts w:ascii="Times New Roman" w:hAnsi="Times New Roman" w:cs="Times New Roman"/>
          <w:b/>
          <w:sz w:val="24"/>
          <w:szCs w:val="24"/>
        </w:rPr>
        <w:t>Application</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B25AB0" w:rsidP="002E7138">
      <w:pPr>
        <w:spacing w:after="0" w:line="240" w:lineRule="auto"/>
        <w:rPr>
          <w:rFonts w:ascii="Times New Roman" w:hAnsi="Times New Roman" w:cs="Times New Roman"/>
          <w:sz w:val="24"/>
          <w:szCs w:val="24"/>
        </w:rPr>
      </w:pPr>
      <w:r w:rsidRPr="00B25AB0">
        <w:rPr>
          <w:rFonts w:ascii="Times New Roman" w:hAnsi="Times New Roman" w:cs="Times New Roman"/>
          <w:i/>
          <w:sz w:val="24"/>
          <w:szCs w:val="24"/>
        </w:rPr>
        <w:t xml:space="preserve">Advocate G </w:t>
      </w:r>
      <w:proofErr w:type="spellStart"/>
      <w:r w:rsidRPr="00B25AB0">
        <w:rPr>
          <w:rFonts w:ascii="Times New Roman" w:hAnsi="Times New Roman" w:cs="Times New Roman"/>
          <w:i/>
          <w:sz w:val="24"/>
          <w:szCs w:val="24"/>
        </w:rPr>
        <w:t>Sithole</w:t>
      </w:r>
      <w:proofErr w:type="spellEnd"/>
      <w:r>
        <w:rPr>
          <w:rFonts w:ascii="Times New Roman" w:hAnsi="Times New Roman" w:cs="Times New Roman"/>
          <w:sz w:val="24"/>
          <w:szCs w:val="24"/>
        </w:rPr>
        <w:t xml:space="preserve"> with </w:t>
      </w:r>
      <w:r w:rsidRPr="00B25AB0">
        <w:rPr>
          <w:rFonts w:ascii="Times New Roman" w:hAnsi="Times New Roman" w:cs="Times New Roman"/>
          <w:i/>
          <w:sz w:val="24"/>
          <w:szCs w:val="24"/>
        </w:rPr>
        <w:t xml:space="preserve">N </w:t>
      </w:r>
      <w:proofErr w:type="spellStart"/>
      <w:r w:rsidRPr="00B25AB0">
        <w:rPr>
          <w:rFonts w:ascii="Times New Roman" w:hAnsi="Times New Roman" w:cs="Times New Roman"/>
          <w:i/>
          <w:sz w:val="24"/>
          <w:szCs w:val="24"/>
        </w:rPr>
        <w:t>Nhambura</w:t>
      </w:r>
      <w:proofErr w:type="spellEnd"/>
      <w:r>
        <w:rPr>
          <w:rFonts w:ascii="Times New Roman" w:hAnsi="Times New Roman" w:cs="Times New Roman"/>
          <w:sz w:val="24"/>
          <w:szCs w:val="24"/>
        </w:rPr>
        <w:t>, for the applicant</w:t>
      </w:r>
    </w:p>
    <w:p w:rsidR="00B25AB0" w:rsidRPr="00171E33" w:rsidRDefault="00B25AB0" w:rsidP="002E7138">
      <w:pPr>
        <w:spacing w:after="0" w:line="240" w:lineRule="auto"/>
        <w:rPr>
          <w:rFonts w:ascii="Times New Roman" w:hAnsi="Times New Roman" w:cs="Times New Roman"/>
          <w:sz w:val="24"/>
          <w:szCs w:val="24"/>
        </w:rPr>
      </w:pPr>
      <w:r w:rsidRPr="00B25AB0">
        <w:rPr>
          <w:rFonts w:ascii="Times New Roman" w:hAnsi="Times New Roman" w:cs="Times New Roman"/>
          <w:i/>
          <w:sz w:val="24"/>
          <w:szCs w:val="24"/>
        </w:rPr>
        <w:t xml:space="preserve">Advocate T </w:t>
      </w:r>
      <w:proofErr w:type="spellStart"/>
      <w:r w:rsidRPr="00B25AB0">
        <w:rPr>
          <w:rFonts w:ascii="Times New Roman" w:hAnsi="Times New Roman" w:cs="Times New Roman"/>
          <w:i/>
          <w:sz w:val="24"/>
          <w:szCs w:val="24"/>
        </w:rPr>
        <w:t>Magwaliba</w:t>
      </w:r>
      <w:proofErr w:type="spellEnd"/>
      <w:r>
        <w:rPr>
          <w:rFonts w:ascii="Times New Roman" w:hAnsi="Times New Roman" w:cs="Times New Roman"/>
          <w:sz w:val="24"/>
          <w:szCs w:val="24"/>
        </w:rPr>
        <w:t>, for the 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DE0DA7" w:rsidRDefault="00B25AB0" w:rsidP="00B25A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w:t>
      </w:r>
      <w:r w:rsidR="00171E33">
        <w:rPr>
          <w:rFonts w:ascii="Times New Roman" w:hAnsi="Times New Roman" w:cs="Times New Roman"/>
          <w:sz w:val="24"/>
          <w:szCs w:val="24"/>
        </w:rPr>
        <w:t>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Pr>
          <w:rFonts w:ascii="Times New Roman" w:hAnsi="Times New Roman" w:cs="Times New Roman"/>
          <w:sz w:val="24"/>
          <w:szCs w:val="24"/>
        </w:rPr>
        <w:t>The applicant, Mega Market (Private) Limited, is based in Mutare and is a registered commercial company which specialises in the business of buying and selling various goods, groceries being eminent. Given the economic situation in Zimbabwe the applicant has joined other competitors in outsourcing groceries outside the boundaries of Zimbabwe. In such a cutthroat operating environment applicant’s drawback became the slippery green back for it to be able to pay the suppliers abroad. Invariably where the uncertainty of the economic hang up is experienced disputes arise and more [particularly where the source of the foreign currency is a commercial bank.</w:t>
      </w:r>
    </w:p>
    <w:p w:rsidR="00A16DDA" w:rsidRDefault="00B25AB0" w:rsidP="00B25A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December 2018 towards the euphoria of the festive period when everyone including the needy miraculously strive to raise money to celebrate Christmas and reminisce the “glorious” past </w:t>
      </w:r>
      <w:r w:rsidR="00D2448D">
        <w:rPr>
          <w:rFonts w:ascii="Times New Roman" w:hAnsi="Times New Roman" w:cs="Times New Roman"/>
          <w:sz w:val="24"/>
          <w:szCs w:val="24"/>
        </w:rPr>
        <w:t>events</w:t>
      </w:r>
      <w:r w:rsidR="00A16DDA">
        <w:rPr>
          <w:rFonts w:ascii="Times New Roman" w:hAnsi="Times New Roman" w:cs="Times New Roman"/>
          <w:sz w:val="24"/>
          <w:szCs w:val="24"/>
        </w:rPr>
        <w:t xml:space="preserve"> where one would store bread for a month just to wait for the 25</w:t>
      </w:r>
      <w:r w:rsidR="00A16DDA" w:rsidRPr="00A16DDA">
        <w:rPr>
          <w:rFonts w:ascii="Times New Roman" w:hAnsi="Times New Roman" w:cs="Times New Roman"/>
          <w:sz w:val="24"/>
          <w:szCs w:val="24"/>
          <w:vertAlign w:val="superscript"/>
        </w:rPr>
        <w:t>th</w:t>
      </w:r>
      <w:r w:rsidR="00A16DDA">
        <w:rPr>
          <w:rFonts w:ascii="Times New Roman" w:hAnsi="Times New Roman" w:cs="Times New Roman"/>
          <w:sz w:val="24"/>
          <w:szCs w:val="24"/>
        </w:rPr>
        <w:t xml:space="preserve"> of December and gather with the family and enjoy that sweet momentary period. </w:t>
      </w:r>
    </w:p>
    <w:p w:rsidR="00881AE4" w:rsidRDefault="00A16DDA" w:rsidP="00881A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became aware of the respondent’s bond note deposit promotion where respondent wanted to encourage its clients to deposit bank notes which incidentally were also scarce in the respondent’s retail banking </w:t>
      </w:r>
      <w:r w:rsidR="00881AE4">
        <w:rPr>
          <w:rFonts w:ascii="Times New Roman" w:hAnsi="Times New Roman" w:cs="Times New Roman"/>
          <w:sz w:val="24"/>
          <w:szCs w:val="24"/>
        </w:rPr>
        <w:t>department. According</w:t>
      </w:r>
      <w:r>
        <w:rPr>
          <w:rFonts w:ascii="Times New Roman" w:hAnsi="Times New Roman" w:cs="Times New Roman"/>
          <w:sz w:val="24"/>
          <w:szCs w:val="24"/>
        </w:rPr>
        <w:t xml:space="preserve"> to the respondent, a client who deposit bond notes would be entitled to a </w:t>
      </w:r>
      <w:r w:rsidR="00881AE4">
        <w:rPr>
          <w:rFonts w:ascii="Times New Roman" w:hAnsi="Times New Roman" w:cs="Times New Roman"/>
          <w:sz w:val="24"/>
          <w:szCs w:val="24"/>
        </w:rPr>
        <w:t>foreign</w:t>
      </w:r>
      <w:r>
        <w:rPr>
          <w:rFonts w:ascii="Times New Roman" w:hAnsi="Times New Roman" w:cs="Times New Roman"/>
          <w:sz w:val="24"/>
          <w:szCs w:val="24"/>
        </w:rPr>
        <w:t xml:space="preserve"> currency allocation equi</w:t>
      </w:r>
      <w:r w:rsidR="00D2448D">
        <w:rPr>
          <w:rFonts w:ascii="Times New Roman" w:hAnsi="Times New Roman" w:cs="Times New Roman"/>
          <w:sz w:val="24"/>
          <w:szCs w:val="24"/>
        </w:rPr>
        <w:t xml:space="preserve">valent to 50% of the bond notes </w:t>
      </w:r>
      <w:r>
        <w:rPr>
          <w:rFonts w:ascii="Times New Roman" w:hAnsi="Times New Roman" w:cs="Times New Roman"/>
          <w:sz w:val="24"/>
          <w:szCs w:val="24"/>
        </w:rPr>
        <w:t>that were deposited. The applicant joined the attractive promotion. It subsequently made an application for foreign currency indicating that it had</w:t>
      </w:r>
      <w:r w:rsidR="00D2448D">
        <w:rPr>
          <w:rFonts w:ascii="Times New Roman" w:hAnsi="Times New Roman" w:cs="Times New Roman"/>
          <w:sz w:val="24"/>
          <w:szCs w:val="24"/>
        </w:rPr>
        <w:t xml:space="preserve"> deposited sufficient bond notes</w:t>
      </w:r>
      <w:r>
        <w:rPr>
          <w:rFonts w:ascii="Times New Roman" w:hAnsi="Times New Roman" w:cs="Times New Roman"/>
          <w:sz w:val="24"/>
          <w:szCs w:val="24"/>
        </w:rPr>
        <w:t xml:space="preserve"> that was equivalent to the </w:t>
      </w:r>
      <w:r w:rsidR="00881AE4">
        <w:rPr>
          <w:rFonts w:ascii="Times New Roman" w:hAnsi="Times New Roman" w:cs="Times New Roman"/>
          <w:sz w:val="24"/>
          <w:szCs w:val="24"/>
        </w:rPr>
        <w:t>amount</w:t>
      </w:r>
      <w:r>
        <w:rPr>
          <w:rFonts w:ascii="Times New Roman" w:hAnsi="Times New Roman" w:cs="Times New Roman"/>
          <w:sz w:val="24"/>
          <w:szCs w:val="24"/>
        </w:rPr>
        <w:t xml:space="preserve"> of the application it made. Annexure “C” attached to the </w:t>
      </w:r>
      <w:r>
        <w:rPr>
          <w:rFonts w:ascii="Times New Roman" w:hAnsi="Times New Roman" w:cs="Times New Roman"/>
          <w:sz w:val="24"/>
          <w:szCs w:val="24"/>
        </w:rPr>
        <w:lastRenderedPageBreak/>
        <w:t xml:space="preserve">applicant’s application reflects that from 10 August 2018 the applicant was running an account with the respondent and from 25 September 2018 applicant instructed respondent </w:t>
      </w:r>
      <w:r w:rsidR="00881AE4">
        <w:rPr>
          <w:rFonts w:ascii="Times New Roman" w:hAnsi="Times New Roman" w:cs="Times New Roman"/>
          <w:sz w:val="24"/>
          <w:szCs w:val="24"/>
        </w:rPr>
        <w:t>to make offshore payment of ZAR</w:t>
      </w:r>
      <w:r w:rsidR="00504935">
        <w:rPr>
          <w:rFonts w:ascii="Times New Roman" w:hAnsi="Times New Roman" w:cs="Times New Roman"/>
          <w:sz w:val="24"/>
          <w:szCs w:val="24"/>
        </w:rPr>
        <w:t xml:space="preserve">2, 179, 397, </w:t>
      </w:r>
      <w:r>
        <w:rPr>
          <w:rFonts w:ascii="Times New Roman" w:hAnsi="Times New Roman" w:cs="Times New Roman"/>
          <w:sz w:val="24"/>
          <w:szCs w:val="24"/>
        </w:rPr>
        <w:t>12, that is equivalent</w:t>
      </w:r>
      <w:r w:rsidR="00881AE4">
        <w:rPr>
          <w:rFonts w:ascii="Times New Roman" w:hAnsi="Times New Roman" w:cs="Times New Roman"/>
          <w:sz w:val="24"/>
          <w:szCs w:val="24"/>
        </w:rPr>
        <w:t xml:space="preserve"> to USD</w:t>
      </w:r>
      <w:r w:rsidR="00504935">
        <w:rPr>
          <w:rFonts w:ascii="Times New Roman" w:hAnsi="Times New Roman" w:cs="Times New Roman"/>
          <w:sz w:val="24"/>
          <w:szCs w:val="24"/>
        </w:rPr>
        <w:t xml:space="preserve">155, 893, </w:t>
      </w:r>
      <w:r w:rsidR="00881AE4">
        <w:rPr>
          <w:rFonts w:ascii="Times New Roman" w:hAnsi="Times New Roman" w:cs="Times New Roman"/>
          <w:sz w:val="24"/>
          <w:szCs w:val="24"/>
        </w:rPr>
        <w:t>93 and the respondent approved it and proceeded to debit applicant’s RTGS account in the sum of USD155</w:t>
      </w:r>
      <w:r w:rsidR="00504935">
        <w:rPr>
          <w:rFonts w:ascii="Times New Roman" w:hAnsi="Times New Roman" w:cs="Times New Roman"/>
          <w:sz w:val="24"/>
          <w:szCs w:val="24"/>
        </w:rPr>
        <w:t xml:space="preserve">, 893, </w:t>
      </w:r>
      <w:r w:rsidR="00881AE4">
        <w:rPr>
          <w:rFonts w:ascii="Times New Roman" w:hAnsi="Times New Roman" w:cs="Times New Roman"/>
          <w:sz w:val="24"/>
          <w:szCs w:val="24"/>
        </w:rPr>
        <w:t>93. This translates to the rate of one bond</w:t>
      </w:r>
      <w:r w:rsidR="00191BD9">
        <w:rPr>
          <w:rFonts w:ascii="Times New Roman" w:hAnsi="Times New Roman" w:cs="Times New Roman"/>
          <w:sz w:val="24"/>
          <w:szCs w:val="24"/>
        </w:rPr>
        <w:t xml:space="preserve"> note to one US dollar</w:t>
      </w:r>
      <w:r w:rsidR="00881AE4">
        <w:rPr>
          <w:rFonts w:ascii="Times New Roman" w:hAnsi="Times New Roman" w:cs="Times New Roman"/>
          <w:sz w:val="24"/>
          <w:szCs w:val="24"/>
        </w:rPr>
        <w:t xml:space="preserve">. </w:t>
      </w:r>
    </w:p>
    <w:p w:rsidR="00881AE4" w:rsidRDefault="00881AE4" w:rsidP="00881A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7 September 2018 applicant </w:t>
      </w:r>
      <w:r w:rsidR="00191BD9">
        <w:rPr>
          <w:rFonts w:ascii="Times New Roman" w:hAnsi="Times New Roman" w:cs="Times New Roman"/>
          <w:sz w:val="24"/>
          <w:szCs w:val="24"/>
        </w:rPr>
        <w:t>also</w:t>
      </w:r>
      <w:r>
        <w:rPr>
          <w:rFonts w:ascii="Times New Roman" w:hAnsi="Times New Roman" w:cs="Times New Roman"/>
          <w:sz w:val="24"/>
          <w:szCs w:val="24"/>
        </w:rPr>
        <w:t xml:space="preserve"> requested respondent to make an offshore payment and respondent approved. These offshore applications made by the applicant were done on several occasions and equally approved by the respondent without any querie</w:t>
      </w:r>
      <w:r w:rsidR="00191BD9">
        <w:rPr>
          <w:rFonts w:ascii="Times New Roman" w:hAnsi="Times New Roman" w:cs="Times New Roman"/>
          <w:sz w:val="24"/>
          <w:szCs w:val="24"/>
        </w:rPr>
        <w:t>s b</w:t>
      </w:r>
      <w:r>
        <w:rPr>
          <w:rFonts w:ascii="Times New Roman" w:hAnsi="Times New Roman" w:cs="Times New Roman"/>
          <w:sz w:val="24"/>
          <w:szCs w:val="24"/>
        </w:rPr>
        <w:t xml:space="preserve">y the respondent. On all these </w:t>
      </w:r>
      <w:r w:rsidR="00191BD9">
        <w:rPr>
          <w:rFonts w:ascii="Times New Roman" w:hAnsi="Times New Roman" w:cs="Times New Roman"/>
          <w:sz w:val="24"/>
          <w:szCs w:val="24"/>
        </w:rPr>
        <w:t>divers occasions the exchange rate was one bond note to one US dollar. Business went on for close to months and relations remained cordial.</w:t>
      </w:r>
    </w:p>
    <w:p w:rsidR="00191BD9" w:rsidRDefault="00191BD9" w:rsidP="00881A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February 2019, a new monetary policy was introduced by the Minister of Finance and Economic Development under SI 33 of 2019 where there was distinction between US dollar and RTGS. On 21 March 2019 the respondent unilaterally debited and credited applicant’s bank accounts virtually applying the new monetary policy. The rate being used by the respondent showed that the exchange rate was now market orientated and a large sum of RTGS was debited to offset the balances due to the respondent from the applicant’s accounts resulting in the applicant’s accounts showing a debit balance of </w:t>
      </w:r>
      <w:r w:rsidR="00D2448D">
        <w:rPr>
          <w:rFonts w:ascii="Times New Roman" w:hAnsi="Times New Roman" w:cs="Times New Roman"/>
          <w:sz w:val="24"/>
          <w:szCs w:val="24"/>
        </w:rPr>
        <w:t>$</w:t>
      </w:r>
      <w:r>
        <w:rPr>
          <w:rFonts w:ascii="Times New Roman" w:hAnsi="Times New Roman" w:cs="Times New Roman"/>
          <w:sz w:val="24"/>
          <w:szCs w:val="24"/>
        </w:rPr>
        <w:t>1</w:t>
      </w:r>
      <w:r w:rsidR="00D2448D">
        <w:rPr>
          <w:rFonts w:ascii="Times New Roman" w:hAnsi="Times New Roman" w:cs="Times New Roman"/>
          <w:sz w:val="24"/>
          <w:szCs w:val="24"/>
        </w:rPr>
        <w:t>,</w:t>
      </w:r>
      <w:r>
        <w:rPr>
          <w:rFonts w:ascii="Times New Roman" w:hAnsi="Times New Roman" w:cs="Times New Roman"/>
          <w:sz w:val="24"/>
          <w:szCs w:val="24"/>
        </w:rPr>
        <w:t xml:space="preserve"> 188</w:t>
      </w:r>
      <w:r w:rsidR="00D2448D">
        <w:rPr>
          <w:rFonts w:ascii="Times New Roman" w:hAnsi="Times New Roman" w:cs="Times New Roman"/>
          <w:sz w:val="24"/>
          <w:szCs w:val="24"/>
        </w:rPr>
        <w:t xml:space="preserve">, 191, </w:t>
      </w:r>
      <w:r>
        <w:rPr>
          <w:rFonts w:ascii="Times New Roman" w:hAnsi="Times New Roman" w:cs="Times New Roman"/>
          <w:sz w:val="24"/>
          <w:szCs w:val="24"/>
        </w:rPr>
        <w:t xml:space="preserve">38 after the respondent debited to applicant’s account an </w:t>
      </w:r>
      <w:r w:rsidR="00504935">
        <w:rPr>
          <w:rFonts w:ascii="Times New Roman" w:hAnsi="Times New Roman" w:cs="Times New Roman"/>
          <w:sz w:val="24"/>
          <w:szCs w:val="24"/>
        </w:rPr>
        <w:t xml:space="preserve">amount of $2, 174, 871, </w:t>
      </w:r>
      <w:r>
        <w:rPr>
          <w:rFonts w:ascii="Times New Roman" w:hAnsi="Times New Roman" w:cs="Times New Roman"/>
          <w:sz w:val="24"/>
          <w:szCs w:val="24"/>
        </w:rPr>
        <w:t>54 without giving prior notice to the applicant.</w:t>
      </w:r>
    </w:p>
    <w:p w:rsidR="00191BD9" w:rsidRDefault="00191BD9" w:rsidP="00881A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discovered this forced overdraft when it obtained its stateme</w:t>
      </w:r>
      <w:r w:rsidR="00D2448D">
        <w:rPr>
          <w:rFonts w:ascii="Times New Roman" w:hAnsi="Times New Roman" w:cs="Times New Roman"/>
          <w:sz w:val="24"/>
          <w:szCs w:val="24"/>
        </w:rPr>
        <w:t>nt fro</w:t>
      </w:r>
      <w:r>
        <w:rPr>
          <w:rFonts w:ascii="Times New Roman" w:hAnsi="Times New Roman" w:cs="Times New Roman"/>
          <w:sz w:val="24"/>
          <w:szCs w:val="24"/>
        </w:rPr>
        <w:t>m the respondent and on 21 March 2019 applicant’s legal practitioners of record wrote to the respondent protesting the action of the respondent. The respondent replied the letter on 29 March 2019 justifying its action against the applicant. Having known the position of the respondent about the deduction, the applicant filed an urgent chamber application on 2 April 2019 seeking the following relief:</w:t>
      </w:r>
    </w:p>
    <w:p w:rsidR="00191BD9" w:rsidRPr="00933953" w:rsidRDefault="00191BD9" w:rsidP="00933953">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933953">
        <w:rPr>
          <w:rFonts w:ascii="Times New Roman" w:hAnsi="Times New Roman" w:cs="Times New Roman"/>
          <w:u w:val="single"/>
        </w:rPr>
        <w:t>INTERIM RELIEF/PROVISIONAL ORDER GRANTED</w:t>
      </w:r>
    </w:p>
    <w:p w:rsidR="00191BD9" w:rsidRPr="00933953" w:rsidRDefault="00191BD9" w:rsidP="00933953">
      <w:pPr>
        <w:spacing w:after="0" w:line="240" w:lineRule="auto"/>
        <w:ind w:firstLine="720"/>
        <w:jc w:val="both"/>
        <w:rPr>
          <w:rFonts w:ascii="Times New Roman" w:hAnsi="Times New Roman" w:cs="Times New Roman"/>
        </w:rPr>
      </w:pPr>
      <w:r w:rsidRPr="00933953">
        <w:rPr>
          <w:rFonts w:ascii="Times New Roman" w:hAnsi="Times New Roman" w:cs="Times New Roman"/>
        </w:rPr>
        <w:t>IT IS HEREBY ORDERED THAT:</w:t>
      </w:r>
    </w:p>
    <w:p w:rsidR="00504935" w:rsidRPr="00933953" w:rsidRDefault="00191BD9" w:rsidP="00933953">
      <w:pPr>
        <w:pStyle w:val="ListParagraph"/>
        <w:numPr>
          <w:ilvl w:val="0"/>
          <w:numId w:val="19"/>
        </w:numPr>
        <w:spacing w:after="0" w:line="240" w:lineRule="auto"/>
        <w:jc w:val="both"/>
        <w:rPr>
          <w:rFonts w:ascii="Times New Roman" w:hAnsi="Times New Roman" w:cs="Times New Roman"/>
        </w:rPr>
      </w:pPr>
      <w:r w:rsidRPr="00933953">
        <w:rPr>
          <w:rFonts w:ascii="Times New Roman" w:hAnsi="Times New Roman" w:cs="Times New Roman"/>
        </w:rPr>
        <w:t xml:space="preserve"> Respondent shall reverse all the </w:t>
      </w:r>
      <w:r w:rsidR="00504935" w:rsidRPr="00933953">
        <w:rPr>
          <w:rFonts w:ascii="Times New Roman" w:hAnsi="Times New Roman" w:cs="Times New Roman"/>
        </w:rPr>
        <w:t>unlawful</w:t>
      </w:r>
      <w:r w:rsidRPr="00933953">
        <w:rPr>
          <w:rFonts w:ascii="Times New Roman" w:hAnsi="Times New Roman" w:cs="Times New Roman"/>
        </w:rPr>
        <w:t xml:space="preserve"> banking </w:t>
      </w:r>
      <w:r w:rsidR="00504935" w:rsidRPr="00933953">
        <w:rPr>
          <w:rFonts w:ascii="Times New Roman" w:hAnsi="Times New Roman" w:cs="Times New Roman"/>
        </w:rPr>
        <w:t>transactions</w:t>
      </w:r>
      <w:r w:rsidRPr="00933953">
        <w:rPr>
          <w:rFonts w:ascii="Times New Roman" w:hAnsi="Times New Roman" w:cs="Times New Roman"/>
        </w:rPr>
        <w:t xml:space="preserve"> it effected into </w:t>
      </w:r>
      <w:r w:rsidR="00504935" w:rsidRPr="00933953">
        <w:rPr>
          <w:rFonts w:ascii="Times New Roman" w:hAnsi="Times New Roman" w:cs="Times New Roman"/>
        </w:rPr>
        <w:t>applicant’s</w:t>
      </w:r>
      <w:r w:rsidRPr="00933953">
        <w:rPr>
          <w:rFonts w:ascii="Times New Roman" w:hAnsi="Times New Roman" w:cs="Times New Roman"/>
        </w:rPr>
        <w:t xml:space="preserve"> </w:t>
      </w:r>
      <w:r w:rsidR="00504935" w:rsidRPr="00933953">
        <w:rPr>
          <w:rFonts w:ascii="Times New Roman" w:hAnsi="Times New Roman" w:cs="Times New Roman"/>
        </w:rPr>
        <w:t>bank accounts on the 21</w:t>
      </w:r>
      <w:r w:rsidR="00504935" w:rsidRPr="00933953">
        <w:rPr>
          <w:rFonts w:ascii="Times New Roman" w:hAnsi="Times New Roman" w:cs="Times New Roman"/>
          <w:vertAlign w:val="superscript"/>
        </w:rPr>
        <w:t>st</w:t>
      </w:r>
      <w:r w:rsidR="00504935" w:rsidRPr="00933953">
        <w:rPr>
          <w:rFonts w:ascii="Times New Roman" w:hAnsi="Times New Roman" w:cs="Times New Roman"/>
        </w:rPr>
        <w:t xml:space="preserve"> March 2019 and it is hereby ordered that it shall do the following:</w:t>
      </w:r>
    </w:p>
    <w:p w:rsidR="00504935" w:rsidRPr="00933953" w:rsidRDefault="00504935" w:rsidP="00933953">
      <w:pPr>
        <w:pStyle w:val="ListParagraph"/>
        <w:numPr>
          <w:ilvl w:val="0"/>
          <w:numId w:val="20"/>
        </w:numPr>
        <w:spacing w:after="0" w:line="240" w:lineRule="auto"/>
        <w:jc w:val="both"/>
        <w:rPr>
          <w:rFonts w:ascii="Times New Roman" w:hAnsi="Times New Roman" w:cs="Times New Roman"/>
        </w:rPr>
      </w:pPr>
      <w:r w:rsidRPr="00933953">
        <w:rPr>
          <w:rFonts w:ascii="Times New Roman" w:hAnsi="Times New Roman" w:cs="Times New Roman"/>
        </w:rPr>
        <w:t xml:space="preserve">Reverse the unlawful debit of the sum of two million one hundred and seventy four thousand eight hundred and seventy one RTGS Dollars and fifty four cents [RTGS $2, 174, 871, 54] and credit the same amount into Applicants RTGS account such that the </w:t>
      </w:r>
      <w:r w:rsidRPr="00933953">
        <w:rPr>
          <w:rFonts w:ascii="Times New Roman" w:hAnsi="Times New Roman" w:cs="Times New Roman"/>
          <w:i/>
        </w:rPr>
        <w:t>status quo ante</w:t>
      </w:r>
      <w:r w:rsidRPr="00933953">
        <w:rPr>
          <w:rFonts w:ascii="Times New Roman" w:hAnsi="Times New Roman" w:cs="Times New Roman"/>
        </w:rPr>
        <w:t xml:space="preserve"> of the bank account on the 21</w:t>
      </w:r>
      <w:r w:rsidRPr="00933953">
        <w:rPr>
          <w:rFonts w:ascii="Times New Roman" w:hAnsi="Times New Roman" w:cs="Times New Roman"/>
          <w:vertAlign w:val="superscript"/>
        </w:rPr>
        <w:t>st</w:t>
      </w:r>
      <w:r w:rsidRPr="00933953">
        <w:rPr>
          <w:rFonts w:ascii="Times New Roman" w:hAnsi="Times New Roman" w:cs="Times New Roman"/>
        </w:rPr>
        <w:t xml:space="preserve"> March 2019 is restored.</w:t>
      </w:r>
    </w:p>
    <w:p w:rsidR="00504935" w:rsidRPr="00933953" w:rsidRDefault="00504935" w:rsidP="00933953">
      <w:pPr>
        <w:pStyle w:val="ListParagraph"/>
        <w:numPr>
          <w:ilvl w:val="0"/>
          <w:numId w:val="20"/>
        </w:numPr>
        <w:spacing w:after="0" w:line="240" w:lineRule="auto"/>
        <w:jc w:val="both"/>
        <w:rPr>
          <w:rFonts w:ascii="Times New Roman" w:hAnsi="Times New Roman" w:cs="Times New Roman"/>
        </w:rPr>
      </w:pPr>
      <w:r w:rsidRPr="00933953">
        <w:rPr>
          <w:rFonts w:ascii="Times New Roman" w:hAnsi="Times New Roman" w:cs="Times New Roman"/>
        </w:rPr>
        <w:t xml:space="preserve">Reverse the credit it made to Applicants RTGS account in the sum of seven hundred and twenty one thousand five hundred and eighty nine RTGS Dollars and seventy six cents [RTGS$ 721, 589, 76] and restore the </w:t>
      </w:r>
      <w:r w:rsidRPr="00933953">
        <w:rPr>
          <w:rFonts w:ascii="Times New Roman" w:hAnsi="Times New Roman" w:cs="Times New Roman"/>
          <w:i/>
        </w:rPr>
        <w:t>status quo ante</w:t>
      </w:r>
      <w:r w:rsidRPr="00933953">
        <w:rPr>
          <w:rFonts w:ascii="Times New Roman" w:hAnsi="Times New Roman" w:cs="Times New Roman"/>
        </w:rPr>
        <w:t xml:space="preserve"> of the bank account as of the 21</w:t>
      </w:r>
      <w:r w:rsidRPr="00933953">
        <w:rPr>
          <w:rFonts w:ascii="Times New Roman" w:hAnsi="Times New Roman" w:cs="Times New Roman"/>
          <w:vertAlign w:val="superscript"/>
        </w:rPr>
        <w:t>st</w:t>
      </w:r>
      <w:r w:rsidRPr="00933953">
        <w:rPr>
          <w:rFonts w:ascii="Times New Roman" w:hAnsi="Times New Roman" w:cs="Times New Roman"/>
        </w:rPr>
        <w:t xml:space="preserve"> March 2019.</w:t>
      </w:r>
    </w:p>
    <w:p w:rsidR="00647798" w:rsidRPr="00933953" w:rsidRDefault="00504935" w:rsidP="00933953">
      <w:pPr>
        <w:pStyle w:val="ListParagraph"/>
        <w:numPr>
          <w:ilvl w:val="0"/>
          <w:numId w:val="20"/>
        </w:numPr>
        <w:spacing w:after="0" w:line="240" w:lineRule="auto"/>
        <w:jc w:val="both"/>
        <w:rPr>
          <w:rFonts w:ascii="Times New Roman" w:hAnsi="Times New Roman" w:cs="Times New Roman"/>
        </w:rPr>
      </w:pPr>
      <w:r w:rsidRPr="00933953">
        <w:rPr>
          <w:rFonts w:ascii="Times New Roman" w:hAnsi="Times New Roman" w:cs="Times New Roman"/>
        </w:rPr>
        <w:t xml:space="preserve">Reverse the debit it made to Applicants FCA account in the sum of two thousand two hundred and thirty four United States Dollars and forty one cents [USD2, 234, </w:t>
      </w:r>
      <w:r w:rsidRPr="00933953">
        <w:rPr>
          <w:rFonts w:ascii="Times New Roman" w:hAnsi="Times New Roman" w:cs="Times New Roman"/>
        </w:rPr>
        <w:lastRenderedPageBreak/>
        <w:t xml:space="preserve">41] and reverse the credit it made to Applicants RTGS account in the same amount such that the </w:t>
      </w:r>
      <w:r w:rsidRPr="00933953">
        <w:rPr>
          <w:rFonts w:ascii="Times New Roman" w:hAnsi="Times New Roman" w:cs="Times New Roman"/>
          <w:i/>
        </w:rPr>
        <w:t>status quo ante</w:t>
      </w:r>
      <w:r w:rsidRPr="00933953">
        <w:rPr>
          <w:rFonts w:ascii="Times New Roman" w:hAnsi="Times New Roman" w:cs="Times New Roman"/>
        </w:rPr>
        <w:t xml:space="preserve"> of the bank account is restored.</w:t>
      </w:r>
    </w:p>
    <w:p w:rsidR="00647798" w:rsidRDefault="00647798" w:rsidP="00933953">
      <w:pPr>
        <w:pStyle w:val="ListParagraph"/>
        <w:numPr>
          <w:ilvl w:val="0"/>
          <w:numId w:val="19"/>
        </w:numPr>
        <w:spacing w:after="0" w:line="240" w:lineRule="auto"/>
        <w:jc w:val="both"/>
        <w:rPr>
          <w:rFonts w:ascii="Times New Roman" w:hAnsi="Times New Roman" w:cs="Times New Roman"/>
          <w:sz w:val="24"/>
          <w:szCs w:val="24"/>
        </w:rPr>
      </w:pPr>
      <w:r w:rsidRPr="00933953">
        <w:rPr>
          <w:rFonts w:ascii="Times New Roman" w:hAnsi="Times New Roman" w:cs="Times New Roman"/>
        </w:rPr>
        <w:t>Respondent shall cease perpetuating unlawful debits or credits of Applicants bank accounts pending the finalization of this urgent chamber application</w:t>
      </w:r>
      <w:r>
        <w:rPr>
          <w:rFonts w:ascii="Times New Roman" w:hAnsi="Times New Roman" w:cs="Times New Roman"/>
          <w:sz w:val="24"/>
          <w:szCs w:val="24"/>
        </w:rPr>
        <w:t>.</w:t>
      </w:r>
    </w:p>
    <w:p w:rsidR="00647798" w:rsidRDefault="00647798" w:rsidP="00647798">
      <w:pPr>
        <w:pStyle w:val="ListParagraph"/>
        <w:spacing w:after="0" w:line="360" w:lineRule="auto"/>
        <w:ind w:left="1080"/>
        <w:jc w:val="both"/>
        <w:rPr>
          <w:rFonts w:ascii="Times New Roman" w:hAnsi="Times New Roman" w:cs="Times New Roman"/>
          <w:sz w:val="24"/>
          <w:szCs w:val="24"/>
        </w:rPr>
      </w:pPr>
    </w:p>
    <w:p w:rsidR="00647798" w:rsidRPr="00933953" w:rsidRDefault="00647798" w:rsidP="00933953">
      <w:pPr>
        <w:spacing w:after="0" w:line="240" w:lineRule="auto"/>
        <w:ind w:left="720"/>
        <w:jc w:val="both"/>
        <w:rPr>
          <w:rFonts w:ascii="Times New Roman" w:hAnsi="Times New Roman" w:cs="Times New Roman"/>
          <w:u w:val="single"/>
        </w:rPr>
      </w:pPr>
      <w:r w:rsidRPr="00933953">
        <w:rPr>
          <w:rFonts w:ascii="Times New Roman" w:hAnsi="Times New Roman" w:cs="Times New Roman"/>
          <w:u w:val="single"/>
        </w:rPr>
        <w:t>TERMS OF THE FINAL ORDER SOUGHT</w:t>
      </w:r>
    </w:p>
    <w:p w:rsidR="000636F5" w:rsidRPr="00933953" w:rsidRDefault="00647798" w:rsidP="00933953">
      <w:pPr>
        <w:spacing w:after="0" w:line="240" w:lineRule="auto"/>
        <w:ind w:left="720"/>
        <w:jc w:val="both"/>
        <w:rPr>
          <w:rFonts w:ascii="Times New Roman" w:hAnsi="Times New Roman" w:cs="Times New Roman"/>
        </w:rPr>
      </w:pPr>
      <w:r w:rsidRPr="00933953">
        <w:rPr>
          <w:rFonts w:ascii="Times New Roman" w:hAnsi="Times New Roman" w:cs="Times New Roman"/>
        </w:rPr>
        <w:t xml:space="preserve">That you show cause to this Honourable Court, why a </w:t>
      </w:r>
      <w:r w:rsidR="000636F5" w:rsidRPr="00933953">
        <w:rPr>
          <w:rFonts w:ascii="Times New Roman" w:hAnsi="Times New Roman" w:cs="Times New Roman"/>
        </w:rPr>
        <w:t>final Order should not be made in the following terms:-</w:t>
      </w:r>
    </w:p>
    <w:p w:rsidR="00933953" w:rsidRPr="00933953" w:rsidRDefault="00933953" w:rsidP="00933953">
      <w:pPr>
        <w:pStyle w:val="ListParagraph"/>
        <w:numPr>
          <w:ilvl w:val="0"/>
          <w:numId w:val="21"/>
        </w:numPr>
        <w:spacing w:after="0" w:line="240" w:lineRule="auto"/>
        <w:jc w:val="both"/>
        <w:rPr>
          <w:rFonts w:ascii="Times New Roman" w:hAnsi="Times New Roman" w:cs="Times New Roman"/>
        </w:rPr>
      </w:pPr>
      <w:r w:rsidRPr="00933953">
        <w:rPr>
          <w:rFonts w:ascii="Times New Roman" w:hAnsi="Times New Roman" w:cs="Times New Roman"/>
        </w:rPr>
        <w:t>The Respondent was and is not entitled to retrospectively and unilaterally debit Applicant’s RTGS account in the sum of $2, 174, 871, 54;</w:t>
      </w:r>
    </w:p>
    <w:p w:rsidR="00933953" w:rsidRPr="00933953" w:rsidRDefault="00933953" w:rsidP="00933953">
      <w:pPr>
        <w:pStyle w:val="ListParagraph"/>
        <w:numPr>
          <w:ilvl w:val="0"/>
          <w:numId w:val="21"/>
        </w:numPr>
        <w:spacing w:after="0" w:line="240" w:lineRule="auto"/>
        <w:jc w:val="both"/>
        <w:rPr>
          <w:rFonts w:ascii="Times New Roman" w:hAnsi="Times New Roman" w:cs="Times New Roman"/>
        </w:rPr>
      </w:pPr>
      <w:r w:rsidRPr="00933953">
        <w:rPr>
          <w:rFonts w:ascii="Times New Roman" w:hAnsi="Times New Roman" w:cs="Times New Roman"/>
        </w:rPr>
        <w:t>The Respondent was and is not entitled to unilaterally and retrospectively debit Applicants FCA account with the sum of USD2, 234, 41;</w:t>
      </w:r>
    </w:p>
    <w:p w:rsidR="00933953" w:rsidRPr="00933953" w:rsidRDefault="00933953" w:rsidP="00933953">
      <w:pPr>
        <w:pStyle w:val="ListParagraph"/>
        <w:numPr>
          <w:ilvl w:val="0"/>
          <w:numId w:val="21"/>
        </w:numPr>
        <w:spacing w:after="0" w:line="240" w:lineRule="auto"/>
        <w:jc w:val="both"/>
        <w:rPr>
          <w:rFonts w:ascii="Times New Roman" w:hAnsi="Times New Roman" w:cs="Times New Roman"/>
        </w:rPr>
      </w:pPr>
      <w:r w:rsidRPr="00933953">
        <w:rPr>
          <w:rFonts w:ascii="Times New Roman" w:hAnsi="Times New Roman" w:cs="Times New Roman"/>
        </w:rPr>
        <w:t>Respondent was and is not entitled to unilaterally and retrospectively credit Applicant RTGS account with the sum of RTGS $ 721, 589, 76;</w:t>
      </w:r>
    </w:p>
    <w:p w:rsidR="00933953" w:rsidRPr="00933953" w:rsidRDefault="00933953" w:rsidP="00933953">
      <w:pPr>
        <w:pStyle w:val="ListParagraph"/>
        <w:numPr>
          <w:ilvl w:val="0"/>
          <w:numId w:val="21"/>
        </w:numPr>
        <w:spacing w:after="0" w:line="240" w:lineRule="auto"/>
        <w:jc w:val="both"/>
        <w:rPr>
          <w:rFonts w:ascii="Times New Roman" w:hAnsi="Times New Roman" w:cs="Times New Roman"/>
        </w:rPr>
      </w:pPr>
      <w:r w:rsidRPr="00933953">
        <w:rPr>
          <w:rFonts w:ascii="Times New Roman" w:hAnsi="Times New Roman" w:cs="Times New Roman"/>
        </w:rPr>
        <w:t>Consequent to the relief sought above Respondents actions of unilaterally and retrospectively debiting and crediting Applicant’s bank accounts is hereby declared unlawful and Respondent shall not engage in any act of debiting or crediting Applicant’s account without any lawful authority or justification;</w:t>
      </w:r>
    </w:p>
    <w:p w:rsidR="00191BD9" w:rsidRDefault="00933953" w:rsidP="00933953">
      <w:pPr>
        <w:pStyle w:val="ListParagraph"/>
        <w:numPr>
          <w:ilvl w:val="0"/>
          <w:numId w:val="21"/>
        </w:numPr>
        <w:spacing w:after="0" w:line="240" w:lineRule="auto"/>
        <w:jc w:val="both"/>
        <w:rPr>
          <w:rFonts w:ascii="Times New Roman" w:hAnsi="Times New Roman" w:cs="Times New Roman"/>
          <w:sz w:val="24"/>
          <w:szCs w:val="24"/>
        </w:rPr>
      </w:pPr>
      <w:r w:rsidRPr="00933953">
        <w:rPr>
          <w:rFonts w:ascii="Times New Roman" w:hAnsi="Times New Roman" w:cs="Times New Roman"/>
        </w:rPr>
        <w:t>Respondent shall pay costs of suit on a high scale of attorney-client</w:t>
      </w:r>
      <w:r>
        <w:rPr>
          <w:rFonts w:ascii="Times New Roman" w:hAnsi="Times New Roman" w:cs="Times New Roman"/>
          <w:sz w:val="24"/>
          <w:szCs w:val="24"/>
        </w:rPr>
        <w:t>.</w:t>
      </w:r>
      <w:r w:rsidR="00191BD9" w:rsidRPr="000636F5">
        <w:rPr>
          <w:rFonts w:ascii="Times New Roman" w:hAnsi="Times New Roman" w:cs="Times New Roman"/>
          <w:sz w:val="24"/>
          <w:szCs w:val="24"/>
        </w:rPr>
        <w:t>”</w:t>
      </w:r>
    </w:p>
    <w:p w:rsidR="00933953" w:rsidRDefault="00933953" w:rsidP="00933953">
      <w:pPr>
        <w:spacing w:after="0" w:line="360" w:lineRule="auto"/>
        <w:jc w:val="both"/>
        <w:rPr>
          <w:rFonts w:ascii="Times New Roman" w:hAnsi="Times New Roman" w:cs="Times New Roman"/>
          <w:sz w:val="24"/>
          <w:szCs w:val="24"/>
        </w:rPr>
      </w:pPr>
    </w:p>
    <w:p w:rsidR="00933953" w:rsidRDefault="00933953" w:rsidP="0093395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application is strongly opposed by the bank/respondent. The respondent raised two </w:t>
      </w:r>
    </w:p>
    <w:p w:rsidR="00933953" w:rsidRDefault="00933953" w:rsidP="0093395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points</w:t>
      </w:r>
      <w:proofErr w:type="gramEnd"/>
      <w:r>
        <w:rPr>
          <w:rFonts w:ascii="Times New Roman" w:hAnsi="Times New Roman" w:cs="Times New Roman"/>
          <w:sz w:val="24"/>
          <w:szCs w:val="24"/>
        </w:rPr>
        <w:t xml:space="preserve"> in </w:t>
      </w:r>
      <w:proofErr w:type="spellStart"/>
      <w:r>
        <w:rPr>
          <w:rFonts w:ascii="Times New Roman" w:hAnsi="Times New Roman" w:cs="Times New Roman"/>
          <w:sz w:val="24"/>
          <w:szCs w:val="24"/>
        </w:rPr>
        <w:t>l</w:t>
      </w:r>
      <w:r w:rsidRPr="00933953">
        <w:rPr>
          <w:rFonts w:ascii="Times New Roman" w:hAnsi="Times New Roman" w:cs="Times New Roman"/>
          <w:i/>
          <w:sz w:val="24"/>
          <w:szCs w:val="24"/>
        </w:rPr>
        <w:t>imine</w:t>
      </w:r>
      <w:proofErr w:type="spellEnd"/>
      <w:r>
        <w:rPr>
          <w:rFonts w:ascii="Times New Roman" w:hAnsi="Times New Roman" w:cs="Times New Roman"/>
          <w:sz w:val="24"/>
          <w:szCs w:val="24"/>
        </w:rPr>
        <w:t xml:space="preserve"> basically on two thematic grounds of format and that of urgency. The respondent argues that there is no application before the court because the applicant did not use the prescribed forms set out in the rules. Secondly the respondent contends that the application is not urgent at all and ought to be struck off the roll of urgent matter</w:t>
      </w:r>
      <w:r w:rsidR="00D2448D">
        <w:rPr>
          <w:rFonts w:ascii="Times New Roman" w:hAnsi="Times New Roman" w:cs="Times New Roman"/>
          <w:sz w:val="24"/>
          <w:szCs w:val="24"/>
        </w:rPr>
        <w:t>s</w:t>
      </w:r>
      <w:r>
        <w:rPr>
          <w:rFonts w:ascii="Times New Roman" w:hAnsi="Times New Roman" w:cs="Times New Roman"/>
          <w:sz w:val="24"/>
          <w:szCs w:val="24"/>
        </w:rPr>
        <w:t>.</w:t>
      </w:r>
    </w:p>
    <w:p w:rsidR="006B2318" w:rsidRDefault="006B2318" w:rsidP="00933953">
      <w:pPr>
        <w:spacing w:after="0" w:line="360" w:lineRule="auto"/>
        <w:jc w:val="both"/>
        <w:rPr>
          <w:rFonts w:ascii="Times New Roman" w:hAnsi="Times New Roman" w:cs="Times New Roman"/>
          <w:sz w:val="24"/>
          <w:szCs w:val="24"/>
        </w:rPr>
      </w:pPr>
    </w:p>
    <w:p w:rsidR="006B2318" w:rsidRPr="00DF2F63" w:rsidRDefault="00933953" w:rsidP="00933953">
      <w:pPr>
        <w:spacing w:after="0" w:line="360" w:lineRule="auto"/>
        <w:jc w:val="both"/>
        <w:rPr>
          <w:rFonts w:ascii="Times New Roman" w:hAnsi="Times New Roman" w:cs="Times New Roman"/>
          <w:sz w:val="24"/>
          <w:szCs w:val="24"/>
          <w:u w:val="single"/>
        </w:rPr>
      </w:pPr>
      <w:r w:rsidRPr="00DF2F63">
        <w:rPr>
          <w:rFonts w:ascii="Times New Roman" w:hAnsi="Times New Roman" w:cs="Times New Roman"/>
          <w:sz w:val="24"/>
          <w:szCs w:val="24"/>
          <w:u w:val="single"/>
        </w:rPr>
        <w:t>WHETHER THERE IS NO APPLICATION BEFORE THIS COURT</w:t>
      </w:r>
    </w:p>
    <w:p w:rsidR="00933953" w:rsidRDefault="00933953" w:rsidP="00933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day of hearing I directed the parties to have </w:t>
      </w:r>
      <w:r w:rsidR="00DF2F63">
        <w:rPr>
          <w:rFonts w:ascii="Times New Roman" w:hAnsi="Times New Roman" w:cs="Times New Roman"/>
          <w:sz w:val="24"/>
          <w:szCs w:val="24"/>
        </w:rPr>
        <w:t>a global approach to first address the court on the preliminary points and then proceed on to the merits. This was to save time of both counsel who had travelled from Harare and to afford each party to cover all portions of the application so that if the preliminary points succeed the application could be disposed of</w:t>
      </w:r>
      <w:r w:rsidR="00D2448D">
        <w:rPr>
          <w:rFonts w:ascii="Times New Roman" w:hAnsi="Times New Roman" w:cs="Times New Roman"/>
          <w:sz w:val="24"/>
          <w:szCs w:val="24"/>
        </w:rPr>
        <w:t>, but i</w:t>
      </w:r>
      <w:r w:rsidR="00DF2F63">
        <w:rPr>
          <w:rFonts w:ascii="Times New Roman" w:hAnsi="Times New Roman" w:cs="Times New Roman"/>
          <w:sz w:val="24"/>
          <w:szCs w:val="24"/>
        </w:rPr>
        <w:t xml:space="preserve">f the points in </w:t>
      </w:r>
      <w:proofErr w:type="spellStart"/>
      <w:r w:rsidR="00DF2F63" w:rsidRPr="00DF2F63">
        <w:rPr>
          <w:rFonts w:ascii="Times New Roman" w:hAnsi="Times New Roman" w:cs="Times New Roman"/>
          <w:i/>
          <w:sz w:val="24"/>
          <w:szCs w:val="24"/>
        </w:rPr>
        <w:t>limine</w:t>
      </w:r>
      <w:proofErr w:type="spellEnd"/>
      <w:r w:rsidR="00DF2F63" w:rsidRPr="00DF2F63">
        <w:rPr>
          <w:rFonts w:ascii="Times New Roman" w:hAnsi="Times New Roman" w:cs="Times New Roman"/>
          <w:i/>
          <w:sz w:val="24"/>
          <w:szCs w:val="24"/>
        </w:rPr>
        <w:t xml:space="preserve"> </w:t>
      </w:r>
      <w:r w:rsidR="00DF2F63">
        <w:rPr>
          <w:rFonts w:ascii="Times New Roman" w:hAnsi="Times New Roman" w:cs="Times New Roman"/>
          <w:sz w:val="24"/>
          <w:szCs w:val="24"/>
        </w:rPr>
        <w:t>are dismissed the court could deal with the merits.</w:t>
      </w:r>
    </w:p>
    <w:p w:rsidR="00DF2F63" w:rsidRDefault="00DF2F63" w:rsidP="00933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point in </w:t>
      </w:r>
      <w:proofErr w:type="spellStart"/>
      <w:r w:rsidRPr="00DF2F63">
        <w:rPr>
          <w:rFonts w:ascii="Times New Roman" w:hAnsi="Times New Roman" w:cs="Times New Roman"/>
          <w:i/>
          <w:sz w:val="24"/>
          <w:szCs w:val="24"/>
        </w:rPr>
        <w:t>limine</w:t>
      </w:r>
      <w:proofErr w:type="spellEnd"/>
      <w:r>
        <w:rPr>
          <w:rFonts w:ascii="Times New Roman" w:hAnsi="Times New Roman" w:cs="Times New Roman"/>
          <w:sz w:val="24"/>
          <w:szCs w:val="24"/>
        </w:rPr>
        <w:t xml:space="preserve"> by the respondent is that there was nothing </w:t>
      </w:r>
      <w:r w:rsidR="00AC3AF0">
        <w:rPr>
          <w:rFonts w:ascii="Times New Roman" w:hAnsi="Times New Roman" w:cs="Times New Roman"/>
          <w:sz w:val="24"/>
          <w:szCs w:val="24"/>
        </w:rPr>
        <w:t>before me to determine because the applicant’s application is neither in Form No. 29 nor Form 29B</w:t>
      </w:r>
      <w:r w:rsidR="00D2448D">
        <w:rPr>
          <w:rFonts w:ascii="Times New Roman" w:hAnsi="Times New Roman" w:cs="Times New Roman"/>
          <w:sz w:val="24"/>
          <w:szCs w:val="24"/>
        </w:rPr>
        <w:t xml:space="preserve"> as required by r.</w:t>
      </w:r>
      <w:r w:rsidR="00DD2E30">
        <w:rPr>
          <w:rFonts w:ascii="Times New Roman" w:hAnsi="Times New Roman" w:cs="Times New Roman"/>
          <w:sz w:val="24"/>
          <w:szCs w:val="24"/>
        </w:rPr>
        <w:t xml:space="preserve"> 241 (1) of the Rules of this court. The applicant was supposed to use Form 29B with necessary changes hence the application is fatally defective. The respondent further submitted that not only did the applicant use the wr</w:t>
      </w:r>
      <w:r w:rsidR="00D2448D">
        <w:rPr>
          <w:rFonts w:ascii="Times New Roman" w:hAnsi="Times New Roman" w:cs="Times New Roman"/>
          <w:sz w:val="24"/>
          <w:szCs w:val="24"/>
        </w:rPr>
        <w:t>ong form but the application has</w:t>
      </w:r>
      <w:r w:rsidR="00DD2E30">
        <w:rPr>
          <w:rFonts w:ascii="Times New Roman" w:hAnsi="Times New Roman" w:cs="Times New Roman"/>
          <w:sz w:val="24"/>
          <w:szCs w:val="24"/>
        </w:rPr>
        <w:t xml:space="preserve"> absolutely nothing as to what the respondent has to do upon receiving the application and applicant has not informed the re</w:t>
      </w:r>
      <w:r w:rsidR="00D2448D">
        <w:rPr>
          <w:rFonts w:ascii="Times New Roman" w:hAnsi="Times New Roman" w:cs="Times New Roman"/>
          <w:sz w:val="24"/>
          <w:szCs w:val="24"/>
        </w:rPr>
        <w:t>spondent how and when to oppose</w:t>
      </w:r>
      <w:r w:rsidR="00DD2E30">
        <w:rPr>
          <w:rFonts w:ascii="Times New Roman" w:hAnsi="Times New Roman" w:cs="Times New Roman"/>
          <w:sz w:val="24"/>
          <w:szCs w:val="24"/>
        </w:rPr>
        <w:t xml:space="preserve"> the relief that is being sought. The </w:t>
      </w:r>
      <w:r w:rsidR="00DD2E30">
        <w:rPr>
          <w:rFonts w:ascii="Times New Roman" w:hAnsi="Times New Roman" w:cs="Times New Roman"/>
          <w:sz w:val="24"/>
          <w:szCs w:val="24"/>
        </w:rPr>
        <w:lastRenderedPageBreak/>
        <w:t>respondent adds</w:t>
      </w:r>
      <w:r w:rsidR="00C831E3">
        <w:rPr>
          <w:rFonts w:ascii="Times New Roman" w:hAnsi="Times New Roman" w:cs="Times New Roman"/>
          <w:sz w:val="24"/>
          <w:szCs w:val="24"/>
        </w:rPr>
        <w:t xml:space="preserve"> that that the failure to comply with the rules goes to the root of the application and prays that the application be struck of the roll.</w:t>
      </w:r>
    </w:p>
    <w:p w:rsidR="00C831E3" w:rsidRDefault="00C831E3" w:rsidP="00933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application reads as follows:</w:t>
      </w:r>
    </w:p>
    <w:p w:rsidR="00054637" w:rsidRDefault="00054637" w:rsidP="0005463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54637">
        <w:rPr>
          <w:rFonts w:ascii="Times New Roman" w:hAnsi="Times New Roman" w:cs="Times New Roman"/>
        </w:rPr>
        <w:t>Application is hereby made for an order in terms of the draft provisional order attached hereto on the grounds that</w:t>
      </w:r>
      <w:r>
        <w:rPr>
          <w:rFonts w:ascii="Times New Roman" w:hAnsi="Times New Roman" w:cs="Times New Roman"/>
          <w:sz w:val="24"/>
          <w:szCs w:val="24"/>
        </w:rPr>
        <w:t>….”</w:t>
      </w:r>
    </w:p>
    <w:p w:rsidR="00054637" w:rsidRDefault="00054637" w:rsidP="00054637">
      <w:pPr>
        <w:spacing w:after="0" w:line="240" w:lineRule="auto"/>
        <w:ind w:left="720"/>
        <w:jc w:val="both"/>
        <w:rPr>
          <w:rFonts w:ascii="Times New Roman" w:hAnsi="Times New Roman" w:cs="Times New Roman"/>
          <w:sz w:val="24"/>
          <w:szCs w:val="24"/>
        </w:rPr>
      </w:pPr>
    </w:p>
    <w:p w:rsidR="00054637" w:rsidRDefault="00054637" w:rsidP="0005463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 observed by </w:t>
      </w:r>
      <w:proofErr w:type="spellStart"/>
      <w:r w:rsidRPr="00054637">
        <w:rPr>
          <w:rFonts w:ascii="Times New Roman" w:hAnsi="Times New Roman" w:cs="Times New Roman"/>
          <w:smallCaps/>
          <w:sz w:val="24"/>
          <w:szCs w:val="24"/>
        </w:rPr>
        <w:t>mafusire</w:t>
      </w:r>
      <w:proofErr w:type="spellEnd"/>
      <w:r w:rsidRPr="00054637">
        <w:rPr>
          <w:rFonts w:ascii="Times New Roman" w:hAnsi="Times New Roman" w:cs="Times New Roman"/>
          <w:smallCaps/>
          <w:sz w:val="24"/>
          <w:szCs w:val="24"/>
        </w:rPr>
        <w:t xml:space="preserve"> j</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this format adopted by the applicant in </w:t>
      </w:r>
      <w:proofErr w:type="spellStart"/>
      <w:r w:rsidRPr="00054637">
        <w:rPr>
          <w:rFonts w:ascii="Times New Roman" w:hAnsi="Times New Roman" w:cs="Times New Roman"/>
          <w:i/>
          <w:sz w:val="24"/>
          <w:szCs w:val="24"/>
        </w:rPr>
        <w:t>casu</w:t>
      </w:r>
      <w:proofErr w:type="spellEnd"/>
      <w:r>
        <w:rPr>
          <w:rFonts w:ascii="Times New Roman" w:hAnsi="Times New Roman" w:cs="Times New Roman"/>
          <w:sz w:val="24"/>
          <w:szCs w:val="24"/>
        </w:rPr>
        <w:t xml:space="preserve"> seems so</w:t>
      </w:r>
    </w:p>
    <w:p w:rsidR="00054637" w:rsidRDefault="00054637" w:rsidP="00054637">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popular</w:t>
      </w:r>
      <w:proofErr w:type="gramEnd"/>
      <w:r>
        <w:rPr>
          <w:rFonts w:ascii="Times New Roman" w:hAnsi="Times New Roman" w:cs="Times New Roman"/>
          <w:sz w:val="24"/>
          <w:szCs w:val="24"/>
        </w:rPr>
        <w:t xml:space="preserve"> among legal practitioners and the court wonders where such a format originates from. The applicant cautiously admitted that it did not comply with the requirements of</w:t>
      </w:r>
      <w:r w:rsidR="009B1216">
        <w:rPr>
          <w:rFonts w:ascii="Times New Roman" w:hAnsi="Times New Roman" w:cs="Times New Roman"/>
          <w:sz w:val="24"/>
          <w:szCs w:val="24"/>
        </w:rPr>
        <w:t xml:space="preserve"> r. 241 and in its heads of argument filed of record and on the hearing date applied for </w:t>
      </w:r>
      <w:proofErr w:type="spellStart"/>
      <w:r w:rsidR="009B1216">
        <w:rPr>
          <w:rFonts w:ascii="Times New Roman" w:hAnsi="Times New Roman" w:cs="Times New Roman"/>
          <w:sz w:val="24"/>
          <w:szCs w:val="24"/>
        </w:rPr>
        <w:t>condonation</w:t>
      </w:r>
      <w:proofErr w:type="spellEnd"/>
      <w:r w:rsidR="009B1216">
        <w:rPr>
          <w:rFonts w:ascii="Times New Roman" w:hAnsi="Times New Roman" w:cs="Times New Roman"/>
          <w:sz w:val="24"/>
          <w:szCs w:val="24"/>
        </w:rPr>
        <w:t xml:space="preserve"> and urged this court to use its discretion spelt </w:t>
      </w:r>
      <w:r w:rsidR="00D2448D">
        <w:rPr>
          <w:rFonts w:ascii="Times New Roman" w:hAnsi="Times New Roman" w:cs="Times New Roman"/>
          <w:sz w:val="24"/>
          <w:szCs w:val="24"/>
        </w:rPr>
        <w:t xml:space="preserve">out </w:t>
      </w:r>
      <w:r w:rsidR="009B1216">
        <w:rPr>
          <w:rFonts w:ascii="Times New Roman" w:hAnsi="Times New Roman" w:cs="Times New Roman"/>
          <w:sz w:val="24"/>
          <w:szCs w:val="24"/>
        </w:rPr>
        <w:t xml:space="preserve">in r. 4C. The concession made by the applicant and the application for </w:t>
      </w:r>
      <w:proofErr w:type="spellStart"/>
      <w:r w:rsidR="009B1216">
        <w:rPr>
          <w:rFonts w:ascii="Times New Roman" w:hAnsi="Times New Roman" w:cs="Times New Roman"/>
          <w:sz w:val="24"/>
          <w:szCs w:val="24"/>
        </w:rPr>
        <w:t>condonation</w:t>
      </w:r>
      <w:proofErr w:type="spellEnd"/>
      <w:r w:rsidR="009B1216">
        <w:rPr>
          <w:rFonts w:ascii="Times New Roman" w:hAnsi="Times New Roman" w:cs="Times New Roman"/>
          <w:sz w:val="24"/>
          <w:szCs w:val="24"/>
        </w:rPr>
        <w:t xml:space="preserve"> is accepted by this court and in the interest of justice the non-compliance with the rules by the applicant is accordingly and duly condoned. In any case the main purpose</w:t>
      </w:r>
      <w:r w:rsidR="003C3A04">
        <w:rPr>
          <w:rFonts w:ascii="Times New Roman" w:hAnsi="Times New Roman" w:cs="Times New Roman"/>
          <w:sz w:val="24"/>
          <w:szCs w:val="24"/>
        </w:rPr>
        <w:t xml:space="preserve"> of r. 241 is spelt out what ought to be </w:t>
      </w:r>
      <w:r w:rsidR="003E6D48">
        <w:rPr>
          <w:rFonts w:ascii="Times New Roman" w:hAnsi="Times New Roman" w:cs="Times New Roman"/>
          <w:sz w:val="24"/>
          <w:szCs w:val="24"/>
        </w:rPr>
        <w:t xml:space="preserve">done by the respondent upon receipt of the application. Respondent has since recalled the application and filed opposing papers. As clearly pointed out by </w:t>
      </w:r>
      <w:proofErr w:type="spellStart"/>
      <w:r w:rsidR="003E6D48" w:rsidRPr="003E6D48">
        <w:rPr>
          <w:rFonts w:ascii="Times New Roman" w:hAnsi="Times New Roman" w:cs="Times New Roman"/>
          <w:smallCaps/>
          <w:sz w:val="24"/>
          <w:szCs w:val="24"/>
        </w:rPr>
        <w:t>hlatshwayo</w:t>
      </w:r>
      <w:proofErr w:type="spellEnd"/>
      <w:r w:rsidR="003E6D48" w:rsidRPr="003E6D48">
        <w:rPr>
          <w:rFonts w:ascii="Times New Roman" w:hAnsi="Times New Roman" w:cs="Times New Roman"/>
          <w:smallCaps/>
          <w:sz w:val="24"/>
          <w:szCs w:val="24"/>
        </w:rPr>
        <w:t xml:space="preserve"> j</w:t>
      </w:r>
      <w:r w:rsidR="003E6D48">
        <w:rPr>
          <w:rFonts w:ascii="Times New Roman" w:hAnsi="Times New Roman" w:cs="Times New Roman"/>
          <w:sz w:val="24"/>
          <w:szCs w:val="24"/>
        </w:rPr>
        <w:t xml:space="preserve"> (as he then was)</w:t>
      </w:r>
      <w:r w:rsidR="003E6D48">
        <w:rPr>
          <w:rStyle w:val="FootnoteReference"/>
          <w:rFonts w:ascii="Times New Roman" w:hAnsi="Times New Roman" w:cs="Times New Roman"/>
          <w:sz w:val="24"/>
          <w:szCs w:val="24"/>
        </w:rPr>
        <w:footnoteReference w:id="2"/>
      </w:r>
    </w:p>
    <w:p w:rsidR="003E6D48" w:rsidRPr="00933953" w:rsidRDefault="003E6D48" w:rsidP="0083339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83339A" w:rsidRPr="0083339A">
        <w:rPr>
          <w:rFonts w:ascii="Times New Roman" w:hAnsi="Times New Roman" w:cs="Times New Roman"/>
        </w:rPr>
        <w:t xml:space="preserve">the applicant used either of the forms prescribed in the rules, the use of the form instead of the another would not in itself institute sufficient ground for dismissing the application, it being necessary for the court to conclude that some, interested party had thereby </w:t>
      </w:r>
      <w:r w:rsidR="0083339A" w:rsidRPr="0083339A">
        <w:rPr>
          <w:rFonts w:ascii="Times New Roman" w:hAnsi="Times New Roman" w:cs="Times New Roman"/>
          <w:u w:val="single"/>
        </w:rPr>
        <w:t>suffered prejudice</w:t>
      </w:r>
      <w:r w:rsidR="0083339A" w:rsidRPr="0083339A">
        <w:rPr>
          <w:rFonts w:ascii="Times New Roman" w:hAnsi="Times New Roman" w:cs="Times New Roman"/>
        </w:rPr>
        <w:t xml:space="preserve"> which could not be remedied by directions for service on the injured party, with or without an orde</w:t>
      </w:r>
      <w:r w:rsidR="00D2448D">
        <w:rPr>
          <w:rFonts w:ascii="Times New Roman" w:hAnsi="Times New Roman" w:cs="Times New Roman"/>
        </w:rPr>
        <w:t xml:space="preserve">r of costs. The court could </w:t>
      </w:r>
      <w:r w:rsidR="0083339A" w:rsidRPr="0083339A">
        <w:rPr>
          <w:rFonts w:ascii="Times New Roman" w:hAnsi="Times New Roman" w:cs="Times New Roman"/>
        </w:rPr>
        <w:t>have exercised its discretion under r. 4C</w:t>
      </w:r>
      <w:r w:rsidR="0083339A">
        <w:rPr>
          <w:rFonts w:ascii="Times New Roman" w:hAnsi="Times New Roman" w:cs="Times New Roman"/>
        </w:rPr>
        <w:t>.</w:t>
      </w:r>
      <w:r>
        <w:rPr>
          <w:rFonts w:ascii="Times New Roman" w:hAnsi="Times New Roman" w:cs="Times New Roman"/>
          <w:sz w:val="24"/>
          <w:szCs w:val="24"/>
        </w:rPr>
        <w:t>”</w:t>
      </w:r>
      <w:r w:rsidR="0083339A">
        <w:rPr>
          <w:rFonts w:ascii="Times New Roman" w:hAnsi="Times New Roman" w:cs="Times New Roman"/>
          <w:sz w:val="24"/>
          <w:szCs w:val="24"/>
        </w:rPr>
        <w:t xml:space="preserve"> (</w:t>
      </w:r>
      <w:proofErr w:type="gramStart"/>
      <w:r w:rsidR="0083339A">
        <w:rPr>
          <w:rFonts w:ascii="Times New Roman" w:hAnsi="Times New Roman" w:cs="Times New Roman"/>
          <w:sz w:val="24"/>
          <w:szCs w:val="24"/>
        </w:rPr>
        <w:t>my</w:t>
      </w:r>
      <w:proofErr w:type="gramEnd"/>
      <w:r w:rsidR="0083339A">
        <w:rPr>
          <w:rFonts w:ascii="Times New Roman" w:hAnsi="Times New Roman" w:cs="Times New Roman"/>
          <w:sz w:val="24"/>
          <w:szCs w:val="24"/>
        </w:rPr>
        <w:t xml:space="preserve"> emphasis).</w:t>
      </w:r>
    </w:p>
    <w:p w:rsidR="00B72905" w:rsidRDefault="00B72905" w:rsidP="00A92DBE">
      <w:pPr>
        <w:spacing w:after="0" w:line="360" w:lineRule="auto"/>
        <w:ind w:firstLine="720"/>
        <w:jc w:val="both"/>
        <w:rPr>
          <w:rFonts w:ascii="Times New Roman" w:hAnsi="Times New Roman" w:cs="Times New Roman"/>
          <w:sz w:val="24"/>
          <w:szCs w:val="24"/>
        </w:rPr>
      </w:pPr>
    </w:p>
    <w:p w:rsidR="0083339A" w:rsidRDefault="0083339A" w:rsidP="00A92D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prejudice established on the part of the respondent and I grant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The matter is of great public interest </w:t>
      </w:r>
      <w:r w:rsidR="006B2318">
        <w:rPr>
          <w:rFonts w:ascii="Times New Roman" w:hAnsi="Times New Roman" w:cs="Times New Roman"/>
          <w:sz w:val="24"/>
          <w:szCs w:val="24"/>
        </w:rPr>
        <w:t xml:space="preserve">and cannot </w:t>
      </w:r>
      <w:r w:rsidR="00D2448D">
        <w:rPr>
          <w:rFonts w:ascii="Times New Roman" w:hAnsi="Times New Roman" w:cs="Times New Roman"/>
          <w:sz w:val="24"/>
          <w:szCs w:val="24"/>
        </w:rPr>
        <w:t xml:space="preserve">be </w:t>
      </w:r>
      <w:r w:rsidR="006B2318">
        <w:rPr>
          <w:rFonts w:ascii="Times New Roman" w:hAnsi="Times New Roman" w:cs="Times New Roman"/>
          <w:sz w:val="24"/>
          <w:szCs w:val="24"/>
        </w:rPr>
        <w:t xml:space="preserve">disposed of based on technicalities. In such a situation the determination of a case of this nature cannot be impeded or stalled unnecessarily for failure to follow rules more so an application for </w:t>
      </w:r>
      <w:proofErr w:type="spellStart"/>
      <w:r w:rsidR="006B2318">
        <w:rPr>
          <w:rFonts w:ascii="Times New Roman" w:hAnsi="Times New Roman" w:cs="Times New Roman"/>
          <w:sz w:val="24"/>
          <w:szCs w:val="24"/>
        </w:rPr>
        <w:t>condonation</w:t>
      </w:r>
      <w:proofErr w:type="spellEnd"/>
      <w:r w:rsidR="006B2318">
        <w:rPr>
          <w:rFonts w:ascii="Times New Roman" w:hAnsi="Times New Roman" w:cs="Times New Roman"/>
          <w:sz w:val="24"/>
          <w:szCs w:val="24"/>
        </w:rPr>
        <w:t xml:space="preserve"> has been properly made by an applicant.</w:t>
      </w:r>
    </w:p>
    <w:p w:rsidR="00F644D5" w:rsidRDefault="00F644D5" w:rsidP="006B2318">
      <w:pPr>
        <w:spacing w:after="0" w:line="360" w:lineRule="auto"/>
        <w:jc w:val="both"/>
        <w:rPr>
          <w:rFonts w:ascii="Times New Roman" w:hAnsi="Times New Roman" w:cs="Times New Roman"/>
          <w:sz w:val="24"/>
          <w:szCs w:val="24"/>
        </w:rPr>
      </w:pPr>
    </w:p>
    <w:p w:rsidR="006B2318" w:rsidRDefault="006B2318" w:rsidP="006B2318">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WHETHER THE APPLICATION IS URGENT</w:t>
      </w:r>
    </w:p>
    <w:p w:rsidR="006B2318" w:rsidRDefault="006B2318" w:rsidP="006B2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the second point in </w:t>
      </w:r>
      <w:proofErr w:type="spellStart"/>
      <w:r w:rsidRPr="006B2318">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w:t>
      </w:r>
      <w:r w:rsidR="00DE5FE1">
        <w:rPr>
          <w:rFonts w:ascii="Times New Roman" w:hAnsi="Times New Roman" w:cs="Times New Roman"/>
          <w:sz w:val="24"/>
          <w:szCs w:val="24"/>
        </w:rPr>
        <w:t xml:space="preserve"> by the respondent. The respondent contends that the accounts in question were debited on 21 March 2019. Applicant was advised of the reversals and the reasons thereof by letter dated 20 March 2019. To the respondent, applicant ought to have taken action immediately thereafter. The applicant waited until 2 April 2019, respondent goes on</w:t>
      </w:r>
      <w:r w:rsidR="004A7167">
        <w:rPr>
          <w:rFonts w:ascii="Times New Roman" w:hAnsi="Times New Roman" w:cs="Times New Roman"/>
          <w:sz w:val="24"/>
          <w:szCs w:val="24"/>
        </w:rPr>
        <w:t xml:space="preserve"> </w:t>
      </w:r>
      <w:r w:rsidR="00DE5FE1">
        <w:rPr>
          <w:rFonts w:ascii="Times New Roman" w:hAnsi="Times New Roman" w:cs="Times New Roman"/>
          <w:sz w:val="24"/>
          <w:szCs w:val="24"/>
        </w:rPr>
        <w:t xml:space="preserve">to make the application. The respondent is of the firm belief that applicant </w:t>
      </w:r>
      <w:r w:rsidR="00DE5FE1">
        <w:rPr>
          <w:rFonts w:ascii="Times New Roman" w:hAnsi="Times New Roman" w:cs="Times New Roman"/>
          <w:sz w:val="24"/>
          <w:szCs w:val="24"/>
        </w:rPr>
        <w:lastRenderedPageBreak/>
        <w:t>failed to take urgent steps. According to the respondent, the subject accounts have since been debited and urgency is not created on account that the litigant no longer has any</w:t>
      </w:r>
      <w:r w:rsidR="00AC0391">
        <w:rPr>
          <w:rFonts w:ascii="Times New Roman" w:hAnsi="Times New Roman" w:cs="Times New Roman"/>
          <w:sz w:val="24"/>
          <w:szCs w:val="24"/>
        </w:rPr>
        <w:t xml:space="preserve"> money to discharge its obligation. Respond</w:t>
      </w:r>
      <w:r w:rsidR="00D2448D">
        <w:rPr>
          <w:rFonts w:ascii="Times New Roman" w:hAnsi="Times New Roman" w:cs="Times New Roman"/>
          <w:sz w:val="24"/>
          <w:szCs w:val="24"/>
        </w:rPr>
        <w:t>ent disputes that applicant is i</w:t>
      </w:r>
      <w:r w:rsidR="00AC0391">
        <w:rPr>
          <w:rFonts w:ascii="Times New Roman" w:hAnsi="Times New Roman" w:cs="Times New Roman"/>
          <w:sz w:val="24"/>
          <w:szCs w:val="24"/>
        </w:rPr>
        <w:t xml:space="preserve">n serious </w:t>
      </w:r>
      <w:r w:rsidR="00D60A33">
        <w:rPr>
          <w:rFonts w:ascii="Times New Roman" w:hAnsi="Times New Roman" w:cs="Times New Roman"/>
          <w:sz w:val="24"/>
          <w:szCs w:val="24"/>
        </w:rPr>
        <w:t>jeopardy arising out of the economic paralysis brought upon by the action of the respondent. The respondent further adds that the applicant failed to demonstrate that the matter is urgent and as that it should be dismissed.</w:t>
      </w:r>
    </w:p>
    <w:p w:rsidR="00D60A33" w:rsidRDefault="00D60A33" w:rsidP="006B2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on the other hand submitted that the application beyond doubt is urgent. The absence of an instruction by the applicant makes the respondent’s actions unlawful</w:t>
      </w:r>
      <w:r w:rsidR="00EA7804">
        <w:rPr>
          <w:rFonts w:ascii="Times New Roman" w:hAnsi="Times New Roman" w:cs="Times New Roman"/>
          <w:sz w:val="24"/>
          <w:szCs w:val="24"/>
        </w:rPr>
        <w:t>.</w:t>
      </w:r>
      <w:r>
        <w:rPr>
          <w:rFonts w:ascii="Times New Roman" w:hAnsi="Times New Roman" w:cs="Times New Roman"/>
          <w:sz w:val="24"/>
          <w:szCs w:val="24"/>
        </w:rPr>
        <w:t xml:space="preserve"> The applicant is unable to settle its debts to its creditors. The delay that respondent points to has been well explained by the applicant, applicant argues.</w:t>
      </w:r>
      <w:r w:rsidR="00EA7804">
        <w:rPr>
          <w:rFonts w:ascii="Times New Roman" w:hAnsi="Times New Roman" w:cs="Times New Roman"/>
          <w:sz w:val="24"/>
          <w:szCs w:val="24"/>
        </w:rPr>
        <w:t xml:space="preserve"> Between the period 20 March 2019 to 2 April 2019 the applicant did no sit on its laurels, applicant immediately wrote to the respondent in order to find alternative ways of resolution of disputes and on 29 March 2019, the respondent flatly justified its action and respondent was not keen to engage with the applicant and once the applicant got the informa</w:t>
      </w:r>
      <w:r w:rsidR="00D2448D">
        <w:rPr>
          <w:rFonts w:ascii="Times New Roman" w:hAnsi="Times New Roman" w:cs="Times New Roman"/>
          <w:sz w:val="24"/>
          <w:szCs w:val="24"/>
        </w:rPr>
        <w:t>tion of 29 March 2019 letter fro</w:t>
      </w:r>
      <w:r w:rsidR="00EA7804">
        <w:rPr>
          <w:rFonts w:ascii="Times New Roman" w:hAnsi="Times New Roman" w:cs="Times New Roman"/>
          <w:sz w:val="24"/>
          <w:szCs w:val="24"/>
        </w:rPr>
        <w:t xml:space="preserve">m the respondent it embarked on the application. If there was a delay, the applicant winds up on the issue of delay it was at most ten (10) days. Such a delay cannot bar a litigant to come to court for relief. The respondent strongly argued that the applicant’s urgency is </w:t>
      </w:r>
      <w:r w:rsidR="0045641F">
        <w:rPr>
          <w:rFonts w:ascii="Times New Roman" w:hAnsi="Times New Roman" w:cs="Times New Roman"/>
          <w:sz w:val="24"/>
          <w:szCs w:val="24"/>
        </w:rPr>
        <w:t>self-created</w:t>
      </w:r>
      <w:r w:rsidR="00EA7804">
        <w:rPr>
          <w:rFonts w:ascii="Times New Roman" w:hAnsi="Times New Roman" w:cs="Times New Roman"/>
          <w:sz w:val="24"/>
          <w:szCs w:val="24"/>
        </w:rPr>
        <w:t>.</w:t>
      </w:r>
    </w:p>
    <w:p w:rsidR="0045641F" w:rsidRDefault="0045641F" w:rsidP="006B2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controverted by the respondent that it did not notify the applicant about the debits, it only did so well after the action. The a</w:t>
      </w:r>
      <w:r w:rsidR="00D2448D">
        <w:rPr>
          <w:rFonts w:ascii="Times New Roman" w:hAnsi="Times New Roman" w:cs="Times New Roman"/>
          <w:sz w:val="24"/>
          <w:szCs w:val="24"/>
        </w:rPr>
        <w:t>pplicant took the respondent to</w:t>
      </w:r>
      <w:r>
        <w:rPr>
          <w:rFonts w:ascii="Times New Roman" w:hAnsi="Times New Roman" w:cs="Times New Roman"/>
          <w:sz w:val="24"/>
          <w:szCs w:val="24"/>
        </w:rPr>
        <w:t xml:space="preserve"> task and proffered a meeting to possibly iron out the creases but the respondent refused. In my view, a delay of 10 days from 20 March 2019 cannot be said to be inordinate so as to constitute self-created urgency. As aptly put by </w:t>
      </w:r>
      <w:proofErr w:type="spellStart"/>
      <w:r w:rsidRPr="00A6217B">
        <w:rPr>
          <w:rFonts w:ascii="Times New Roman" w:hAnsi="Times New Roman" w:cs="Times New Roman"/>
          <w:smallCaps/>
          <w:sz w:val="24"/>
          <w:szCs w:val="24"/>
        </w:rPr>
        <w:t>mathonsi</w:t>
      </w:r>
      <w:proofErr w:type="spellEnd"/>
      <w:r w:rsidRPr="00A6217B">
        <w:rPr>
          <w:rFonts w:ascii="Times New Roman" w:hAnsi="Times New Roman" w:cs="Times New Roman"/>
          <w:smallCaps/>
          <w:sz w:val="24"/>
          <w:szCs w:val="24"/>
        </w:rPr>
        <w:t xml:space="preserve"> j</w:t>
      </w:r>
      <w:r w:rsidR="00A6217B">
        <w:rPr>
          <w:rStyle w:val="FootnoteReference"/>
          <w:rFonts w:ascii="Times New Roman" w:hAnsi="Times New Roman" w:cs="Times New Roman"/>
          <w:sz w:val="24"/>
          <w:szCs w:val="24"/>
        </w:rPr>
        <w:footnoteReference w:id="3"/>
      </w:r>
    </w:p>
    <w:p w:rsidR="00A6217B" w:rsidRPr="006B2318" w:rsidRDefault="00A6217B" w:rsidP="00560D0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60D07" w:rsidRPr="00560D07">
        <w:rPr>
          <w:rFonts w:ascii="Times New Roman" w:hAnsi="Times New Roman" w:cs="Times New Roman"/>
        </w:rPr>
        <w:t xml:space="preserve">Quite often in recent history we are subjected to endless points in </w:t>
      </w:r>
      <w:proofErr w:type="spellStart"/>
      <w:r w:rsidR="00560D07" w:rsidRPr="00560D07">
        <w:rPr>
          <w:rFonts w:ascii="Times New Roman" w:hAnsi="Times New Roman" w:cs="Times New Roman"/>
        </w:rPr>
        <w:t>limine</w:t>
      </w:r>
      <w:proofErr w:type="spellEnd"/>
      <w:r w:rsidR="00560D07" w:rsidRPr="00560D07">
        <w:rPr>
          <w:rFonts w:ascii="Times New Roman" w:hAnsi="Times New Roman" w:cs="Times New Roman"/>
        </w:rPr>
        <w:t xml:space="preserve"> centred on urgency which should not be made at all. Courts appreciate that litigants do not eat, move and have their being in filing court process. There are other issues they attend to and where they have managed to bring their matters within a reasonable time they should be accorded evidence. It is no good to expect a litigant to drop everything and rush to court even when the subject matter is clearly not a h</w:t>
      </w:r>
      <w:r w:rsidR="00D2448D">
        <w:rPr>
          <w:rFonts w:ascii="Times New Roman" w:hAnsi="Times New Roman" w:cs="Times New Roman"/>
        </w:rPr>
        <w:t>olocaust</w:t>
      </w:r>
      <w:r w:rsidR="00560D07">
        <w:rPr>
          <w:rFonts w:ascii="Times New Roman" w:hAnsi="Times New Roman" w:cs="Times New Roman"/>
          <w:sz w:val="24"/>
          <w:szCs w:val="24"/>
        </w:rPr>
        <w:t>.</w:t>
      </w:r>
      <w:r>
        <w:rPr>
          <w:rFonts w:ascii="Times New Roman" w:hAnsi="Times New Roman" w:cs="Times New Roman"/>
          <w:sz w:val="24"/>
          <w:szCs w:val="24"/>
        </w:rPr>
        <w:t>”</w:t>
      </w:r>
    </w:p>
    <w:p w:rsidR="006B2318" w:rsidRDefault="006B2318" w:rsidP="006B2318">
      <w:pPr>
        <w:spacing w:after="0" w:line="360" w:lineRule="auto"/>
        <w:jc w:val="both"/>
        <w:rPr>
          <w:rFonts w:ascii="Times New Roman" w:hAnsi="Times New Roman" w:cs="Times New Roman"/>
          <w:sz w:val="24"/>
          <w:szCs w:val="24"/>
        </w:rPr>
      </w:pPr>
    </w:p>
    <w:p w:rsidR="00560D07" w:rsidRDefault="00560D07" w:rsidP="006B2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more fortified on this decision further in agreeing with the applicant that it has established</w:t>
      </w:r>
      <w:r w:rsidR="00955742">
        <w:rPr>
          <w:rFonts w:ascii="Times New Roman" w:hAnsi="Times New Roman" w:cs="Times New Roman"/>
          <w:sz w:val="24"/>
          <w:szCs w:val="24"/>
        </w:rPr>
        <w:t xml:space="preserve"> on a balance of probabilities, grounds for commercial urgency.</w:t>
      </w:r>
      <w:r w:rsidR="00955742">
        <w:rPr>
          <w:rStyle w:val="FootnoteReference"/>
          <w:rFonts w:ascii="Times New Roman" w:hAnsi="Times New Roman" w:cs="Times New Roman"/>
          <w:sz w:val="24"/>
          <w:szCs w:val="24"/>
        </w:rPr>
        <w:footnoteReference w:id="4"/>
      </w:r>
      <w:r w:rsidR="00955742">
        <w:rPr>
          <w:rFonts w:ascii="Times New Roman" w:hAnsi="Times New Roman" w:cs="Times New Roman"/>
          <w:sz w:val="24"/>
          <w:szCs w:val="24"/>
        </w:rPr>
        <w:t xml:space="preserve"> In the matter of Silver Trucks, it was held that the court has power to hear an application as matter of urgency not only where there is a serious threat to life or liberty but also where the urgency arises out </w:t>
      </w:r>
      <w:r w:rsidR="00955742">
        <w:rPr>
          <w:rFonts w:ascii="Times New Roman" w:hAnsi="Times New Roman" w:cs="Times New Roman"/>
          <w:sz w:val="24"/>
          <w:szCs w:val="24"/>
        </w:rPr>
        <w:lastRenderedPageBreak/>
        <w:t>of the need to protect commercial interests</w:t>
      </w:r>
      <w:r w:rsidR="00955742">
        <w:rPr>
          <w:rStyle w:val="FootnoteReference"/>
          <w:rFonts w:ascii="Times New Roman" w:hAnsi="Times New Roman" w:cs="Times New Roman"/>
          <w:sz w:val="24"/>
          <w:szCs w:val="24"/>
        </w:rPr>
        <w:footnoteReference w:id="5"/>
      </w:r>
      <w:r w:rsidR="00955742">
        <w:rPr>
          <w:rFonts w:ascii="Times New Roman" w:hAnsi="Times New Roman" w:cs="Times New Roman"/>
          <w:sz w:val="24"/>
          <w:szCs w:val="24"/>
        </w:rPr>
        <w:t>. I am satisfied that this application was brought within a reasonable time and was brought to protect applicant’s commercial interests and that it is one which deserves to be heard on an urgent basis.</w:t>
      </w:r>
    </w:p>
    <w:p w:rsidR="00D32726" w:rsidRDefault="00D32726" w:rsidP="006B2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accordingly dismiss both points </w:t>
      </w:r>
      <w:r w:rsidRPr="00D32726">
        <w:rPr>
          <w:rFonts w:ascii="Times New Roman" w:hAnsi="Times New Roman" w:cs="Times New Roman"/>
          <w:i/>
          <w:sz w:val="24"/>
          <w:szCs w:val="24"/>
        </w:rPr>
        <w:t xml:space="preserve">in </w:t>
      </w:r>
      <w:proofErr w:type="spellStart"/>
      <w:r w:rsidRPr="00D32726">
        <w:rPr>
          <w:rFonts w:ascii="Times New Roman" w:hAnsi="Times New Roman" w:cs="Times New Roman"/>
          <w:i/>
          <w:sz w:val="24"/>
          <w:szCs w:val="24"/>
        </w:rPr>
        <w:t>limine</w:t>
      </w:r>
      <w:proofErr w:type="spellEnd"/>
      <w:r>
        <w:rPr>
          <w:rFonts w:ascii="Times New Roman" w:hAnsi="Times New Roman" w:cs="Times New Roman"/>
          <w:sz w:val="24"/>
          <w:szCs w:val="24"/>
        </w:rPr>
        <w:t>.</w:t>
      </w:r>
    </w:p>
    <w:p w:rsidR="00653BDC" w:rsidRDefault="00653BDC" w:rsidP="006B2318">
      <w:pPr>
        <w:spacing w:after="0" w:line="360" w:lineRule="auto"/>
        <w:jc w:val="both"/>
        <w:rPr>
          <w:rFonts w:ascii="Times New Roman" w:hAnsi="Times New Roman" w:cs="Times New Roman"/>
          <w:sz w:val="24"/>
          <w:szCs w:val="24"/>
        </w:rPr>
      </w:pPr>
    </w:p>
    <w:p w:rsidR="00653BDC" w:rsidRPr="00653BDC" w:rsidRDefault="00653BDC" w:rsidP="006B2318">
      <w:pPr>
        <w:spacing w:after="0" w:line="360" w:lineRule="auto"/>
        <w:jc w:val="both"/>
        <w:rPr>
          <w:rFonts w:ascii="Times New Roman" w:hAnsi="Times New Roman" w:cs="Times New Roman"/>
          <w:sz w:val="24"/>
          <w:szCs w:val="24"/>
          <w:u w:val="single"/>
        </w:rPr>
      </w:pPr>
      <w:r w:rsidRPr="00653BDC">
        <w:rPr>
          <w:rFonts w:ascii="Times New Roman" w:hAnsi="Times New Roman" w:cs="Times New Roman"/>
          <w:sz w:val="24"/>
          <w:szCs w:val="24"/>
          <w:u w:val="single"/>
        </w:rPr>
        <w:t>ON MERITS</w:t>
      </w:r>
    </w:p>
    <w:p w:rsidR="00653BDC" w:rsidRDefault="00653BDC" w:rsidP="006B2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opened an account with the respondent following an application that was made by the applicant on 7 December 2015 which copy of the application was attached by the respondent to its opposing papers. The respondent moved this court to interpret the terms </w:t>
      </w:r>
      <w:r w:rsidR="00701AE1">
        <w:rPr>
          <w:rFonts w:ascii="Times New Roman" w:hAnsi="Times New Roman" w:cs="Times New Roman"/>
          <w:sz w:val="24"/>
          <w:szCs w:val="24"/>
        </w:rPr>
        <w:t>and conditions spelt out in that application to equally apply to the bond promotion which was introduced by the respondent towards the last quarter of 2018. Respondent seeks to rely on clause 6 of the application which allegedly permits the bank to act in the manner in which</w:t>
      </w:r>
      <w:r w:rsidR="00B108A3">
        <w:rPr>
          <w:rFonts w:ascii="Times New Roman" w:hAnsi="Times New Roman" w:cs="Times New Roman"/>
          <w:sz w:val="24"/>
          <w:szCs w:val="24"/>
        </w:rPr>
        <w:t xml:space="preserve"> it did, </w:t>
      </w:r>
      <w:r w:rsidR="00165639">
        <w:rPr>
          <w:rFonts w:ascii="Times New Roman" w:hAnsi="Times New Roman" w:cs="Times New Roman"/>
          <w:sz w:val="24"/>
          <w:szCs w:val="24"/>
        </w:rPr>
        <w:t>on its</w:t>
      </w:r>
      <w:r w:rsidR="00272E26">
        <w:rPr>
          <w:rFonts w:ascii="Times New Roman" w:hAnsi="Times New Roman" w:cs="Times New Roman"/>
          <w:sz w:val="24"/>
          <w:szCs w:val="24"/>
        </w:rPr>
        <w:t xml:space="preserve"> own, without informing applicant retrospectively charging the exchange rate from 1:1 and apply the new form of exchange rate introduced by the law in 2019.</w:t>
      </w:r>
    </w:p>
    <w:p w:rsidR="00272E26" w:rsidRDefault="00272E26" w:rsidP="006B2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w:t>
      </w:r>
      <w:r w:rsidR="00442017">
        <w:rPr>
          <w:rFonts w:ascii="Times New Roman" w:hAnsi="Times New Roman" w:cs="Times New Roman"/>
          <w:sz w:val="24"/>
          <w:szCs w:val="24"/>
        </w:rPr>
        <w:t xml:space="preserve"> has examined the terms outlined in clause 6 of the application form signed by both parties in 2016 and concluded that: the application was meant for the sole purposes of opening a bank account for the use of the applicant for it to deposit its collection</w:t>
      </w:r>
      <w:r w:rsidR="00B108A3">
        <w:rPr>
          <w:rFonts w:ascii="Times New Roman" w:hAnsi="Times New Roman" w:cs="Times New Roman"/>
          <w:sz w:val="24"/>
          <w:szCs w:val="24"/>
        </w:rPr>
        <w:t>s with respondent and thus fa</w:t>
      </w:r>
      <w:r w:rsidR="00442017">
        <w:rPr>
          <w:rFonts w:ascii="Times New Roman" w:hAnsi="Times New Roman" w:cs="Times New Roman"/>
          <w:sz w:val="24"/>
          <w:szCs w:val="24"/>
        </w:rPr>
        <w:t>r</w:t>
      </w:r>
      <w:r w:rsidR="00B108A3">
        <w:rPr>
          <w:rFonts w:ascii="Times New Roman" w:hAnsi="Times New Roman" w:cs="Times New Roman"/>
          <w:sz w:val="24"/>
          <w:szCs w:val="24"/>
        </w:rPr>
        <w:t>;</w:t>
      </w:r>
      <w:r w:rsidR="00442017">
        <w:rPr>
          <w:rFonts w:ascii="Times New Roman" w:hAnsi="Times New Roman" w:cs="Times New Roman"/>
          <w:sz w:val="24"/>
          <w:szCs w:val="24"/>
        </w:rPr>
        <w:t xml:space="preserve"> it could go</w:t>
      </w:r>
      <w:r w:rsidR="00B108A3">
        <w:rPr>
          <w:rFonts w:ascii="Times New Roman" w:hAnsi="Times New Roman" w:cs="Times New Roman"/>
          <w:sz w:val="24"/>
          <w:szCs w:val="24"/>
        </w:rPr>
        <w:t>;</w:t>
      </w:r>
      <w:r w:rsidR="00442017">
        <w:rPr>
          <w:rFonts w:ascii="Times New Roman" w:hAnsi="Times New Roman" w:cs="Times New Roman"/>
          <w:sz w:val="24"/>
          <w:szCs w:val="24"/>
        </w:rPr>
        <w:t xml:space="preserve"> the application form does not confirm a provision of the applicability of the terms and conditions to future contracts and the application form does not allude or encapsulate</w:t>
      </w:r>
      <w:r w:rsidR="00E02271">
        <w:rPr>
          <w:rFonts w:ascii="Times New Roman" w:hAnsi="Times New Roman" w:cs="Times New Roman"/>
          <w:sz w:val="24"/>
          <w:szCs w:val="24"/>
        </w:rPr>
        <w:t xml:space="preserve"> the subsequent promotion of bond notes and forex introduced by the respondent. I am satisfied that it will not make business sense and equity to allow the terms and conditions outlined in the application form to apply to the new contract created out of the need by the respondent to avail foreign currency to its customers.  I hold therefore that the 2015 agreement between the parties does not apply to the dispute before me.</w:t>
      </w:r>
      <w:r w:rsidR="00442017">
        <w:rPr>
          <w:rFonts w:ascii="Times New Roman" w:hAnsi="Times New Roman" w:cs="Times New Roman"/>
          <w:sz w:val="24"/>
          <w:szCs w:val="24"/>
        </w:rPr>
        <w:t xml:space="preserve"> </w:t>
      </w:r>
    </w:p>
    <w:p w:rsidR="00E02271" w:rsidRDefault="00E02271" w:rsidP="006B2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also </w:t>
      </w:r>
      <w:r w:rsidR="00726C4D">
        <w:rPr>
          <w:rFonts w:ascii="Times New Roman" w:hAnsi="Times New Roman" w:cs="Times New Roman"/>
          <w:sz w:val="24"/>
          <w:szCs w:val="24"/>
        </w:rPr>
        <w:t>sought clarity from the parties as to</w:t>
      </w:r>
      <w:r w:rsidR="001F72AC">
        <w:rPr>
          <w:rFonts w:ascii="Times New Roman" w:hAnsi="Times New Roman" w:cs="Times New Roman"/>
          <w:sz w:val="24"/>
          <w:szCs w:val="24"/>
        </w:rPr>
        <w:t xml:space="preserve"> how the promotion introduced by the respondent in 2018 was marketed or offered by the respondent to the public. The promotion was not electronically advertised, it di</w:t>
      </w:r>
      <w:r w:rsidR="00B108A3">
        <w:rPr>
          <w:rFonts w:ascii="Times New Roman" w:hAnsi="Times New Roman" w:cs="Times New Roman"/>
          <w:sz w:val="24"/>
          <w:szCs w:val="24"/>
        </w:rPr>
        <w:t>d not have any written contract and</w:t>
      </w:r>
      <w:r w:rsidR="001F72AC">
        <w:rPr>
          <w:rFonts w:ascii="Times New Roman" w:hAnsi="Times New Roman" w:cs="Times New Roman"/>
          <w:sz w:val="24"/>
          <w:szCs w:val="24"/>
        </w:rPr>
        <w:t xml:space="preserve"> there were no written terms and conditions spelt out by the respondent the only explanation relating to that promotion appears in the respondent’s opposing affidavit</w:t>
      </w:r>
      <w:r w:rsidR="00411DB4">
        <w:rPr>
          <w:rFonts w:ascii="Times New Roman" w:hAnsi="Times New Roman" w:cs="Times New Roman"/>
          <w:sz w:val="24"/>
          <w:szCs w:val="24"/>
        </w:rPr>
        <w:t xml:space="preserve"> where respondent contends that the applications for forex that were made by the applicant’s representative were made on the misrepresentation that the applicant had deposited sufficient bond notes.</w:t>
      </w:r>
    </w:p>
    <w:p w:rsidR="00411DB4" w:rsidRDefault="00411DB4" w:rsidP="006B2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When the respondent discovered this, the reversals were made and at the time the reversals were</w:t>
      </w:r>
      <w:r w:rsidR="00B108A3">
        <w:rPr>
          <w:rFonts w:ascii="Times New Roman" w:hAnsi="Times New Roman" w:cs="Times New Roman"/>
          <w:sz w:val="24"/>
          <w:szCs w:val="24"/>
        </w:rPr>
        <w:t xml:space="preserve"> effected</w:t>
      </w:r>
      <w:r>
        <w:rPr>
          <w:rFonts w:ascii="Times New Roman" w:hAnsi="Times New Roman" w:cs="Times New Roman"/>
          <w:sz w:val="24"/>
          <w:szCs w:val="24"/>
        </w:rPr>
        <w:t xml:space="preserve"> the exchange rate of the RTGS to the United States dollars was applied. The respondent further explained that when it was discovered that external payments had been made for and on behalf of the applicant “improper</w:t>
      </w:r>
      <w:r w:rsidR="00B108A3">
        <w:rPr>
          <w:rFonts w:ascii="Times New Roman" w:hAnsi="Times New Roman" w:cs="Times New Roman"/>
          <w:sz w:val="24"/>
          <w:szCs w:val="24"/>
        </w:rPr>
        <w:t xml:space="preserve">ly” the applicant’s </w:t>
      </w:r>
      <w:proofErr w:type="spellStart"/>
      <w:r w:rsidR="00B108A3">
        <w:rPr>
          <w:rFonts w:ascii="Times New Roman" w:hAnsi="Times New Roman" w:cs="Times New Roman"/>
          <w:sz w:val="24"/>
          <w:szCs w:val="24"/>
        </w:rPr>
        <w:t>nostro</w:t>
      </w:r>
      <w:proofErr w:type="spellEnd"/>
      <w:r w:rsidR="00B108A3">
        <w:rPr>
          <w:rFonts w:ascii="Times New Roman" w:hAnsi="Times New Roman" w:cs="Times New Roman"/>
          <w:sz w:val="24"/>
          <w:szCs w:val="24"/>
        </w:rPr>
        <w:t xml:space="preserve"> </w:t>
      </w:r>
      <w:r>
        <w:rPr>
          <w:rFonts w:ascii="Times New Roman" w:hAnsi="Times New Roman" w:cs="Times New Roman"/>
          <w:sz w:val="24"/>
          <w:szCs w:val="24"/>
        </w:rPr>
        <w:t>account was debited. The respondent reversed the payments and the respondent in doing so applied the interbank rate. The court failed</w:t>
      </w:r>
      <w:r w:rsidR="008675B4">
        <w:rPr>
          <w:rFonts w:ascii="Times New Roman" w:hAnsi="Times New Roman" w:cs="Times New Roman"/>
          <w:sz w:val="24"/>
          <w:szCs w:val="24"/>
        </w:rPr>
        <w:t xml:space="preserve"> to comprehend the comparative benchmark used by the respondent in reversing the transactions more so where no terms and conditions relating to the promotion had neither been written nor explained to the applicant. On which terms did the applicant fraudulently misrepresent?</w:t>
      </w:r>
    </w:p>
    <w:p w:rsidR="00D665CB" w:rsidRDefault="00D665CB" w:rsidP="006B2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admitted during proceedings that no contract was signed between the parties relating to the bond-forex promotion. The court fails to understand the respondent’s averments when it contends that the applicant failed to abide by the terms of the agreement or promotion. In the absence of a written operational contract between the parties relating to the bond-forex promotion. The court has to decide based on the available evidence whether indeed a contract between the parties pertaining to the transactions was reached. What was produced by both parties which is common cause is over-the-counter account statement showing that the</w:t>
      </w:r>
      <w:r w:rsidR="00BC2890">
        <w:rPr>
          <w:rFonts w:ascii="Times New Roman" w:hAnsi="Times New Roman" w:cs="Times New Roman"/>
          <w:sz w:val="24"/>
          <w:szCs w:val="24"/>
        </w:rPr>
        <w:t xml:space="preserve"> applicant held an account with the respondent and that on various occasions the applicant deposited into the account large sums of bond notes and against those bank balances the applicant applied to the respondent for forex </w:t>
      </w:r>
      <w:r w:rsidR="00A310CF">
        <w:rPr>
          <w:rFonts w:ascii="Times New Roman" w:hAnsi="Times New Roman" w:cs="Times New Roman"/>
          <w:sz w:val="24"/>
          <w:szCs w:val="24"/>
        </w:rPr>
        <w:t xml:space="preserve">for payment of such towards applicant’s suppliers and various payments in SA </w:t>
      </w:r>
      <w:proofErr w:type="spellStart"/>
      <w:r w:rsidR="00A310CF">
        <w:rPr>
          <w:rFonts w:ascii="Times New Roman" w:hAnsi="Times New Roman" w:cs="Times New Roman"/>
          <w:sz w:val="24"/>
          <w:szCs w:val="24"/>
        </w:rPr>
        <w:t>Rands</w:t>
      </w:r>
      <w:proofErr w:type="spellEnd"/>
      <w:r w:rsidR="00A310CF">
        <w:rPr>
          <w:rFonts w:ascii="Times New Roman" w:hAnsi="Times New Roman" w:cs="Times New Roman"/>
          <w:sz w:val="24"/>
          <w:szCs w:val="24"/>
        </w:rPr>
        <w:t xml:space="preserve">, Euro and greenback were made and immediately against the then exchange rate of 1:1 was used and United States equivalent amounts were debited to applicant’s accounts. </w:t>
      </w:r>
    </w:p>
    <w:p w:rsidR="00C92983" w:rsidRDefault="00A310CF" w:rsidP="006B2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w:t>
      </w:r>
      <w:r w:rsidR="002F7C31">
        <w:rPr>
          <w:rFonts w:ascii="Times New Roman" w:hAnsi="Times New Roman" w:cs="Times New Roman"/>
          <w:sz w:val="24"/>
          <w:szCs w:val="24"/>
        </w:rPr>
        <w:t>is in disput</w:t>
      </w:r>
      <w:r w:rsidR="00B108A3">
        <w:rPr>
          <w:rFonts w:ascii="Times New Roman" w:hAnsi="Times New Roman" w:cs="Times New Roman"/>
          <w:sz w:val="24"/>
          <w:szCs w:val="24"/>
        </w:rPr>
        <w:t>e is whether the applicant</w:t>
      </w:r>
      <w:r w:rsidR="00EA3389">
        <w:rPr>
          <w:rFonts w:ascii="Times New Roman" w:hAnsi="Times New Roman" w:cs="Times New Roman"/>
          <w:sz w:val="24"/>
          <w:szCs w:val="24"/>
        </w:rPr>
        <w:t xml:space="preserve"> made</w:t>
      </w:r>
      <w:r w:rsidR="00B108A3">
        <w:rPr>
          <w:rFonts w:ascii="Times New Roman" w:hAnsi="Times New Roman" w:cs="Times New Roman"/>
          <w:sz w:val="24"/>
          <w:szCs w:val="24"/>
        </w:rPr>
        <w:t xml:space="preserve"> misrepresentations</w:t>
      </w:r>
      <w:r w:rsidR="002F7C31">
        <w:rPr>
          <w:rFonts w:ascii="Times New Roman" w:hAnsi="Times New Roman" w:cs="Times New Roman"/>
          <w:sz w:val="24"/>
          <w:szCs w:val="24"/>
        </w:rPr>
        <w:t xml:space="preserve"> to benefit from this facility or got the benefits out of an agreement entered between itself and the respondent. It is clear that the </w:t>
      </w:r>
      <w:r w:rsidR="00C92983">
        <w:rPr>
          <w:rFonts w:ascii="Times New Roman" w:hAnsi="Times New Roman" w:cs="Times New Roman"/>
          <w:sz w:val="24"/>
          <w:szCs w:val="24"/>
        </w:rPr>
        <w:t>respondent</w:t>
      </w:r>
      <w:r w:rsidR="002F7C31">
        <w:rPr>
          <w:rFonts w:ascii="Times New Roman" w:hAnsi="Times New Roman" w:cs="Times New Roman"/>
          <w:sz w:val="24"/>
          <w:szCs w:val="24"/>
        </w:rPr>
        <w:t xml:space="preserve"> made an offer to the applicant relating to the promotion and applicant accepted it and actually went on to utilise the promotion. The respondent recouped its forex deductions against the bond deposits held by the respondent on behalf of the applicant from Annexure “C” </w:t>
      </w:r>
      <w:r w:rsidR="00C92983">
        <w:rPr>
          <w:rFonts w:ascii="Times New Roman" w:hAnsi="Times New Roman" w:cs="Times New Roman"/>
          <w:sz w:val="24"/>
          <w:szCs w:val="24"/>
        </w:rPr>
        <w:t>it is</w:t>
      </w:r>
      <w:r w:rsidR="002F7C31">
        <w:rPr>
          <w:rFonts w:ascii="Times New Roman" w:hAnsi="Times New Roman" w:cs="Times New Roman"/>
          <w:sz w:val="24"/>
          <w:szCs w:val="24"/>
        </w:rPr>
        <w:t xml:space="preserve"> </w:t>
      </w:r>
      <w:r w:rsidR="00505F98">
        <w:rPr>
          <w:rFonts w:ascii="Times New Roman" w:hAnsi="Times New Roman" w:cs="Times New Roman"/>
          <w:sz w:val="24"/>
          <w:szCs w:val="24"/>
        </w:rPr>
        <w:t xml:space="preserve">explicit that the transactions were smoothly operating and as at the date applicant’s accounts were debited by the respondent, the applicant did not owe the respondent any money. </w:t>
      </w:r>
      <w:r w:rsidR="00C92983">
        <w:rPr>
          <w:rFonts w:ascii="Times New Roman" w:hAnsi="Times New Roman" w:cs="Times New Roman"/>
          <w:sz w:val="24"/>
          <w:szCs w:val="24"/>
        </w:rPr>
        <w:t>As can be deduced from the attitude of the respondent, the respondent’s position is that there was no contract between them as far as forex was concerned, on the other hand the applicant contends that there was a contract and it fulfilled its own obligat</w:t>
      </w:r>
      <w:r w:rsidR="00B108A3">
        <w:rPr>
          <w:rFonts w:ascii="Times New Roman" w:hAnsi="Times New Roman" w:cs="Times New Roman"/>
          <w:sz w:val="24"/>
          <w:szCs w:val="24"/>
        </w:rPr>
        <w:t>ions and that the respondent act</w:t>
      </w:r>
      <w:r w:rsidR="00C92983">
        <w:rPr>
          <w:rFonts w:ascii="Times New Roman" w:hAnsi="Times New Roman" w:cs="Times New Roman"/>
          <w:sz w:val="24"/>
          <w:szCs w:val="24"/>
        </w:rPr>
        <w:t>ed unlawfully in debiting its accounts</w:t>
      </w:r>
      <w:r w:rsidR="00B108A3">
        <w:rPr>
          <w:rFonts w:ascii="Times New Roman" w:hAnsi="Times New Roman" w:cs="Times New Roman"/>
          <w:sz w:val="24"/>
          <w:szCs w:val="24"/>
        </w:rPr>
        <w:t xml:space="preserve"> well after the transactions</w:t>
      </w:r>
      <w:r w:rsidR="00C92983">
        <w:rPr>
          <w:rFonts w:ascii="Times New Roman" w:hAnsi="Times New Roman" w:cs="Times New Roman"/>
          <w:sz w:val="24"/>
          <w:szCs w:val="24"/>
        </w:rPr>
        <w:t>.</w:t>
      </w:r>
    </w:p>
    <w:p w:rsidR="00C92983" w:rsidRDefault="00C92983" w:rsidP="006B2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Given the weird circumstances of this matter, I have come to a conclusion that the doctrine of quasi-mutual assent is applicable and come to the conclusion that there was an agreement, the existence of the contract has been proved by the applicant.</w:t>
      </w:r>
    </w:p>
    <w:p w:rsidR="00C92983" w:rsidRDefault="00C92983" w:rsidP="003D506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67F3B" w:rsidRPr="003D506F">
        <w:rPr>
          <w:rFonts w:ascii="Times New Roman" w:hAnsi="Times New Roman" w:cs="Times New Roman"/>
        </w:rPr>
        <w:t xml:space="preserve">If, whatever a man’s real intention may be, he so conducts himself that a reasonable man would behave that he was assenting to the terms proposed by the other party and that other party upon that belief enters into the contract with him, the man thus conducting himself would be </w:t>
      </w:r>
      <w:r w:rsidR="003D506F" w:rsidRPr="003D506F">
        <w:rPr>
          <w:rFonts w:ascii="Times New Roman" w:hAnsi="Times New Roman" w:cs="Times New Roman"/>
        </w:rPr>
        <w:t>e</w:t>
      </w:r>
      <w:r w:rsidR="00E67F3B" w:rsidRPr="003D506F">
        <w:rPr>
          <w:rFonts w:ascii="Times New Roman" w:hAnsi="Times New Roman" w:cs="Times New Roman"/>
        </w:rPr>
        <w:t>qually bound as if he had intended to agree to the other party’s terms</w:t>
      </w:r>
      <w:r w:rsidR="00E67F3B">
        <w:rPr>
          <w:rFonts w:ascii="Times New Roman" w:hAnsi="Times New Roman" w:cs="Times New Roman"/>
          <w:sz w:val="24"/>
          <w:szCs w:val="24"/>
        </w:rPr>
        <w:t>.</w:t>
      </w:r>
      <w:r>
        <w:rPr>
          <w:rFonts w:ascii="Times New Roman" w:hAnsi="Times New Roman" w:cs="Times New Roman"/>
          <w:sz w:val="24"/>
          <w:szCs w:val="24"/>
        </w:rPr>
        <w:t>”</w:t>
      </w:r>
      <w:r w:rsidR="00E67F3B">
        <w:rPr>
          <w:rStyle w:val="FootnoteReference"/>
          <w:rFonts w:ascii="Times New Roman" w:hAnsi="Times New Roman" w:cs="Times New Roman"/>
          <w:sz w:val="24"/>
          <w:szCs w:val="24"/>
        </w:rPr>
        <w:footnoteReference w:id="6"/>
      </w:r>
    </w:p>
    <w:p w:rsidR="003D506F" w:rsidRDefault="003D506F" w:rsidP="003D506F">
      <w:pPr>
        <w:spacing w:after="0" w:line="240" w:lineRule="auto"/>
        <w:ind w:left="720"/>
        <w:jc w:val="both"/>
        <w:rPr>
          <w:rFonts w:ascii="Times New Roman" w:hAnsi="Times New Roman" w:cs="Times New Roman"/>
          <w:sz w:val="24"/>
          <w:szCs w:val="24"/>
        </w:rPr>
      </w:pPr>
    </w:p>
    <w:p w:rsidR="003D506F" w:rsidRDefault="003D506F" w:rsidP="006B2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Equally so:</w:t>
      </w:r>
    </w:p>
    <w:p w:rsidR="003D506F" w:rsidRDefault="003D506F" w:rsidP="00AB24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B243D">
        <w:rPr>
          <w:rFonts w:ascii="Times New Roman" w:hAnsi="Times New Roman" w:cs="Times New Roman"/>
        </w:rPr>
        <w:t>When a man makes an offer in plain and unambiguous language which is understood in t</w:t>
      </w:r>
      <w:r w:rsidR="00B108A3">
        <w:rPr>
          <w:rFonts w:ascii="Times New Roman" w:hAnsi="Times New Roman" w:cs="Times New Roman"/>
        </w:rPr>
        <w:t>h</w:t>
      </w:r>
      <w:r w:rsidRPr="00AB243D">
        <w:rPr>
          <w:rFonts w:ascii="Times New Roman" w:hAnsi="Times New Roman" w:cs="Times New Roman"/>
        </w:rPr>
        <w:t>is ordinary sense by the person to whom it is addressed and accepted by him bona fide, in that sense, then there is a concluded contract. An</w:t>
      </w:r>
      <w:r w:rsidR="00AB243D" w:rsidRPr="00AB243D">
        <w:rPr>
          <w:rFonts w:ascii="Times New Roman" w:hAnsi="Times New Roman" w:cs="Times New Roman"/>
        </w:rPr>
        <w:t xml:space="preserve"> unexpressed reservations hidden in the mind of the promisor are in such circumstances irrelevant. He cannot be heard to say that he meant his promise to be subject to a condition which he omitted to mention and of which the other party was unaware</w:t>
      </w:r>
      <w:r w:rsidR="00AB243D">
        <w:rPr>
          <w:rFonts w:ascii="Times New Roman" w:hAnsi="Times New Roman" w:cs="Times New Roman"/>
          <w:sz w:val="24"/>
          <w:szCs w:val="24"/>
        </w:rPr>
        <w:t>.</w:t>
      </w:r>
      <w:r>
        <w:rPr>
          <w:rFonts w:ascii="Times New Roman" w:hAnsi="Times New Roman" w:cs="Times New Roman"/>
          <w:sz w:val="24"/>
          <w:szCs w:val="24"/>
        </w:rPr>
        <w:t>”</w:t>
      </w:r>
      <w:r w:rsidR="00AB243D">
        <w:rPr>
          <w:rStyle w:val="FootnoteReference"/>
          <w:rFonts w:ascii="Times New Roman" w:hAnsi="Times New Roman" w:cs="Times New Roman"/>
          <w:sz w:val="24"/>
          <w:szCs w:val="24"/>
        </w:rPr>
        <w:footnoteReference w:id="7"/>
      </w:r>
    </w:p>
    <w:p w:rsidR="00AB243D" w:rsidRDefault="00AB243D" w:rsidP="00AB243D">
      <w:pPr>
        <w:spacing w:after="0" w:line="240" w:lineRule="auto"/>
        <w:ind w:left="720"/>
        <w:jc w:val="both"/>
        <w:rPr>
          <w:rFonts w:ascii="Times New Roman" w:hAnsi="Times New Roman" w:cs="Times New Roman"/>
          <w:sz w:val="24"/>
          <w:szCs w:val="24"/>
        </w:rPr>
      </w:pPr>
    </w:p>
    <w:p w:rsidR="00AB243D" w:rsidRDefault="00AB243D" w:rsidP="00AB243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will be observed that from the foregoing these two classical quotes of the doctrine of </w:t>
      </w:r>
    </w:p>
    <w:p w:rsidR="00AB243D" w:rsidRDefault="00AB243D" w:rsidP="00AB243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quasi-mutual</w:t>
      </w:r>
      <w:proofErr w:type="gramEnd"/>
      <w:r>
        <w:rPr>
          <w:rFonts w:ascii="Times New Roman" w:hAnsi="Times New Roman" w:cs="Times New Roman"/>
          <w:sz w:val="24"/>
          <w:szCs w:val="24"/>
        </w:rPr>
        <w:t xml:space="preserve"> assent that its object is:</w:t>
      </w:r>
    </w:p>
    <w:p w:rsidR="00AB243D" w:rsidRDefault="00AB243D" w:rsidP="00AB243D">
      <w:pPr>
        <w:spacing w:after="0" w:line="240" w:lineRule="auto"/>
        <w:ind w:left="720"/>
        <w:jc w:val="both"/>
        <w:rPr>
          <w:rFonts w:ascii="Times New Roman" w:hAnsi="Times New Roman" w:cs="Times New Roman"/>
          <w:sz w:val="24"/>
          <w:szCs w:val="24"/>
        </w:rPr>
      </w:pPr>
    </w:p>
    <w:p w:rsidR="00AB243D" w:rsidRDefault="00AB243D" w:rsidP="00AB24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establish a positive sanction for the expectation of good faith which has grown up in the mutual dealings of men of average right mindedness.”</w:t>
      </w:r>
      <w:r>
        <w:rPr>
          <w:rStyle w:val="FootnoteReference"/>
          <w:rFonts w:ascii="Times New Roman" w:hAnsi="Times New Roman" w:cs="Times New Roman"/>
          <w:sz w:val="24"/>
          <w:szCs w:val="24"/>
        </w:rPr>
        <w:footnoteReference w:id="8"/>
      </w:r>
    </w:p>
    <w:p w:rsidR="00AB243D" w:rsidRDefault="00AB243D" w:rsidP="00AB243D">
      <w:pPr>
        <w:spacing w:after="0" w:line="240" w:lineRule="auto"/>
        <w:jc w:val="both"/>
        <w:rPr>
          <w:rFonts w:ascii="Times New Roman" w:hAnsi="Times New Roman" w:cs="Times New Roman"/>
          <w:sz w:val="24"/>
          <w:szCs w:val="24"/>
        </w:rPr>
      </w:pPr>
    </w:p>
    <w:p w:rsidR="00AB243D" w:rsidRDefault="00AB243D" w:rsidP="00AB2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therefore satisfied and agree with the applicant after the introduction of the promotion by</w:t>
      </w:r>
      <w:r w:rsidR="003A33F7">
        <w:rPr>
          <w:rFonts w:ascii="Times New Roman" w:hAnsi="Times New Roman" w:cs="Times New Roman"/>
          <w:sz w:val="24"/>
          <w:szCs w:val="24"/>
        </w:rPr>
        <w:t xml:space="preserve"> the respondent</w:t>
      </w:r>
      <w:r w:rsidR="00700804">
        <w:rPr>
          <w:rFonts w:ascii="Times New Roman" w:hAnsi="Times New Roman" w:cs="Times New Roman"/>
          <w:sz w:val="24"/>
          <w:szCs w:val="24"/>
        </w:rPr>
        <w:t>,</w:t>
      </w:r>
      <w:r w:rsidR="003A33F7">
        <w:rPr>
          <w:rFonts w:ascii="Times New Roman" w:hAnsi="Times New Roman" w:cs="Times New Roman"/>
          <w:sz w:val="24"/>
          <w:szCs w:val="24"/>
        </w:rPr>
        <w:t xml:space="preserve"> applicant agreed to the terms that 50% of forex would be availed to it against a credit balance of its accounts held by the respondent at t</w:t>
      </w:r>
      <w:r w:rsidR="004D3FF7">
        <w:rPr>
          <w:rFonts w:ascii="Times New Roman" w:hAnsi="Times New Roman" w:cs="Times New Roman"/>
          <w:sz w:val="24"/>
          <w:szCs w:val="24"/>
        </w:rPr>
        <w:t>he rate of RTGS to US</w:t>
      </w:r>
      <w:r w:rsidR="003A33F7">
        <w:rPr>
          <w:rFonts w:ascii="Times New Roman" w:hAnsi="Times New Roman" w:cs="Times New Roman"/>
          <w:sz w:val="24"/>
          <w:szCs w:val="24"/>
        </w:rPr>
        <w:t xml:space="preserve"> dollar and the payments of foreign currency by the respondent to the applicant’s suppliers who are offshore was in fulfilment of the agreement honoured by the respondent. In my view the allegations of fraud raised by the respondent are baseless. The offer for a promotion introduced by the respondent was accompanied by an </w:t>
      </w:r>
      <w:r w:rsidR="00700804">
        <w:rPr>
          <w:rFonts w:ascii="Times New Roman" w:hAnsi="Times New Roman" w:cs="Times New Roman"/>
          <w:i/>
          <w:sz w:val="24"/>
          <w:szCs w:val="24"/>
        </w:rPr>
        <w:t>ani</w:t>
      </w:r>
      <w:r w:rsidR="003A33F7" w:rsidRPr="003A33F7">
        <w:rPr>
          <w:rFonts w:ascii="Times New Roman" w:hAnsi="Times New Roman" w:cs="Times New Roman"/>
          <w:i/>
          <w:sz w:val="24"/>
          <w:szCs w:val="24"/>
        </w:rPr>
        <w:t xml:space="preserve">mus </w:t>
      </w:r>
      <w:proofErr w:type="spellStart"/>
      <w:r w:rsidR="003A33F7" w:rsidRPr="003A33F7">
        <w:rPr>
          <w:rFonts w:ascii="Times New Roman" w:hAnsi="Times New Roman" w:cs="Times New Roman"/>
          <w:i/>
          <w:sz w:val="24"/>
          <w:szCs w:val="24"/>
        </w:rPr>
        <w:t>contrahendi</w:t>
      </w:r>
      <w:proofErr w:type="spellEnd"/>
      <w:r w:rsidR="003A33F7">
        <w:rPr>
          <w:rFonts w:ascii="Times New Roman" w:hAnsi="Times New Roman" w:cs="Times New Roman"/>
          <w:sz w:val="24"/>
          <w:szCs w:val="24"/>
        </w:rPr>
        <w:t>, the intention of putting the conclusion of the negotiations out of one’s further pow</w:t>
      </w:r>
      <w:r w:rsidR="00700804">
        <w:rPr>
          <w:rFonts w:ascii="Times New Roman" w:hAnsi="Times New Roman" w:cs="Times New Roman"/>
          <w:sz w:val="24"/>
          <w:szCs w:val="24"/>
        </w:rPr>
        <w:t xml:space="preserve">er and enabling the </w:t>
      </w:r>
      <w:proofErr w:type="spellStart"/>
      <w:r w:rsidR="00700804">
        <w:rPr>
          <w:rFonts w:ascii="Times New Roman" w:hAnsi="Times New Roman" w:cs="Times New Roman"/>
          <w:sz w:val="24"/>
          <w:szCs w:val="24"/>
        </w:rPr>
        <w:t>oferee</w:t>
      </w:r>
      <w:proofErr w:type="spellEnd"/>
      <w:r w:rsidR="00700804">
        <w:rPr>
          <w:rFonts w:ascii="Times New Roman" w:hAnsi="Times New Roman" w:cs="Times New Roman"/>
          <w:sz w:val="24"/>
          <w:szCs w:val="24"/>
        </w:rPr>
        <w:t xml:space="preserve"> by its</w:t>
      </w:r>
      <w:r w:rsidR="003A33F7">
        <w:rPr>
          <w:rFonts w:ascii="Times New Roman" w:hAnsi="Times New Roman" w:cs="Times New Roman"/>
          <w:sz w:val="24"/>
          <w:szCs w:val="24"/>
        </w:rPr>
        <w:t xml:space="preserve"> acceptance, to create the contract.</w:t>
      </w:r>
    </w:p>
    <w:p w:rsidR="00972AEA" w:rsidRDefault="00972AEA" w:rsidP="00AB2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Large sums of foreign currency were paid by the respondent and on its own computed the </w:t>
      </w:r>
      <w:r w:rsidR="004D3FF7">
        <w:rPr>
          <w:rFonts w:ascii="Times New Roman" w:hAnsi="Times New Roman" w:cs="Times New Roman"/>
          <w:sz w:val="24"/>
          <w:szCs w:val="24"/>
        </w:rPr>
        <w:t>US dollar equivalent and debited the applicant’s account. Each transaction constituted a complete contract once the respondent debited the US dollar equivalent against applicant’s account. There was no basis for the respondent to revisit such a transaction post the debiting in my view.</w:t>
      </w:r>
    </w:p>
    <w:p w:rsidR="004D3FF7" w:rsidRDefault="004D3FF7" w:rsidP="00AB2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4D3FF7">
        <w:rPr>
          <w:rFonts w:ascii="Times New Roman" w:hAnsi="Times New Roman" w:cs="Times New Roman"/>
          <w:i/>
          <w:sz w:val="24"/>
          <w:szCs w:val="24"/>
        </w:rPr>
        <w:t xml:space="preserve">Advocate </w:t>
      </w:r>
      <w:proofErr w:type="spellStart"/>
      <w:r w:rsidRPr="004D3FF7">
        <w:rPr>
          <w:rFonts w:ascii="Times New Roman" w:hAnsi="Times New Roman" w:cs="Times New Roman"/>
          <w:i/>
          <w:sz w:val="24"/>
          <w:szCs w:val="24"/>
        </w:rPr>
        <w:t>Magwaliba</w:t>
      </w:r>
      <w:proofErr w:type="spellEnd"/>
      <w:r>
        <w:rPr>
          <w:rFonts w:ascii="Times New Roman" w:hAnsi="Times New Roman" w:cs="Times New Roman"/>
          <w:sz w:val="24"/>
          <w:szCs w:val="24"/>
        </w:rPr>
        <w:t xml:space="preserve"> for the </w:t>
      </w:r>
      <w:r w:rsidR="005B5A42">
        <w:rPr>
          <w:rFonts w:ascii="Times New Roman" w:hAnsi="Times New Roman" w:cs="Times New Roman"/>
          <w:sz w:val="24"/>
          <w:szCs w:val="24"/>
        </w:rPr>
        <w:t xml:space="preserve">respondent brought in an impeccable argument to the effect that once a customer deposits money into the bank, the money automatically ceases to be that of the depositor and becomes the </w:t>
      </w:r>
      <w:proofErr w:type="gramStart"/>
      <w:r w:rsidR="005B5A42">
        <w:rPr>
          <w:rFonts w:ascii="Times New Roman" w:hAnsi="Times New Roman" w:cs="Times New Roman"/>
          <w:sz w:val="24"/>
          <w:szCs w:val="24"/>
        </w:rPr>
        <w:t>bank’s</w:t>
      </w:r>
      <w:proofErr w:type="gramEnd"/>
      <w:r w:rsidR="005B5A42">
        <w:rPr>
          <w:rFonts w:ascii="Times New Roman" w:hAnsi="Times New Roman" w:cs="Times New Roman"/>
          <w:sz w:val="24"/>
          <w:szCs w:val="24"/>
        </w:rPr>
        <w:t xml:space="preserve">. He cited the matter of </w:t>
      </w:r>
      <w:r w:rsidR="005B5A42" w:rsidRPr="00700804">
        <w:rPr>
          <w:rFonts w:ascii="Times New Roman" w:hAnsi="Times New Roman" w:cs="Times New Roman"/>
          <w:i/>
          <w:sz w:val="24"/>
          <w:szCs w:val="24"/>
        </w:rPr>
        <w:t xml:space="preserve">Standard Chartered Bank Zimbabwe Limited v China </w:t>
      </w:r>
      <w:proofErr w:type="spellStart"/>
      <w:r w:rsidR="005B5A42" w:rsidRPr="00700804">
        <w:rPr>
          <w:rFonts w:ascii="Times New Roman" w:hAnsi="Times New Roman" w:cs="Times New Roman"/>
          <w:i/>
          <w:sz w:val="24"/>
          <w:szCs w:val="24"/>
        </w:rPr>
        <w:t>Shongang</w:t>
      </w:r>
      <w:proofErr w:type="spellEnd"/>
      <w:r w:rsidR="005B5A42" w:rsidRPr="00700804">
        <w:rPr>
          <w:rFonts w:ascii="Times New Roman" w:hAnsi="Times New Roman" w:cs="Times New Roman"/>
          <w:i/>
          <w:sz w:val="24"/>
          <w:szCs w:val="24"/>
        </w:rPr>
        <w:t xml:space="preserve"> International</w:t>
      </w:r>
      <w:r w:rsidR="005B5A42">
        <w:rPr>
          <w:rFonts w:ascii="Times New Roman" w:hAnsi="Times New Roman" w:cs="Times New Roman"/>
          <w:sz w:val="24"/>
          <w:szCs w:val="24"/>
        </w:rPr>
        <w:t>.</w:t>
      </w:r>
      <w:r w:rsidR="005B5A42">
        <w:rPr>
          <w:rStyle w:val="FootnoteReference"/>
          <w:rFonts w:ascii="Times New Roman" w:hAnsi="Times New Roman" w:cs="Times New Roman"/>
          <w:sz w:val="24"/>
          <w:szCs w:val="24"/>
        </w:rPr>
        <w:footnoteReference w:id="9"/>
      </w:r>
      <w:r w:rsidR="00496DE6">
        <w:rPr>
          <w:rFonts w:ascii="Times New Roman" w:hAnsi="Times New Roman" w:cs="Times New Roman"/>
          <w:sz w:val="24"/>
          <w:szCs w:val="24"/>
        </w:rPr>
        <w:t xml:space="preserve"> A creditor and debtor relationship is created and the bank can use such deposit as it pleases so long as it pays the depositor on demand, the equivalent of the amount deposited in the account.</w:t>
      </w:r>
    </w:p>
    <w:p w:rsidR="00496DE6" w:rsidRDefault="00496DE6" w:rsidP="00AB243D">
      <w:pPr>
        <w:spacing w:after="0" w:line="360" w:lineRule="auto"/>
        <w:jc w:val="both"/>
        <w:rPr>
          <w:rFonts w:ascii="Times New Roman" w:hAnsi="Times New Roman" w:cs="Times New Roman"/>
          <w:sz w:val="24"/>
          <w:szCs w:val="24"/>
        </w:rPr>
      </w:pPr>
    </w:p>
    <w:p w:rsidR="00496DE6" w:rsidRDefault="00496DE6" w:rsidP="00496D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96DE6">
        <w:rPr>
          <w:rFonts w:ascii="Times New Roman" w:hAnsi="Times New Roman" w:cs="Times New Roman"/>
        </w:rPr>
        <w:t xml:space="preserve">The general rule is that money deposited into a bank account fall into the ownership of the bank. The resulting credit belongs to the customer, the bank having a </w:t>
      </w:r>
      <w:r w:rsidRPr="00496DE6">
        <w:rPr>
          <w:rFonts w:ascii="Times New Roman" w:hAnsi="Times New Roman" w:cs="Times New Roman"/>
          <w:u w:val="single"/>
        </w:rPr>
        <w:t>contractual</w:t>
      </w:r>
      <w:r w:rsidRPr="00496DE6">
        <w:rPr>
          <w:rFonts w:ascii="Times New Roman" w:hAnsi="Times New Roman" w:cs="Times New Roman"/>
        </w:rPr>
        <w:t xml:space="preserve"> obligation to pay the customer on demand and to honour cheques validly drawn on the account to the extent that it </w:t>
      </w:r>
      <w:r w:rsidRPr="00496DE6">
        <w:rPr>
          <w:rFonts w:ascii="Times New Roman" w:hAnsi="Times New Roman" w:cs="Times New Roman"/>
          <w:u w:val="single"/>
        </w:rPr>
        <w:t>stands in credit</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w:t>
      </w:r>
    </w:p>
    <w:p w:rsidR="00496DE6" w:rsidRDefault="00496DE6" w:rsidP="00496DE6">
      <w:pPr>
        <w:spacing w:after="0" w:line="240" w:lineRule="auto"/>
        <w:ind w:left="720"/>
        <w:jc w:val="both"/>
        <w:rPr>
          <w:rFonts w:ascii="Times New Roman" w:hAnsi="Times New Roman" w:cs="Times New Roman"/>
          <w:sz w:val="24"/>
          <w:szCs w:val="24"/>
        </w:rPr>
      </w:pPr>
    </w:p>
    <w:p w:rsidR="0012291C" w:rsidRDefault="00496DE6" w:rsidP="00AB2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prayer deals with the reversals of the debits and not ownership of the funds</w:t>
      </w:r>
      <w:r w:rsidR="0012291C">
        <w:rPr>
          <w:rFonts w:ascii="Times New Roman" w:hAnsi="Times New Roman" w:cs="Times New Roman"/>
          <w:sz w:val="24"/>
          <w:szCs w:val="24"/>
        </w:rPr>
        <w:t xml:space="preserve"> in the bank. The credit balance has been adversely affected and there is a minus on the figures showing a debit balance and the question to be determined is whether such a reversal of the transaction by the respondent was lawful or not. Put differently does the action of the respondent attract legal sanction or interference by the court? The legal requirements for an interdict are spelt out in the matter of </w:t>
      </w:r>
      <w:proofErr w:type="spellStart"/>
      <w:r w:rsidR="0012291C" w:rsidRPr="00700804">
        <w:rPr>
          <w:rFonts w:ascii="Times New Roman" w:hAnsi="Times New Roman" w:cs="Times New Roman"/>
          <w:i/>
          <w:sz w:val="24"/>
          <w:szCs w:val="24"/>
        </w:rPr>
        <w:t>Zesa</w:t>
      </w:r>
      <w:proofErr w:type="spellEnd"/>
      <w:r w:rsidR="0012291C" w:rsidRPr="00700804">
        <w:rPr>
          <w:rFonts w:ascii="Times New Roman" w:hAnsi="Times New Roman" w:cs="Times New Roman"/>
          <w:i/>
          <w:sz w:val="24"/>
          <w:szCs w:val="24"/>
        </w:rPr>
        <w:t xml:space="preserve"> Staff Prison Fund v </w:t>
      </w:r>
      <w:proofErr w:type="spellStart"/>
      <w:r w:rsidR="0012291C" w:rsidRPr="00700804">
        <w:rPr>
          <w:rFonts w:ascii="Times New Roman" w:hAnsi="Times New Roman" w:cs="Times New Roman"/>
          <w:i/>
          <w:sz w:val="24"/>
          <w:szCs w:val="24"/>
        </w:rPr>
        <w:t>Mushambadzi</w:t>
      </w:r>
      <w:proofErr w:type="spellEnd"/>
      <w:r w:rsidR="0012291C">
        <w:rPr>
          <w:rFonts w:ascii="Times New Roman" w:hAnsi="Times New Roman" w:cs="Times New Roman"/>
          <w:sz w:val="24"/>
          <w:szCs w:val="24"/>
        </w:rPr>
        <w:t xml:space="preserve"> </w:t>
      </w:r>
      <w:r w:rsidR="0012291C">
        <w:rPr>
          <w:rStyle w:val="FootnoteReference"/>
          <w:rFonts w:ascii="Times New Roman" w:hAnsi="Times New Roman" w:cs="Times New Roman"/>
          <w:sz w:val="24"/>
          <w:szCs w:val="24"/>
        </w:rPr>
        <w:footnoteReference w:id="11"/>
      </w:r>
      <w:r w:rsidR="0012291C">
        <w:rPr>
          <w:rFonts w:ascii="Times New Roman" w:hAnsi="Times New Roman" w:cs="Times New Roman"/>
          <w:sz w:val="24"/>
          <w:szCs w:val="24"/>
        </w:rPr>
        <w:t xml:space="preserve"> where the Supreme Court held that the following must be established:</w:t>
      </w:r>
    </w:p>
    <w:p w:rsidR="0012291C" w:rsidRDefault="0012291C" w:rsidP="0012291C">
      <w:pPr>
        <w:pStyle w:val="ListParagraph"/>
        <w:numPr>
          <w:ilvl w:val="0"/>
          <w:numId w:val="2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clear right which though prima facie established, is open to some doubt.</w:t>
      </w:r>
    </w:p>
    <w:p w:rsidR="0012291C" w:rsidRDefault="0012291C" w:rsidP="0012291C">
      <w:pPr>
        <w:pStyle w:val="ListParagraph"/>
        <w:numPr>
          <w:ilvl w:val="0"/>
          <w:numId w:val="2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well grounded</w:t>
      </w:r>
      <w:proofErr w:type="spellEnd"/>
      <w:r>
        <w:rPr>
          <w:rFonts w:ascii="Times New Roman" w:hAnsi="Times New Roman" w:cs="Times New Roman"/>
          <w:sz w:val="24"/>
          <w:szCs w:val="24"/>
        </w:rPr>
        <w:t xml:space="preserve"> apprehension of irreparable injury.</w:t>
      </w:r>
      <w:r w:rsidRPr="0012291C">
        <w:rPr>
          <w:rFonts w:ascii="Times New Roman" w:hAnsi="Times New Roman" w:cs="Times New Roman"/>
          <w:sz w:val="24"/>
          <w:szCs w:val="24"/>
        </w:rPr>
        <w:t xml:space="preserve"> </w:t>
      </w:r>
    </w:p>
    <w:p w:rsidR="0012291C" w:rsidRDefault="0012291C" w:rsidP="0012291C">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absence of any other remedy,</w:t>
      </w:r>
    </w:p>
    <w:p w:rsidR="00170062" w:rsidRPr="00170062" w:rsidRDefault="0012291C" w:rsidP="00170062">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balance of convenience favours the applicant.</w:t>
      </w:r>
      <w:r>
        <w:rPr>
          <w:rStyle w:val="FootnoteReference"/>
          <w:rFonts w:ascii="Times New Roman" w:hAnsi="Times New Roman" w:cs="Times New Roman"/>
          <w:sz w:val="24"/>
          <w:szCs w:val="24"/>
        </w:rPr>
        <w:footnoteReference w:id="12"/>
      </w:r>
    </w:p>
    <w:p w:rsidR="004129D4" w:rsidRDefault="00170062" w:rsidP="0017006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From </w:t>
      </w:r>
      <w:r w:rsidR="004129D4">
        <w:rPr>
          <w:rFonts w:ascii="Times New Roman" w:hAnsi="Times New Roman" w:cs="Times New Roman"/>
          <w:sz w:val="24"/>
          <w:szCs w:val="24"/>
        </w:rPr>
        <w:t xml:space="preserve">the examination of the honoured applications by the respondent large amounts </w:t>
      </w:r>
    </w:p>
    <w:p w:rsidR="00170062" w:rsidRDefault="004129D4" w:rsidP="004129D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paid</w:t>
      </w:r>
      <w:r w:rsidR="000009FF">
        <w:rPr>
          <w:rFonts w:ascii="Times New Roman" w:hAnsi="Times New Roman" w:cs="Times New Roman"/>
          <w:sz w:val="24"/>
          <w:szCs w:val="24"/>
        </w:rPr>
        <w:t xml:space="preserve"> to the applicant’s suppliers abroad and in return huge volumes of goods were imported to the benefit of the applicant’s customers. The applicant holds two bank accounts with the respondent and those very accounts are the ones which applicant uses to receive payments from the debtors and to settle its indebtedness to the existing debtors. From 2008 the ability by commercial entities especially those trading goods and commodities especially to source</w:t>
      </w:r>
      <w:r w:rsidR="00700804">
        <w:rPr>
          <w:rFonts w:ascii="Times New Roman" w:hAnsi="Times New Roman" w:cs="Times New Roman"/>
          <w:sz w:val="24"/>
          <w:szCs w:val="24"/>
        </w:rPr>
        <w:t>;</w:t>
      </w:r>
      <w:r w:rsidR="000009FF">
        <w:rPr>
          <w:rFonts w:ascii="Times New Roman" w:hAnsi="Times New Roman" w:cs="Times New Roman"/>
          <w:sz w:val="24"/>
          <w:szCs w:val="24"/>
        </w:rPr>
        <w:t xml:space="preserve"> access and transport such products and put them on the shelves and pay the suppliers in hard currency has not been a stroll in the park. </w:t>
      </w:r>
    </w:p>
    <w:p w:rsidR="000009FF" w:rsidRPr="00170062" w:rsidRDefault="000009FF" w:rsidP="004129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has been incredibly difficult</w:t>
      </w:r>
      <w:r w:rsidR="00626AF5">
        <w:rPr>
          <w:rFonts w:ascii="Times New Roman" w:hAnsi="Times New Roman" w:cs="Times New Roman"/>
          <w:sz w:val="24"/>
          <w:szCs w:val="24"/>
        </w:rPr>
        <w:t xml:space="preserve"> for sundry business people to get products into the shops and meet the customers incessant demand and this has been exacerbated by the constantly changing economic and financial environment that had seen the country going through three currency types in the last six (6) months and it is not easy for business when one has</w:t>
      </w:r>
      <w:r w:rsidR="00811B65">
        <w:rPr>
          <w:rFonts w:ascii="Times New Roman" w:hAnsi="Times New Roman" w:cs="Times New Roman"/>
          <w:sz w:val="24"/>
          <w:szCs w:val="24"/>
        </w:rPr>
        <w:t xml:space="preserve"> to constantly having to change. Those who could not cope with those fa</w:t>
      </w:r>
      <w:r w:rsidR="008A58D3">
        <w:rPr>
          <w:rFonts w:ascii="Times New Roman" w:hAnsi="Times New Roman" w:cs="Times New Roman"/>
          <w:sz w:val="24"/>
          <w:szCs w:val="24"/>
        </w:rPr>
        <w:t>s</w:t>
      </w:r>
      <w:r w:rsidR="00811B65">
        <w:rPr>
          <w:rFonts w:ascii="Times New Roman" w:hAnsi="Times New Roman" w:cs="Times New Roman"/>
          <w:sz w:val="24"/>
          <w:szCs w:val="24"/>
        </w:rPr>
        <w:t xml:space="preserve">t devastating changes have closed </w:t>
      </w:r>
      <w:proofErr w:type="spellStart"/>
      <w:r w:rsidR="00811B65">
        <w:rPr>
          <w:rFonts w:ascii="Times New Roman" w:hAnsi="Times New Roman" w:cs="Times New Roman"/>
          <w:sz w:val="24"/>
          <w:szCs w:val="24"/>
        </w:rPr>
        <w:t>scops</w:t>
      </w:r>
      <w:proofErr w:type="spellEnd"/>
      <w:r w:rsidR="00811B65">
        <w:rPr>
          <w:rFonts w:ascii="Times New Roman" w:hAnsi="Times New Roman" w:cs="Times New Roman"/>
          <w:sz w:val="24"/>
          <w:szCs w:val="24"/>
        </w:rPr>
        <w:t xml:space="preserve">. One </w:t>
      </w:r>
      <w:r w:rsidR="005F0486">
        <w:rPr>
          <w:rFonts w:ascii="Times New Roman" w:hAnsi="Times New Roman" w:cs="Times New Roman"/>
          <w:sz w:val="24"/>
          <w:szCs w:val="24"/>
        </w:rPr>
        <w:t>cannot effectively hedge against these vagaries of change and this is the impetus which drove the respondent to attempt to sew up a gap which it perceived had been brought about by th</w:t>
      </w:r>
      <w:r w:rsidR="008A58D3">
        <w:rPr>
          <w:rFonts w:ascii="Times New Roman" w:hAnsi="Times New Roman" w:cs="Times New Roman"/>
          <w:sz w:val="24"/>
          <w:szCs w:val="24"/>
        </w:rPr>
        <w:t>e ever-changing exchange rates. T</w:t>
      </w:r>
      <w:r w:rsidR="005F0486">
        <w:rPr>
          <w:rFonts w:ascii="Times New Roman" w:hAnsi="Times New Roman" w:cs="Times New Roman"/>
          <w:sz w:val="24"/>
          <w:szCs w:val="24"/>
        </w:rPr>
        <w:t>he respondent bank owes the applicant a duty of care to ensure that any cash deposited is correctly recorded and protected.</w:t>
      </w:r>
      <w:r w:rsidR="007D4851">
        <w:rPr>
          <w:rStyle w:val="FootnoteReference"/>
          <w:rFonts w:ascii="Times New Roman" w:hAnsi="Times New Roman" w:cs="Times New Roman"/>
          <w:sz w:val="24"/>
          <w:szCs w:val="24"/>
        </w:rPr>
        <w:footnoteReference w:id="13"/>
      </w:r>
    </w:p>
    <w:p w:rsidR="00F644D5" w:rsidRDefault="007D4851" w:rsidP="00B72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managed to prove on a balance of probabilities all the </w:t>
      </w:r>
      <w:r w:rsidR="004A3A19">
        <w:rPr>
          <w:rFonts w:ascii="Times New Roman" w:hAnsi="Times New Roman" w:cs="Times New Roman"/>
          <w:sz w:val="24"/>
          <w:szCs w:val="24"/>
        </w:rPr>
        <w:t>four</w:t>
      </w:r>
      <w:r>
        <w:rPr>
          <w:rFonts w:ascii="Times New Roman" w:hAnsi="Times New Roman" w:cs="Times New Roman"/>
          <w:sz w:val="24"/>
          <w:szCs w:val="24"/>
        </w:rPr>
        <w:t xml:space="preserve"> requirements outlined above. There was no legal basis in this court’s view why the </w:t>
      </w:r>
      <w:r w:rsidR="004A3A19">
        <w:rPr>
          <w:rFonts w:ascii="Times New Roman" w:hAnsi="Times New Roman" w:cs="Times New Roman"/>
          <w:sz w:val="24"/>
          <w:szCs w:val="24"/>
        </w:rPr>
        <w:t>respondent without the requisite mandate of the applicant proceed to debit applicant’s accounts not an instruction or notice as the jealously guarded etiquette of banking practice.</w:t>
      </w:r>
      <w:r w:rsidR="004A3A19">
        <w:rPr>
          <w:rStyle w:val="FootnoteReference"/>
          <w:rFonts w:ascii="Times New Roman" w:hAnsi="Times New Roman" w:cs="Times New Roman"/>
          <w:sz w:val="24"/>
          <w:szCs w:val="24"/>
        </w:rPr>
        <w:footnoteReference w:id="14"/>
      </w:r>
      <w:r w:rsidR="00796F78">
        <w:rPr>
          <w:rFonts w:ascii="Times New Roman" w:hAnsi="Times New Roman" w:cs="Times New Roman"/>
          <w:sz w:val="24"/>
          <w:szCs w:val="24"/>
        </w:rPr>
        <w:t xml:space="preserve"> Though the respondent does not openly concede</w:t>
      </w:r>
      <w:r w:rsidR="008A58D3">
        <w:rPr>
          <w:rFonts w:ascii="Times New Roman" w:hAnsi="Times New Roman" w:cs="Times New Roman"/>
          <w:sz w:val="24"/>
          <w:szCs w:val="24"/>
        </w:rPr>
        <w:t>,</w:t>
      </w:r>
      <w:r w:rsidR="00796F78">
        <w:rPr>
          <w:rFonts w:ascii="Times New Roman" w:hAnsi="Times New Roman" w:cs="Times New Roman"/>
          <w:sz w:val="24"/>
          <w:szCs w:val="24"/>
        </w:rPr>
        <w:t xml:space="preserve"> the interbank exchange rate applied by the respondent effectively was to apply Statutory Instrument in retrospect. That Statutory Instrument does not provide for retrospective application. It is trite that a statute cannot be applied in retrospect to accord or align or achieve an individual vested rights unless the concerned legislation expressly states so and that principle equally applies in </w:t>
      </w:r>
      <w:proofErr w:type="spellStart"/>
      <w:r w:rsidR="00796F78" w:rsidRPr="00796F78">
        <w:rPr>
          <w:rFonts w:ascii="Times New Roman" w:hAnsi="Times New Roman" w:cs="Times New Roman"/>
          <w:i/>
          <w:sz w:val="24"/>
          <w:szCs w:val="24"/>
        </w:rPr>
        <w:t>casu</w:t>
      </w:r>
      <w:proofErr w:type="spellEnd"/>
      <w:r w:rsidR="00796F78">
        <w:rPr>
          <w:rFonts w:ascii="Times New Roman" w:hAnsi="Times New Roman" w:cs="Times New Roman"/>
          <w:sz w:val="24"/>
          <w:szCs w:val="24"/>
        </w:rPr>
        <w:t>.</w:t>
      </w:r>
      <w:r w:rsidR="00796F78">
        <w:rPr>
          <w:rStyle w:val="FootnoteReference"/>
          <w:rFonts w:ascii="Times New Roman" w:hAnsi="Times New Roman" w:cs="Times New Roman"/>
          <w:sz w:val="24"/>
          <w:szCs w:val="24"/>
        </w:rPr>
        <w:footnoteReference w:id="15"/>
      </w:r>
    </w:p>
    <w:p w:rsidR="00BD3105" w:rsidRDefault="00BD3105" w:rsidP="00B72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Whereas it is accepts that there are circumstances in which a bank is entitled to correct patent errors on a customer’s account or where it can exercise its right of view, such instances are not proved in this application or were proved by the respondent. The bank must act on th</w:t>
      </w:r>
      <w:r w:rsidR="00793F92">
        <w:rPr>
          <w:rFonts w:ascii="Times New Roman" w:hAnsi="Times New Roman" w:cs="Times New Roman"/>
          <w:sz w:val="24"/>
          <w:szCs w:val="24"/>
        </w:rPr>
        <w:t>e mandate of the account holder. The argument advanced by the respondent that it was recovering a debt due to it does not apply. Each transaction was complete in its own and did carry any provision relating to changes on the exchange rates applicable in the foreseeable future. To uphold and accept such an argument would lead to an outcry in the banking sector.</w:t>
      </w:r>
    </w:p>
    <w:p w:rsidR="00793F92" w:rsidRDefault="00793F92" w:rsidP="00B72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debiting of the applicant’s account resulted in the paralysis of its operation and the </w:t>
      </w:r>
      <w:r w:rsidR="00AB18F5">
        <w:rPr>
          <w:rFonts w:ascii="Times New Roman" w:hAnsi="Times New Roman" w:cs="Times New Roman"/>
          <w:sz w:val="24"/>
          <w:szCs w:val="24"/>
        </w:rPr>
        <w:t>balance</w:t>
      </w:r>
      <w:r>
        <w:rPr>
          <w:rFonts w:ascii="Times New Roman" w:hAnsi="Times New Roman" w:cs="Times New Roman"/>
          <w:sz w:val="24"/>
          <w:szCs w:val="24"/>
        </w:rPr>
        <w:t xml:space="preserve"> of conv</w:t>
      </w:r>
      <w:r w:rsidR="00B13A73">
        <w:rPr>
          <w:rFonts w:ascii="Times New Roman" w:hAnsi="Times New Roman" w:cs="Times New Roman"/>
          <w:sz w:val="24"/>
          <w:szCs w:val="24"/>
        </w:rPr>
        <w:t xml:space="preserve">enience demands that the </w:t>
      </w:r>
      <w:r w:rsidR="00B13A73" w:rsidRPr="00B13A73">
        <w:rPr>
          <w:rFonts w:ascii="Times New Roman" w:hAnsi="Times New Roman" w:cs="Times New Roman"/>
          <w:i/>
          <w:sz w:val="24"/>
          <w:szCs w:val="24"/>
        </w:rPr>
        <w:t>status quo ante</w:t>
      </w:r>
      <w:r w:rsidR="00B13A73" w:rsidRPr="00B13A73">
        <w:rPr>
          <w:rFonts w:ascii="Times New Roman" w:hAnsi="Times New Roman" w:cs="Times New Roman"/>
          <w:sz w:val="24"/>
          <w:szCs w:val="24"/>
        </w:rPr>
        <w:t xml:space="preserve"> </w:t>
      </w:r>
      <w:r w:rsidR="00B13A73">
        <w:rPr>
          <w:rFonts w:ascii="Times New Roman" w:hAnsi="Times New Roman" w:cs="Times New Roman"/>
          <w:sz w:val="24"/>
          <w:szCs w:val="24"/>
        </w:rPr>
        <w:t>be restored. Accordingly the following provisional order is granted:</w:t>
      </w:r>
    </w:p>
    <w:p w:rsidR="00B13A73" w:rsidRDefault="00B13A73" w:rsidP="00B13A73">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Respondent shall reverse all the unlawful banking transactions it effected into Applicant’s bank accounts on 21 March 2019 and it is hereby ordered that it shall do the following:</w:t>
      </w:r>
    </w:p>
    <w:p w:rsidR="00B13A73" w:rsidRDefault="00B13A73" w:rsidP="00B13A73">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Reverse the unlawful deb</w:t>
      </w:r>
      <w:r w:rsidR="00851F5C">
        <w:rPr>
          <w:rFonts w:ascii="Times New Roman" w:hAnsi="Times New Roman" w:cs="Times New Roman"/>
          <w:sz w:val="24"/>
          <w:szCs w:val="24"/>
        </w:rPr>
        <w:t>i</w:t>
      </w:r>
      <w:r>
        <w:rPr>
          <w:rFonts w:ascii="Times New Roman" w:hAnsi="Times New Roman" w:cs="Times New Roman"/>
          <w:sz w:val="24"/>
          <w:szCs w:val="24"/>
        </w:rPr>
        <w:t xml:space="preserve">t of Two Million One Hundred and Seventy Four Thousand Eight Hundred and Seventy One RTGS Dollars and Fifty Four Cents (RTGS$2 174 871-54) and credit the same amount into applicant’s RTGS accounts such that the </w:t>
      </w:r>
      <w:r w:rsidRPr="00B13A73">
        <w:rPr>
          <w:rFonts w:ascii="Times New Roman" w:hAnsi="Times New Roman" w:cs="Times New Roman"/>
          <w:i/>
          <w:sz w:val="24"/>
          <w:szCs w:val="24"/>
        </w:rPr>
        <w:t>status quo</w:t>
      </w:r>
      <w:r>
        <w:rPr>
          <w:rFonts w:ascii="Times New Roman" w:hAnsi="Times New Roman" w:cs="Times New Roman"/>
          <w:sz w:val="24"/>
          <w:szCs w:val="24"/>
        </w:rPr>
        <w:t xml:space="preserve"> </w:t>
      </w:r>
      <w:r w:rsidRPr="00B13A73">
        <w:rPr>
          <w:rFonts w:ascii="Times New Roman" w:hAnsi="Times New Roman" w:cs="Times New Roman"/>
          <w:i/>
          <w:sz w:val="24"/>
          <w:szCs w:val="24"/>
        </w:rPr>
        <w:t>ante</w:t>
      </w:r>
      <w:r>
        <w:rPr>
          <w:rFonts w:ascii="Times New Roman" w:hAnsi="Times New Roman" w:cs="Times New Roman"/>
          <w:sz w:val="24"/>
          <w:szCs w:val="24"/>
        </w:rPr>
        <w:t xml:space="preserve"> of the bank account on 21  March 2019 is restored.</w:t>
      </w:r>
    </w:p>
    <w:p w:rsidR="00B13A73" w:rsidRDefault="00B13A73" w:rsidP="00B13A73">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Reverse the credit it made to Applicant’s RTGS account in the sum of Seven Hundred and Twenty One Thousand Five Hundred and Eighty Nine RTGS Dollars and Seventy Six Cents (RTGS $721 589-76) and restore the </w:t>
      </w:r>
      <w:r w:rsidRPr="00B13A73">
        <w:rPr>
          <w:rFonts w:ascii="Times New Roman" w:hAnsi="Times New Roman" w:cs="Times New Roman"/>
          <w:i/>
          <w:sz w:val="24"/>
          <w:szCs w:val="24"/>
        </w:rPr>
        <w:t>status quo ante</w:t>
      </w:r>
      <w:r>
        <w:rPr>
          <w:rFonts w:ascii="Times New Roman" w:hAnsi="Times New Roman" w:cs="Times New Roman"/>
          <w:sz w:val="24"/>
          <w:szCs w:val="24"/>
        </w:rPr>
        <w:t xml:space="preserve"> of the bank account as of 21 March 2019.</w:t>
      </w:r>
    </w:p>
    <w:p w:rsidR="00B13A73" w:rsidRDefault="00B13A73" w:rsidP="00B13A73">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Reverse debit made to Applicant’s FCA account in the sum of Two Thousand Two Hundred and Thirty Four United States Dollars and Forty One Cents (USD2 234-41) and reverse the credit it made to applicant’s RTGS account in the same amount such that the </w:t>
      </w:r>
      <w:r w:rsidRPr="00B13A73">
        <w:rPr>
          <w:rFonts w:ascii="Times New Roman" w:hAnsi="Times New Roman" w:cs="Times New Roman"/>
          <w:i/>
          <w:sz w:val="24"/>
          <w:szCs w:val="24"/>
        </w:rPr>
        <w:t>status quo ante</w:t>
      </w:r>
      <w:r>
        <w:rPr>
          <w:rFonts w:ascii="Times New Roman" w:hAnsi="Times New Roman" w:cs="Times New Roman"/>
          <w:sz w:val="24"/>
          <w:szCs w:val="24"/>
        </w:rPr>
        <w:t xml:space="preserve"> of the bank account is restored.</w:t>
      </w:r>
    </w:p>
    <w:p w:rsidR="00B13A73" w:rsidRDefault="00B13A73" w:rsidP="00B13A7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Respondent shall cease unlawful debits and or credits of applicant’s bank accounts </w:t>
      </w:r>
    </w:p>
    <w:p w:rsidR="00B13A73" w:rsidRPr="00B13A73" w:rsidRDefault="00B13A73" w:rsidP="00B13A7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pending</w:t>
      </w:r>
      <w:proofErr w:type="gramEnd"/>
      <w:r>
        <w:rPr>
          <w:rFonts w:ascii="Times New Roman" w:hAnsi="Times New Roman" w:cs="Times New Roman"/>
          <w:sz w:val="24"/>
          <w:szCs w:val="24"/>
        </w:rPr>
        <w:t xml:space="preserve"> the finalisation of this urgent chamber application.</w:t>
      </w:r>
    </w:p>
    <w:p w:rsidR="00F80886" w:rsidRPr="008E6609" w:rsidRDefault="00F80886" w:rsidP="008E6609">
      <w:pPr>
        <w:spacing w:after="0" w:line="360" w:lineRule="auto"/>
        <w:jc w:val="both"/>
        <w:rPr>
          <w:rFonts w:ascii="Times New Roman" w:hAnsi="Times New Roman" w:cs="Times New Roman"/>
          <w:sz w:val="24"/>
          <w:szCs w:val="24"/>
        </w:rPr>
      </w:pPr>
    </w:p>
    <w:p w:rsidR="00B25AB0" w:rsidRDefault="00B25AB0" w:rsidP="00B25AB0">
      <w:pPr>
        <w:spacing w:after="0" w:line="240" w:lineRule="auto"/>
        <w:jc w:val="both"/>
        <w:rPr>
          <w:rFonts w:ascii="Times New Roman" w:hAnsi="Times New Roman" w:cs="Times New Roman"/>
          <w:i/>
          <w:sz w:val="24"/>
          <w:szCs w:val="24"/>
        </w:rPr>
      </w:pPr>
    </w:p>
    <w:p w:rsidR="00B25AB0" w:rsidRDefault="00B25AB0" w:rsidP="00B25AB0">
      <w:pPr>
        <w:spacing w:after="0" w:line="240" w:lineRule="auto"/>
        <w:jc w:val="both"/>
        <w:rPr>
          <w:rFonts w:ascii="Times New Roman" w:hAnsi="Times New Roman" w:cs="Times New Roman"/>
          <w:i/>
          <w:sz w:val="24"/>
          <w:szCs w:val="24"/>
        </w:rPr>
      </w:pPr>
    </w:p>
    <w:p w:rsidR="00823C61" w:rsidRDefault="00823C61" w:rsidP="00B25AB0">
      <w:pPr>
        <w:spacing w:after="0" w:line="240" w:lineRule="auto"/>
        <w:jc w:val="both"/>
        <w:rPr>
          <w:rFonts w:ascii="Times New Roman" w:hAnsi="Times New Roman" w:cs="Times New Roman"/>
          <w:i/>
          <w:sz w:val="24"/>
          <w:szCs w:val="24"/>
        </w:rPr>
      </w:pPr>
    </w:p>
    <w:p w:rsidR="00B25AB0" w:rsidRDefault="00B25AB0" w:rsidP="00B25AB0">
      <w:pPr>
        <w:spacing w:after="0" w:line="240" w:lineRule="auto"/>
        <w:jc w:val="both"/>
        <w:rPr>
          <w:rFonts w:ascii="Times New Roman" w:hAnsi="Times New Roman" w:cs="Times New Roman"/>
          <w:i/>
          <w:sz w:val="24"/>
          <w:szCs w:val="24"/>
        </w:rPr>
      </w:pPr>
    </w:p>
    <w:p w:rsidR="00B25AB0" w:rsidRDefault="00B25AB0" w:rsidP="00B25AB0">
      <w:pPr>
        <w:spacing w:after="0" w:line="240" w:lineRule="auto"/>
        <w:jc w:val="both"/>
        <w:rPr>
          <w:rFonts w:ascii="Times New Roman" w:hAnsi="Times New Roman" w:cs="Times New Roman"/>
          <w:i/>
          <w:sz w:val="24"/>
          <w:szCs w:val="24"/>
        </w:rPr>
      </w:pPr>
    </w:p>
    <w:p w:rsidR="00B25AB0" w:rsidRDefault="00851F5C" w:rsidP="00B25AB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Chinzamba</w:t>
      </w:r>
      <w:proofErr w:type="spellEnd"/>
      <w:r>
        <w:rPr>
          <w:rFonts w:ascii="Times New Roman" w:hAnsi="Times New Roman" w:cs="Times New Roman"/>
          <w:i/>
          <w:sz w:val="24"/>
          <w:szCs w:val="24"/>
        </w:rPr>
        <w:t xml:space="preserve"> &amp; Partners</w:t>
      </w:r>
      <w:r w:rsidR="00B25AB0">
        <w:rPr>
          <w:rFonts w:ascii="Times New Roman" w:hAnsi="Times New Roman" w:cs="Times New Roman"/>
          <w:sz w:val="24"/>
          <w:szCs w:val="24"/>
        </w:rPr>
        <w:t xml:space="preserve">, applicant’s legal practitioners </w:t>
      </w:r>
    </w:p>
    <w:p w:rsidR="00851F5C" w:rsidRDefault="00851F5C" w:rsidP="00B25AB0">
      <w:pPr>
        <w:spacing w:after="0" w:line="240" w:lineRule="auto"/>
        <w:jc w:val="both"/>
        <w:rPr>
          <w:rFonts w:ascii="Times New Roman" w:hAnsi="Times New Roman" w:cs="Times New Roman"/>
          <w:sz w:val="24"/>
          <w:szCs w:val="24"/>
        </w:rPr>
      </w:pPr>
      <w:proofErr w:type="spellStart"/>
      <w:r w:rsidRPr="00851F5C">
        <w:rPr>
          <w:rFonts w:ascii="Times New Roman" w:hAnsi="Times New Roman" w:cs="Times New Roman"/>
          <w:i/>
          <w:sz w:val="24"/>
          <w:szCs w:val="24"/>
        </w:rPr>
        <w:t>Atherstone</w:t>
      </w:r>
      <w:proofErr w:type="spellEnd"/>
      <w:r w:rsidRPr="00851F5C">
        <w:rPr>
          <w:rFonts w:ascii="Times New Roman" w:hAnsi="Times New Roman" w:cs="Times New Roman"/>
          <w:i/>
          <w:sz w:val="24"/>
          <w:szCs w:val="24"/>
        </w:rPr>
        <w:t xml:space="preserve"> &amp; Cook</w:t>
      </w:r>
      <w:r>
        <w:rPr>
          <w:rFonts w:ascii="Times New Roman" w:hAnsi="Times New Roman" w:cs="Times New Roman"/>
          <w:sz w:val="24"/>
          <w:szCs w:val="24"/>
        </w:rPr>
        <w:t>, respondent’s legal practitioners</w:t>
      </w: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58D" w:rsidRDefault="00D5458D" w:rsidP="00086343">
      <w:pPr>
        <w:spacing w:after="0" w:line="240" w:lineRule="auto"/>
      </w:pPr>
      <w:r>
        <w:separator/>
      </w:r>
    </w:p>
  </w:endnote>
  <w:endnote w:type="continuationSeparator" w:id="0">
    <w:p w:rsidR="00D5458D" w:rsidRDefault="00D5458D"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58D" w:rsidRDefault="00D5458D" w:rsidP="00086343">
      <w:pPr>
        <w:spacing w:after="0" w:line="240" w:lineRule="auto"/>
      </w:pPr>
      <w:r>
        <w:separator/>
      </w:r>
    </w:p>
  </w:footnote>
  <w:footnote w:type="continuationSeparator" w:id="0">
    <w:p w:rsidR="00D5458D" w:rsidRDefault="00D5458D" w:rsidP="00086343">
      <w:pPr>
        <w:spacing w:after="0" w:line="240" w:lineRule="auto"/>
      </w:pPr>
      <w:r>
        <w:continuationSeparator/>
      </w:r>
    </w:p>
  </w:footnote>
  <w:footnote w:id="1">
    <w:p w:rsidR="00D665CB" w:rsidRDefault="00D665CB">
      <w:pPr>
        <w:pStyle w:val="FootnoteText"/>
      </w:pPr>
      <w:r>
        <w:rPr>
          <w:rStyle w:val="FootnoteReference"/>
        </w:rPr>
        <w:footnoteRef/>
      </w:r>
      <w:r>
        <w:t xml:space="preserve"> </w:t>
      </w:r>
      <w:proofErr w:type="spellStart"/>
      <w:r>
        <w:t>Marick</w:t>
      </w:r>
      <w:proofErr w:type="spellEnd"/>
      <w:r>
        <w:t xml:space="preserve"> Trading (Private) Limited v Old Mutual Assurance Company of Zimbabwe (Private) Limited and </w:t>
      </w:r>
      <w:proofErr w:type="spellStart"/>
      <w:r>
        <w:t>Anor</w:t>
      </w:r>
      <w:proofErr w:type="spellEnd"/>
      <w:r>
        <w:t xml:space="preserve"> HH 667/15 at p.3 of cyclostyled judgment</w:t>
      </w:r>
    </w:p>
  </w:footnote>
  <w:footnote w:id="2">
    <w:p w:rsidR="00D665CB" w:rsidRDefault="00D665CB">
      <w:pPr>
        <w:pStyle w:val="FootnoteText"/>
      </w:pPr>
      <w:r>
        <w:rPr>
          <w:rStyle w:val="FootnoteReference"/>
        </w:rPr>
        <w:footnoteRef/>
      </w:r>
      <w:r>
        <w:t xml:space="preserve"> In Zimbabwe Open University v </w:t>
      </w:r>
      <w:proofErr w:type="spellStart"/>
      <w:r>
        <w:t>Mazambare</w:t>
      </w:r>
      <w:proofErr w:type="spellEnd"/>
      <w:r>
        <w:t xml:space="preserve"> 2009 (1) ZLR 101 (H) on p. 101</w:t>
      </w:r>
    </w:p>
  </w:footnote>
  <w:footnote w:id="3">
    <w:p w:rsidR="00D665CB" w:rsidRDefault="00D665CB">
      <w:pPr>
        <w:pStyle w:val="FootnoteText"/>
      </w:pPr>
      <w:r>
        <w:rPr>
          <w:rStyle w:val="FootnoteReference"/>
        </w:rPr>
        <w:footnoteRef/>
      </w:r>
      <w:r>
        <w:t xml:space="preserve"> The Prosecutor General v </w:t>
      </w:r>
      <w:proofErr w:type="spellStart"/>
      <w:r>
        <w:t>Phibeon</w:t>
      </w:r>
      <w:proofErr w:type="spellEnd"/>
      <w:r>
        <w:t xml:space="preserve"> </w:t>
      </w:r>
      <w:proofErr w:type="spellStart"/>
      <w:r>
        <w:t>Busangabanye</w:t>
      </w:r>
      <w:proofErr w:type="spellEnd"/>
      <w:r>
        <w:t xml:space="preserve"> &amp; </w:t>
      </w:r>
      <w:proofErr w:type="spellStart"/>
      <w:r>
        <w:t>Anor</w:t>
      </w:r>
      <w:proofErr w:type="spellEnd"/>
      <w:r>
        <w:t xml:space="preserve"> HH 427/15 at page 3 of the cyclostyled judgment</w:t>
      </w:r>
    </w:p>
  </w:footnote>
  <w:footnote w:id="4">
    <w:p w:rsidR="00D665CB" w:rsidRDefault="00D665CB">
      <w:pPr>
        <w:pStyle w:val="FootnoteText"/>
      </w:pPr>
      <w:r>
        <w:rPr>
          <w:rStyle w:val="FootnoteReference"/>
        </w:rPr>
        <w:footnoteRef/>
      </w:r>
      <w:r>
        <w:t xml:space="preserve"> Silver Trucks (Private) Ltd &amp; </w:t>
      </w:r>
      <w:proofErr w:type="spellStart"/>
      <w:r>
        <w:t>Anor</w:t>
      </w:r>
      <w:proofErr w:type="spellEnd"/>
      <w:r>
        <w:t xml:space="preserve"> v Director of Customs &amp; Excise, 1999 (1) ZLR 490 (H)</w:t>
      </w:r>
    </w:p>
  </w:footnote>
  <w:footnote w:id="5">
    <w:p w:rsidR="00D665CB" w:rsidRDefault="00D665CB">
      <w:pPr>
        <w:pStyle w:val="FootnoteText"/>
      </w:pPr>
      <w:r>
        <w:rPr>
          <w:rStyle w:val="FootnoteReference"/>
        </w:rPr>
        <w:footnoteRef/>
      </w:r>
      <w:r>
        <w:t xml:space="preserve"> See also SSSZ Min</w:t>
      </w:r>
      <w:r w:rsidR="00B108A3">
        <w:t xml:space="preserve">ing Syndicate v </w:t>
      </w:r>
      <w:proofErr w:type="spellStart"/>
      <w:r w:rsidR="00B108A3">
        <w:t>Takawadza</w:t>
      </w:r>
      <w:proofErr w:type="spellEnd"/>
      <w:r w:rsidR="00B108A3">
        <w:t xml:space="preserve"> </w:t>
      </w:r>
      <w:proofErr w:type="spellStart"/>
      <w:r w:rsidR="00B108A3">
        <w:t>Chitor</w:t>
      </w:r>
      <w:r>
        <w:t>o</w:t>
      </w:r>
      <w:proofErr w:type="spellEnd"/>
      <w:r>
        <w:t xml:space="preserve"> and 4 others HMA 46/18</w:t>
      </w:r>
    </w:p>
  </w:footnote>
  <w:footnote w:id="6">
    <w:p w:rsidR="00E67F3B" w:rsidRDefault="00E67F3B">
      <w:pPr>
        <w:pStyle w:val="FootnoteText"/>
      </w:pPr>
      <w:r>
        <w:rPr>
          <w:rStyle w:val="FootnoteReference"/>
        </w:rPr>
        <w:footnoteRef/>
      </w:r>
      <w:r>
        <w:t xml:space="preserve"> Springvale Ltd v Edwards 1968 (2) RLR 141 (a) at 148-9, </w:t>
      </w:r>
      <w:proofErr w:type="spellStart"/>
      <w:r>
        <w:t>Levg</w:t>
      </w:r>
      <w:proofErr w:type="spellEnd"/>
      <w:r>
        <w:t xml:space="preserve"> v </w:t>
      </w:r>
      <w:proofErr w:type="spellStart"/>
      <w:r>
        <w:t>Banket</w:t>
      </w:r>
      <w:proofErr w:type="spellEnd"/>
      <w:r>
        <w:t xml:space="preserve"> Holdings (Pvt) Ltd 1956 R &amp; N 98 (or 1956 (3) SA 558) at 562</w:t>
      </w:r>
    </w:p>
  </w:footnote>
  <w:footnote w:id="7">
    <w:p w:rsidR="00AB243D" w:rsidRDefault="00AB243D">
      <w:pPr>
        <w:pStyle w:val="FootnoteText"/>
      </w:pPr>
      <w:r>
        <w:rPr>
          <w:rStyle w:val="FootnoteReference"/>
        </w:rPr>
        <w:footnoteRef/>
      </w:r>
      <w:r>
        <w:t xml:space="preserve"> Musgrove and Watson (Rhodesia) (Pvt) Ltd v </w:t>
      </w:r>
      <w:proofErr w:type="spellStart"/>
      <w:r>
        <w:t>Rotta</w:t>
      </w:r>
      <w:proofErr w:type="spellEnd"/>
      <w:r>
        <w:t xml:space="preserve"> 1978 (2) SA 918 @ 922</w:t>
      </w:r>
    </w:p>
  </w:footnote>
  <w:footnote w:id="8">
    <w:p w:rsidR="00AB243D" w:rsidRDefault="00AB243D">
      <w:pPr>
        <w:pStyle w:val="FootnoteText"/>
      </w:pPr>
      <w:r>
        <w:rPr>
          <w:rStyle w:val="FootnoteReference"/>
        </w:rPr>
        <w:footnoteRef/>
      </w:r>
      <w:r>
        <w:t xml:space="preserve"> Pollock: Contract 1</w:t>
      </w:r>
    </w:p>
  </w:footnote>
  <w:footnote w:id="9">
    <w:p w:rsidR="005B5A42" w:rsidRDefault="005B5A42">
      <w:pPr>
        <w:pStyle w:val="FootnoteText"/>
      </w:pPr>
      <w:r>
        <w:rPr>
          <w:rStyle w:val="FootnoteReference"/>
        </w:rPr>
        <w:footnoteRef/>
      </w:r>
      <w:r>
        <w:t xml:space="preserve"> SC 49/13, page 2 of the cyclostyled judgment</w:t>
      </w:r>
    </w:p>
  </w:footnote>
  <w:footnote w:id="10">
    <w:p w:rsidR="00496DE6" w:rsidRDefault="00496DE6">
      <w:pPr>
        <w:pStyle w:val="FootnoteText"/>
      </w:pPr>
      <w:r>
        <w:rPr>
          <w:rStyle w:val="FootnoteReference"/>
        </w:rPr>
        <w:footnoteRef/>
      </w:r>
      <w:r>
        <w:t xml:space="preserve"> Standard Bank of South Africa v Echo Petroleum. ZASCA 18 at paragraph 27</w:t>
      </w:r>
    </w:p>
  </w:footnote>
  <w:footnote w:id="11">
    <w:p w:rsidR="0012291C" w:rsidRDefault="0012291C">
      <w:pPr>
        <w:pStyle w:val="FootnoteText"/>
      </w:pPr>
      <w:r>
        <w:rPr>
          <w:rStyle w:val="FootnoteReference"/>
        </w:rPr>
        <w:footnoteRef/>
      </w:r>
      <w:r>
        <w:t xml:space="preserve"> S-57-02</w:t>
      </w:r>
    </w:p>
  </w:footnote>
  <w:footnote w:id="12">
    <w:p w:rsidR="0012291C" w:rsidRDefault="0012291C">
      <w:pPr>
        <w:pStyle w:val="FootnoteText"/>
      </w:pPr>
      <w:r>
        <w:rPr>
          <w:rStyle w:val="FootnoteReference"/>
        </w:rPr>
        <w:footnoteRef/>
      </w:r>
      <w:r>
        <w:t xml:space="preserve"> </w:t>
      </w:r>
      <w:proofErr w:type="spellStart"/>
      <w:r>
        <w:t>Eriksen</w:t>
      </w:r>
      <w:proofErr w:type="spellEnd"/>
      <w:r>
        <w:t xml:space="preserve"> Motors (We</w:t>
      </w:r>
      <w:r w:rsidR="00823C61">
        <w:t xml:space="preserve">lkom) Ltd v </w:t>
      </w:r>
      <w:proofErr w:type="spellStart"/>
      <w:r w:rsidR="00823C61">
        <w:t>Protea</w:t>
      </w:r>
      <w:proofErr w:type="spellEnd"/>
      <w:r w:rsidR="00823C61">
        <w:t xml:space="preserve"> Motors &amp; </w:t>
      </w:r>
      <w:proofErr w:type="spellStart"/>
      <w:r w:rsidR="00823C61">
        <w:t>A</w:t>
      </w:r>
      <w:r>
        <w:t>nor</w:t>
      </w:r>
      <w:proofErr w:type="spellEnd"/>
      <w:r>
        <w:t xml:space="preserve"> 1973 (3) SA 685 (A) at 691.</w:t>
      </w:r>
    </w:p>
    <w:p w:rsidR="00A74998" w:rsidRDefault="00A74998">
      <w:pPr>
        <w:pStyle w:val="FootnoteText"/>
      </w:pPr>
      <w:r>
        <w:t xml:space="preserve">Duma (Pvt) Ltd v </w:t>
      </w:r>
      <w:proofErr w:type="spellStart"/>
      <w:r>
        <w:t>Siziba</w:t>
      </w:r>
      <w:proofErr w:type="spellEnd"/>
      <w:r>
        <w:t xml:space="preserve"> 1996</w:t>
      </w:r>
      <w:r w:rsidR="00170062">
        <w:t xml:space="preserve"> (@) ZLR 636 (S) at 641</w:t>
      </w:r>
    </w:p>
  </w:footnote>
  <w:footnote w:id="13">
    <w:p w:rsidR="007D4851" w:rsidRDefault="007D4851">
      <w:pPr>
        <w:pStyle w:val="FootnoteText"/>
      </w:pPr>
      <w:r>
        <w:rPr>
          <w:rStyle w:val="FootnoteReference"/>
        </w:rPr>
        <w:footnoteRef/>
      </w:r>
      <w:r>
        <w:t xml:space="preserve"> </w:t>
      </w:r>
      <w:proofErr w:type="spellStart"/>
      <w:r>
        <w:t>Kircos</w:t>
      </w:r>
      <w:proofErr w:type="spellEnd"/>
      <w:r>
        <w:t xml:space="preserve"> v Standard Chartered Bank of South Africa Ltd 1958 R + N 661</w:t>
      </w:r>
    </w:p>
  </w:footnote>
  <w:footnote w:id="14">
    <w:p w:rsidR="004A3A19" w:rsidRDefault="004A3A19">
      <w:pPr>
        <w:pStyle w:val="FootnoteText"/>
      </w:pPr>
      <w:r>
        <w:rPr>
          <w:rStyle w:val="FootnoteReference"/>
        </w:rPr>
        <w:footnoteRef/>
      </w:r>
      <w:r>
        <w:t xml:space="preserve"> R. </w:t>
      </w:r>
      <w:proofErr w:type="spellStart"/>
      <w:r>
        <w:t>Granston</w:t>
      </w:r>
      <w:proofErr w:type="spellEnd"/>
      <w:r>
        <w:t>: Principles of Baking Law 2</w:t>
      </w:r>
      <w:r w:rsidRPr="004A3A19">
        <w:rPr>
          <w:vertAlign w:val="superscript"/>
        </w:rPr>
        <w:t>nd</w:t>
      </w:r>
      <w:r>
        <w:t xml:space="preserve"> </w:t>
      </w:r>
      <w:proofErr w:type="spellStart"/>
      <w:r>
        <w:t>ed</w:t>
      </w:r>
      <w:proofErr w:type="spellEnd"/>
      <w:r>
        <w:t xml:space="preserve"> at p. 140-1 American Express Services Europe Ltd v </w:t>
      </w:r>
      <w:proofErr w:type="spellStart"/>
      <w:r>
        <w:t>Tuvyahi</w:t>
      </w:r>
      <w:proofErr w:type="spellEnd"/>
      <w:r>
        <w:t>, CA 12 July 2002</w:t>
      </w:r>
    </w:p>
    <w:p w:rsidR="004653E8" w:rsidRDefault="004653E8">
      <w:pPr>
        <w:pStyle w:val="FootnoteText"/>
      </w:pPr>
      <w:r>
        <w:t xml:space="preserve">D. A </w:t>
      </w:r>
      <w:proofErr w:type="spellStart"/>
      <w:r>
        <w:t>Ungaro</w:t>
      </w:r>
      <w:proofErr w:type="spellEnd"/>
      <w:r>
        <w:t xml:space="preserve"> &amp; Sons (Pty) Limited v </w:t>
      </w:r>
      <w:proofErr w:type="spellStart"/>
      <w:r>
        <w:t>Abson</w:t>
      </w:r>
      <w:proofErr w:type="spellEnd"/>
      <w:r>
        <w:t xml:space="preserve"> Bank of SA Ltd v Kaplan, 1922 CPD 214</w:t>
      </w:r>
    </w:p>
  </w:footnote>
  <w:footnote w:id="15">
    <w:p w:rsidR="00796F78" w:rsidRDefault="00796F78">
      <w:pPr>
        <w:pStyle w:val="FootnoteText"/>
      </w:pPr>
      <w:r>
        <w:rPr>
          <w:rStyle w:val="FootnoteReference"/>
        </w:rPr>
        <w:footnoteRef/>
      </w:r>
      <w:r>
        <w:t xml:space="preserve"> </w:t>
      </w:r>
      <w:proofErr w:type="spellStart"/>
      <w:r>
        <w:t>Gr</w:t>
      </w:r>
      <w:r w:rsidR="004653E8">
        <w:t>eater</w:t>
      </w:r>
      <w:r>
        <w:t>mans</w:t>
      </w:r>
      <w:proofErr w:type="spellEnd"/>
      <w:r w:rsidR="004653E8">
        <w:t xml:space="preserve"> Stores (1979) (Private) Limited t/a Thomas Meikles Stores &amp; </w:t>
      </w:r>
      <w:proofErr w:type="spellStart"/>
      <w:r w:rsidR="004653E8">
        <w:t>Anor</w:t>
      </w:r>
      <w:proofErr w:type="spellEnd"/>
      <w:r w:rsidR="004653E8">
        <w:t xml:space="preserve"> v Minister of Public Service, Labour and So</w:t>
      </w:r>
      <w:r w:rsidR="00823C61">
        <w:t>c</w:t>
      </w:r>
      <w:bookmarkStart w:id="0" w:name="_GoBack"/>
      <w:bookmarkEnd w:id="0"/>
      <w:r w:rsidR="004653E8">
        <w:t xml:space="preserve">ial Welfare &amp; </w:t>
      </w:r>
      <w:proofErr w:type="spellStart"/>
      <w:r w:rsidR="004653E8">
        <w:t>Anor</w:t>
      </w:r>
      <w:proofErr w:type="spellEnd"/>
      <w:r w:rsidR="004653E8">
        <w:t xml:space="preserve"> CCZ 2-18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D665CB" w:rsidRDefault="00D665CB">
        <w:pPr>
          <w:pStyle w:val="Header"/>
          <w:jc w:val="right"/>
          <w:rPr>
            <w:noProof/>
          </w:rPr>
        </w:pPr>
        <w:r>
          <w:fldChar w:fldCharType="begin"/>
        </w:r>
        <w:r>
          <w:instrText xml:space="preserve"> PAGE   \* MERGEFORMAT </w:instrText>
        </w:r>
        <w:r>
          <w:fldChar w:fldCharType="separate"/>
        </w:r>
        <w:r w:rsidR="00823C61">
          <w:rPr>
            <w:noProof/>
          </w:rPr>
          <w:t>11</w:t>
        </w:r>
        <w:r>
          <w:rPr>
            <w:noProof/>
          </w:rPr>
          <w:fldChar w:fldCharType="end"/>
        </w:r>
      </w:p>
      <w:p w:rsidR="00D665CB" w:rsidRDefault="00497FB8">
        <w:pPr>
          <w:pStyle w:val="Header"/>
          <w:jc w:val="right"/>
          <w:rPr>
            <w:noProof/>
          </w:rPr>
        </w:pPr>
        <w:r>
          <w:rPr>
            <w:noProof/>
          </w:rPr>
          <w:t>HMT 26</w:t>
        </w:r>
        <w:r w:rsidR="00D665CB">
          <w:rPr>
            <w:noProof/>
          </w:rPr>
          <w:t>-19</w:t>
        </w:r>
      </w:p>
      <w:p w:rsidR="00D665CB" w:rsidRDefault="00D665CB">
        <w:pPr>
          <w:pStyle w:val="Header"/>
          <w:jc w:val="right"/>
        </w:pPr>
        <w:r>
          <w:rPr>
            <w:noProof/>
          </w:rPr>
          <w:t>HC 100/19</w:t>
        </w:r>
      </w:p>
    </w:sdtContent>
  </w:sdt>
  <w:p w:rsidR="00D665CB" w:rsidRDefault="00D665CB"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2F96"/>
    <w:multiLevelType w:val="hybridMultilevel"/>
    <w:tmpl w:val="688ACD46"/>
    <w:lvl w:ilvl="0" w:tplc="FDA660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8D671B7"/>
    <w:multiLevelType w:val="hybridMultilevel"/>
    <w:tmpl w:val="B12EA834"/>
    <w:lvl w:ilvl="0" w:tplc="0B5C0B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A1B1A74"/>
    <w:multiLevelType w:val="hybridMultilevel"/>
    <w:tmpl w:val="F8F8DB02"/>
    <w:lvl w:ilvl="0" w:tplc="08341F1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3457300D"/>
    <w:multiLevelType w:val="hybridMultilevel"/>
    <w:tmpl w:val="22A68C1E"/>
    <w:lvl w:ilvl="0" w:tplc="73167E9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3BC37131"/>
    <w:multiLevelType w:val="hybridMultilevel"/>
    <w:tmpl w:val="13AC1B64"/>
    <w:lvl w:ilvl="0" w:tplc="A45252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410A66CD"/>
    <w:multiLevelType w:val="hybridMultilevel"/>
    <w:tmpl w:val="CE4E403E"/>
    <w:lvl w:ilvl="0" w:tplc="0DD634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65123630"/>
    <w:multiLevelType w:val="hybridMultilevel"/>
    <w:tmpl w:val="0C462352"/>
    <w:lvl w:ilvl="0" w:tplc="80EE9C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nsid w:val="6A4520BD"/>
    <w:multiLevelType w:val="hybridMultilevel"/>
    <w:tmpl w:val="4CCA71DC"/>
    <w:lvl w:ilvl="0" w:tplc="B91AC4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7FEC4EBF"/>
    <w:multiLevelType w:val="hybridMultilevel"/>
    <w:tmpl w:val="F936588E"/>
    <w:lvl w:ilvl="0" w:tplc="24E6009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22"/>
  </w:num>
  <w:num w:numId="3">
    <w:abstractNumId w:val="2"/>
  </w:num>
  <w:num w:numId="4">
    <w:abstractNumId w:val="19"/>
  </w:num>
  <w:num w:numId="5">
    <w:abstractNumId w:val="13"/>
  </w:num>
  <w:num w:numId="6">
    <w:abstractNumId w:val="7"/>
  </w:num>
  <w:num w:numId="7">
    <w:abstractNumId w:val="17"/>
  </w:num>
  <w:num w:numId="8">
    <w:abstractNumId w:val="6"/>
  </w:num>
  <w:num w:numId="9">
    <w:abstractNumId w:val="20"/>
  </w:num>
  <w:num w:numId="10">
    <w:abstractNumId w:val="16"/>
  </w:num>
  <w:num w:numId="11">
    <w:abstractNumId w:val="10"/>
  </w:num>
  <w:num w:numId="12">
    <w:abstractNumId w:val="9"/>
  </w:num>
  <w:num w:numId="13">
    <w:abstractNumId w:val="1"/>
  </w:num>
  <w:num w:numId="14">
    <w:abstractNumId w:val="8"/>
  </w:num>
  <w:num w:numId="15">
    <w:abstractNumId w:val="3"/>
  </w:num>
  <w:num w:numId="16">
    <w:abstractNumId w:val="18"/>
  </w:num>
  <w:num w:numId="17">
    <w:abstractNumId w:val="21"/>
  </w:num>
  <w:num w:numId="18">
    <w:abstractNumId w:val="14"/>
  </w:num>
  <w:num w:numId="19">
    <w:abstractNumId w:val="23"/>
  </w:num>
  <w:num w:numId="20">
    <w:abstractNumId w:val="11"/>
  </w:num>
  <w:num w:numId="21">
    <w:abstractNumId w:val="0"/>
  </w:num>
  <w:num w:numId="22">
    <w:abstractNumId w:val="15"/>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09FF"/>
    <w:rsid w:val="00002B37"/>
    <w:rsid w:val="00011FFF"/>
    <w:rsid w:val="000123BD"/>
    <w:rsid w:val="000136EF"/>
    <w:rsid w:val="0001398E"/>
    <w:rsid w:val="00014375"/>
    <w:rsid w:val="00017ED0"/>
    <w:rsid w:val="000230F2"/>
    <w:rsid w:val="000279CA"/>
    <w:rsid w:val="00027EC1"/>
    <w:rsid w:val="00031938"/>
    <w:rsid w:val="00032419"/>
    <w:rsid w:val="000350EB"/>
    <w:rsid w:val="0004053D"/>
    <w:rsid w:val="00041326"/>
    <w:rsid w:val="00041799"/>
    <w:rsid w:val="00043D3C"/>
    <w:rsid w:val="00044DC7"/>
    <w:rsid w:val="00044E45"/>
    <w:rsid w:val="00046A3E"/>
    <w:rsid w:val="00047D17"/>
    <w:rsid w:val="00050028"/>
    <w:rsid w:val="000512AB"/>
    <w:rsid w:val="00053D65"/>
    <w:rsid w:val="00054637"/>
    <w:rsid w:val="00055AF1"/>
    <w:rsid w:val="00056548"/>
    <w:rsid w:val="00060141"/>
    <w:rsid w:val="00060B8B"/>
    <w:rsid w:val="000611BE"/>
    <w:rsid w:val="000636F5"/>
    <w:rsid w:val="00064FFA"/>
    <w:rsid w:val="000654BF"/>
    <w:rsid w:val="00065A06"/>
    <w:rsid w:val="000662F2"/>
    <w:rsid w:val="00072326"/>
    <w:rsid w:val="0007265A"/>
    <w:rsid w:val="0007762F"/>
    <w:rsid w:val="000830BD"/>
    <w:rsid w:val="00085896"/>
    <w:rsid w:val="00085E91"/>
    <w:rsid w:val="00086158"/>
    <w:rsid w:val="00086343"/>
    <w:rsid w:val="00090535"/>
    <w:rsid w:val="0009160D"/>
    <w:rsid w:val="000966B3"/>
    <w:rsid w:val="000A0D41"/>
    <w:rsid w:val="000A3D2A"/>
    <w:rsid w:val="000A4732"/>
    <w:rsid w:val="000A58DC"/>
    <w:rsid w:val="000A6B76"/>
    <w:rsid w:val="000A6BB3"/>
    <w:rsid w:val="000A7061"/>
    <w:rsid w:val="000B030C"/>
    <w:rsid w:val="000B0728"/>
    <w:rsid w:val="000B26C9"/>
    <w:rsid w:val="000B3709"/>
    <w:rsid w:val="000B3A91"/>
    <w:rsid w:val="000B777B"/>
    <w:rsid w:val="000C1DBA"/>
    <w:rsid w:val="000C5788"/>
    <w:rsid w:val="000C7EE1"/>
    <w:rsid w:val="000D0092"/>
    <w:rsid w:val="000E05E5"/>
    <w:rsid w:val="000E23AF"/>
    <w:rsid w:val="000E292C"/>
    <w:rsid w:val="000E77A5"/>
    <w:rsid w:val="000F0F15"/>
    <w:rsid w:val="000F3C8E"/>
    <w:rsid w:val="000F6C61"/>
    <w:rsid w:val="0010113C"/>
    <w:rsid w:val="001012ED"/>
    <w:rsid w:val="00102549"/>
    <w:rsid w:val="0010539A"/>
    <w:rsid w:val="00105FAC"/>
    <w:rsid w:val="00110674"/>
    <w:rsid w:val="00112746"/>
    <w:rsid w:val="00112C98"/>
    <w:rsid w:val="001136AE"/>
    <w:rsid w:val="00114CB1"/>
    <w:rsid w:val="0011760F"/>
    <w:rsid w:val="00120BEA"/>
    <w:rsid w:val="00121FBB"/>
    <w:rsid w:val="001220BA"/>
    <w:rsid w:val="0012291C"/>
    <w:rsid w:val="00126336"/>
    <w:rsid w:val="00127479"/>
    <w:rsid w:val="00127CFC"/>
    <w:rsid w:val="00130104"/>
    <w:rsid w:val="00132DEF"/>
    <w:rsid w:val="00142F09"/>
    <w:rsid w:val="00142F5E"/>
    <w:rsid w:val="00143388"/>
    <w:rsid w:val="00145FCB"/>
    <w:rsid w:val="001462C0"/>
    <w:rsid w:val="00152A22"/>
    <w:rsid w:val="00153323"/>
    <w:rsid w:val="00154B2C"/>
    <w:rsid w:val="00154D86"/>
    <w:rsid w:val="001556DD"/>
    <w:rsid w:val="001628FF"/>
    <w:rsid w:val="00165639"/>
    <w:rsid w:val="00165B02"/>
    <w:rsid w:val="00170062"/>
    <w:rsid w:val="00171526"/>
    <w:rsid w:val="00171E33"/>
    <w:rsid w:val="0017726C"/>
    <w:rsid w:val="001811A8"/>
    <w:rsid w:val="00185787"/>
    <w:rsid w:val="00186958"/>
    <w:rsid w:val="00191BD9"/>
    <w:rsid w:val="00192BDF"/>
    <w:rsid w:val="001931F4"/>
    <w:rsid w:val="001A13F0"/>
    <w:rsid w:val="001A1A68"/>
    <w:rsid w:val="001A4020"/>
    <w:rsid w:val="001A4968"/>
    <w:rsid w:val="001A54E5"/>
    <w:rsid w:val="001A6F4B"/>
    <w:rsid w:val="001B099B"/>
    <w:rsid w:val="001B0C42"/>
    <w:rsid w:val="001B156D"/>
    <w:rsid w:val="001B66CC"/>
    <w:rsid w:val="001C0EDE"/>
    <w:rsid w:val="001C27A7"/>
    <w:rsid w:val="001C5E8A"/>
    <w:rsid w:val="001C6B41"/>
    <w:rsid w:val="001D3BEE"/>
    <w:rsid w:val="001D73FD"/>
    <w:rsid w:val="001F043C"/>
    <w:rsid w:val="001F0D48"/>
    <w:rsid w:val="001F1AEB"/>
    <w:rsid w:val="001F1B63"/>
    <w:rsid w:val="001F24AD"/>
    <w:rsid w:val="001F562E"/>
    <w:rsid w:val="001F5952"/>
    <w:rsid w:val="001F621D"/>
    <w:rsid w:val="001F72AC"/>
    <w:rsid w:val="00200B65"/>
    <w:rsid w:val="002038F3"/>
    <w:rsid w:val="00211C7D"/>
    <w:rsid w:val="00214B21"/>
    <w:rsid w:val="0021576F"/>
    <w:rsid w:val="00216216"/>
    <w:rsid w:val="0022092A"/>
    <w:rsid w:val="002217C5"/>
    <w:rsid w:val="00224017"/>
    <w:rsid w:val="00225DCE"/>
    <w:rsid w:val="002276DA"/>
    <w:rsid w:val="00227ABF"/>
    <w:rsid w:val="0023317D"/>
    <w:rsid w:val="00236065"/>
    <w:rsid w:val="0023739A"/>
    <w:rsid w:val="0024017F"/>
    <w:rsid w:val="00242199"/>
    <w:rsid w:val="002467A1"/>
    <w:rsid w:val="0025021A"/>
    <w:rsid w:val="00250E0B"/>
    <w:rsid w:val="002572BA"/>
    <w:rsid w:val="0026141E"/>
    <w:rsid w:val="002632FF"/>
    <w:rsid w:val="002645F7"/>
    <w:rsid w:val="0027142C"/>
    <w:rsid w:val="00272E26"/>
    <w:rsid w:val="002770F9"/>
    <w:rsid w:val="00282545"/>
    <w:rsid w:val="00283EEA"/>
    <w:rsid w:val="00286F5B"/>
    <w:rsid w:val="00293B84"/>
    <w:rsid w:val="002A12F6"/>
    <w:rsid w:val="002A1CFA"/>
    <w:rsid w:val="002B376B"/>
    <w:rsid w:val="002B3A84"/>
    <w:rsid w:val="002C446A"/>
    <w:rsid w:val="002D1BEF"/>
    <w:rsid w:val="002E53C6"/>
    <w:rsid w:val="002E7138"/>
    <w:rsid w:val="002F2440"/>
    <w:rsid w:val="002F3668"/>
    <w:rsid w:val="002F39D0"/>
    <w:rsid w:val="002F5744"/>
    <w:rsid w:val="002F70D7"/>
    <w:rsid w:val="002F748C"/>
    <w:rsid w:val="002F7925"/>
    <w:rsid w:val="002F7C31"/>
    <w:rsid w:val="00301D4D"/>
    <w:rsid w:val="0030364F"/>
    <w:rsid w:val="00310098"/>
    <w:rsid w:val="0031012C"/>
    <w:rsid w:val="003114D6"/>
    <w:rsid w:val="00312059"/>
    <w:rsid w:val="00314318"/>
    <w:rsid w:val="003148C0"/>
    <w:rsid w:val="00315732"/>
    <w:rsid w:val="0031580F"/>
    <w:rsid w:val="003258FA"/>
    <w:rsid w:val="00326ABD"/>
    <w:rsid w:val="00331C2C"/>
    <w:rsid w:val="003344A4"/>
    <w:rsid w:val="0034152B"/>
    <w:rsid w:val="00341F71"/>
    <w:rsid w:val="00342451"/>
    <w:rsid w:val="00350084"/>
    <w:rsid w:val="0035194C"/>
    <w:rsid w:val="00351E37"/>
    <w:rsid w:val="003539B0"/>
    <w:rsid w:val="00355836"/>
    <w:rsid w:val="00355DF5"/>
    <w:rsid w:val="00356F89"/>
    <w:rsid w:val="00360671"/>
    <w:rsid w:val="00361E80"/>
    <w:rsid w:val="003621CA"/>
    <w:rsid w:val="00363E0B"/>
    <w:rsid w:val="0037005C"/>
    <w:rsid w:val="0037123D"/>
    <w:rsid w:val="00371711"/>
    <w:rsid w:val="003759CF"/>
    <w:rsid w:val="003800ED"/>
    <w:rsid w:val="003839C0"/>
    <w:rsid w:val="00383CC8"/>
    <w:rsid w:val="003847CB"/>
    <w:rsid w:val="003A04A5"/>
    <w:rsid w:val="003A27EA"/>
    <w:rsid w:val="003A33F7"/>
    <w:rsid w:val="003A38D9"/>
    <w:rsid w:val="003A4275"/>
    <w:rsid w:val="003A485E"/>
    <w:rsid w:val="003A60AE"/>
    <w:rsid w:val="003A61D8"/>
    <w:rsid w:val="003A6BBD"/>
    <w:rsid w:val="003B108D"/>
    <w:rsid w:val="003B3D23"/>
    <w:rsid w:val="003B6C5C"/>
    <w:rsid w:val="003C0A7B"/>
    <w:rsid w:val="003C0BD9"/>
    <w:rsid w:val="003C3A04"/>
    <w:rsid w:val="003C6953"/>
    <w:rsid w:val="003D2B35"/>
    <w:rsid w:val="003D427E"/>
    <w:rsid w:val="003D506F"/>
    <w:rsid w:val="003E1DAF"/>
    <w:rsid w:val="003E3F50"/>
    <w:rsid w:val="003E5E28"/>
    <w:rsid w:val="003E6D48"/>
    <w:rsid w:val="003E7E7C"/>
    <w:rsid w:val="003F0710"/>
    <w:rsid w:val="003F0B48"/>
    <w:rsid w:val="003F1CC4"/>
    <w:rsid w:val="003F242B"/>
    <w:rsid w:val="004002A6"/>
    <w:rsid w:val="00400C19"/>
    <w:rsid w:val="004038A8"/>
    <w:rsid w:val="004043B9"/>
    <w:rsid w:val="00406C38"/>
    <w:rsid w:val="00407542"/>
    <w:rsid w:val="00411DB4"/>
    <w:rsid w:val="00411F86"/>
    <w:rsid w:val="004129D4"/>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017"/>
    <w:rsid w:val="00442BC7"/>
    <w:rsid w:val="0044352C"/>
    <w:rsid w:val="00447091"/>
    <w:rsid w:val="00452828"/>
    <w:rsid w:val="004536B0"/>
    <w:rsid w:val="0045641F"/>
    <w:rsid w:val="00457584"/>
    <w:rsid w:val="00461111"/>
    <w:rsid w:val="00464452"/>
    <w:rsid w:val="004653E8"/>
    <w:rsid w:val="004660F6"/>
    <w:rsid w:val="00467169"/>
    <w:rsid w:val="004673FE"/>
    <w:rsid w:val="004677CB"/>
    <w:rsid w:val="00467E07"/>
    <w:rsid w:val="004771D4"/>
    <w:rsid w:val="004806AA"/>
    <w:rsid w:val="0048136A"/>
    <w:rsid w:val="004846E1"/>
    <w:rsid w:val="00485EBC"/>
    <w:rsid w:val="0048605F"/>
    <w:rsid w:val="00486CB8"/>
    <w:rsid w:val="00490B75"/>
    <w:rsid w:val="00494103"/>
    <w:rsid w:val="00494E97"/>
    <w:rsid w:val="00496D33"/>
    <w:rsid w:val="00496DCD"/>
    <w:rsid w:val="00496DE6"/>
    <w:rsid w:val="00497FB8"/>
    <w:rsid w:val="004A082F"/>
    <w:rsid w:val="004A307F"/>
    <w:rsid w:val="004A3A19"/>
    <w:rsid w:val="004A7167"/>
    <w:rsid w:val="004A7C3E"/>
    <w:rsid w:val="004B0029"/>
    <w:rsid w:val="004B5F41"/>
    <w:rsid w:val="004B6EF8"/>
    <w:rsid w:val="004B7144"/>
    <w:rsid w:val="004C04C9"/>
    <w:rsid w:val="004C1D8F"/>
    <w:rsid w:val="004C31B0"/>
    <w:rsid w:val="004C432F"/>
    <w:rsid w:val="004C5EE6"/>
    <w:rsid w:val="004C7789"/>
    <w:rsid w:val="004D097C"/>
    <w:rsid w:val="004D1F40"/>
    <w:rsid w:val="004D296E"/>
    <w:rsid w:val="004D354E"/>
    <w:rsid w:val="004D38CD"/>
    <w:rsid w:val="004D3B14"/>
    <w:rsid w:val="004D3FF7"/>
    <w:rsid w:val="004D40A1"/>
    <w:rsid w:val="004E1B56"/>
    <w:rsid w:val="004E1E67"/>
    <w:rsid w:val="004E43F9"/>
    <w:rsid w:val="004E504D"/>
    <w:rsid w:val="004E748E"/>
    <w:rsid w:val="004F245B"/>
    <w:rsid w:val="004F490B"/>
    <w:rsid w:val="004F7596"/>
    <w:rsid w:val="005019AC"/>
    <w:rsid w:val="00502C4B"/>
    <w:rsid w:val="00503F66"/>
    <w:rsid w:val="00504935"/>
    <w:rsid w:val="0050572D"/>
    <w:rsid w:val="00505F98"/>
    <w:rsid w:val="005060F1"/>
    <w:rsid w:val="005066F6"/>
    <w:rsid w:val="00513245"/>
    <w:rsid w:val="00515A3A"/>
    <w:rsid w:val="0051677A"/>
    <w:rsid w:val="00527252"/>
    <w:rsid w:val="00527B2A"/>
    <w:rsid w:val="00530B76"/>
    <w:rsid w:val="0053225C"/>
    <w:rsid w:val="005353EE"/>
    <w:rsid w:val="00536750"/>
    <w:rsid w:val="00542F7E"/>
    <w:rsid w:val="00543898"/>
    <w:rsid w:val="00544E2D"/>
    <w:rsid w:val="00550786"/>
    <w:rsid w:val="005528AC"/>
    <w:rsid w:val="00552A5C"/>
    <w:rsid w:val="0055535B"/>
    <w:rsid w:val="00560D07"/>
    <w:rsid w:val="0056334B"/>
    <w:rsid w:val="00570A84"/>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42EE"/>
    <w:rsid w:val="005A7EC2"/>
    <w:rsid w:val="005B0DC5"/>
    <w:rsid w:val="005B2F68"/>
    <w:rsid w:val="005B3049"/>
    <w:rsid w:val="005B5A42"/>
    <w:rsid w:val="005B60D8"/>
    <w:rsid w:val="005C1010"/>
    <w:rsid w:val="005C36C4"/>
    <w:rsid w:val="005C4AD4"/>
    <w:rsid w:val="005C6219"/>
    <w:rsid w:val="005C741D"/>
    <w:rsid w:val="005D0409"/>
    <w:rsid w:val="005D11BB"/>
    <w:rsid w:val="005D4F53"/>
    <w:rsid w:val="005D5841"/>
    <w:rsid w:val="005D6107"/>
    <w:rsid w:val="005E05E6"/>
    <w:rsid w:val="005E2B25"/>
    <w:rsid w:val="005E34E8"/>
    <w:rsid w:val="005E4754"/>
    <w:rsid w:val="005E5782"/>
    <w:rsid w:val="005E6D19"/>
    <w:rsid w:val="005E7A95"/>
    <w:rsid w:val="005E7FD6"/>
    <w:rsid w:val="005F0486"/>
    <w:rsid w:val="005F0984"/>
    <w:rsid w:val="005F0D8D"/>
    <w:rsid w:val="005F150E"/>
    <w:rsid w:val="005F1B7C"/>
    <w:rsid w:val="005F1C7D"/>
    <w:rsid w:val="005F6E15"/>
    <w:rsid w:val="00602D72"/>
    <w:rsid w:val="00603709"/>
    <w:rsid w:val="00604E85"/>
    <w:rsid w:val="00607A8B"/>
    <w:rsid w:val="006117FC"/>
    <w:rsid w:val="0061231A"/>
    <w:rsid w:val="00612981"/>
    <w:rsid w:val="006139B0"/>
    <w:rsid w:val="006144CA"/>
    <w:rsid w:val="00620693"/>
    <w:rsid w:val="006239AF"/>
    <w:rsid w:val="006243DF"/>
    <w:rsid w:val="00624D88"/>
    <w:rsid w:val="006251B6"/>
    <w:rsid w:val="00626AF5"/>
    <w:rsid w:val="00632020"/>
    <w:rsid w:val="0063386A"/>
    <w:rsid w:val="00640733"/>
    <w:rsid w:val="00641C54"/>
    <w:rsid w:val="00644264"/>
    <w:rsid w:val="00645620"/>
    <w:rsid w:val="006475A1"/>
    <w:rsid w:val="00647798"/>
    <w:rsid w:val="00650193"/>
    <w:rsid w:val="006525A0"/>
    <w:rsid w:val="00653BDC"/>
    <w:rsid w:val="00654CA3"/>
    <w:rsid w:val="00655F5B"/>
    <w:rsid w:val="00656B58"/>
    <w:rsid w:val="00660162"/>
    <w:rsid w:val="00660B81"/>
    <w:rsid w:val="006626B3"/>
    <w:rsid w:val="00672715"/>
    <w:rsid w:val="00673820"/>
    <w:rsid w:val="0067540C"/>
    <w:rsid w:val="00675CC3"/>
    <w:rsid w:val="006764A1"/>
    <w:rsid w:val="00676BC8"/>
    <w:rsid w:val="00680A1B"/>
    <w:rsid w:val="00691BA9"/>
    <w:rsid w:val="00692341"/>
    <w:rsid w:val="00693036"/>
    <w:rsid w:val="006A2269"/>
    <w:rsid w:val="006A34C4"/>
    <w:rsid w:val="006A4353"/>
    <w:rsid w:val="006A4E95"/>
    <w:rsid w:val="006A7517"/>
    <w:rsid w:val="006B1B09"/>
    <w:rsid w:val="006B2318"/>
    <w:rsid w:val="006C2111"/>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0804"/>
    <w:rsid w:val="00701AE1"/>
    <w:rsid w:val="0070324D"/>
    <w:rsid w:val="00703B8E"/>
    <w:rsid w:val="00703F6A"/>
    <w:rsid w:val="0070598F"/>
    <w:rsid w:val="00707A32"/>
    <w:rsid w:val="007117F4"/>
    <w:rsid w:val="007125E5"/>
    <w:rsid w:val="00713FCD"/>
    <w:rsid w:val="007146A6"/>
    <w:rsid w:val="007149D5"/>
    <w:rsid w:val="007158CE"/>
    <w:rsid w:val="0071620B"/>
    <w:rsid w:val="0071634A"/>
    <w:rsid w:val="00717DB8"/>
    <w:rsid w:val="0072230A"/>
    <w:rsid w:val="00726C4D"/>
    <w:rsid w:val="00732FDF"/>
    <w:rsid w:val="00733E1C"/>
    <w:rsid w:val="00744C82"/>
    <w:rsid w:val="00744EA7"/>
    <w:rsid w:val="007466D2"/>
    <w:rsid w:val="00746979"/>
    <w:rsid w:val="00747642"/>
    <w:rsid w:val="00750313"/>
    <w:rsid w:val="00752A50"/>
    <w:rsid w:val="00754D0C"/>
    <w:rsid w:val="00755180"/>
    <w:rsid w:val="007628DD"/>
    <w:rsid w:val="007642C1"/>
    <w:rsid w:val="00766E3E"/>
    <w:rsid w:val="00767239"/>
    <w:rsid w:val="00767AA5"/>
    <w:rsid w:val="00770D39"/>
    <w:rsid w:val="007710DE"/>
    <w:rsid w:val="00773482"/>
    <w:rsid w:val="007742D5"/>
    <w:rsid w:val="00774ABE"/>
    <w:rsid w:val="00775179"/>
    <w:rsid w:val="00775B2B"/>
    <w:rsid w:val="00775F71"/>
    <w:rsid w:val="00776DDD"/>
    <w:rsid w:val="00781CC3"/>
    <w:rsid w:val="00782B8F"/>
    <w:rsid w:val="007833C9"/>
    <w:rsid w:val="0078472C"/>
    <w:rsid w:val="00791D22"/>
    <w:rsid w:val="007931A5"/>
    <w:rsid w:val="00793F92"/>
    <w:rsid w:val="0079469C"/>
    <w:rsid w:val="00795E7F"/>
    <w:rsid w:val="00796A92"/>
    <w:rsid w:val="00796F78"/>
    <w:rsid w:val="007A36D9"/>
    <w:rsid w:val="007A377A"/>
    <w:rsid w:val="007A55C9"/>
    <w:rsid w:val="007A5719"/>
    <w:rsid w:val="007A6DFA"/>
    <w:rsid w:val="007B148B"/>
    <w:rsid w:val="007B1FBE"/>
    <w:rsid w:val="007B4C77"/>
    <w:rsid w:val="007C185D"/>
    <w:rsid w:val="007D2A71"/>
    <w:rsid w:val="007D4851"/>
    <w:rsid w:val="007D7E3B"/>
    <w:rsid w:val="007E1351"/>
    <w:rsid w:val="007E445D"/>
    <w:rsid w:val="007E4B13"/>
    <w:rsid w:val="007E4DBF"/>
    <w:rsid w:val="007E7BB6"/>
    <w:rsid w:val="007F2B49"/>
    <w:rsid w:val="007F6D41"/>
    <w:rsid w:val="007F741A"/>
    <w:rsid w:val="00807349"/>
    <w:rsid w:val="00810EE9"/>
    <w:rsid w:val="00811B65"/>
    <w:rsid w:val="00813932"/>
    <w:rsid w:val="00814B5F"/>
    <w:rsid w:val="00814D5F"/>
    <w:rsid w:val="00816C6A"/>
    <w:rsid w:val="00817365"/>
    <w:rsid w:val="00823C61"/>
    <w:rsid w:val="00824E01"/>
    <w:rsid w:val="008316EF"/>
    <w:rsid w:val="008319B6"/>
    <w:rsid w:val="00832BFF"/>
    <w:rsid w:val="0083339A"/>
    <w:rsid w:val="008362F9"/>
    <w:rsid w:val="00836C52"/>
    <w:rsid w:val="008402BE"/>
    <w:rsid w:val="008417D8"/>
    <w:rsid w:val="00841BF0"/>
    <w:rsid w:val="008426A3"/>
    <w:rsid w:val="0084301B"/>
    <w:rsid w:val="008515E7"/>
    <w:rsid w:val="00851F5C"/>
    <w:rsid w:val="00856188"/>
    <w:rsid w:val="00856AFF"/>
    <w:rsid w:val="00857DD3"/>
    <w:rsid w:val="00860498"/>
    <w:rsid w:val="00861076"/>
    <w:rsid w:val="0086690C"/>
    <w:rsid w:val="00866EFF"/>
    <w:rsid w:val="008675B4"/>
    <w:rsid w:val="008805B4"/>
    <w:rsid w:val="00881AE4"/>
    <w:rsid w:val="008829FD"/>
    <w:rsid w:val="008845FC"/>
    <w:rsid w:val="00886AA5"/>
    <w:rsid w:val="008876A1"/>
    <w:rsid w:val="0089073E"/>
    <w:rsid w:val="00890CF3"/>
    <w:rsid w:val="00890DFD"/>
    <w:rsid w:val="00891134"/>
    <w:rsid w:val="0089388D"/>
    <w:rsid w:val="00895CB5"/>
    <w:rsid w:val="0089632E"/>
    <w:rsid w:val="008A260D"/>
    <w:rsid w:val="008A514A"/>
    <w:rsid w:val="008A58D3"/>
    <w:rsid w:val="008A63B1"/>
    <w:rsid w:val="008B33E6"/>
    <w:rsid w:val="008B371B"/>
    <w:rsid w:val="008B45FD"/>
    <w:rsid w:val="008B6880"/>
    <w:rsid w:val="008C080A"/>
    <w:rsid w:val="008C1EF9"/>
    <w:rsid w:val="008C1F3F"/>
    <w:rsid w:val="008D0063"/>
    <w:rsid w:val="008D24FB"/>
    <w:rsid w:val="008D3267"/>
    <w:rsid w:val="008D48DD"/>
    <w:rsid w:val="008E03C0"/>
    <w:rsid w:val="008E14DA"/>
    <w:rsid w:val="008E288D"/>
    <w:rsid w:val="008E6609"/>
    <w:rsid w:val="008F0805"/>
    <w:rsid w:val="008F2042"/>
    <w:rsid w:val="008F6F2C"/>
    <w:rsid w:val="008F6F9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28A9"/>
    <w:rsid w:val="00933953"/>
    <w:rsid w:val="00934294"/>
    <w:rsid w:val="0093527E"/>
    <w:rsid w:val="00940FE0"/>
    <w:rsid w:val="00942C1C"/>
    <w:rsid w:val="00945B82"/>
    <w:rsid w:val="00950C00"/>
    <w:rsid w:val="009554E8"/>
    <w:rsid w:val="00955742"/>
    <w:rsid w:val="009557A9"/>
    <w:rsid w:val="00956782"/>
    <w:rsid w:val="00957235"/>
    <w:rsid w:val="0095744B"/>
    <w:rsid w:val="00960678"/>
    <w:rsid w:val="0096089F"/>
    <w:rsid w:val="0096195C"/>
    <w:rsid w:val="00961DE8"/>
    <w:rsid w:val="00966AEF"/>
    <w:rsid w:val="00970BB9"/>
    <w:rsid w:val="00971EC3"/>
    <w:rsid w:val="00972AEA"/>
    <w:rsid w:val="00972D26"/>
    <w:rsid w:val="0097558E"/>
    <w:rsid w:val="00976283"/>
    <w:rsid w:val="00982282"/>
    <w:rsid w:val="009870D9"/>
    <w:rsid w:val="0098727C"/>
    <w:rsid w:val="009A2635"/>
    <w:rsid w:val="009B05FD"/>
    <w:rsid w:val="009B1216"/>
    <w:rsid w:val="009B369B"/>
    <w:rsid w:val="009B53A0"/>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2A80"/>
    <w:rsid w:val="00A13BC2"/>
    <w:rsid w:val="00A13D7F"/>
    <w:rsid w:val="00A1471A"/>
    <w:rsid w:val="00A16DDA"/>
    <w:rsid w:val="00A2034D"/>
    <w:rsid w:val="00A24054"/>
    <w:rsid w:val="00A25B78"/>
    <w:rsid w:val="00A310CF"/>
    <w:rsid w:val="00A3194E"/>
    <w:rsid w:val="00A3217B"/>
    <w:rsid w:val="00A327B1"/>
    <w:rsid w:val="00A328C1"/>
    <w:rsid w:val="00A355A8"/>
    <w:rsid w:val="00A40AE7"/>
    <w:rsid w:val="00A421FA"/>
    <w:rsid w:val="00A445EE"/>
    <w:rsid w:val="00A45395"/>
    <w:rsid w:val="00A456CD"/>
    <w:rsid w:val="00A463B0"/>
    <w:rsid w:val="00A52B05"/>
    <w:rsid w:val="00A541CF"/>
    <w:rsid w:val="00A579AE"/>
    <w:rsid w:val="00A6045E"/>
    <w:rsid w:val="00A604CD"/>
    <w:rsid w:val="00A61C25"/>
    <w:rsid w:val="00A6217B"/>
    <w:rsid w:val="00A6269D"/>
    <w:rsid w:val="00A640B9"/>
    <w:rsid w:val="00A656F9"/>
    <w:rsid w:val="00A6579C"/>
    <w:rsid w:val="00A66C49"/>
    <w:rsid w:val="00A7008A"/>
    <w:rsid w:val="00A738E7"/>
    <w:rsid w:val="00A74998"/>
    <w:rsid w:val="00A75673"/>
    <w:rsid w:val="00A813E9"/>
    <w:rsid w:val="00A8514A"/>
    <w:rsid w:val="00A862D3"/>
    <w:rsid w:val="00A8720D"/>
    <w:rsid w:val="00A90C59"/>
    <w:rsid w:val="00A92DBE"/>
    <w:rsid w:val="00A962DB"/>
    <w:rsid w:val="00AA09A3"/>
    <w:rsid w:val="00AA6377"/>
    <w:rsid w:val="00AB18F5"/>
    <w:rsid w:val="00AB243D"/>
    <w:rsid w:val="00AC0391"/>
    <w:rsid w:val="00AC2155"/>
    <w:rsid w:val="00AC2609"/>
    <w:rsid w:val="00AC3425"/>
    <w:rsid w:val="00AC3AF0"/>
    <w:rsid w:val="00AC3C4E"/>
    <w:rsid w:val="00AC6B43"/>
    <w:rsid w:val="00AD0A17"/>
    <w:rsid w:val="00AD1FD7"/>
    <w:rsid w:val="00AD275D"/>
    <w:rsid w:val="00AD49F8"/>
    <w:rsid w:val="00AD672F"/>
    <w:rsid w:val="00AD6F7C"/>
    <w:rsid w:val="00AE3C8D"/>
    <w:rsid w:val="00AE50F1"/>
    <w:rsid w:val="00AE71AC"/>
    <w:rsid w:val="00AE7308"/>
    <w:rsid w:val="00AF3AE8"/>
    <w:rsid w:val="00AF4F75"/>
    <w:rsid w:val="00AF76C1"/>
    <w:rsid w:val="00B01487"/>
    <w:rsid w:val="00B06FAD"/>
    <w:rsid w:val="00B108A3"/>
    <w:rsid w:val="00B1120D"/>
    <w:rsid w:val="00B13A73"/>
    <w:rsid w:val="00B14C64"/>
    <w:rsid w:val="00B2417A"/>
    <w:rsid w:val="00B2575C"/>
    <w:rsid w:val="00B25AB0"/>
    <w:rsid w:val="00B26F9D"/>
    <w:rsid w:val="00B3089B"/>
    <w:rsid w:val="00B31540"/>
    <w:rsid w:val="00B333CC"/>
    <w:rsid w:val="00B37E68"/>
    <w:rsid w:val="00B418A1"/>
    <w:rsid w:val="00B42F29"/>
    <w:rsid w:val="00B45479"/>
    <w:rsid w:val="00B549C2"/>
    <w:rsid w:val="00B56A2C"/>
    <w:rsid w:val="00B600E4"/>
    <w:rsid w:val="00B63574"/>
    <w:rsid w:val="00B638B2"/>
    <w:rsid w:val="00B64222"/>
    <w:rsid w:val="00B66172"/>
    <w:rsid w:val="00B671A4"/>
    <w:rsid w:val="00B678E7"/>
    <w:rsid w:val="00B72905"/>
    <w:rsid w:val="00B758F1"/>
    <w:rsid w:val="00B76393"/>
    <w:rsid w:val="00B83004"/>
    <w:rsid w:val="00B91C79"/>
    <w:rsid w:val="00B94F0F"/>
    <w:rsid w:val="00B95D7A"/>
    <w:rsid w:val="00B961BC"/>
    <w:rsid w:val="00BA24F8"/>
    <w:rsid w:val="00BA37DF"/>
    <w:rsid w:val="00BA3DCC"/>
    <w:rsid w:val="00BB013F"/>
    <w:rsid w:val="00BB03A7"/>
    <w:rsid w:val="00BB1B65"/>
    <w:rsid w:val="00BB79FC"/>
    <w:rsid w:val="00BC017B"/>
    <w:rsid w:val="00BC1AC3"/>
    <w:rsid w:val="00BC2890"/>
    <w:rsid w:val="00BC5736"/>
    <w:rsid w:val="00BC58B7"/>
    <w:rsid w:val="00BC70D7"/>
    <w:rsid w:val="00BD2A26"/>
    <w:rsid w:val="00BD3105"/>
    <w:rsid w:val="00BD7737"/>
    <w:rsid w:val="00BE34B1"/>
    <w:rsid w:val="00BE36B2"/>
    <w:rsid w:val="00BE47F9"/>
    <w:rsid w:val="00BE4B41"/>
    <w:rsid w:val="00BE6B60"/>
    <w:rsid w:val="00BF6D8E"/>
    <w:rsid w:val="00BF6ED9"/>
    <w:rsid w:val="00C00782"/>
    <w:rsid w:val="00C0218F"/>
    <w:rsid w:val="00C10402"/>
    <w:rsid w:val="00C11D54"/>
    <w:rsid w:val="00C137E2"/>
    <w:rsid w:val="00C166D2"/>
    <w:rsid w:val="00C170A9"/>
    <w:rsid w:val="00C17B68"/>
    <w:rsid w:val="00C21FC2"/>
    <w:rsid w:val="00C23355"/>
    <w:rsid w:val="00C238C2"/>
    <w:rsid w:val="00C253A6"/>
    <w:rsid w:val="00C3128D"/>
    <w:rsid w:val="00C314C4"/>
    <w:rsid w:val="00C411E1"/>
    <w:rsid w:val="00C4277C"/>
    <w:rsid w:val="00C42C24"/>
    <w:rsid w:val="00C42FA1"/>
    <w:rsid w:val="00C45866"/>
    <w:rsid w:val="00C46AB1"/>
    <w:rsid w:val="00C47F26"/>
    <w:rsid w:val="00C57B4F"/>
    <w:rsid w:val="00C60480"/>
    <w:rsid w:val="00C61B70"/>
    <w:rsid w:val="00C625F4"/>
    <w:rsid w:val="00C63435"/>
    <w:rsid w:val="00C64BDF"/>
    <w:rsid w:val="00C67744"/>
    <w:rsid w:val="00C67EFE"/>
    <w:rsid w:val="00C70A57"/>
    <w:rsid w:val="00C744C3"/>
    <w:rsid w:val="00C74959"/>
    <w:rsid w:val="00C82571"/>
    <w:rsid w:val="00C82948"/>
    <w:rsid w:val="00C831E3"/>
    <w:rsid w:val="00C841D7"/>
    <w:rsid w:val="00C857C5"/>
    <w:rsid w:val="00C86AC3"/>
    <w:rsid w:val="00C87FCB"/>
    <w:rsid w:val="00C9191E"/>
    <w:rsid w:val="00C92983"/>
    <w:rsid w:val="00CA3C9B"/>
    <w:rsid w:val="00CA6A13"/>
    <w:rsid w:val="00CA7684"/>
    <w:rsid w:val="00CB1626"/>
    <w:rsid w:val="00CB190C"/>
    <w:rsid w:val="00CB2AB7"/>
    <w:rsid w:val="00CB3F0B"/>
    <w:rsid w:val="00CB62C8"/>
    <w:rsid w:val="00CC2A9A"/>
    <w:rsid w:val="00CC42F3"/>
    <w:rsid w:val="00CC4606"/>
    <w:rsid w:val="00CC592B"/>
    <w:rsid w:val="00CD2B32"/>
    <w:rsid w:val="00CD3494"/>
    <w:rsid w:val="00CD50C2"/>
    <w:rsid w:val="00CD66F9"/>
    <w:rsid w:val="00CD7723"/>
    <w:rsid w:val="00CE3EC1"/>
    <w:rsid w:val="00CE6490"/>
    <w:rsid w:val="00CF1888"/>
    <w:rsid w:val="00CF728D"/>
    <w:rsid w:val="00CF7A46"/>
    <w:rsid w:val="00CF7B77"/>
    <w:rsid w:val="00D00D80"/>
    <w:rsid w:val="00D068CB"/>
    <w:rsid w:val="00D10142"/>
    <w:rsid w:val="00D101F1"/>
    <w:rsid w:val="00D1036B"/>
    <w:rsid w:val="00D10CC0"/>
    <w:rsid w:val="00D1520C"/>
    <w:rsid w:val="00D20231"/>
    <w:rsid w:val="00D2448D"/>
    <w:rsid w:val="00D25B11"/>
    <w:rsid w:val="00D26FB2"/>
    <w:rsid w:val="00D31205"/>
    <w:rsid w:val="00D32726"/>
    <w:rsid w:val="00D455BD"/>
    <w:rsid w:val="00D47EFA"/>
    <w:rsid w:val="00D51BA5"/>
    <w:rsid w:val="00D5458D"/>
    <w:rsid w:val="00D56409"/>
    <w:rsid w:val="00D572F8"/>
    <w:rsid w:val="00D57DE8"/>
    <w:rsid w:val="00D60A33"/>
    <w:rsid w:val="00D619BF"/>
    <w:rsid w:val="00D61EEA"/>
    <w:rsid w:val="00D61F7C"/>
    <w:rsid w:val="00D6237A"/>
    <w:rsid w:val="00D6464E"/>
    <w:rsid w:val="00D66294"/>
    <w:rsid w:val="00D665CB"/>
    <w:rsid w:val="00D7304C"/>
    <w:rsid w:val="00D743A2"/>
    <w:rsid w:val="00D74C13"/>
    <w:rsid w:val="00D75549"/>
    <w:rsid w:val="00D76881"/>
    <w:rsid w:val="00D77469"/>
    <w:rsid w:val="00D829F2"/>
    <w:rsid w:val="00D8392F"/>
    <w:rsid w:val="00D85C5A"/>
    <w:rsid w:val="00D91636"/>
    <w:rsid w:val="00D957E9"/>
    <w:rsid w:val="00D97314"/>
    <w:rsid w:val="00DA03DA"/>
    <w:rsid w:val="00DA2C2D"/>
    <w:rsid w:val="00DA2DE5"/>
    <w:rsid w:val="00DA485B"/>
    <w:rsid w:val="00DA6802"/>
    <w:rsid w:val="00DA6A0B"/>
    <w:rsid w:val="00DA7505"/>
    <w:rsid w:val="00DB477E"/>
    <w:rsid w:val="00DC2746"/>
    <w:rsid w:val="00DC2833"/>
    <w:rsid w:val="00DC2EE9"/>
    <w:rsid w:val="00DC547E"/>
    <w:rsid w:val="00DC5580"/>
    <w:rsid w:val="00DD1430"/>
    <w:rsid w:val="00DD2E30"/>
    <w:rsid w:val="00DD547F"/>
    <w:rsid w:val="00DE0DA7"/>
    <w:rsid w:val="00DE1E20"/>
    <w:rsid w:val="00DE3524"/>
    <w:rsid w:val="00DE3C2E"/>
    <w:rsid w:val="00DE5FE1"/>
    <w:rsid w:val="00DF2F63"/>
    <w:rsid w:val="00DF55E1"/>
    <w:rsid w:val="00E00EC5"/>
    <w:rsid w:val="00E02271"/>
    <w:rsid w:val="00E10288"/>
    <w:rsid w:val="00E10962"/>
    <w:rsid w:val="00E10F2E"/>
    <w:rsid w:val="00E10FB4"/>
    <w:rsid w:val="00E124F8"/>
    <w:rsid w:val="00E12CC3"/>
    <w:rsid w:val="00E13EF1"/>
    <w:rsid w:val="00E1640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64D"/>
    <w:rsid w:val="00E63A00"/>
    <w:rsid w:val="00E67F3B"/>
    <w:rsid w:val="00E7027E"/>
    <w:rsid w:val="00E80581"/>
    <w:rsid w:val="00E86164"/>
    <w:rsid w:val="00E92537"/>
    <w:rsid w:val="00E93261"/>
    <w:rsid w:val="00E9356E"/>
    <w:rsid w:val="00E93707"/>
    <w:rsid w:val="00E93ED7"/>
    <w:rsid w:val="00EA143B"/>
    <w:rsid w:val="00EA3389"/>
    <w:rsid w:val="00EA5374"/>
    <w:rsid w:val="00EA5F20"/>
    <w:rsid w:val="00EA7804"/>
    <w:rsid w:val="00EB30C1"/>
    <w:rsid w:val="00EB6488"/>
    <w:rsid w:val="00EC2523"/>
    <w:rsid w:val="00EC689C"/>
    <w:rsid w:val="00ED03E9"/>
    <w:rsid w:val="00ED20B9"/>
    <w:rsid w:val="00ED2667"/>
    <w:rsid w:val="00ED65CF"/>
    <w:rsid w:val="00ED709E"/>
    <w:rsid w:val="00EE0492"/>
    <w:rsid w:val="00EE06A6"/>
    <w:rsid w:val="00EF0852"/>
    <w:rsid w:val="00EF44F9"/>
    <w:rsid w:val="00F00602"/>
    <w:rsid w:val="00F0267A"/>
    <w:rsid w:val="00F02719"/>
    <w:rsid w:val="00F02C1F"/>
    <w:rsid w:val="00F04882"/>
    <w:rsid w:val="00F06209"/>
    <w:rsid w:val="00F13D55"/>
    <w:rsid w:val="00F14732"/>
    <w:rsid w:val="00F14DA2"/>
    <w:rsid w:val="00F20D78"/>
    <w:rsid w:val="00F2224A"/>
    <w:rsid w:val="00F22F31"/>
    <w:rsid w:val="00F23370"/>
    <w:rsid w:val="00F273C1"/>
    <w:rsid w:val="00F30A67"/>
    <w:rsid w:val="00F32B52"/>
    <w:rsid w:val="00F33270"/>
    <w:rsid w:val="00F36A63"/>
    <w:rsid w:val="00F36D72"/>
    <w:rsid w:val="00F40A79"/>
    <w:rsid w:val="00F41333"/>
    <w:rsid w:val="00F41D0F"/>
    <w:rsid w:val="00F44888"/>
    <w:rsid w:val="00F450C8"/>
    <w:rsid w:val="00F46E8B"/>
    <w:rsid w:val="00F47BEB"/>
    <w:rsid w:val="00F50279"/>
    <w:rsid w:val="00F53B27"/>
    <w:rsid w:val="00F56F2E"/>
    <w:rsid w:val="00F610FC"/>
    <w:rsid w:val="00F61EAC"/>
    <w:rsid w:val="00F63659"/>
    <w:rsid w:val="00F644D5"/>
    <w:rsid w:val="00F64F49"/>
    <w:rsid w:val="00F64F91"/>
    <w:rsid w:val="00F658ED"/>
    <w:rsid w:val="00F65963"/>
    <w:rsid w:val="00F67E5C"/>
    <w:rsid w:val="00F71CC6"/>
    <w:rsid w:val="00F7735D"/>
    <w:rsid w:val="00F80886"/>
    <w:rsid w:val="00F8514F"/>
    <w:rsid w:val="00F8597F"/>
    <w:rsid w:val="00F87C72"/>
    <w:rsid w:val="00F9024F"/>
    <w:rsid w:val="00F941E8"/>
    <w:rsid w:val="00F9434D"/>
    <w:rsid w:val="00F95425"/>
    <w:rsid w:val="00FA2706"/>
    <w:rsid w:val="00FA7A74"/>
    <w:rsid w:val="00FB167B"/>
    <w:rsid w:val="00FB4D26"/>
    <w:rsid w:val="00FB6000"/>
    <w:rsid w:val="00FB6151"/>
    <w:rsid w:val="00FC0A18"/>
    <w:rsid w:val="00FC125F"/>
    <w:rsid w:val="00FC40A7"/>
    <w:rsid w:val="00FD04CD"/>
    <w:rsid w:val="00FD1E8E"/>
    <w:rsid w:val="00FD22EF"/>
    <w:rsid w:val="00FD26DE"/>
    <w:rsid w:val="00FD2734"/>
    <w:rsid w:val="00FD2AC7"/>
    <w:rsid w:val="00FD4C0E"/>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EndnoteText">
    <w:name w:val="endnote text"/>
    <w:basedOn w:val="Normal"/>
    <w:link w:val="EndnoteTextChar"/>
    <w:uiPriority w:val="99"/>
    <w:semiHidden/>
    <w:unhideWhenUsed/>
    <w:rsid w:val="000546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4637"/>
    <w:rPr>
      <w:sz w:val="20"/>
      <w:szCs w:val="20"/>
    </w:rPr>
  </w:style>
  <w:style w:type="character" w:styleId="EndnoteReference">
    <w:name w:val="endnote reference"/>
    <w:basedOn w:val="DefaultParagraphFont"/>
    <w:uiPriority w:val="99"/>
    <w:semiHidden/>
    <w:unhideWhenUsed/>
    <w:rsid w:val="00054637"/>
    <w:rPr>
      <w:vertAlign w:val="superscript"/>
    </w:rPr>
  </w:style>
  <w:style w:type="paragraph" w:styleId="FootnoteText">
    <w:name w:val="footnote text"/>
    <w:basedOn w:val="Normal"/>
    <w:link w:val="FootnoteTextChar"/>
    <w:uiPriority w:val="99"/>
    <w:semiHidden/>
    <w:unhideWhenUsed/>
    <w:rsid w:val="000546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637"/>
    <w:rPr>
      <w:sz w:val="20"/>
      <w:szCs w:val="20"/>
    </w:rPr>
  </w:style>
  <w:style w:type="character" w:styleId="FootnoteReference">
    <w:name w:val="footnote reference"/>
    <w:basedOn w:val="DefaultParagraphFont"/>
    <w:uiPriority w:val="99"/>
    <w:semiHidden/>
    <w:unhideWhenUsed/>
    <w:rsid w:val="000546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4E75-58BF-44EF-A12B-ADE99F311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11</Pages>
  <Words>4075</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67</cp:revision>
  <cp:lastPrinted>2019-04-12T10:13:00Z</cp:lastPrinted>
  <dcterms:created xsi:type="dcterms:W3CDTF">2019-04-11T06:46:00Z</dcterms:created>
  <dcterms:modified xsi:type="dcterms:W3CDTF">2019-04-12T10:19:00Z</dcterms:modified>
</cp:coreProperties>
</file>