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E5117F" w:rsidRDefault="00660BC7" w:rsidP="00E5117F">
      <w:pPr>
        <w:pStyle w:val="NoSpacing"/>
        <w:jc w:val="both"/>
        <w:rPr>
          <w:b/>
          <w:sz w:val="24"/>
          <w:szCs w:val="24"/>
          <w:lang w:val="en-US"/>
        </w:rPr>
      </w:pPr>
      <w:r w:rsidRPr="00E5117F">
        <w:rPr>
          <w:b/>
          <w:sz w:val="24"/>
          <w:szCs w:val="24"/>
          <w:lang w:val="en-US"/>
        </w:rPr>
        <w:t>MDUDUZI NCUBE</w:t>
      </w:r>
    </w:p>
    <w:p w:rsidR="00660BC7" w:rsidRPr="00E5117F" w:rsidRDefault="00660BC7" w:rsidP="00E5117F">
      <w:pPr>
        <w:pStyle w:val="NoSpacing"/>
        <w:jc w:val="both"/>
        <w:rPr>
          <w:b/>
          <w:sz w:val="24"/>
          <w:szCs w:val="24"/>
          <w:lang w:val="en-US"/>
        </w:rPr>
      </w:pPr>
    </w:p>
    <w:p w:rsidR="00660BC7" w:rsidRPr="00E5117F" w:rsidRDefault="00660BC7" w:rsidP="00E5117F">
      <w:pPr>
        <w:pStyle w:val="NoSpacing"/>
        <w:jc w:val="both"/>
        <w:rPr>
          <w:b/>
          <w:sz w:val="24"/>
          <w:szCs w:val="24"/>
          <w:lang w:val="en-US"/>
        </w:rPr>
      </w:pPr>
      <w:r w:rsidRPr="00E5117F">
        <w:rPr>
          <w:b/>
          <w:sz w:val="24"/>
          <w:szCs w:val="24"/>
          <w:lang w:val="en-US"/>
        </w:rPr>
        <w:t>And</w:t>
      </w:r>
    </w:p>
    <w:p w:rsidR="00660BC7" w:rsidRPr="00E5117F" w:rsidRDefault="00660BC7" w:rsidP="00E5117F">
      <w:pPr>
        <w:pStyle w:val="NoSpacing"/>
        <w:jc w:val="both"/>
        <w:rPr>
          <w:b/>
          <w:sz w:val="24"/>
          <w:szCs w:val="24"/>
          <w:lang w:val="en-US"/>
        </w:rPr>
      </w:pPr>
    </w:p>
    <w:p w:rsidR="00660BC7" w:rsidRPr="00E5117F" w:rsidRDefault="00660BC7" w:rsidP="00E5117F">
      <w:pPr>
        <w:pStyle w:val="NoSpacing"/>
        <w:jc w:val="both"/>
        <w:rPr>
          <w:b/>
          <w:sz w:val="24"/>
          <w:szCs w:val="24"/>
          <w:lang w:val="en-US"/>
        </w:rPr>
      </w:pPr>
      <w:r w:rsidRPr="00E5117F">
        <w:rPr>
          <w:b/>
          <w:sz w:val="24"/>
          <w:szCs w:val="24"/>
          <w:lang w:val="en-US"/>
        </w:rPr>
        <w:t>LUNGELO SIBANDA</w:t>
      </w:r>
    </w:p>
    <w:p w:rsidR="00660BC7" w:rsidRPr="00E5117F" w:rsidRDefault="00660BC7" w:rsidP="00E5117F">
      <w:pPr>
        <w:pStyle w:val="NoSpacing"/>
        <w:jc w:val="both"/>
        <w:rPr>
          <w:b/>
          <w:sz w:val="24"/>
          <w:szCs w:val="24"/>
          <w:lang w:val="en-US"/>
        </w:rPr>
      </w:pPr>
    </w:p>
    <w:p w:rsidR="00660BC7" w:rsidRPr="00E5117F" w:rsidRDefault="00660BC7" w:rsidP="00E5117F">
      <w:pPr>
        <w:pStyle w:val="NoSpacing"/>
        <w:jc w:val="both"/>
        <w:rPr>
          <w:b/>
          <w:sz w:val="24"/>
          <w:szCs w:val="24"/>
          <w:lang w:val="en-US"/>
        </w:rPr>
      </w:pPr>
      <w:r w:rsidRPr="00E5117F">
        <w:rPr>
          <w:b/>
          <w:sz w:val="24"/>
          <w:szCs w:val="24"/>
          <w:lang w:val="en-US"/>
        </w:rPr>
        <w:t>Versus</w:t>
      </w:r>
    </w:p>
    <w:p w:rsidR="00660BC7" w:rsidRPr="00E5117F" w:rsidRDefault="00660BC7" w:rsidP="00E5117F">
      <w:pPr>
        <w:pStyle w:val="NoSpacing"/>
        <w:jc w:val="both"/>
        <w:rPr>
          <w:b/>
          <w:sz w:val="24"/>
          <w:szCs w:val="24"/>
          <w:lang w:val="en-US"/>
        </w:rPr>
      </w:pPr>
    </w:p>
    <w:p w:rsidR="00660BC7" w:rsidRPr="00E5117F" w:rsidRDefault="00660BC7" w:rsidP="00E5117F">
      <w:pPr>
        <w:pStyle w:val="NoSpacing"/>
        <w:jc w:val="both"/>
        <w:rPr>
          <w:b/>
          <w:sz w:val="24"/>
          <w:szCs w:val="24"/>
          <w:lang w:val="en-US"/>
        </w:rPr>
      </w:pPr>
      <w:r w:rsidRPr="00E5117F">
        <w:rPr>
          <w:b/>
          <w:sz w:val="24"/>
          <w:szCs w:val="24"/>
          <w:lang w:val="en-US"/>
        </w:rPr>
        <w:t>THE STATE</w:t>
      </w:r>
    </w:p>
    <w:p w:rsidR="00660BC7" w:rsidRPr="00E5117F" w:rsidRDefault="00660BC7" w:rsidP="00E5117F">
      <w:pPr>
        <w:pStyle w:val="NoSpacing"/>
        <w:jc w:val="both"/>
        <w:rPr>
          <w:b/>
          <w:sz w:val="24"/>
          <w:szCs w:val="24"/>
          <w:lang w:val="en-US"/>
        </w:rPr>
      </w:pPr>
    </w:p>
    <w:p w:rsidR="00660BC7" w:rsidRPr="00E5117F" w:rsidRDefault="00660BC7" w:rsidP="00E5117F">
      <w:pPr>
        <w:pStyle w:val="NoSpacing"/>
        <w:jc w:val="both"/>
        <w:rPr>
          <w:sz w:val="24"/>
          <w:szCs w:val="24"/>
          <w:lang w:val="en-US"/>
        </w:rPr>
      </w:pPr>
      <w:r w:rsidRPr="00E5117F">
        <w:rPr>
          <w:sz w:val="24"/>
          <w:szCs w:val="24"/>
          <w:lang w:val="en-US"/>
        </w:rPr>
        <w:t>IN THE HIGH COURT OF ZIMBABWE</w:t>
      </w:r>
    </w:p>
    <w:p w:rsidR="00660BC7" w:rsidRPr="00E5117F" w:rsidRDefault="00660BC7" w:rsidP="00E5117F">
      <w:pPr>
        <w:pStyle w:val="NoSpacing"/>
        <w:jc w:val="both"/>
        <w:rPr>
          <w:sz w:val="24"/>
          <w:szCs w:val="24"/>
          <w:lang w:val="en-US"/>
        </w:rPr>
      </w:pPr>
      <w:r w:rsidRPr="00E5117F">
        <w:rPr>
          <w:sz w:val="24"/>
          <w:szCs w:val="24"/>
          <w:lang w:val="en-US"/>
        </w:rPr>
        <w:t>MAKONESE J</w:t>
      </w:r>
    </w:p>
    <w:p w:rsidR="00660BC7" w:rsidRPr="00E5117F" w:rsidRDefault="00BE6AD8" w:rsidP="00E5117F">
      <w:pPr>
        <w:pStyle w:val="NoSpacing"/>
        <w:jc w:val="both"/>
        <w:rPr>
          <w:sz w:val="24"/>
          <w:szCs w:val="24"/>
          <w:lang w:val="en-US"/>
        </w:rPr>
      </w:pPr>
      <w:r w:rsidRPr="00E5117F">
        <w:rPr>
          <w:sz w:val="24"/>
          <w:szCs w:val="24"/>
          <w:lang w:val="en-US"/>
        </w:rPr>
        <w:t>BULAWAYO 3 &amp; 6</w:t>
      </w:r>
      <w:r w:rsidR="00660BC7" w:rsidRPr="00E5117F">
        <w:rPr>
          <w:sz w:val="24"/>
          <w:szCs w:val="24"/>
          <w:lang w:val="en-US"/>
        </w:rPr>
        <w:t xml:space="preserve"> APRIL 2023</w:t>
      </w:r>
    </w:p>
    <w:p w:rsidR="00660BC7" w:rsidRPr="00E5117F" w:rsidRDefault="00660BC7" w:rsidP="00E5117F">
      <w:pPr>
        <w:pStyle w:val="NoSpacing"/>
        <w:jc w:val="both"/>
        <w:rPr>
          <w:sz w:val="24"/>
          <w:szCs w:val="24"/>
          <w:lang w:val="en-US"/>
        </w:rPr>
      </w:pPr>
    </w:p>
    <w:p w:rsidR="00660BC7" w:rsidRPr="00E5117F" w:rsidRDefault="00660BC7" w:rsidP="00E5117F">
      <w:pPr>
        <w:pStyle w:val="NoSpacing"/>
        <w:jc w:val="both"/>
        <w:rPr>
          <w:b/>
          <w:sz w:val="24"/>
          <w:szCs w:val="24"/>
          <w:lang w:val="en-US"/>
        </w:rPr>
      </w:pPr>
      <w:r w:rsidRPr="00E5117F">
        <w:rPr>
          <w:b/>
          <w:sz w:val="24"/>
          <w:szCs w:val="24"/>
          <w:lang w:val="en-US"/>
        </w:rPr>
        <w:t>Bail Application</w:t>
      </w:r>
    </w:p>
    <w:p w:rsidR="00660BC7" w:rsidRPr="00E5117F" w:rsidRDefault="00660BC7" w:rsidP="00E5117F">
      <w:pPr>
        <w:pStyle w:val="NoSpacing"/>
        <w:jc w:val="both"/>
        <w:rPr>
          <w:sz w:val="24"/>
          <w:szCs w:val="24"/>
          <w:lang w:val="en-US"/>
        </w:rPr>
      </w:pPr>
    </w:p>
    <w:p w:rsidR="00660BC7" w:rsidRPr="00E5117F" w:rsidRDefault="00660BC7" w:rsidP="00E5117F">
      <w:pPr>
        <w:pStyle w:val="NoSpacing"/>
        <w:jc w:val="both"/>
        <w:rPr>
          <w:sz w:val="24"/>
          <w:szCs w:val="24"/>
          <w:lang w:val="en-US"/>
        </w:rPr>
      </w:pPr>
      <w:r w:rsidRPr="00E5117F">
        <w:rPr>
          <w:i/>
          <w:sz w:val="24"/>
          <w:szCs w:val="24"/>
          <w:lang w:val="en-US"/>
        </w:rPr>
        <w:t>T. Runganga</w:t>
      </w:r>
      <w:r w:rsidRPr="00E5117F">
        <w:rPr>
          <w:sz w:val="24"/>
          <w:szCs w:val="24"/>
          <w:lang w:val="en-US"/>
        </w:rPr>
        <w:t xml:space="preserve"> for the applicants</w:t>
      </w:r>
    </w:p>
    <w:p w:rsidR="00660BC7" w:rsidRPr="00E5117F" w:rsidRDefault="00660BC7" w:rsidP="00E5117F">
      <w:pPr>
        <w:pStyle w:val="NoSpacing"/>
        <w:jc w:val="both"/>
        <w:rPr>
          <w:sz w:val="24"/>
          <w:szCs w:val="24"/>
          <w:lang w:val="en-US"/>
        </w:rPr>
      </w:pPr>
      <w:r w:rsidRPr="00E5117F">
        <w:rPr>
          <w:i/>
          <w:sz w:val="24"/>
          <w:szCs w:val="24"/>
          <w:lang w:val="en-US"/>
        </w:rPr>
        <w:t>B. Gundani</w:t>
      </w:r>
      <w:r w:rsidRPr="00E5117F">
        <w:rPr>
          <w:sz w:val="24"/>
          <w:szCs w:val="24"/>
          <w:lang w:val="en-US"/>
        </w:rPr>
        <w:t xml:space="preserve"> for the respondent</w:t>
      </w:r>
    </w:p>
    <w:p w:rsidR="00660BC7" w:rsidRPr="00E5117F" w:rsidRDefault="00660BC7" w:rsidP="00E5117F">
      <w:pPr>
        <w:pStyle w:val="NoSpacing"/>
        <w:jc w:val="both"/>
        <w:rPr>
          <w:sz w:val="24"/>
          <w:szCs w:val="24"/>
          <w:lang w:val="en-US"/>
        </w:rPr>
      </w:pPr>
    </w:p>
    <w:p w:rsidR="00660BC7" w:rsidRPr="00E5117F" w:rsidRDefault="00660BC7" w:rsidP="00E5117F">
      <w:pPr>
        <w:jc w:val="both"/>
        <w:rPr>
          <w:sz w:val="24"/>
          <w:szCs w:val="24"/>
          <w:lang w:val="en-US"/>
        </w:rPr>
      </w:pPr>
      <w:r w:rsidRPr="00E5117F">
        <w:rPr>
          <w:sz w:val="24"/>
          <w:szCs w:val="24"/>
          <w:lang w:val="en-US"/>
        </w:rPr>
        <w:tab/>
      </w:r>
      <w:r w:rsidRPr="00E5117F">
        <w:rPr>
          <w:b/>
          <w:sz w:val="24"/>
          <w:szCs w:val="24"/>
          <w:lang w:val="en-US"/>
        </w:rPr>
        <w:t>MAKONESE J:</w:t>
      </w:r>
      <w:r w:rsidRPr="00E5117F">
        <w:rPr>
          <w:b/>
          <w:sz w:val="24"/>
          <w:szCs w:val="24"/>
          <w:lang w:val="en-US"/>
        </w:rPr>
        <w:tab/>
      </w:r>
      <w:r w:rsidRPr="00E5117F">
        <w:rPr>
          <w:sz w:val="24"/>
          <w:szCs w:val="24"/>
          <w:lang w:val="en-US"/>
        </w:rPr>
        <w:t>The applicants are facing charges of rape in violation of section 6</w:t>
      </w:r>
      <w:r w:rsidR="00C70B2D">
        <w:rPr>
          <w:sz w:val="24"/>
          <w:szCs w:val="24"/>
          <w:lang w:val="en-US"/>
        </w:rPr>
        <w:t>5(1</w:t>
      </w:r>
      <w:r w:rsidRPr="00E5117F">
        <w:rPr>
          <w:sz w:val="24"/>
          <w:szCs w:val="24"/>
          <w:lang w:val="en-US"/>
        </w:rPr>
        <w:t>) of the Criminal Law Codification and Reform Act (Chapter</w:t>
      </w:r>
      <w:r w:rsidR="00E56A48" w:rsidRPr="00E5117F">
        <w:rPr>
          <w:sz w:val="24"/>
          <w:szCs w:val="24"/>
          <w:lang w:val="en-US"/>
        </w:rPr>
        <w:t xml:space="preserve"> 9:23).  Applicants deny the allegations and contend that they had consensual sexual intercourse with the complainant.</w:t>
      </w:r>
    </w:p>
    <w:p w:rsidR="00E56A48" w:rsidRPr="00E5117F" w:rsidRDefault="00E56A48" w:rsidP="00E5117F">
      <w:pPr>
        <w:jc w:val="both"/>
        <w:rPr>
          <w:sz w:val="24"/>
          <w:szCs w:val="24"/>
          <w:lang w:val="en-US"/>
        </w:rPr>
      </w:pPr>
      <w:r w:rsidRPr="00E5117F">
        <w:rPr>
          <w:sz w:val="24"/>
          <w:szCs w:val="24"/>
          <w:lang w:val="en-US"/>
        </w:rPr>
        <w:tab/>
        <w:t>The allegations against the applicants are that on the 4</w:t>
      </w:r>
      <w:r w:rsidRPr="00E5117F">
        <w:rPr>
          <w:sz w:val="24"/>
          <w:szCs w:val="24"/>
          <w:vertAlign w:val="superscript"/>
          <w:lang w:val="en-US"/>
        </w:rPr>
        <w:t>th</w:t>
      </w:r>
      <w:r w:rsidRPr="00E5117F">
        <w:rPr>
          <w:sz w:val="24"/>
          <w:szCs w:val="24"/>
          <w:lang w:val="en-US"/>
        </w:rPr>
        <w:t xml:space="preserve"> of March 2023 and at Dollar Block Extension, Inyathi, the accused took turns to rape the complainant, a female adult aged 19 years.  The state avers that it has a strong </w:t>
      </w:r>
      <w:r w:rsidRPr="00E5117F">
        <w:rPr>
          <w:i/>
          <w:sz w:val="24"/>
          <w:szCs w:val="24"/>
          <w:lang w:val="en-US"/>
        </w:rPr>
        <w:t>prima facie</w:t>
      </w:r>
      <w:r w:rsidRPr="00E5117F">
        <w:rPr>
          <w:sz w:val="24"/>
          <w:szCs w:val="24"/>
          <w:lang w:val="en-US"/>
        </w:rPr>
        <w:t xml:space="preserve"> and against the applicants and that there is a risk of abscondmen</w:t>
      </w:r>
      <w:r w:rsidR="00BE6AD8" w:rsidRPr="00E5117F">
        <w:rPr>
          <w:sz w:val="24"/>
          <w:szCs w:val="24"/>
          <w:lang w:val="en-US"/>
        </w:rPr>
        <w:t>t</w:t>
      </w:r>
      <w:r w:rsidR="000001B6" w:rsidRPr="00E5117F">
        <w:rPr>
          <w:sz w:val="24"/>
          <w:szCs w:val="24"/>
          <w:lang w:val="en-US"/>
        </w:rPr>
        <w:t xml:space="preserve"> if applicants are granted bail pending trial.  In the event of a conviction, the applicants are likely to face a lengthy custodial sentence.  That alone may induce them to abscond.</w:t>
      </w:r>
    </w:p>
    <w:p w:rsidR="000001B6" w:rsidRPr="00E5117F" w:rsidRDefault="000001B6" w:rsidP="00E5117F">
      <w:pPr>
        <w:jc w:val="both"/>
        <w:rPr>
          <w:sz w:val="24"/>
          <w:szCs w:val="24"/>
          <w:lang w:val="en-US"/>
        </w:rPr>
      </w:pPr>
      <w:r w:rsidRPr="00E5117F">
        <w:rPr>
          <w:sz w:val="24"/>
          <w:szCs w:val="24"/>
          <w:lang w:val="en-US"/>
        </w:rPr>
        <w:tab/>
        <w:t>In their bail statement applicants deny having sexual intercourse with the complainant a</w:t>
      </w:r>
      <w:r w:rsidR="00BE6AD8" w:rsidRPr="00E5117F">
        <w:rPr>
          <w:sz w:val="24"/>
          <w:szCs w:val="24"/>
          <w:lang w:val="en-US"/>
        </w:rPr>
        <w:t>g</w:t>
      </w:r>
      <w:r w:rsidRPr="00E5117F">
        <w:rPr>
          <w:sz w:val="24"/>
          <w:szCs w:val="24"/>
          <w:lang w:val="en-US"/>
        </w:rPr>
        <w:t>ainst her will.  Applicants aver that they had consensual sexual intercourse with the complainant.  Applicants submit that the complainant consented to have sexual intercourse wit</w:t>
      </w:r>
      <w:r w:rsidR="00BE6AD8" w:rsidRPr="00E5117F">
        <w:rPr>
          <w:sz w:val="24"/>
          <w:szCs w:val="24"/>
          <w:lang w:val="en-US"/>
        </w:rPr>
        <w:t>h</w:t>
      </w:r>
      <w:r w:rsidRPr="00E5117F">
        <w:rPr>
          <w:sz w:val="24"/>
          <w:szCs w:val="24"/>
          <w:lang w:val="en-US"/>
        </w:rPr>
        <w:t xml:space="preserve"> the two after they p</w:t>
      </w:r>
      <w:r w:rsidR="00E20077">
        <w:rPr>
          <w:sz w:val="24"/>
          <w:szCs w:val="24"/>
          <w:lang w:val="en-US"/>
        </w:rPr>
        <w:t>romised to give her</w:t>
      </w:r>
      <w:r w:rsidR="00AC0C5B">
        <w:rPr>
          <w:sz w:val="24"/>
          <w:szCs w:val="24"/>
          <w:lang w:val="en-US"/>
        </w:rPr>
        <w:t xml:space="preserve"> the</w:t>
      </w:r>
      <w:r w:rsidR="00E20077">
        <w:rPr>
          <w:sz w:val="24"/>
          <w:szCs w:val="24"/>
          <w:lang w:val="en-US"/>
        </w:rPr>
        <w:t xml:space="preserve"> money</w:t>
      </w:r>
      <w:r w:rsidR="00AC0C5B">
        <w:rPr>
          <w:sz w:val="24"/>
          <w:szCs w:val="24"/>
          <w:lang w:val="en-US"/>
        </w:rPr>
        <w:t xml:space="preserve"> they had promised her.</w:t>
      </w:r>
      <w:r w:rsidR="00E20077">
        <w:rPr>
          <w:sz w:val="24"/>
          <w:szCs w:val="24"/>
          <w:lang w:val="en-US"/>
        </w:rPr>
        <w:t xml:space="preserve"> </w:t>
      </w:r>
      <w:r w:rsidRPr="00E5117F">
        <w:rPr>
          <w:sz w:val="24"/>
          <w:szCs w:val="24"/>
          <w:lang w:val="en-US"/>
        </w:rPr>
        <w:t xml:space="preserve">  Applicants failed to give the complainant the money they had promised her.  Applicants aver that complainant felt used and as a way of expressing her anger</w:t>
      </w:r>
      <w:r w:rsidR="00A30380">
        <w:rPr>
          <w:sz w:val="24"/>
          <w:szCs w:val="24"/>
          <w:lang w:val="en-US"/>
        </w:rPr>
        <w:t>,</w:t>
      </w:r>
      <w:r w:rsidRPr="00E5117F">
        <w:rPr>
          <w:sz w:val="24"/>
          <w:szCs w:val="24"/>
          <w:lang w:val="en-US"/>
        </w:rPr>
        <w:t xml:space="preserve"> decided to report the matter as a way of fixing </w:t>
      </w:r>
      <w:r w:rsidR="00BE6AD8" w:rsidRPr="00E5117F">
        <w:rPr>
          <w:sz w:val="24"/>
          <w:szCs w:val="24"/>
          <w:lang w:val="en-US"/>
        </w:rPr>
        <w:t>them</w:t>
      </w:r>
      <w:r w:rsidRPr="00E5117F">
        <w:rPr>
          <w:sz w:val="24"/>
          <w:szCs w:val="24"/>
          <w:lang w:val="en-US"/>
        </w:rPr>
        <w:t>.  Applicants allege that they were appalled when the police arrested them on rape ch</w:t>
      </w:r>
      <w:r w:rsidR="00A30380">
        <w:rPr>
          <w:sz w:val="24"/>
          <w:szCs w:val="24"/>
          <w:lang w:val="en-US"/>
        </w:rPr>
        <w:t>arges.  Applicants submit that gi</w:t>
      </w:r>
      <w:r w:rsidRPr="00E5117F">
        <w:rPr>
          <w:sz w:val="24"/>
          <w:szCs w:val="24"/>
          <w:lang w:val="en-US"/>
        </w:rPr>
        <w:t>ven the circumstances surrounding the alleged offence there is no risk of abscondment.  They are prepared to stand tria</w:t>
      </w:r>
      <w:r w:rsidR="00E5117F" w:rsidRPr="00E5117F">
        <w:rPr>
          <w:sz w:val="24"/>
          <w:szCs w:val="24"/>
          <w:lang w:val="en-US"/>
        </w:rPr>
        <w:t>l as the state case against them</w:t>
      </w:r>
      <w:r w:rsidRPr="00E5117F">
        <w:rPr>
          <w:sz w:val="24"/>
          <w:szCs w:val="24"/>
          <w:lang w:val="en-US"/>
        </w:rPr>
        <w:t xml:space="preserve"> is weak.  Applicants submit that they are persons of fixed abode</w:t>
      </w:r>
      <w:r w:rsidR="00185127" w:rsidRPr="00E5117F">
        <w:rPr>
          <w:sz w:val="24"/>
          <w:szCs w:val="24"/>
          <w:lang w:val="en-US"/>
        </w:rPr>
        <w:t>.  1</w:t>
      </w:r>
      <w:r w:rsidR="00185127" w:rsidRPr="00E5117F">
        <w:rPr>
          <w:sz w:val="24"/>
          <w:szCs w:val="24"/>
          <w:vertAlign w:val="superscript"/>
          <w:lang w:val="en-US"/>
        </w:rPr>
        <w:t>st</w:t>
      </w:r>
      <w:r w:rsidR="00185127" w:rsidRPr="00E5117F">
        <w:rPr>
          <w:sz w:val="24"/>
          <w:szCs w:val="24"/>
          <w:lang w:val="en-US"/>
        </w:rPr>
        <w:t xml:space="preserve"> applicant </w:t>
      </w:r>
      <w:r w:rsidR="00185127" w:rsidRPr="00E5117F">
        <w:rPr>
          <w:sz w:val="24"/>
          <w:szCs w:val="24"/>
          <w:lang w:val="en-US"/>
        </w:rPr>
        <w:lastRenderedPageBreak/>
        <w:t>resides at Ma</w:t>
      </w:r>
      <w:r w:rsidR="00C95498">
        <w:rPr>
          <w:sz w:val="24"/>
          <w:szCs w:val="24"/>
          <w:lang w:val="en-US"/>
        </w:rPr>
        <w:t>teteni Village, Lupane and undertakes to</w:t>
      </w:r>
      <w:r w:rsidR="00185127" w:rsidRPr="00E5117F">
        <w:rPr>
          <w:sz w:val="24"/>
          <w:szCs w:val="24"/>
          <w:lang w:val="en-US"/>
        </w:rPr>
        <w:t xml:space="preserve"> continue residing at that location pending the finalization of the case.  2</w:t>
      </w:r>
      <w:r w:rsidR="00185127" w:rsidRPr="00E5117F">
        <w:rPr>
          <w:sz w:val="24"/>
          <w:szCs w:val="24"/>
          <w:vertAlign w:val="superscript"/>
          <w:lang w:val="en-US"/>
        </w:rPr>
        <w:t>nd</w:t>
      </w:r>
      <w:r w:rsidR="00185127" w:rsidRPr="00E5117F">
        <w:rPr>
          <w:sz w:val="24"/>
          <w:szCs w:val="24"/>
          <w:lang w:val="en-US"/>
        </w:rPr>
        <w:t xml:space="preserve"> applicant resides at Dollar Block Extension, Inyathi.  1</w:t>
      </w:r>
      <w:r w:rsidR="00185127" w:rsidRPr="00E5117F">
        <w:rPr>
          <w:sz w:val="24"/>
          <w:szCs w:val="24"/>
          <w:vertAlign w:val="superscript"/>
          <w:lang w:val="en-US"/>
        </w:rPr>
        <w:t>st</w:t>
      </w:r>
      <w:r w:rsidR="00185127" w:rsidRPr="00E5117F">
        <w:rPr>
          <w:sz w:val="24"/>
          <w:szCs w:val="24"/>
          <w:lang w:val="en-US"/>
        </w:rPr>
        <w:t xml:space="preserve"> applicant is aged 18 years, whilst 2</w:t>
      </w:r>
      <w:r w:rsidR="00185127" w:rsidRPr="00E5117F">
        <w:rPr>
          <w:sz w:val="24"/>
          <w:szCs w:val="24"/>
          <w:vertAlign w:val="superscript"/>
          <w:lang w:val="en-US"/>
        </w:rPr>
        <w:t>nd</w:t>
      </w:r>
      <w:r w:rsidR="00185127" w:rsidRPr="00E5117F">
        <w:rPr>
          <w:sz w:val="24"/>
          <w:szCs w:val="24"/>
          <w:lang w:val="en-US"/>
        </w:rPr>
        <w:t xml:space="preserve"> applicant is aged 17 years.</w:t>
      </w:r>
    </w:p>
    <w:p w:rsidR="00185127" w:rsidRPr="00E5117F" w:rsidRDefault="00185127" w:rsidP="00E5117F">
      <w:pPr>
        <w:jc w:val="both"/>
        <w:rPr>
          <w:sz w:val="24"/>
          <w:szCs w:val="24"/>
          <w:lang w:val="en-US"/>
        </w:rPr>
      </w:pPr>
      <w:r w:rsidRPr="00E5117F">
        <w:rPr>
          <w:sz w:val="24"/>
          <w:szCs w:val="24"/>
          <w:lang w:val="en-US"/>
        </w:rPr>
        <w:tab/>
        <w:t>In an affidavit filed by the state</w:t>
      </w:r>
      <w:r w:rsidR="00CF692D">
        <w:rPr>
          <w:sz w:val="24"/>
          <w:szCs w:val="24"/>
          <w:lang w:val="en-US"/>
        </w:rPr>
        <w:t>,</w:t>
      </w:r>
      <w:r w:rsidRPr="00E5117F">
        <w:rPr>
          <w:sz w:val="24"/>
          <w:szCs w:val="24"/>
          <w:lang w:val="en-US"/>
        </w:rPr>
        <w:t xml:space="preserve"> the Investigating Officer opposes bail on these grounds;</w:t>
      </w:r>
    </w:p>
    <w:p w:rsidR="00185127" w:rsidRPr="00E5117F" w:rsidRDefault="005440C7" w:rsidP="00E5117F">
      <w:pPr>
        <w:pStyle w:val="ListParagraph"/>
        <w:numPr>
          <w:ilvl w:val="0"/>
          <w:numId w:val="1"/>
        </w:numPr>
        <w:jc w:val="both"/>
        <w:rPr>
          <w:sz w:val="24"/>
          <w:szCs w:val="24"/>
          <w:lang w:val="en-US"/>
        </w:rPr>
      </w:pPr>
      <w:r w:rsidRPr="00E5117F">
        <w:rPr>
          <w:sz w:val="24"/>
          <w:szCs w:val="24"/>
          <w:lang w:val="en-US"/>
        </w:rPr>
        <w:t>Applicants</w:t>
      </w:r>
      <w:r w:rsidR="00185127" w:rsidRPr="00E5117F">
        <w:rPr>
          <w:sz w:val="24"/>
          <w:szCs w:val="24"/>
          <w:lang w:val="en-US"/>
        </w:rPr>
        <w:t xml:space="preserve"> are not residents of Inyathi, hence if granted bail they are likely to abscond.</w:t>
      </w:r>
    </w:p>
    <w:p w:rsidR="00185127" w:rsidRPr="00E5117F" w:rsidRDefault="00185127" w:rsidP="00E5117F">
      <w:pPr>
        <w:pStyle w:val="ListParagraph"/>
        <w:numPr>
          <w:ilvl w:val="0"/>
          <w:numId w:val="1"/>
        </w:numPr>
        <w:jc w:val="both"/>
        <w:rPr>
          <w:sz w:val="24"/>
          <w:szCs w:val="24"/>
          <w:lang w:val="en-US"/>
        </w:rPr>
      </w:pPr>
      <w:r w:rsidRPr="00E5117F">
        <w:rPr>
          <w:sz w:val="24"/>
          <w:szCs w:val="24"/>
          <w:lang w:val="en-US"/>
        </w:rPr>
        <w:t>2</w:t>
      </w:r>
      <w:r w:rsidRPr="00E5117F">
        <w:rPr>
          <w:sz w:val="24"/>
          <w:szCs w:val="24"/>
          <w:vertAlign w:val="superscript"/>
          <w:lang w:val="en-US"/>
        </w:rPr>
        <w:t>nd</w:t>
      </w:r>
      <w:r w:rsidRPr="00E5117F">
        <w:rPr>
          <w:sz w:val="24"/>
          <w:szCs w:val="24"/>
          <w:lang w:val="en-US"/>
        </w:rPr>
        <w:t xml:space="preserve"> applicant is complainant’s neighbor and if granted bail he is likely to interfere with witnesses.</w:t>
      </w:r>
    </w:p>
    <w:p w:rsidR="00185127" w:rsidRPr="00E5117F" w:rsidRDefault="003B1E52" w:rsidP="00E5117F">
      <w:pPr>
        <w:pStyle w:val="ListParagraph"/>
        <w:numPr>
          <w:ilvl w:val="0"/>
          <w:numId w:val="1"/>
        </w:numPr>
        <w:jc w:val="both"/>
        <w:rPr>
          <w:sz w:val="24"/>
          <w:szCs w:val="24"/>
          <w:lang w:val="en-US"/>
        </w:rPr>
      </w:pPr>
      <w:r>
        <w:rPr>
          <w:sz w:val="24"/>
          <w:szCs w:val="24"/>
          <w:lang w:val="en-US"/>
        </w:rPr>
        <w:t>d</w:t>
      </w:r>
      <w:r w:rsidR="005440C7" w:rsidRPr="00E5117F">
        <w:rPr>
          <w:sz w:val="24"/>
          <w:szCs w:val="24"/>
          <w:lang w:val="en-US"/>
        </w:rPr>
        <w:t>ue</w:t>
      </w:r>
      <w:r w:rsidR="00185127" w:rsidRPr="00E5117F">
        <w:rPr>
          <w:sz w:val="24"/>
          <w:szCs w:val="24"/>
          <w:lang w:val="en-US"/>
        </w:rPr>
        <w:t xml:space="preserve"> to the gravity of the offence the applicants are likely to abscond if granted bail.</w:t>
      </w:r>
    </w:p>
    <w:p w:rsidR="00185127" w:rsidRPr="00E5117F" w:rsidRDefault="00185127" w:rsidP="00E5117F">
      <w:pPr>
        <w:ind w:firstLine="720"/>
        <w:jc w:val="both"/>
        <w:rPr>
          <w:sz w:val="24"/>
          <w:szCs w:val="24"/>
          <w:lang w:val="en-US"/>
        </w:rPr>
      </w:pPr>
      <w:r w:rsidRPr="00E5117F">
        <w:rPr>
          <w:sz w:val="24"/>
          <w:szCs w:val="24"/>
          <w:lang w:val="en-US"/>
        </w:rPr>
        <w:t>It is trite that in applications for bail pending trial, the courts will lean in favour of an applicant where the interests of justice will not be endangered by the granting of bail.</w:t>
      </w:r>
    </w:p>
    <w:p w:rsidR="00185127" w:rsidRPr="00E5117F" w:rsidRDefault="00185127" w:rsidP="00E5117F">
      <w:pPr>
        <w:jc w:val="both"/>
        <w:rPr>
          <w:sz w:val="24"/>
          <w:szCs w:val="24"/>
          <w:lang w:val="en-US"/>
        </w:rPr>
      </w:pPr>
      <w:r w:rsidRPr="00E5117F">
        <w:rPr>
          <w:sz w:val="24"/>
          <w:szCs w:val="24"/>
          <w:lang w:val="en-US"/>
        </w:rPr>
        <w:tab/>
        <w:t>In terms of section 117 (2) of the Criminal Procedure and Evidence Act (Chapter 9:07), it is provided that:</w:t>
      </w:r>
    </w:p>
    <w:p w:rsidR="00185127" w:rsidRPr="00E5117F" w:rsidRDefault="00185127" w:rsidP="00E5117F">
      <w:pPr>
        <w:pStyle w:val="NoSpacing"/>
        <w:ind w:left="720"/>
        <w:jc w:val="both"/>
        <w:rPr>
          <w:sz w:val="24"/>
          <w:szCs w:val="24"/>
          <w:lang w:val="en-US"/>
        </w:rPr>
      </w:pPr>
      <w:r w:rsidRPr="00E5117F">
        <w:rPr>
          <w:sz w:val="24"/>
          <w:szCs w:val="24"/>
          <w:lang w:val="en-US"/>
        </w:rPr>
        <w:t>“The refusal to grant bail and the</w:t>
      </w:r>
      <w:r w:rsidR="00A33C90" w:rsidRPr="00E5117F">
        <w:rPr>
          <w:sz w:val="24"/>
          <w:szCs w:val="24"/>
          <w:lang w:val="en-US"/>
        </w:rPr>
        <w:t xml:space="preserve"> detention of an accused in custody shall be in the interests of justice where one or more of the following grounds are established –</w:t>
      </w:r>
    </w:p>
    <w:p w:rsidR="00E5117F" w:rsidRPr="00E5117F" w:rsidRDefault="00E5117F" w:rsidP="00E5117F">
      <w:pPr>
        <w:pStyle w:val="NoSpacing"/>
        <w:ind w:left="720"/>
        <w:jc w:val="both"/>
        <w:rPr>
          <w:sz w:val="24"/>
          <w:szCs w:val="24"/>
          <w:lang w:val="en-US"/>
        </w:rPr>
      </w:pPr>
    </w:p>
    <w:p w:rsidR="00A33C90" w:rsidRPr="00E5117F" w:rsidRDefault="00A33C90" w:rsidP="00E5117F">
      <w:pPr>
        <w:pStyle w:val="NoSpacing"/>
        <w:numPr>
          <w:ilvl w:val="0"/>
          <w:numId w:val="2"/>
        </w:numPr>
        <w:jc w:val="both"/>
        <w:rPr>
          <w:sz w:val="24"/>
          <w:szCs w:val="24"/>
          <w:lang w:val="en-US"/>
        </w:rPr>
      </w:pPr>
      <w:r w:rsidRPr="00E5117F">
        <w:rPr>
          <w:sz w:val="24"/>
          <w:szCs w:val="24"/>
          <w:lang w:val="en-US"/>
        </w:rPr>
        <w:t>Where there is a likelihood that the accused, if he or she were released on bail, will –</w:t>
      </w:r>
    </w:p>
    <w:p w:rsidR="00A33C90" w:rsidRPr="00E5117F" w:rsidRDefault="00E5117F" w:rsidP="00E5117F">
      <w:pPr>
        <w:pStyle w:val="NoSpacing"/>
        <w:numPr>
          <w:ilvl w:val="0"/>
          <w:numId w:val="3"/>
        </w:numPr>
        <w:jc w:val="both"/>
        <w:rPr>
          <w:sz w:val="24"/>
          <w:szCs w:val="24"/>
          <w:lang w:val="en-US"/>
        </w:rPr>
      </w:pPr>
      <w:r w:rsidRPr="00E5117F">
        <w:rPr>
          <w:sz w:val="24"/>
          <w:szCs w:val="24"/>
          <w:lang w:val="en-US"/>
        </w:rPr>
        <w:t>e</w:t>
      </w:r>
      <w:r w:rsidR="00A33C90" w:rsidRPr="00E5117F">
        <w:rPr>
          <w:sz w:val="24"/>
          <w:szCs w:val="24"/>
          <w:lang w:val="en-US"/>
        </w:rPr>
        <w:t>ndanger the safety of the public or any particular person or will commit an offence referred to in the First Schedule, or</w:t>
      </w:r>
    </w:p>
    <w:p w:rsidR="00A33C90" w:rsidRPr="00E5117F" w:rsidRDefault="00E5117F" w:rsidP="00E5117F">
      <w:pPr>
        <w:pStyle w:val="NoSpacing"/>
        <w:numPr>
          <w:ilvl w:val="0"/>
          <w:numId w:val="3"/>
        </w:numPr>
        <w:jc w:val="both"/>
        <w:rPr>
          <w:sz w:val="24"/>
          <w:szCs w:val="24"/>
          <w:lang w:val="en-US"/>
        </w:rPr>
      </w:pPr>
      <w:r w:rsidRPr="00E5117F">
        <w:rPr>
          <w:sz w:val="24"/>
          <w:szCs w:val="24"/>
          <w:lang w:val="en-US"/>
        </w:rPr>
        <w:t>n</w:t>
      </w:r>
      <w:r w:rsidR="00A33C90" w:rsidRPr="00E5117F">
        <w:rPr>
          <w:sz w:val="24"/>
          <w:szCs w:val="24"/>
          <w:lang w:val="en-US"/>
        </w:rPr>
        <w:t>ot stand his or her trial or appear to receive sentence; or</w:t>
      </w:r>
    </w:p>
    <w:p w:rsidR="00A33C90" w:rsidRPr="00E5117F" w:rsidRDefault="00E5117F" w:rsidP="00E5117F">
      <w:pPr>
        <w:pStyle w:val="NoSpacing"/>
        <w:numPr>
          <w:ilvl w:val="0"/>
          <w:numId w:val="3"/>
        </w:numPr>
        <w:jc w:val="both"/>
        <w:rPr>
          <w:sz w:val="24"/>
          <w:szCs w:val="24"/>
          <w:lang w:val="en-US"/>
        </w:rPr>
      </w:pPr>
      <w:r w:rsidRPr="00E5117F">
        <w:rPr>
          <w:sz w:val="24"/>
          <w:szCs w:val="24"/>
          <w:lang w:val="en-US"/>
        </w:rPr>
        <w:t>a</w:t>
      </w:r>
      <w:r w:rsidR="00A33C90" w:rsidRPr="00E5117F">
        <w:rPr>
          <w:sz w:val="24"/>
          <w:szCs w:val="24"/>
          <w:lang w:val="en-US"/>
        </w:rPr>
        <w:t>ttempt to influence or intimidate witnesses or to conceal or destroy evidence …”</w:t>
      </w:r>
    </w:p>
    <w:p w:rsidR="00A33C90" w:rsidRPr="00E5117F" w:rsidRDefault="00A33C90" w:rsidP="00E5117F">
      <w:pPr>
        <w:jc w:val="both"/>
        <w:rPr>
          <w:sz w:val="24"/>
          <w:szCs w:val="24"/>
          <w:lang w:val="en-US"/>
        </w:rPr>
      </w:pPr>
    </w:p>
    <w:p w:rsidR="00BF6875" w:rsidRPr="00E5117F" w:rsidRDefault="00A33C90" w:rsidP="00E5117F">
      <w:pPr>
        <w:ind w:firstLine="720"/>
        <w:jc w:val="both"/>
        <w:rPr>
          <w:sz w:val="24"/>
          <w:szCs w:val="24"/>
          <w:lang w:val="en-US"/>
        </w:rPr>
      </w:pPr>
      <w:r w:rsidRPr="00E5117F">
        <w:rPr>
          <w:sz w:val="24"/>
          <w:szCs w:val="24"/>
          <w:lang w:val="en-US"/>
        </w:rPr>
        <w:t>Further, it is provided under section 50 1(d) of the Constitution of Zimbabwe that any person who is arrested must be released unconditionally or on reasonable conditions, pending a charge or trial, unless there are</w:t>
      </w:r>
      <w:r w:rsidR="00BF6875" w:rsidRPr="00E5117F">
        <w:rPr>
          <w:sz w:val="24"/>
          <w:szCs w:val="24"/>
          <w:lang w:val="en-US"/>
        </w:rPr>
        <w:t xml:space="preserve"> compelling reasons justifying their continued detention.</w:t>
      </w:r>
    </w:p>
    <w:p w:rsidR="00BF6875" w:rsidRPr="00E5117F" w:rsidRDefault="00BF6875" w:rsidP="00E5117F">
      <w:pPr>
        <w:jc w:val="both"/>
        <w:rPr>
          <w:sz w:val="24"/>
          <w:szCs w:val="24"/>
          <w:lang w:val="en-US"/>
        </w:rPr>
      </w:pPr>
      <w:r w:rsidRPr="00E5117F">
        <w:rPr>
          <w:sz w:val="24"/>
          <w:szCs w:val="24"/>
          <w:lang w:val="en-US"/>
        </w:rPr>
        <w:tab/>
      </w:r>
      <w:r w:rsidR="00BF3F8C" w:rsidRPr="00E5117F">
        <w:rPr>
          <w:sz w:val="24"/>
          <w:szCs w:val="24"/>
          <w:lang w:val="en-US"/>
        </w:rPr>
        <w:t xml:space="preserve">On the facts of the present case, the state alleges that there is a </w:t>
      </w:r>
      <w:r w:rsidR="00BF3F8C" w:rsidRPr="00E5117F">
        <w:rPr>
          <w:i/>
          <w:sz w:val="24"/>
          <w:szCs w:val="24"/>
          <w:lang w:val="en-US"/>
        </w:rPr>
        <w:t xml:space="preserve">prima facie </w:t>
      </w:r>
      <w:r w:rsidR="00BF3F8C" w:rsidRPr="00E5117F">
        <w:rPr>
          <w:sz w:val="24"/>
          <w:szCs w:val="24"/>
          <w:lang w:val="en-US"/>
        </w:rPr>
        <w:t>strong case against the accused persons.  Both applicants do not dispute having sexual intercourse with the complainant.  Applicants however</w:t>
      </w:r>
      <w:r w:rsidR="0057694F">
        <w:rPr>
          <w:sz w:val="24"/>
          <w:szCs w:val="24"/>
          <w:lang w:val="en-US"/>
        </w:rPr>
        <w:t>,</w:t>
      </w:r>
      <w:r w:rsidR="00BF3F8C" w:rsidRPr="00E5117F">
        <w:rPr>
          <w:sz w:val="24"/>
          <w:szCs w:val="24"/>
          <w:lang w:val="en-US"/>
        </w:rPr>
        <w:t xml:space="preserve"> deny that the sexual acts were non-consensual.  Applicants aver that the reason </w:t>
      </w:r>
      <w:r w:rsidR="00E5117F" w:rsidRPr="00E5117F">
        <w:rPr>
          <w:sz w:val="24"/>
          <w:szCs w:val="24"/>
          <w:lang w:val="en-US"/>
        </w:rPr>
        <w:t>for the accusations against them</w:t>
      </w:r>
      <w:r w:rsidR="00BF3F8C" w:rsidRPr="00E5117F">
        <w:rPr>
          <w:sz w:val="24"/>
          <w:szCs w:val="24"/>
          <w:lang w:val="en-US"/>
        </w:rPr>
        <w:t xml:space="preserve"> is that they failed or </w:t>
      </w:r>
      <w:r w:rsidR="00BF3F8C" w:rsidRPr="00E5117F">
        <w:rPr>
          <w:sz w:val="24"/>
          <w:szCs w:val="24"/>
          <w:lang w:val="en-US"/>
        </w:rPr>
        <w:lastRenderedPageBreak/>
        <w:t>neglected to pay the complainant the money for services rendered.  The defence raised by the applicants is not fanciful.  It is a defence recognizable at law.</w:t>
      </w:r>
    </w:p>
    <w:p w:rsidR="00BF3F8C" w:rsidRPr="00E5117F" w:rsidRDefault="00BF3F8C" w:rsidP="00E5117F">
      <w:pPr>
        <w:jc w:val="both"/>
        <w:rPr>
          <w:sz w:val="24"/>
          <w:szCs w:val="24"/>
          <w:lang w:val="en-US"/>
        </w:rPr>
      </w:pPr>
      <w:r w:rsidRPr="00E5117F">
        <w:rPr>
          <w:sz w:val="24"/>
          <w:szCs w:val="24"/>
          <w:lang w:val="en-US"/>
        </w:rPr>
        <w:tab/>
        <w:t>It is not sufficient for the state to make bold allegations that an applicant in a bail application is a flight risk.  The state is required to place before the court compelling</w:t>
      </w:r>
      <w:r w:rsidR="0069670F" w:rsidRPr="00E5117F">
        <w:rPr>
          <w:sz w:val="24"/>
          <w:szCs w:val="24"/>
          <w:lang w:val="en-US"/>
        </w:rPr>
        <w:t xml:space="preserve"> details on why applicant is deemed a flight risk.  Both applicants</w:t>
      </w:r>
      <w:r w:rsidR="00E5117F" w:rsidRPr="00E5117F">
        <w:rPr>
          <w:sz w:val="24"/>
          <w:szCs w:val="24"/>
          <w:lang w:val="en-US"/>
        </w:rPr>
        <w:t xml:space="preserve"> </w:t>
      </w:r>
      <w:r w:rsidR="0069670F" w:rsidRPr="00E5117F">
        <w:rPr>
          <w:sz w:val="24"/>
          <w:szCs w:val="24"/>
          <w:lang w:val="en-US"/>
        </w:rPr>
        <w:t>are of fixed abode</w:t>
      </w:r>
      <w:r w:rsidR="005A16AA">
        <w:rPr>
          <w:sz w:val="24"/>
          <w:szCs w:val="24"/>
          <w:lang w:val="en-US"/>
        </w:rPr>
        <w:t>.  They have undertaken</w:t>
      </w:r>
      <w:r w:rsidR="0069670F" w:rsidRPr="00E5117F">
        <w:rPr>
          <w:sz w:val="24"/>
          <w:szCs w:val="24"/>
          <w:lang w:val="en-US"/>
        </w:rPr>
        <w:t xml:space="preserve"> that if granted bail they would continue residing at their given address.</w:t>
      </w:r>
    </w:p>
    <w:p w:rsidR="0069670F" w:rsidRPr="00E5117F" w:rsidRDefault="0069670F" w:rsidP="00E5117F">
      <w:pPr>
        <w:jc w:val="both"/>
        <w:rPr>
          <w:sz w:val="24"/>
          <w:szCs w:val="24"/>
          <w:lang w:val="en-US"/>
        </w:rPr>
      </w:pPr>
      <w:r w:rsidRPr="00E5117F">
        <w:rPr>
          <w:sz w:val="24"/>
          <w:szCs w:val="24"/>
          <w:lang w:val="en-US"/>
        </w:rPr>
        <w:tab/>
        <w:t xml:space="preserve">In </w:t>
      </w:r>
      <w:r w:rsidRPr="00E5117F">
        <w:rPr>
          <w:i/>
          <w:sz w:val="24"/>
          <w:szCs w:val="24"/>
          <w:lang w:val="en-US"/>
        </w:rPr>
        <w:t>S</w:t>
      </w:r>
      <w:r w:rsidRPr="00E5117F">
        <w:rPr>
          <w:sz w:val="24"/>
          <w:szCs w:val="24"/>
          <w:lang w:val="en-US"/>
        </w:rPr>
        <w:t xml:space="preserve"> v </w:t>
      </w:r>
      <w:r w:rsidRPr="00E5117F">
        <w:rPr>
          <w:i/>
          <w:sz w:val="24"/>
          <w:szCs w:val="24"/>
          <w:lang w:val="en-US"/>
        </w:rPr>
        <w:t>Munsaka</w:t>
      </w:r>
      <w:r w:rsidRPr="00E5117F">
        <w:rPr>
          <w:sz w:val="24"/>
          <w:szCs w:val="24"/>
          <w:lang w:val="en-US"/>
        </w:rPr>
        <w:t xml:space="preserve"> HB-55-2016, the court emphasized that where bail is being opposed without reference to compelling reasons for an arrested person’s continued detention, there is no basis for opposing bail.  The state has not alluded to any compelling circumstances for the refusal of bail.</w:t>
      </w:r>
    </w:p>
    <w:p w:rsidR="0069670F" w:rsidRPr="00E5117F" w:rsidRDefault="0069670F" w:rsidP="00E5117F">
      <w:pPr>
        <w:jc w:val="both"/>
        <w:rPr>
          <w:sz w:val="24"/>
          <w:szCs w:val="24"/>
          <w:lang w:val="en-US"/>
        </w:rPr>
      </w:pPr>
      <w:r w:rsidRPr="00E5117F">
        <w:rPr>
          <w:sz w:val="24"/>
          <w:szCs w:val="24"/>
          <w:lang w:val="en-US"/>
        </w:rPr>
        <w:tab/>
        <w:t>It is a well</w:t>
      </w:r>
      <w:r w:rsidR="00F74AC8" w:rsidRPr="00E5117F">
        <w:rPr>
          <w:sz w:val="24"/>
          <w:szCs w:val="24"/>
          <w:lang w:val="en-US"/>
        </w:rPr>
        <w:t>-</w:t>
      </w:r>
      <w:r w:rsidRPr="00E5117F">
        <w:rPr>
          <w:sz w:val="24"/>
          <w:szCs w:val="24"/>
          <w:lang w:val="en-US"/>
        </w:rPr>
        <w:t>established principle of our law that the seriousness of an offence on its own is not a basis for the denial of bail.  This is so because the presumption of innocence operates in favour of an accused person.  Applicants are entitled to be presumed innocent until proven otherwise by a competent court.</w:t>
      </w:r>
    </w:p>
    <w:p w:rsidR="0069670F" w:rsidRPr="00E5117F" w:rsidRDefault="0069670F" w:rsidP="00E5117F">
      <w:pPr>
        <w:jc w:val="both"/>
        <w:rPr>
          <w:sz w:val="24"/>
          <w:szCs w:val="24"/>
          <w:lang w:val="en-US"/>
        </w:rPr>
      </w:pPr>
      <w:r w:rsidRPr="00E5117F">
        <w:rPr>
          <w:sz w:val="24"/>
          <w:szCs w:val="24"/>
          <w:lang w:val="en-US"/>
        </w:rPr>
        <w:tab/>
        <w:t>I am satisfied that applicants are suitable candidates for bail.</w:t>
      </w:r>
    </w:p>
    <w:p w:rsidR="0069670F" w:rsidRPr="00E5117F" w:rsidRDefault="0069670F" w:rsidP="00E5117F">
      <w:pPr>
        <w:jc w:val="both"/>
        <w:rPr>
          <w:sz w:val="24"/>
          <w:szCs w:val="24"/>
          <w:lang w:val="en-US"/>
        </w:rPr>
      </w:pPr>
      <w:r w:rsidRPr="00E5117F">
        <w:rPr>
          <w:sz w:val="24"/>
          <w:szCs w:val="24"/>
          <w:lang w:val="en-US"/>
        </w:rPr>
        <w:tab/>
        <w:t>In the circumstances and accordingly, the application for bail pending tr</w:t>
      </w:r>
      <w:r w:rsidR="00666B1A">
        <w:rPr>
          <w:sz w:val="24"/>
          <w:szCs w:val="24"/>
          <w:lang w:val="en-US"/>
        </w:rPr>
        <w:t>ial is granted in terms of the Draft O</w:t>
      </w:r>
      <w:r w:rsidRPr="00E5117F">
        <w:rPr>
          <w:sz w:val="24"/>
          <w:szCs w:val="24"/>
          <w:lang w:val="en-US"/>
        </w:rPr>
        <w:t>rder.</w:t>
      </w:r>
    </w:p>
    <w:p w:rsidR="0069670F" w:rsidRPr="00E5117F" w:rsidRDefault="0069670F" w:rsidP="00E5117F">
      <w:pPr>
        <w:jc w:val="both"/>
        <w:rPr>
          <w:sz w:val="24"/>
          <w:szCs w:val="24"/>
          <w:lang w:val="en-US"/>
        </w:rPr>
      </w:pPr>
    </w:p>
    <w:p w:rsidR="0069670F" w:rsidRPr="00E5117F" w:rsidRDefault="0069670F" w:rsidP="00E5117F">
      <w:pPr>
        <w:jc w:val="both"/>
        <w:rPr>
          <w:sz w:val="24"/>
          <w:szCs w:val="24"/>
          <w:lang w:val="en-US"/>
        </w:rPr>
      </w:pPr>
    </w:p>
    <w:p w:rsidR="0069670F" w:rsidRPr="00E5117F" w:rsidRDefault="0069670F" w:rsidP="00E5117F">
      <w:pPr>
        <w:pStyle w:val="NoSpacing"/>
        <w:jc w:val="both"/>
        <w:rPr>
          <w:sz w:val="24"/>
          <w:szCs w:val="24"/>
          <w:lang w:val="en-US"/>
        </w:rPr>
      </w:pPr>
      <w:r w:rsidRPr="00E5117F">
        <w:rPr>
          <w:i/>
          <w:sz w:val="24"/>
          <w:szCs w:val="24"/>
          <w:lang w:val="en-US"/>
        </w:rPr>
        <w:t>Liberty Mcijo &amp; Associates</w:t>
      </w:r>
      <w:r w:rsidRPr="00E5117F">
        <w:rPr>
          <w:sz w:val="24"/>
          <w:szCs w:val="24"/>
          <w:lang w:val="en-US"/>
        </w:rPr>
        <w:t>, applicants’ legal practitioners</w:t>
      </w:r>
    </w:p>
    <w:p w:rsidR="0069670F" w:rsidRPr="00E5117F" w:rsidRDefault="0069670F" w:rsidP="00E5117F">
      <w:pPr>
        <w:pStyle w:val="NoSpacing"/>
        <w:jc w:val="both"/>
        <w:rPr>
          <w:sz w:val="24"/>
          <w:szCs w:val="24"/>
          <w:lang w:val="en-US"/>
        </w:rPr>
      </w:pPr>
      <w:r w:rsidRPr="00E5117F">
        <w:rPr>
          <w:i/>
          <w:sz w:val="24"/>
          <w:szCs w:val="24"/>
          <w:lang w:val="en-US"/>
        </w:rPr>
        <w:t>National Prosecuting</w:t>
      </w:r>
      <w:bookmarkStart w:id="0" w:name="_GoBack"/>
      <w:bookmarkEnd w:id="0"/>
      <w:r w:rsidRPr="00E5117F">
        <w:rPr>
          <w:i/>
          <w:sz w:val="24"/>
          <w:szCs w:val="24"/>
          <w:lang w:val="en-US"/>
        </w:rPr>
        <w:t xml:space="preserve"> Authority</w:t>
      </w:r>
      <w:r w:rsidRPr="00E5117F">
        <w:rPr>
          <w:sz w:val="24"/>
          <w:szCs w:val="24"/>
          <w:lang w:val="en-US"/>
        </w:rPr>
        <w:t>, respondent’s legal practitioners</w:t>
      </w:r>
    </w:p>
    <w:sectPr w:rsidR="0069670F" w:rsidRPr="00E5117F" w:rsidSect="00B07A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B2B" w:rsidRDefault="00B31B2B" w:rsidP="00BE6AD8">
      <w:pPr>
        <w:spacing w:after="0" w:line="240" w:lineRule="auto"/>
      </w:pPr>
      <w:r>
        <w:separator/>
      </w:r>
    </w:p>
  </w:endnote>
  <w:endnote w:type="continuationSeparator" w:id="0">
    <w:p w:rsidR="00B31B2B" w:rsidRDefault="00B31B2B" w:rsidP="00BE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B2B" w:rsidRDefault="00B31B2B" w:rsidP="00BE6AD8">
      <w:pPr>
        <w:spacing w:after="0" w:line="240" w:lineRule="auto"/>
      </w:pPr>
      <w:r>
        <w:separator/>
      </w:r>
    </w:p>
  </w:footnote>
  <w:footnote w:type="continuationSeparator" w:id="0">
    <w:p w:rsidR="00B31B2B" w:rsidRDefault="00B31B2B" w:rsidP="00BE6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712426"/>
      <w:docPartObj>
        <w:docPartGallery w:val="Page Numbers (Top of Page)"/>
        <w:docPartUnique/>
      </w:docPartObj>
    </w:sdtPr>
    <w:sdtEndPr>
      <w:rPr>
        <w:noProof/>
      </w:rPr>
    </w:sdtEndPr>
    <w:sdtContent>
      <w:p w:rsidR="00BE6AD8" w:rsidRDefault="00B07A46">
        <w:pPr>
          <w:pStyle w:val="Header"/>
          <w:jc w:val="right"/>
          <w:rPr>
            <w:noProof/>
          </w:rPr>
        </w:pPr>
        <w:r>
          <w:fldChar w:fldCharType="begin"/>
        </w:r>
        <w:r w:rsidR="00BE6AD8">
          <w:instrText xml:space="preserve"> PAGE   \* MERGEFORMAT </w:instrText>
        </w:r>
        <w:r>
          <w:fldChar w:fldCharType="separate"/>
        </w:r>
        <w:r w:rsidR="00B8023E">
          <w:rPr>
            <w:noProof/>
          </w:rPr>
          <w:t>3</w:t>
        </w:r>
        <w:r>
          <w:rPr>
            <w:noProof/>
          </w:rPr>
          <w:fldChar w:fldCharType="end"/>
        </w:r>
      </w:p>
      <w:p w:rsidR="00BE6AD8" w:rsidRDefault="00BE6AD8">
        <w:pPr>
          <w:pStyle w:val="Header"/>
          <w:jc w:val="right"/>
          <w:rPr>
            <w:noProof/>
          </w:rPr>
        </w:pPr>
        <w:r>
          <w:rPr>
            <w:noProof/>
          </w:rPr>
          <w:t xml:space="preserve">HB </w:t>
        </w:r>
        <w:r w:rsidR="00B8023E">
          <w:rPr>
            <w:noProof/>
          </w:rPr>
          <w:t>58</w:t>
        </w:r>
        <w:r>
          <w:rPr>
            <w:noProof/>
          </w:rPr>
          <w:t>/23</w:t>
        </w:r>
      </w:p>
      <w:p w:rsidR="00BE6AD8" w:rsidRDefault="00BE6AD8">
        <w:pPr>
          <w:pStyle w:val="Header"/>
          <w:jc w:val="right"/>
        </w:pPr>
        <w:r>
          <w:rPr>
            <w:noProof/>
          </w:rPr>
          <w:t>HCB 114/23</w:t>
        </w:r>
      </w:p>
    </w:sdtContent>
  </w:sdt>
  <w:p w:rsidR="00BE6AD8" w:rsidRDefault="00BE6A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F2D27"/>
    <w:multiLevelType w:val="hybridMultilevel"/>
    <w:tmpl w:val="ED568A6A"/>
    <w:lvl w:ilvl="0" w:tplc="9DFAEBF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0A02530"/>
    <w:multiLevelType w:val="hybridMultilevel"/>
    <w:tmpl w:val="F03CF33C"/>
    <w:lvl w:ilvl="0" w:tplc="1CF089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B0E2934"/>
    <w:multiLevelType w:val="hybridMultilevel"/>
    <w:tmpl w:val="42E80C50"/>
    <w:lvl w:ilvl="0" w:tplc="DD78C41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0BC7"/>
    <w:rsid w:val="000001B6"/>
    <w:rsid w:val="00185127"/>
    <w:rsid w:val="003B1E52"/>
    <w:rsid w:val="004A6989"/>
    <w:rsid w:val="005440C7"/>
    <w:rsid w:val="0057694F"/>
    <w:rsid w:val="005A16AA"/>
    <w:rsid w:val="00660BC7"/>
    <w:rsid w:val="00666B1A"/>
    <w:rsid w:val="0069670F"/>
    <w:rsid w:val="00A30380"/>
    <w:rsid w:val="00A33C90"/>
    <w:rsid w:val="00AC0C5B"/>
    <w:rsid w:val="00B0241D"/>
    <w:rsid w:val="00B07A46"/>
    <w:rsid w:val="00B31B2B"/>
    <w:rsid w:val="00B73C19"/>
    <w:rsid w:val="00B8023E"/>
    <w:rsid w:val="00BE6AD8"/>
    <w:rsid w:val="00BF3F8C"/>
    <w:rsid w:val="00BF6875"/>
    <w:rsid w:val="00C07080"/>
    <w:rsid w:val="00C70B2D"/>
    <w:rsid w:val="00C95498"/>
    <w:rsid w:val="00CF692D"/>
    <w:rsid w:val="00DE31B7"/>
    <w:rsid w:val="00E20077"/>
    <w:rsid w:val="00E5117F"/>
    <w:rsid w:val="00E56A48"/>
    <w:rsid w:val="00F74A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2A108-FE37-48B9-B3C2-181CA155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BC7"/>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0BC7"/>
    <w:pPr>
      <w:spacing w:after="0" w:line="240" w:lineRule="auto"/>
    </w:pPr>
    <w:rPr>
      <w:rFonts w:ascii="Times New Roman" w:hAnsi="Times New Roman"/>
      <w:sz w:val="28"/>
    </w:rPr>
  </w:style>
  <w:style w:type="paragraph" w:styleId="ListParagraph">
    <w:name w:val="List Paragraph"/>
    <w:basedOn w:val="Normal"/>
    <w:uiPriority w:val="34"/>
    <w:qFormat/>
    <w:rsid w:val="00185127"/>
    <w:pPr>
      <w:ind w:left="720"/>
      <w:contextualSpacing/>
    </w:pPr>
  </w:style>
  <w:style w:type="paragraph" w:styleId="Header">
    <w:name w:val="header"/>
    <w:basedOn w:val="Normal"/>
    <w:link w:val="HeaderChar"/>
    <w:uiPriority w:val="99"/>
    <w:unhideWhenUsed/>
    <w:rsid w:val="00BE6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AD8"/>
    <w:rPr>
      <w:rFonts w:ascii="Times New Roman" w:hAnsi="Times New Roman"/>
      <w:sz w:val="28"/>
    </w:rPr>
  </w:style>
  <w:style w:type="paragraph" w:styleId="Footer">
    <w:name w:val="footer"/>
    <w:basedOn w:val="Normal"/>
    <w:link w:val="FooterChar"/>
    <w:uiPriority w:val="99"/>
    <w:unhideWhenUsed/>
    <w:rsid w:val="00BE6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AD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19</cp:revision>
  <cp:lastPrinted>2023-04-05T09:11:00Z</cp:lastPrinted>
  <dcterms:created xsi:type="dcterms:W3CDTF">2023-04-05T06:43:00Z</dcterms:created>
  <dcterms:modified xsi:type="dcterms:W3CDTF">2023-04-05T10:28:00Z</dcterms:modified>
</cp:coreProperties>
</file>