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54A12" w14:textId="77777777" w:rsidR="00337F15" w:rsidRPr="004A72B3" w:rsidRDefault="00337F15" w:rsidP="004A72B3">
      <w:pPr>
        <w:spacing w:line="360" w:lineRule="auto"/>
        <w:jc w:val="both"/>
        <w:rPr>
          <w:rFonts w:ascii="Times New Roman" w:hAnsi="Times New Roman" w:cs="Times New Roman"/>
          <w:b/>
          <w:bCs/>
          <w:sz w:val="24"/>
          <w:szCs w:val="24"/>
          <w:lang w:val="en-US"/>
        </w:rPr>
      </w:pPr>
      <w:bookmarkStart w:id="0" w:name="_GoBack"/>
      <w:bookmarkEnd w:id="0"/>
    </w:p>
    <w:p w14:paraId="1C3F3609" w14:textId="0CDAC4F1" w:rsidR="00337F15" w:rsidRPr="004A72B3" w:rsidRDefault="00337F15" w:rsidP="004A72B3">
      <w:pPr>
        <w:spacing w:line="360" w:lineRule="auto"/>
        <w:jc w:val="both"/>
        <w:rPr>
          <w:rFonts w:ascii="Times New Roman" w:hAnsi="Times New Roman" w:cs="Times New Roman"/>
          <w:sz w:val="24"/>
          <w:szCs w:val="24"/>
          <w:lang w:val="en-US"/>
        </w:rPr>
      </w:pPr>
      <w:r w:rsidRPr="004A72B3">
        <w:rPr>
          <w:rFonts w:ascii="Times New Roman" w:hAnsi="Times New Roman" w:cs="Times New Roman"/>
          <w:sz w:val="24"/>
          <w:szCs w:val="24"/>
          <w:lang w:val="en-US"/>
        </w:rPr>
        <w:t xml:space="preserve">MAZOWE RURAL DISTRICT COUNCIL </w:t>
      </w:r>
    </w:p>
    <w:p w14:paraId="3FC2118A" w14:textId="3EF7956F" w:rsidR="00337F15" w:rsidRPr="004A72B3" w:rsidRDefault="00337F15" w:rsidP="004A72B3">
      <w:pPr>
        <w:spacing w:line="360" w:lineRule="auto"/>
        <w:jc w:val="both"/>
        <w:rPr>
          <w:rFonts w:ascii="Times New Roman" w:hAnsi="Times New Roman" w:cs="Times New Roman"/>
          <w:sz w:val="24"/>
          <w:szCs w:val="24"/>
          <w:lang w:val="en-US"/>
        </w:rPr>
      </w:pPr>
      <w:r w:rsidRPr="004A72B3">
        <w:rPr>
          <w:rFonts w:ascii="Times New Roman" w:hAnsi="Times New Roman" w:cs="Times New Roman"/>
          <w:sz w:val="24"/>
          <w:szCs w:val="24"/>
          <w:lang w:val="en-US"/>
        </w:rPr>
        <w:t xml:space="preserve">Versus </w:t>
      </w:r>
    </w:p>
    <w:p w14:paraId="3B2C9765" w14:textId="021E62D6" w:rsidR="00337F15" w:rsidRDefault="00337F15" w:rsidP="004A72B3">
      <w:pPr>
        <w:spacing w:line="360" w:lineRule="auto"/>
        <w:jc w:val="both"/>
        <w:rPr>
          <w:rFonts w:ascii="Times New Roman" w:hAnsi="Times New Roman" w:cs="Times New Roman"/>
          <w:sz w:val="24"/>
          <w:szCs w:val="24"/>
          <w:lang w:val="en-US"/>
        </w:rPr>
      </w:pPr>
      <w:r w:rsidRPr="004A72B3">
        <w:rPr>
          <w:rFonts w:ascii="Times New Roman" w:hAnsi="Times New Roman" w:cs="Times New Roman"/>
          <w:sz w:val="24"/>
          <w:szCs w:val="24"/>
          <w:lang w:val="en-US"/>
        </w:rPr>
        <w:t xml:space="preserve">EQUITY PROPERTIES (PVT) LIMITED </w:t>
      </w:r>
    </w:p>
    <w:p w14:paraId="6C363B66" w14:textId="77777777" w:rsidR="00C07E99" w:rsidRPr="004A72B3" w:rsidRDefault="00C07E99" w:rsidP="004A72B3">
      <w:pPr>
        <w:spacing w:line="360" w:lineRule="auto"/>
        <w:jc w:val="both"/>
        <w:rPr>
          <w:rFonts w:ascii="Times New Roman" w:hAnsi="Times New Roman" w:cs="Times New Roman"/>
          <w:sz w:val="24"/>
          <w:szCs w:val="24"/>
          <w:lang w:val="en-US"/>
        </w:rPr>
      </w:pPr>
    </w:p>
    <w:p w14:paraId="5A70771C" w14:textId="4F6ABF01" w:rsidR="00337F15"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sz w:val="24"/>
          <w:szCs w:val="24"/>
        </w:rPr>
        <w:t xml:space="preserve">HIGH COURT OF ZIMBABWE </w:t>
      </w:r>
    </w:p>
    <w:p w14:paraId="4D2E7602" w14:textId="21AF844B" w:rsidR="00337F15"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sz w:val="24"/>
          <w:szCs w:val="24"/>
        </w:rPr>
        <w:t xml:space="preserve">COMMERCIAL DIVISION  </w:t>
      </w:r>
    </w:p>
    <w:p w14:paraId="6572E94A" w14:textId="59649724" w:rsidR="00337F15"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sz w:val="24"/>
          <w:szCs w:val="24"/>
        </w:rPr>
        <w:t xml:space="preserve">CHILIMBE J </w:t>
      </w:r>
    </w:p>
    <w:p w14:paraId="0307247C" w14:textId="31B29F3A" w:rsidR="00337F15"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sz w:val="24"/>
          <w:szCs w:val="24"/>
        </w:rPr>
        <w:t>HARARE 13 M</w:t>
      </w:r>
      <w:r w:rsidR="00C07E99">
        <w:rPr>
          <w:rFonts w:ascii="Times New Roman" w:hAnsi="Times New Roman" w:cs="Times New Roman"/>
          <w:sz w:val="24"/>
          <w:szCs w:val="24"/>
        </w:rPr>
        <w:t xml:space="preserve">ay and </w:t>
      </w:r>
      <w:r w:rsidR="00353201">
        <w:rPr>
          <w:rFonts w:ascii="Times New Roman" w:hAnsi="Times New Roman" w:cs="Times New Roman"/>
          <w:sz w:val="24"/>
          <w:szCs w:val="24"/>
        </w:rPr>
        <w:t>2</w:t>
      </w:r>
      <w:r w:rsidR="002D6AD4">
        <w:rPr>
          <w:rFonts w:ascii="Times New Roman" w:hAnsi="Times New Roman" w:cs="Times New Roman"/>
          <w:sz w:val="24"/>
          <w:szCs w:val="24"/>
        </w:rPr>
        <w:t>5</w:t>
      </w:r>
      <w:r w:rsidR="00C07E99">
        <w:rPr>
          <w:rFonts w:ascii="Times New Roman" w:hAnsi="Times New Roman" w:cs="Times New Roman"/>
          <w:sz w:val="24"/>
          <w:szCs w:val="24"/>
        </w:rPr>
        <w:t xml:space="preserve"> June </w:t>
      </w:r>
      <w:r w:rsidRPr="00C07E99">
        <w:rPr>
          <w:rFonts w:ascii="Times New Roman" w:hAnsi="Times New Roman" w:cs="Times New Roman"/>
          <w:sz w:val="24"/>
          <w:szCs w:val="24"/>
        </w:rPr>
        <w:t xml:space="preserve">2025 </w:t>
      </w:r>
    </w:p>
    <w:p w14:paraId="1EF87FFC" w14:textId="3E52B0F3" w:rsidR="00337F15" w:rsidRPr="004A72B3" w:rsidRDefault="00337F15" w:rsidP="004A72B3">
      <w:pPr>
        <w:pStyle w:val="NoSpacing"/>
        <w:spacing w:line="360" w:lineRule="auto"/>
        <w:jc w:val="both"/>
        <w:rPr>
          <w:rFonts w:ascii="Times New Roman" w:hAnsi="Times New Roman" w:cs="Times New Roman"/>
          <w:sz w:val="24"/>
          <w:szCs w:val="24"/>
          <w:lang w:val="en-US"/>
        </w:rPr>
      </w:pPr>
    </w:p>
    <w:p w14:paraId="055B4248" w14:textId="7F6BED1B" w:rsidR="00337F15" w:rsidRPr="004A72B3" w:rsidRDefault="00337F15" w:rsidP="004A72B3">
      <w:pPr>
        <w:pStyle w:val="NoSpacing"/>
        <w:spacing w:line="360" w:lineRule="auto"/>
        <w:jc w:val="both"/>
        <w:rPr>
          <w:rFonts w:ascii="Times New Roman" w:hAnsi="Times New Roman" w:cs="Times New Roman"/>
          <w:b/>
          <w:bCs/>
          <w:sz w:val="24"/>
          <w:szCs w:val="24"/>
          <w:lang w:val="en-US"/>
        </w:rPr>
      </w:pPr>
      <w:r w:rsidRPr="004A72B3">
        <w:rPr>
          <w:rFonts w:ascii="Times New Roman" w:hAnsi="Times New Roman" w:cs="Times New Roman"/>
          <w:b/>
          <w:bCs/>
          <w:sz w:val="24"/>
          <w:szCs w:val="24"/>
          <w:lang w:val="en-US"/>
        </w:rPr>
        <w:t xml:space="preserve">Opposed application </w:t>
      </w:r>
    </w:p>
    <w:p w14:paraId="3C2CB1BE" w14:textId="19ABA0EA" w:rsidR="00337F15" w:rsidRPr="004A72B3" w:rsidRDefault="00337F15" w:rsidP="004A72B3">
      <w:pPr>
        <w:pStyle w:val="NoSpacing"/>
        <w:spacing w:line="360" w:lineRule="auto"/>
        <w:jc w:val="both"/>
        <w:rPr>
          <w:rFonts w:ascii="Times New Roman" w:hAnsi="Times New Roman" w:cs="Times New Roman"/>
          <w:sz w:val="24"/>
          <w:szCs w:val="24"/>
          <w:lang w:val="en-US"/>
        </w:rPr>
      </w:pPr>
    </w:p>
    <w:p w14:paraId="6848F125" w14:textId="28411D38" w:rsidR="00337F15"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i/>
          <w:iCs/>
          <w:sz w:val="24"/>
          <w:szCs w:val="24"/>
        </w:rPr>
        <w:t>M</w:t>
      </w:r>
      <w:r w:rsidR="000B4EBA" w:rsidRPr="00C07E99">
        <w:rPr>
          <w:rFonts w:ascii="Times New Roman" w:hAnsi="Times New Roman" w:cs="Times New Roman"/>
          <w:i/>
          <w:iCs/>
          <w:sz w:val="24"/>
          <w:szCs w:val="24"/>
        </w:rPr>
        <w:t>.</w:t>
      </w:r>
      <w:r w:rsidRPr="00C07E99">
        <w:rPr>
          <w:rFonts w:ascii="Times New Roman" w:hAnsi="Times New Roman" w:cs="Times New Roman"/>
          <w:i/>
          <w:iCs/>
          <w:sz w:val="24"/>
          <w:szCs w:val="24"/>
        </w:rPr>
        <w:t xml:space="preserve"> </w:t>
      </w:r>
      <w:r w:rsidR="00C07E99" w:rsidRPr="00C07E99">
        <w:rPr>
          <w:rFonts w:ascii="Times New Roman" w:hAnsi="Times New Roman" w:cs="Times New Roman"/>
          <w:i/>
          <w:iCs/>
          <w:sz w:val="24"/>
          <w:szCs w:val="24"/>
        </w:rPr>
        <w:t>Ma</w:t>
      </w:r>
      <w:r w:rsidR="00295952">
        <w:rPr>
          <w:rFonts w:ascii="Times New Roman" w:hAnsi="Times New Roman" w:cs="Times New Roman"/>
          <w:i/>
          <w:iCs/>
          <w:sz w:val="24"/>
          <w:szCs w:val="24"/>
        </w:rPr>
        <w:t>vhiringidze</w:t>
      </w:r>
      <w:r w:rsidR="006E7C7E" w:rsidRPr="00C07E99">
        <w:rPr>
          <w:rFonts w:ascii="Times New Roman" w:hAnsi="Times New Roman" w:cs="Times New Roman"/>
          <w:sz w:val="24"/>
          <w:szCs w:val="24"/>
        </w:rPr>
        <w:t xml:space="preserve">- </w:t>
      </w:r>
      <w:r w:rsidR="00C07E99" w:rsidRPr="00C07E99">
        <w:rPr>
          <w:rFonts w:ascii="Times New Roman" w:hAnsi="Times New Roman" w:cs="Times New Roman"/>
          <w:sz w:val="24"/>
          <w:szCs w:val="24"/>
        </w:rPr>
        <w:t>for applicant</w:t>
      </w:r>
      <w:r w:rsidRPr="00C07E99">
        <w:rPr>
          <w:rFonts w:ascii="Times New Roman" w:hAnsi="Times New Roman" w:cs="Times New Roman"/>
          <w:sz w:val="24"/>
          <w:szCs w:val="24"/>
        </w:rPr>
        <w:t xml:space="preserve"> </w:t>
      </w:r>
    </w:p>
    <w:p w14:paraId="01A87F39" w14:textId="7E058819" w:rsidR="00D570BD" w:rsidRPr="00C07E99" w:rsidRDefault="00337F15" w:rsidP="00C07E99">
      <w:pPr>
        <w:pStyle w:val="NoSpacing"/>
        <w:rPr>
          <w:rFonts w:ascii="Times New Roman" w:hAnsi="Times New Roman" w:cs="Times New Roman"/>
          <w:sz w:val="24"/>
          <w:szCs w:val="24"/>
        </w:rPr>
      </w:pPr>
      <w:r w:rsidRPr="00C07E99">
        <w:rPr>
          <w:rFonts w:ascii="Times New Roman" w:hAnsi="Times New Roman" w:cs="Times New Roman"/>
          <w:sz w:val="24"/>
          <w:szCs w:val="24"/>
        </w:rPr>
        <w:t xml:space="preserve"> </w:t>
      </w:r>
      <w:r w:rsidRPr="00C07E99">
        <w:rPr>
          <w:rFonts w:ascii="Times New Roman" w:hAnsi="Times New Roman" w:cs="Times New Roman"/>
          <w:i/>
          <w:iCs/>
          <w:sz w:val="24"/>
          <w:szCs w:val="24"/>
        </w:rPr>
        <w:t xml:space="preserve">G.R.J </w:t>
      </w:r>
      <w:r w:rsidR="000B0092" w:rsidRPr="00C07E99">
        <w:rPr>
          <w:rFonts w:ascii="Times New Roman" w:hAnsi="Times New Roman" w:cs="Times New Roman"/>
          <w:i/>
          <w:iCs/>
          <w:sz w:val="24"/>
          <w:szCs w:val="24"/>
        </w:rPr>
        <w:t>Sithole</w:t>
      </w:r>
      <w:r w:rsidR="00D04E8C" w:rsidRPr="00C07E99">
        <w:rPr>
          <w:rFonts w:ascii="Times New Roman" w:hAnsi="Times New Roman" w:cs="Times New Roman"/>
          <w:sz w:val="24"/>
          <w:szCs w:val="24"/>
        </w:rPr>
        <w:t xml:space="preserve"> </w:t>
      </w:r>
      <w:r w:rsidR="000B0092" w:rsidRPr="00C07E99">
        <w:rPr>
          <w:rFonts w:ascii="Times New Roman" w:hAnsi="Times New Roman" w:cs="Times New Roman"/>
          <w:sz w:val="24"/>
          <w:szCs w:val="24"/>
        </w:rPr>
        <w:t xml:space="preserve">with </w:t>
      </w:r>
      <w:r w:rsidR="000B0092" w:rsidRPr="00C07E99">
        <w:rPr>
          <w:rFonts w:ascii="Times New Roman" w:hAnsi="Times New Roman" w:cs="Times New Roman"/>
          <w:i/>
          <w:iCs/>
          <w:sz w:val="24"/>
          <w:szCs w:val="24"/>
        </w:rPr>
        <w:t>D. Chiburi</w:t>
      </w:r>
      <w:r w:rsidR="000B0092" w:rsidRPr="00C07E99">
        <w:rPr>
          <w:rFonts w:ascii="Times New Roman" w:hAnsi="Times New Roman" w:cs="Times New Roman"/>
          <w:sz w:val="24"/>
          <w:szCs w:val="24"/>
        </w:rPr>
        <w:t xml:space="preserve"> </w:t>
      </w:r>
      <w:r w:rsidR="006E7C7E" w:rsidRPr="00C07E99">
        <w:rPr>
          <w:rFonts w:ascii="Times New Roman" w:hAnsi="Times New Roman" w:cs="Times New Roman"/>
          <w:sz w:val="24"/>
          <w:szCs w:val="24"/>
        </w:rPr>
        <w:t>-</w:t>
      </w:r>
      <w:r w:rsidRPr="00C07E99">
        <w:rPr>
          <w:rFonts w:ascii="Times New Roman" w:hAnsi="Times New Roman" w:cs="Times New Roman"/>
          <w:sz w:val="24"/>
          <w:szCs w:val="24"/>
        </w:rPr>
        <w:t xml:space="preserve">for respondent </w:t>
      </w:r>
    </w:p>
    <w:p w14:paraId="38BF65C2" w14:textId="6F506A57" w:rsidR="00337F15" w:rsidRPr="004A72B3" w:rsidRDefault="00337F15" w:rsidP="004A72B3">
      <w:pPr>
        <w:pStyle w:val="NoSpacing"/>
        <w:spacing w:line="360" w:lineRule="auto"/>
        <w:jc w:val="both"/>
        <w:rPr>
          <w:rFonts w:ascii="Times New Roman" w:hAnsi="Times New Roman" w:cs="Times New Roman"/>
          <w:sz w:val="24"/>
          <w:szCs w:val="24"/>
          <w:lang w:val="en-US"/>
        </w:rPr>
      </w:pPr>
    </w:p>
    <w:p w14:paraId="7B0C7F97" w14:textId="1968CB62" w:rsidR="00337F15" w:rsidRPr="005735EA" w:rsidRDefault="00337F15" w:rsidP="004A72B3">
      <w:pPr>
        <w:pStyle w:val="NoSpacing"/>
        <w:spacing w:line="360" w:lineRule="auto"/>
        <w:jc w:val="both"/>
        <w:rPr>
          <w:rFonts w:ascii="Times New Roman" w:hAnsi="Times New Roman" w:cs="Times New Roman"/>
          <w:lang w:val="en-US"/>
        </w:rPr>
      </w:pPr>
      <w:r w:rsidRPr="005735EA">
        <w:rPr>
          <w:rFonts w:ascii="Times New Roman" w:hAnsi="Times New Roman" w:cs="Times New Roman"/>
          <w:lang w:val="en-US"/>
        </w:rPr>
        <w:t xml:space="preserve">CHILIMBE J </w:t>
      </w:r>
    </w:p>
    <w:p w14:paraId="0F9C054E" w14:textId="6F844B70" w:rsidR="00337F15" w:rsidRPr="004A72B3" w:rsidRDefault="00337F15" w:rsidP="004A72B3">
      <w:pPr>
        <w:pStyle w:val="NoSpacing"/>
        <w:spacing w:line="360" w:lineRule="auto"/>
        <w:jc w:val="both"/>
        <w:rPr>
          <w:rFonts w:ascii="Times New Roman" w:hAnsi="Times New Roman" w:cs="Times New Roman"/>
          <w:sz w:val="24"/>
          <w:szCs w:val="24"/>
          <w:lang w:val="en-US"/>
        </w:rPr>
      </w:pPr>
    </w:p>
    <w:p w14:paraId="517A82B6" w14:textId="260C8BE6" w:rsidR="00C07E99" w:rsidRPr="005735EA" w:rsidRDefault="00C07E99" w:rsidP="004A72B3">
      <w:pPr>
        <w:pStyle w:val="NoSpacing"/>
        <w:spacing w:line="360" w:lineRule="auto"/>
        <w:jc w:val="both"/>
        <w:rPr>
          <w:rFonts w:ascii="Times New Roman" w:hAnsi="Times New Roman" w:cs="Times New Roman"/>
          <w:lang w:val="en-US"/>
        </w:rPr>
      </w:pPr>
      <w:r w:rsidRPr="005735EA">
        <w:rPr>
          <w:rFonts w:ascii="Times New Roman" w:hAnsi="Times New Roman" w:cs="Times New Roman"/>
          <w:lang w:val="en-US"/>
        </w:rPr>
        <w:t>BACKGROUND</w:t>
      </w:r>
    </w:p>
    <w:p w14:paraId="1A66156C" w14:textId="118B0415" w:rsidR="00502291" w:rsidRDefault="00337F15" w:rsidP="004A72B3">
      <w:pPr>
        <w:pStyle w:val="NoSpacing"/>
        <w:spacing w:line="360" w:lineRule="auto"/>
        <w:jc w:val="both"/>
        <w:rPr>
          <w:rFonts w:ascii="Times New Roman" w:hAnsi="Times New Roman" w:cs="Times New Roman"/>
          <w:sz w:val="24"/>
          <w:szCs w:val="24"/>
          <w:lang w:val="en-US"/>
        </w:rPr>
      </w:pPr>
      <w:r w:rsidRPr="004A72B3">
        <w:rPr>
          <w:rFonts w:ascii="Times New Roman" w:hAnsi="Times New Roman" w:cs="Times New Roman"/>
          <w:sz w:val="24"/>
          <w:szCs w:val="24"/>
          <w:lang w:val="en-US"/>
        </w:rPr>
        <w:t xml:space="preserve">[1] </w:t>
      </w:r>
      <w:r w:rsidR="00502291">
        <w:rPr>
          <w:rFonts w:ascii="Times New Roman" w:hAnsi="Times New Roman" w:cs="Times New Roman"/>
          <w:sz w:val="24"/>
          <w:szCs w:val="24"/>
          <w:lang w:val="en-US"/>
        </w:rPr>
        <w:t xml:space="preserve">This court held many years ago per </w:t>
      </w:r>
      <w:r w:rsidR="00502291" w:rsidRPr="00EF634A">
        <w:rPr>
          <w:rFonts w:ascii="Times New Roman" w:hAnsi="Times New Roman" w:cs="Times New Roman"/>
          <w:lang w:val="en-US"/>
        </w:rPr>
        <w:t xml:space="preserve">MAKARAU J </w:t>
      </w:r>
      <w:r w:rsidR="00502291">
        <w:rPr>
          <w:rFonts w:ascii="Times New Roman" w:hAnsi="Times New Roman" w:cs="Times New Roman"/>
          <w:sz w:val="24"/>
          <w:szCs w:val="24"/>
          <w:lang w:val="en-US"/>
        </w:rPr>
        <w:t xml:space="preserve">(as she then was) that </w:t>
      </w:r>
      <w:r w:rsidR="00502291" w:rsidRPr="00502291">
        <w:rPr>
          <w:rFonts w:ascii="Times New Roman" w:hAnsi="Times New Roman" w:cs="Times New Roman"/>
          <w:i/>
          <w:iCs/>
          <w:sz w:val="24"/>
          <w:szCs w:val="24"/>
          <w:lang w:val="en-US"/>
        </w:rPr>
        <w:t>“…</w:t>
      </w:r>
      <w:r w:rsidR="00502291" w:rsidRPr="00502291">
        <w:rPr>
          <w:rFonts w:ascii="Times New Roman" w:eastAsia="Calibri" w:hAnsi="Times New Roman" w:cs="Times New Roman"/>
          <w:i/>
          <w:iCs/>
          <w:sz w:val="24"/>
          <w:szCs w:val="24"/>
          <w:lang w:val="en-GB"/>
        </w:rPr>
        <w:t>so trite is this proposition or so settled is this position at law that no authority need be cited”</w:t>
      </w:r>
      <w:r w:rsidR="00502291">
        <w:rPr>
          <w:rStyle w:val="FootnoteReference"/>
          <w:rFonts w:ascii="Times New Roman" w:eastAsia="Calibri" w:hAnsi="Times New Roman" w:cs="Times New Roman"/>
          <w:i/>
          <w:iCs/>
          <w:sz w:val="24"/>
          <w:szCs w:val="24"/>
          <w:lang w:val="en-GB"/>
        </w:rPr>
        <w:footnoteReference w:id="1"/>
      </w:r>
      <w:r w:rsidR="00502291" w:rsidRPr="00502291">
        <w:rPr>
          <w:rFonts w:ascii="Times New Roman" w:eastAsia="Calibri" w:hAnsi="Times New Roman" w:cs="Times New Roman"/>
          <w:i/>
          <w:iCs/>
          <w:sz w:val="24"/>
          <w:szCs w:val="24"/>
          <w:lang w:val="en-GB"/>
        </w:rPr>
        <w:t>.</w:t>
      </w:r>
      <w:r w:rsidR="00502291">
        <w:rPr>
          <w:rFonts w:ascii="Times New Roman" w:eastAsia="Calibri" w:hAnsi="Times New Roman" w:cs="Times New Roman"/>
          <w:sz w:val="24"/>
          <w:szCs w:val="24"/>
          <w:lang w:val="en-GB"/>
        </w:rPr>
        <w:t xml:space="preserve"> The proposition in question </w:t>
      </w:r>
      <w:r w:rsidR="00EF634A">
        <w:rPr>
          <w:rFonts w:ascii="Times New Roman" w:eastAsia="Calibri" w:hAnsi="Times New Roman" w:cs="Times New Roman"/>
          <w:sz w:val="24"/>
          <w:szCs w:val="24"/>
          <w:lang w:val="en-GB"/>
        </w:rPr>
        <w:t xml:space="preserve">being </w:t>
      </w:r>
      <w:r w:rsidR="00502291">
        <w:rPr>
          <w:rFonts w:ascii="Times New Roman" w:eastAsia="Calibri" w:hAnsi="Times New Roman" w:cs="Times New Roman"/>
          <w:sz w:val="24"/>
          <w:szCs w:val="24"/>
          <w:lang w:val="en-GB"/>
        </w:rPr>
        <w:t xml:space="preserve">the requirement that a </w:t>
      </w:r>
      <w:r w:rsidR="00EF634A">
        <w:rPr>
          <w:rFonts w:ascii="Times New Roman" w:eastAsia="Calibri" w:hAnsi="Times New Roman" w:cs="Times New Roman"/>
          <w:sz w:val="24"/>
          <w:szCs w:val="24"/>
          <w:lang w:val="en-GB"/>
        </w:rPr>
        <w:t xml:space="preserve">party purporting to represent a </w:t>
      </w:r>
      <w:r w:rsidR="00502291">
        <w:rPr>
          <w:rFonts w:ascii="Times New Roman" w:eastAsia="Calibri" w:hAnsi="Times New Roman" w:cs="Times New Roman"/>
          <w:sz w:val="24"/>
          <w:szCs w:val="24"/>
          <w:lang w:val="en-GB"/>
        </w:rPr>
        <w:t xml:space="preserve">company </w:t>
      </w:r>
      <w:r w:rsidR="00EF634A">
        <w:rPr>
          <w:rFonts w:ascii="Times New Roman" w:eastAsia="Calibri" w:hAnsi="Times New Roman" w:cs="Times New Roman"/>
          <w:sz w:val="24"/>
          <w:szCs w:val="24"/>
          <w:lang w:val="en-GB"/>
        </w:rPr>
        <w:t xml:space="preserve">in legal proceedings must proffer as authority to so act, a </w:t>
      </w:r>
      <w:r w:rsidR="00502291">
        <w:rPr>
          <w:rFonts w:ascii="Times New Roman" w:eastAsia="Calibri" w:hAnsi="Times New Roman" w:cs="Times New Roman"/>
          <w:sz w:val="24"/>
          <w:szCs w:val="24"/>
          <w:lang w:val="en-GB"/>
        </w:rPr>
        <w:t xml:space="preserve">valid resolution </w:t>
      </w:r>
      <w:r w:rsidR="00EF634A">
        <w:rPr>
          <w:rFonts w:ascii="Times New Roman" w:eastAsia="Calibri" w:hAnsi="Times New Roman" w:cs="Times New Roman"/>
          <w:sz w:val="24"/>
          <w:szCs w:val="24"/>
          <w:lang w:val="en-GB"/>
        </w:rPr>
        <w:t>passed by the company`s directors.</w:t>
      </w:r>
    </w:p>
    <w:p w14:paraId="0201C179" w14:textId="77777777" w:rsidR="00502291" w:rsidRDefault="00502291" w:rsidP="004A72B3">
      <w:pPr>
        <w:pStyle w:val="NoSpacing"/>
        <w:spacing w:line="360" w:lineRule="auto"/>
        <w:jc w:val="both"/>
        <w:rPr>
          <w:rFonts w:ascii="Times New Roman" w:hAnsi="Times New Roman" w:cs="Times New Roman"/>
          <w:sz w:val="24"/>
          <w:szCs w:val="24"/>
          <w:lang w:val="en-US"/>
        </w:rPr>
      </w:pPr>
    </w:p>
    <w:p w14:paraId="597FDA70" w14:textId="5D6CE1BB" w:rsidR="005F4960" w:rsidRDefault="00502291" w:rsidP="004A72B3">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C07E99">
        <w:rPr>
          <w:rFonts w:ascii="Times New Roman" w:hAnsi="Times New Roman" w:cs="Times New Roman"/>
          <w:sz w:val="24"/>
          <w:szCs w:val="24"/>
          <w:lang w:val="en-US"/>
        </w:rPr>
        <w:t xml:space="preserve">A preliminary point </w:t>
      </w:r>
      <w:r>
        <w:rPr>
          <w:rFonts w:ascii="Times New Roman" w:hAnsi="Times New Roman" w:cs="Times New Roman"/>
          <w:sz w:val="24"/>
          <w:szCs w:val="24"/>
          <w:lang w:val="en-US"/>
        </w:rPr>
        <w:t xml:space="preserve">arose over this trite position. The respondent </w:t>
      </w:r>
      <w:r w:rsidR="009F7699">
        <w:rPr>
          <w:rFonts w:ascii="Times New Roman" w:hAnsi="Times New Roman" w:cs="Times New Roman"/>
          <w:sz w:val="24"/>
          <w:szCs w:val="24"/>
          <w:lang w:val="en-US"/>
        </w:rPr>
        <w:t>challeng</w:t>
      </w:r>
      <w:r>
        <w:rPr>
          <w:rFonts w:ascii="Times New Roman" w:hAnsi="Times New Roman" w:cs="Times New Roman"/>
          <w:sz w:val="24"/>
          <w:szCs w:val="24"/>
          <w:lang w:val="en-US"/>
        </w:rPr>
        <w:t xml:space="preserve">ed </w:t>
      </w:r>
      <w:r w:rsidR="009F7699">
        <w:rPr>
          <w:rFonts w:ascii="Times New Roman" w:hAnsi="Times New Roman" w:cs="Times New Roman"/>
          <w:sz w:val="24"/>
          <w:szCs w:val="24"/>
          <w:lang w:val="en-US"/>
        </w:rPr>
        <w:t xml:space="preserve">the validity of the </w:t>
      </w:r>
      <w:r w:rsidR="007C1C13">
        <w:rPr>
          <w:rFonts w:ascii="Times New Roman" w:hAnsi="Times New Roman" w:cs="Times New Roman"/>
          <w:sz w:val="24"/>
          <w:szCs w:val="24"/>
          <w:lang w:val="en-US"/>
        </w:rPr>
        <w:t xml:space="preserve">authority to institute and represent </w:t>
      </w:r>
      <w:r w:rsidR="008D5E19">
        <w:rPr>
          <w:rFonts w:ascii="Times New Roman" w:hAnsi="Times New Roman" w:cs="Times New Roman"/>
          <w:sz w:val="24"/>
          <w:szCs w:val="24"/>
          <w:lang w:val="en-US"/>
        </w:rPr>
        <w:t xml:space="preserve">applicant </w:t>
      </w:r>
      <w:r w:rsidR="007C1C13">
        <w:rPr>
          <w:rFonts w:ascii="Times New Roman" w:hAnsi="Times New Roman" w:cs="Times New Roman"/>
          <w:sz w:val="24"/>
          <w:szCs w:val="24"/>
          <w:lang w:val="en-US"/>
        </w:rPr>
        <w:t xml:space="preserve">in the present </w:t>
      </w:r>
      <w:r w:rsidR="00C07E99">
        <w:rPr>
          <w:rFonts w:ascii="Times New Roman" w:hAnsi="Times New Roman" w:cs="Times New Roman"/>
          <w:sz w:val="24"/>
          <w:szCs w:val="24"/>
          <w:lang w:val="en-US"/>
        </w:rPr>
        <w:t xml:space="preserve">application </w:t>
      </w:r>
      <w:r w:rsidR="00337F15" w:rsidRPr="004A72B3">
        <w:rPr>
          <w:rFonts w:ascii="Times New Roman" w:hAnsi="Times New Roman" w:cs="Times New Roman"/>
          <w:sz w:val="24"/>
          <w:szCs w:val="24"/>
          <w:lang w:val="en-US"/>
        </w:rPr>
        <w:t xml:space="preserve">for summary judgment. </w:t>
      </w:r>
      <w:r w:rsidR="009F7699">
        <w:rPr>
          <w:rFonts w:ascii="Times New Roman" w:hAnsi="Times New Roman" w:cs="Times New Roman"/>
          <w:sz w:val="24"/>
          <w:szCs w:val="24"/>
          <w:lang w:val="en-US"/>
        </w:rPr>
        <w:t xml:space="preserve"> </w:t>
      </w:r>
    </w:p>
    <w:p w14:paraId="29FA5414" w14:textId="77777777" w:rsidR="005F4960" w:rsidRDefault="005F4960" w:rsidP="004A72B3">
      <w:pPr>
        <w:pStyle w:val="NoSpacing"/>
        <w:spacing w:line="360" w:lineRule="auto"/>
        <w:jc w:val="both"/>
        <w:rPr>
          <w:rFonts w:ascii="Times New Roman" w:hAnsi="Times New Roman" w:cs="Times New Roman"/>
          <w:sz w:val="24"/>
          <w:szCs w:val="24"/>
          <w:lang w:val="en-US"/>
        </w:rPr>
      </w:pPr>
    </w:p>
    <w:p w14:paraId="5F37D963" w14:textId="12FE0788" w:rsidR="00337F15" w:rsidRPr="004A72B3" w:rsidRDefault="005F4960" w:rsidP="004A72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 </w:t>
      </w:r>
      <w:r w:rsidR="00C07E99">
        <w:rPr>
          <w:rFonts w:ascii="Times New Roman" w:hAnsi="Times New Roman" w:cs="Times New Roman"/>
          <w:sz w:val="24"/>
          <w:szCs w:val="24"/>
          <w:lang w:val="en-US"/>
        </w:rPr>
        <w:t xml:space="preserve">In the main </w:t>
      </w:r>
      <w:r w:rsidR="005735EA">
        <w:rPr>
          <w:rFonts w:ascii="Times New Roman" w:hAnsi="Times New Roman" w:cs="Times New Roman"/>
          <w:sz w:val="24"/>
          <w:szCs w:val="24"/>
          <w:lang w:val="en-US"/>
        </w:rPr>
        <w:t>matter,</w:t>
      </w:r>
      <w:r w:rsidR="00C07E99">
        <w:rPr>
          <w:rFonts w:ascii="Times New Roman" w:hAnsi="Times New Roman" w:cs="Times New Roman"/>
          <w:sz w:val="24"/>
          <w:szCs w:val="24"/>
          <w:lang w:val="en-US"/>
        </w:rPr>
        <w:t xml:space="preserve"> </w:t>
      </w:r>
      <w:r>
        <w:rPr>
          <w:rFonts w:ascii="Times New Roman" w:hAnsi="Times New Roman" w:cs="Times New Roman"/>
          <w:sz w:val="24"/>
          <w:szCs w:val="24"/>
          <w:lang w:val="en-US"/>
        </w:rPr>
        <w:t>applicant,</w:t>
      </w:r>
      <w:r w:rsidR="008D5E19">
        <w:rPr>
          <w:rFonts w:ascii="Times New Roman" w:hAnsi="Times New Roman" w:cs="Times New Roman"/>
          <w:sz w:val="24"/>
          <w:szCs w:val="24"/>
          <w:lang w:val="en-US"/>
        </w:rPr>
        <w:t xml:space="preserve"> as plaintiff, </w:t>
      </w:r>
      <w:r w:rsidR="00C07E99">
        <w:rPr>
          <w:rFonts w:ascii="Times New Roman" w:hAnsi="Times New Roman" w:cs="Times New Roman"/>
          <w:sz w:val="24"/>
          <w:szCs w:val="24"/>
          <w:lang w:val="en-US"/>
        </w:rPr>
        <w:t xml:space="preserve">issued </w:t>
      </w:r>
      <w:r w:rsidR="00337F15" w:rsidRPr="004A72B3">
        <w:rPr>
          <w:rFonts w:ascii="Times New Roman" w:hAnsi="Times New Roman" w:cs="Times New Roman"/>
          <w:sz w:val="24"/>
          <w:szCs w:val="24"/>
          <w:lang w:val="en-US"/>
        </w:rPr>
        <w:t xml:space="preserve">summons </w:t>
      </w:r>
      <w:r w:rsidR="007C1C13">
        <w:rPr>
          <w:rFonts w:ascii="Times New Roman" w:hAnsi="Times New Roman" w:cs="Times New Roman"/>
          <w:sz w:val="24"/>
          <w:szCs w:val="24"/>
          <w:lang w:val="en-US"/>
        </w:rPr>
        <w:t xml:space="preserve">seeking </w:t>
      </w:r>
      <w:r w:rsidR="008D5E19">
        <w:rPr>
          <w:rFonts w:ascii="Times New Roman" w:hAnsi="Times New Roman" w:cs="Times New Roman"/>
          <w:sz w:val="24"/>
          <w:szCs w:val="24"/>
          <w:lang w:val="en-US"/>
        </w:rPr>
        <w:t xml:space="preserve">to enforce the terms of a contract regarding payment </w:t>
      </w:r>
      <w:r>
        <w:rPr>
          <w:rFonts w:ascii="Times New Roman" w:hAnsi="Times New Roman" w:cs="Times New Roman"/>
          <w:sz w:val="24"/>
          <w:szCs w:val="24"/>
          <w:lang w:val="en-US"/>
        </w:rPr>
        <w:t xml:space="preserve">by respondent of </w:t>
      </w:r>
      <w:r w:rsidR="007C1C13">
        <w:rPr>
          <w:rFonts w:ascii="Times New Roman" w:hAnsi="Times New Roman" w:cs="Times New Roman"/>
          <w:sz w:val="24"/>
          <w:szCs w:val="24"/>
          <w:lang w:val="en-US"/>
        </w:rPr>
        <w:t>endowment fees as well as deliver</w:t>
      </w:r>
      <w:r>
        <w:rPr>
          <w:rFonts w:ascii="Times New Roman" w:hAnsi="Times New Roman" w:cs="Times New Roman"/>
          <w:sz w:val="24"/>
          <w:szCs w:val="24"/>
          <w:lang w:val="en-US"/>
        </w:rPr>
        <w:t xml:space="preserve">y </w:t>
      </w:r>
      <w:r w:rsidR="00CC7A31">
        <w:rPr>
          <w:rFonts w:ascii="Times New Roman" w:hAnsi="Times New Roman" w:cs="Times New Roman"/>
          <w:sz w:val="24"/>
          <w:szCs w:val="24"/>
          <w:lang w:val="en-US"/>
        </w:rPr>
        <w:t xml:space="preserve">of nominated </w:t>
      </w:r>
      <w:r w:rsidR="007C1C13">
        <w:rPr>
          <w:rFonts w:ascii="Times New Roman" w:hAnsi="Times New Roman" w:cs="Times New Roman"/>
          <w:sz w:val="24"/>
          <w:szCs w:val="24"/>
          <w:lang w:val="en-US"/>
        </w:rPr>
        <w:t xml:space="preserve">partitioned pieces of land (stands) in developed and undeveloped status. </w:t>
      </w:r>
      <w:r w:rsidR="00AA14C9">
        <w:rPr>
          <w:rFonts w:ascii="Times New Roman" w:hAnsi="Times New Roman" w:cs="Times New Roman"/>
          <w:sz w:val="24"/>
          <w:szCs w:val="24"/>
          <w:lang w:val="en-US"/>
        </w:rPr>
        <w:t xml:space="preserve">The </w:t>
      </w:r>
      <w:r w:rsidR="00AA14C9">
        <w:rPr>
          <w:rFonts w:ascii="Times New Roman" w:hAnsi="Times New Roman" w:cs="Times New Roman"/>
          <w:sz w:val="24"/>
          <w:szCs w:val="24"/>
          <w:lang w:val="en-US"/>
        </w:rPr>
        <w:lastRenderedPageBreak/>
        <w:t>monetary</w:t>
      </w:r>
      <w:r w:rsidR="007C1C13">
        <w:rPr>
          <w:rFonts w:ascii="Times New Roman" w:hAnsi="Times New Roman" w:cs="Times New Roman"/>
          <w:sz w:val="24"/>
          <w:szCs w:val="24"/>
          <w:lang w:val="en-US"/>
        </w:rPr>
        <w:t xml:space="preserve"> claims, including those in the alternative</w:t>
      </w:r>
      <w:r w:rsidR="005735EA">
        <w:rPr>
          <w:rFonts w:ascii="Times New Roman" w:hAnsi="Times New Roman" w:cs="Times New Roman"/>
          <w:sz w:val="24"/>
          <w:szCs w:val="24"/>
          <w:lang w:val="en-US"/>
        </w:rPr>
        <w:t>,</w:t>
      </w:r>
      <w:r w:rsidR="007C1C13">
        <w:rPr>
          <w:rFonts w:ascii="Times New Roman" w:hAnsi="Times New Roman" w:cs="Times New Roman"/>
          <w:sz w:val="24"/>
          <w:szCs w:val="24"/>
          <w:lang w:val="en-US"/>
        </w:rPr>
        <w:t xml:space="preserve"> totaled </w:t>
      </w:r>
      <w:bookmarkStart w:id="1" w:name="_Hlk198221225"/>
      <w:r w:rsidR="00337F15" w:rsidRPr="004A72B3">
        <w:rPr>
          <w:rFonts w:ascii="Times New Roman" w:hAnsi="Times New Roman" w:cs="Times New Roman"/>
          <w:sz w:val="24"/>
          <w:szCs w:val="24"/>
        </w:rPr>
        <w:t>US</w:t>
      </w:r>
      <w:r w:rsidR="00C07E99">
        <w:rPr>
          <w:rFonts w:ascii="Times New Roman" w:hAnsi="Times New Roman" w:cs="Times New Roman"/>
          <w:sz w:val="24"/>
          <w:szCs w:val="24"/>
        </w:rPr>
        <w:t>$</w:t>
      </w:r>
      <w:r w:rsidR="00337F15" w:rsidRPr="004A72B3">
        <w:rPr>
          <w:rFonts w:ascii="Times New Roman" w:hAnsi="Times New Roman" w:cs="Times New Roman"/>
          <w:sz w:val="24"/>
          <w:szCs w:val="24"/>
        </w:rPr>
        <w:t>2</w:t>
      </w:r>
      <w:r w:rsidR="00C07E99">
        <w:rPr>
          <w:rFonts w:ascii="Times New Roman" w:hAnsi="Times New Roman" w:cs="Times New Roman"/>
          <w:sz w:val="24"/>
          <w:szCs w:val="24"/>
        </w:rPr>
        <w:t>,</w:t>
      </w:r>
      <w:r w:rsidR="00337F15" w:rsidRPr="004A72B3">
        <w:rPr>
          <w:rFonts w:ascii="Times New Roman" w:hAnsi="Times New Roman" w:cs="Times New Roman"/>
          <w:sz w:val="24"/>
          <w:szCs w:val="24"/>
        </w:rPr>
        <w:t>827</w:t>
      </w:r>
      <w:r w:rsidR="00C07E99">
        <w:rPr>
          <w:rFonts w:ascii="Times New Roman" w:hAnsi="Times New Roman" w:cs="Times New Roman"/>
          <w:sz w:val="24"/>
          <w:szCs w:val="24"/>
        </w:rPr>
        <w:t>,</w:t>
      </w:r>
      <w:r w:rsidR="00337F15" w:rsidRPr="004A72B3">
        <w:rPr>
          <w:rFonts w:ascii="Times New Roman" w:hAnsi="Times New Roman" w:cs="Times New Roman"/>
          <w:sz w:val="24"/>
          <w:szCs w:val="24"/>
        </w:rPr>
        <w:t xml:space="preserve">681.00 </w:t>
      </w:r>
      <w:bookmarkEnd w:id="1"/>
      <w:r w:rsidR="00337F15" w:rsidRPr="004A72B3">
        <w:rPr>
          <w:rFonts w:ascii="Times New Roman" w:hAnsi="Times New Roman" w:cs="Times New Roman"/>
          <w:sz w:val="24"/>
          <w:szCs w:val="24"/>
        </w:rPr>
        <w:t>(Two million eight hundred and twenty-seven thousand six hundred and eighty-one dollars).</w:t>
      </w:r>
    </w:p>
    <w:p w14:paraId="59EC033F" w14:textId="4E457834" w:rsidR="00337F15" w:rsidRPr="004A72B3" w:rsidRDefault="00337F15" w:rsidP="004A72B3">
      <w:pPr>
        <w:pStyle w:val="NoSpacing"/>
        <w:spacing w:line="360" w:lineRule="auto"/>
        <w:jc w:val="both"/>
        <w:rPr>
          <w:rFonts w:ascii="Times New Roman" w:hAnsi="Times New Roman" w:cs="Times New Roman"/>
          <w:sz w:val="24"/>
          <w:szCs w:val="24"/>
        </w:rPr>
      </w:pPr>
    </w:p>
    <w:p w14:paraId="26FECF6F" w14:textId="0F44011B" w:rsidR="00337F15" w:rsidRDefault="00AA14C9" w:rsidP="004A72B3">
      <w:pPr>
        <w:pStyle w:val="NoSpacing"/>
        <w:spacing w:line="360" w:lineRule="auto"/>
        <w:jc w:val="both"/>
        <w:rPr>
          <w:rFonts w:ascii="Times New Roman" w:hAnsi="Times New Roman" w:cs="Times New Roman"/>
        </w:rPr>
      </w:pPr>
      <w:r w:rsidRPr="005735EA">
        <w:rPr>
          <w:rFonts w:ascii="Times New Roman" w:hAnsi="Times New Roman" w:cs="Times New Roman"/>
        </w:rPr>
        <w:t>THE DISPUTE BETWEEN THE PARTIES</w:t>
      </w:r>
      <w:r w:rsidR="004A72B3" w:rsidRPr="005735EA">
        <w:rPr>
          <w:rFonts w:ascii="Times New Roman" w:hAnsi="Times New Roman" w:cs="Times New Roman"/>
        </w:rPr>
        <w:t xml:space="preserve"> </w:t>
      </w:r>
    </w:p>
    <w:p w14:paraId="5BD0F3AA" w14:textId="77777777" w:rsidR="00AB1B99" w:rsidRPr="005735EA" w:rsidRDefault="00AB1B99" w:rsidP="004A72B3">
      <w:pPr>
        <w:pStyle w:val="NoSpacing"/>
        <w:spacing w:line="360" w:lineRule="auto"/>
        <w:jc w:val="both"/>
        <w:rPr>
          <w:rFonts w:ascii="Times New Roman" w:hAnsi="Times New Roman" w:cs="Times New Roman"/>
        </w:rPr>
      </w:pPr>
    </w:p>
    <w:p w14:paraId="202E692B" w14:textId="5804C7C7" w:rsidR="00A70B5D" w:rsidRDefault="00337F15" w:rsidP="00AA14C9">
      <w:pPr>
        <w:spacing w:after="201" w:line="360" w:lineRule="auto"/>
        <w:ind w:left="-6" w:hanging="11"/>
        <w:jc w:val="both"/>
        <w:rPr>
          <w:rFonts w:ascii="Times New Roman" w:hAnsi="Times New Roman" w:cs="Times New Roman"/>
          <w:sz w:val="24"/>
          <w:szCs w:val="24"/>
        </w:rPr>
      </w:pPr>
      <w:r w:rsidRPr="00AA14C9">
        <w:rPr>
          <w:rFonts w:ascii="Times New Roman" w:hAnsi="Times New Roman" w:cs="Times New Roman"/>
          <w:sz w:val="24"/>
          <w:szCs w:val="24"/>
        </w:rPr>
        <w:t>[</w:t>
      </w:r>
      <w:r w:rsidR="00EF634A">
        <w:rPr>
          <w:rFonts w:ascii="Times New Roman" w:hAnsi="Times New Roman" w:cs="Times New Roman"/>
          <w:sz w:val="24"/>
          <w:szCs w:val="24"/>
        </w:rPr>
        <w:t>4</w:t>
      </w:r>
      <w:r w:rsidRPr="00AA14C9">
        <w:rPr>
          <w:rFonts w:ascii="Times New Roman" w:hAnsi="Times New Roman" w:cs="Times New Roman"/>
          <w:sz w:val="24"/>
          <w:szCs w:val="24"/>
        </w:rPr>
        <w:t xml:space="preserve">] </w:t>
      </w:r>
      <w:r w:rsidR="00AA14C9" w:rsidRPr="00AA14C9">
        <w:rPr>
          <w:rFonts w:ascii="Times New Roman" w:hAnsi="Times New Roman" w:cs="Times New Roman"/>
          <w:sz w:val="24"/>
          <w:szCs w:val="24"/>
        </w:rPr>
        <w:t>Applicant is a statutory body and local authority incorporated in terms of the Rural District Councils Act [</w:t>
      </w:r>
      <w:r w:rsidR="00AA14C9" w:rsidRPr="00CB6EEC">
        <w:rPr>
          <w:rFonts w:ascii="Times New Roman" w:hAnsi="Times New Roman" w:cs="Times New Roman"/>
          <w:i/>
          <w:iCs/>
          <w:sz w:val="24"/>
          <w:szCs w:val="24"/>
        </w:rPr>
        <w:t>Chapter</w:t>
      </w:r>
      <w:r w:rsidR="00AA14C9" w:rsidRPr="00AA14C9">
        <w:rPr>
          <w:rFonts w:ascii="Times New Roman" w:hAnsi="Times New Roman" w:cs="Times New Roman"/>
          <w:sz w:val="24"/>
          <w:szCs w:val="24"/>
        </w:rPr>
        <w:t xml:space="preserve"> 29:13]</w:t>
      </w:r>
      <w:r w:rsidR="00615A8E">
        <w:rPr>
          <w:rFonts w:ascii="Times New Roman" w:hAnsi="Times New Roman" w:cs="Times New Roman"/>
          <w:sz w:val="24"/>
          <w:szCs w:val="24"/>
        </w:rPr>
        <w:t xml:space="preserve"> </w:t>
      </w:r>
      <w:r w:rsidR="00CB6EEC">
        <w:rPr>
          <w:rFonts w:ascii="Times New Roman" w:hAnsi="Times New Roman" w:cs="Times New Roman"/>
          <w:sz w:val="24"/>
          <w:szCs w:val="24"/>
        </w:rPr>
        <w:t>(“</w:t>
      </w:r>
      <w:r w:rsidR="00615A8E">
        <w:rPr>
          <w:rFonts w:ascii="Times New Roman" w:hAnsi="Times New Roman" w:cs="Times New Roman"/>
          <w:sz w:val="24"/>
          <w:szCs w:val="24"/>
        </w:rPr>
        <w:t>the RDC Act”)</w:t>
      </w:r>
      <w:r w:rsidR="00AA14C9" w:rsidRPr="00AA14C9">
        <w:rPr>
          <w:rFonts w:ascii="Times New Roman" w:hAnsi="Times New Roman" w:cs="Times New Roman"/>
          <w:sz w:val="24"/>
          <w:szCs w:val="24"/>
        </w:rPr>
        <w:t>. Respondent</w:t>
      </w:r>
      <w:r w:rsidRPr="00AA14C9">
        <w:rPr>
          <w:rFonts w:ascii="Times New Roman" w:hAnsi="Times New Roman" w:cs="Times New Roman"/>
          <w:sz w:val="24"/>
          <w:szCs w:val="24"/>
        </w:rPr>
        <w:t xml:space="preserve"> </w:t>
      </w:r>
      <w:r w:rsidR="00AA14C9" w:rsidRPr="00AA14C9">
        <w:rPr>
          <w:rFonts w:ascii="Times New Roman" w:hAnsi="Times New Roman" w:cs="Times New Roman"/>
          <w:sz w:val="24"/>
          <w:szCs w:val="24"/>
        </w:rPr>
        <w:t>is commonly known as a land developer</w:t>
      </w:r>
      <w:r w:rsidR="00AA14C9" w:rsidRPr="00AA14C9">
        <w:rPr>
          <w:rStyle w:val="FootnoteReference"/>
          <w:rFonts w:ascii="Times New Roman" w:hAnsi="Times New Roman" w:cs="Times New Roman"/>
          <w:sz w:val="24"/>
          <w:szCs w:val="24"/>
        </w:rPr>
        <w:footnoteReference w:id="2"/>
      </w:r>
      <w:r w:rsidR="00AA14C9" w:rsidRPr="00AA14C9">
        <w:rPr>
          <w:rFonts w:ascii="Times New Roman" w:hAnsi="Times New Roman" w:cs="Times New Roman"/>
          <w:sz w:val="24"/>
          <w:szCs w:val="24"/>
        </w:rPr>
        <w:t xml:space="preserve">. Respondent </w:t>
      </w:r>
      <w:r w:rsidR="00295952">
        <w:rPr>
          <w:rFonts w:ascii="Times New Roman" w:hAnsi="Times New Roman" w:cs="Times New Roman"/>
          <w:sz w:val="24"/>
          <w:szCs w:val="24"/>
        </w:rPr>
        <w:t xml:space="preserve">holds a </w:t>
      </w:r>
      <w:r w:rsidR="00295952" w:rsidRPr="004A72B3">
        <w:rPr>
          <w:rFonts w:ascii="Times New Roman" w:hAnsi="Times New Roman" w:cs="Times New Roman"/>
          <w:sz w:val="24"/>
          <w:szCs w:val="24"/>
        </w:rPr>
        <w:t xml:space="preserve">subdivision permit Number </w:t>
      </w:r>
      <w:r w:rsidR="00295952" w:rsidRPr="00EF634A">
        <w:rPr>
          <w:rFonts w:ascii="Times New Roman" w:hAnsi="Times New Roman" w:cs="Times New Roman"/>
        </w:rPr>
        <w:t>MASH/C</w:t>
      </w:r>
      <w:r w:rsidR="00295952" w:rsidRPr="004A72B3">
        <w:rPr>
          <w:rFonts w:ascii="Times New Roman" w:hAnsi="Times New Roman" w:cs="Times New Roman"/>
          <w:sz w:val="24"/>
          <w:szCs w:val="24"/>
        </w:rPr>
        <w:t>/2/2007</w:t>
      </w:r>
      <w:r w:rsidR="00295952">
        <w:rPr>
          <w:rFonts w:ascii="Times New Roman" w:hAnsi="Times New Roman" w:cs="Times New Roman"/>
          <w:sz w:val="24"/>
          <w:szCs w:val="24"/>
        </w:rPr>
        <w:t xml:space="preserve"> (“the subdivision permit”) to develop </w:t>
      </w:r>
      <w:r w:rsidR="00AA14C9" w:rsidRPr="00AA14C9">
        <w:rPr>
          <w:rFonts w:ascii="Times New Roman" w:hAnsi="Times New Roman" w:cs="Times New Roman"/>
          <w:sz w:val="24"/>
          <w:szCs w:val="24"/>
        </w:rPr>
        <w:t xml:space="preserve">certain </w:t>
      </w:r>
      <w:r w:rsidR="00295952">
        <w:rPr>
          <w:rFonts w:ascii="Times New Roman" w:hAnsi="Times New Roman" w:cs="Times New Roman"/>
          <w:sz w:val="24"/>
          <w:szCs w:val="24"/>
        </w:rPr>
        <w:t xml:space="preserve">tracts </w:t>
      </w:r>
      <w:r w:rsidR="00AA14C9" w:rsidRPr="00AA14C9">
        <w:rPr>
          <w:rFonts w:ascii="Times New Roman" w:hAnsi="Times New Roman" w:cs="Times New Roman"/>
          <w:sz w:val="24"/>
          <w:szCs w:val="24"/>
        </w:rPr>
        <w:t>of land situate in the district of Salisbury, being unimproved land being subdivisions of a piece of land called Lot 3 of Bannockburn held under DT 9068/2008 (hereinafter called “Bannockburn”)</w:t>
      </w:r>
      <w:r w:rsidR="005735EA">
        <w:rPr>
          <w:rFonts w:ascii="Times New Roman" w:hAnsi="Times New Roman" w:cs="Times New Roman"/>
          <w:sz w:val="24"/>
          <w:szCs w:val="24"/>
        </w:rPr>
        <w:t xml:space="preserve">. </w:t>
      </w:r>
    </w:p>
    <w:p w14:paraId="1C68F7C6" w14:textId="51A9C9F7" w:rsidR="005D2270" w:rsidRDefault="00A70B5D" w:rsidP="00295952">
      <w:pPr>
        <w:spacing w:after="201" w:line="360" w:lineRule="auto"/>
        <w:ind w:left="-6" w:hanging="11"/>
        <w:jc w:val="both"/>
        <w:rPr>
          <w:rFonts w:ascii="Times New Roman" w:hAnsi="Times New Roman" w:cs="Times New Roman"/>
          <w:sz w:val="24"/>
          <w:szCs w:val="24"/>
        </w:rPr>
      </w:pPr>
      <w:r>
        <w:rPr>
          <w:rFonts w:ascii="Times New Roman" w:hAnsi="Times New Roman" w:cs="Times New Roman"/>
          <w:sz w:val="24"/>
          <w:szCs w:val="24"/>
        </w:rPr>
        <w:t>[</w:t>
      </w:r>
      <w:r w:rsidR="00EF634A">
        <w:rPr>
          <w:rFonts w:ascii="Times New Roman" w:hAnsi="Times New Roman" w:cs="Times New Roman"/>
          <w:sz w:val="24"/>
          <w:szCs w:val="24"/>
        </w:rPr>
        <w:t>5</w:t>
      </w:r>
      <w:r>
        <w:rPr>
          <w:rFonts w:ascii="Times New Roman" w:hAnsi="Times New Roman" w:cs="Times New Roman"/>
          <w:sz w:val="24"/>
          <w:szCs w:val="24"/>
        </w:rPr>
        <w:t xml:space="preserve">] </w:t>
      </w:r>
      <w:r w:rsidR="00295952">
        <w:rPr>
          <w:rFonts w:ascii="Times New Roman" w:hAnsi="Times New Roman" w:cs="Times New Roman"/>
          <w:sz w:val="24"/>
          <w:szCs w:val="24"/>
        </w:rPr>
        <w:t>A dispute arose over payment by applicant of endowment levies due to applicant to the value of US$</w:t>
      </w:r>
      <w:r w:rsidR="00295952" w:rsidRPr="004A72B3">
        <w:rPr>
          <w:rFonts w:ascii="Times New Roman" w:hAnsi="Times New Roman" w:cs="Times New Roman"/>
          <w:sz w:val="24"/>
          <w:szCs w:val="24"/>
        </w:rPr>
        <w:t>2</w:t>
      </w:r>
      <w:r w:rsidR="00295952">
        <w:rPr>
          <w:rFonts w:ascii="Times New Roman" w:hAnsi="Times New Roman" w:cs="Times New Roman"/>
          <w:sz w:val="24"/>
          <w:szCs w:val="24"/>
        </w:rPr>
        <w:t>,</w:t>
      </w:r>
      <w:r w:rsidR="00295952" w:rsidRPr="004A72B3">
        <w:rPr>
          <w:rFonts w:ascii="Times New Roman" w:hAnsi="Times New Roman" w:cs="Times New Roman"/>
          <w:sz w:val="24"/>
          <w:szCs w:val="24"/>
        </w:rPr>
        <w:t>827</w:t>
      </w:r>
      <w:r w:rsidR="00295952">
        <w:rPr>
          <w:rFonts w:ascii="Times New Roman" w:hAnsi="Times New Roman" w:cs="Times New Roman"/>
          <w:sz w:val="24"/>
          <w:szCs w:val="24"/>
        </w:rPr>
        <w:t>,</w:t>
      </w:r>
      <w:r w:rsidR="00295952" w:rsidRPr="004A72B3">
        <w:rPr>
          <w:rFonts w:ascii="Times New Roman" w:hAnsi="Times New Roman" w:cs="Times New Roman"/>
          <w:sz w:val="24"/>
          <w:szCs w:val="24"/>
        </w:rPr>
        <w:t xml:space="preserve"> 681.00</w:t>
      </w:r>
      <w:r w:rsidR="00295952">
        <w:rPr>
          <w:rFonts w:ascii="Times New Roman" w:hAnsi="Times New Roman" w:cs="Times New Roman"/>
          <w:sz w:val="24"/>
          <w:szCs w:val="24"/>
        </w:rPr>
        <w:t>.</w:t>
      </w:r>
      <w:r w:rsidR="00AB1B99">
        <w:rPr>
          <w:rFonts w:ascii="Times New Roman" w:hAnsi="Times New Roman" w:cs="Times New Roman"/>
          <w:sz w:val="24"/>
          <w:szCs w:val="24"/>
        </w:rPr>
        <w:t xml:space="preserve"> </w:t>
      </w:r>
      <w:r w:rsidR="000B4746">
        <w:rPr>
          <w:rFonts w:ascii="Times New Roman" w:hAnsi="Times New Roman" w:cs="Times New Roman"/>
          <w:sz w:val="24"/>
          <w:szCs w:val="24"/>
        </w:rPr>
        <w:t>Applicant instituted proceedings in this court as noted above. Respondent defended the suit and filed a counter claim</w:t>
      </w:r>
      <w:r w:rsidR="00295952">
        <w:rPr>
          <w:rFonts w:ascii="Times New Roman" w:hAnsi="Times New Roman" w:cs="Times New Roman"/>
          <w:sz w:val="24"/>
          <w:szCs w:val="24"/>
        </w:rPr>
        <w:t>.</w:t>
      </w:r>
      <w:r w:rsidR="000B4746">
        <w:rPr>
          <w:rFonts w:ascii="Times New Roman" w:hAnsi="Times New Roman" w:cs="Times New Roman"/>
          <w:sz w:val="24"/>
          <w:szCs w:val="24"/>
        </w:rPr>
        <w:t xml:space="preserve"> </w:t>
      </w:r>
      <w:r w:rsidR="00532C87">
        <w:rPr>
          <w:rFonts w:ascii="Times New Roman" w:hAnsi="Times New Roman" w:cs="Times New Roman"/>
          <w:sz w:val="24"/>
          <w:szCs w:val="24"/>
        </w:rPr>
        <w:t>This</w:t>
      </w:r>
      <w:r w:rsidR="00617E95">
        <w:rPr>
          <w:rFonts w:ascii="Times New Roman" w:hAnsi="Times New Roman" w:cs="Times New Roman"/>
          <w:sz w:val="24"/>
          <w:szCs w:val="24"/>
        </w:rPr>
        <w:t xml:space="preserve"> defence </w:t>
      </w:r>
      <w:r w:rsidR="00295952">
        <w:rPr>
          <w:rFonts w:ascii="Times New Roman" w:hAnsi="Times New Roman" w:cs="Times New Roman"/>
          <w:sz w:val="24"/>
          <w:szCs w:val="24"/>
        </w:rPr>
        <w:t xml:space="preserve">and counter claim </w:t>
      </w:r>
      <w:r w:rsidR="00617E95">
        <w:rPr>
          <w:rFonts w:ascii="Times New Roman" w:hAnsi="Times New Roman" w:cs="Times New Roman"/>
          <w:sz w:val="24"/>
          <w:szCs w:val="24"/>
        </w:rPr>
        <w:t xml:space="preserve">triggered the present application for summary judgment and its resultant point </w:t>
      </w:r>
      <w:r w:rsidR="00617E95" w:rsidRPr="00EC5E9A">
        <w:rPr>
          <w:rFonts w:ascii="Times New Roman" w:hAnsi="Times New Roman" w:cs="Times New Roman"/>
          <w:i/>
          <w:iCs/>
          <w:sz w:val="24"/>
          <w:szCs w:val="24"/>
        </w:rPr>
        <w:t xml:space="preserve">in </w:t>
      </w:r>
      <w:r w:rsidR="0038516B" w:rsidRPr="00EC5E9A">
        <w:rPr>
          <w:rFonts w:ascii="Times New Roman" w:hAnsi="Times New Roman" w:cs="Times New Roman"/>
          <w:i/>
          <w:iCs/>
          <w:sz w:val="24"/>
          <w:szCs w:val="24"/>
        </w:rPr>
        <w:t>limine</w:t>
      </w:r>
      <w:r w:rsidR="0038516B">
        <w:rPr>
          <w:rFonts w:ascii="Times New Roman" w:hAnsi="Times New Roman" w:cs="Times New Roman"/>
          <w:sz w:val="24"/>
          <w:szCs w:val="24"/>
        </w:rPr>
        <w:t xml:space="preserve">. </w:t>
      </w:r>
    </w:p>
    <w:p w14:paraId="1F96396D" w14:textId="4FD9F9B0" w:rsidR="005D2270" w:rsidRPr="005D2270" w:rsidRDefault="00EC5E9A" w:rsidP="0038516B">
      <w:pPr>
        <w:pStyle w:val="NoSpacing"/>
        <w:spacing w:before="240" w:line="360" w:lineRule="auto"/>
        <w:jc w:val="both"/>
        <w:rPr>
          <w:rFonts w:ascii="Times New Roman" w:hAnsi="Times New Roman" w:cs="Times New Roman"/>
        </w:rPr>
      </w:pPr>
      <w:r w:rsidRPr="005D2270">
        <w:rPr>
          <w:rFonts w:ascii="Times New Roman" w:hAnsi="Times New Roman" w:cs="Times New Roman"/>
        </w:rPr>
        <w:t>TH</w:t>
      </w:r>
      <w:r>
        <w:rPr>
          <w:rFonts w:ascii="Times New Roman" w:hAnsi="Times New Roman" w:cs="Times New Roman"/>
        </w:rPr>
        <w:t xml:space="preserve">E RESOLUTION AUTHORISING INSTITUTION OF LEGAL PROCEEDINGS </w:t>
      </w:r>
    </w:p>
    <w:p w14:paraId="10F76AD5" w14:textId="236EAA46" w:rsidR="0038516B" w:rsidRDefault="005D2270" w:rsidP="0038516B">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8700AB">
        <w:rPr>
          <w:rFonts w:ascii="Times New Roman" w:hAnsi="Times New Roman" w:cs="Times New Roman"/>
          <w:sz w:val="24"/>
          <w:szCs w:val="24"/>
        </w:rPr>
        <w:t>6</w:t>
      </w:r>
      <w:r>
        <w:rPr>
          <w:rFonts w:ascii="Times New Roman" w:hAnsi="Times New Roman" w:cs="Times New Roman"/>
          <w:sz w:val="24"/>
          <w:szCs w:val="24"/>
        </w:rPr>
        <w:t xml:space="preserve">] </w:t>
      </w:r>
      <w:r w:rsidR="0038516B">
        <w:rPr>
          <w:rFonts w:ascii="Times New Roman" w:hAnsi="Times New Roman" w:cs="Times New Roman"/>
          <w:sz w:val="24"/>
          <w:szCs w:val="24"/>
        </w:rPr>
        <w:t xml:space="preserve">The founding affidavit in support of the summary judgment application was deposed to by Mr. Liberty Mufandaedza, the Chief Executive Officer (CEO) of applicant. Mr. Mufandaedza </w:t>
      </w:r>
      <w:r w:rsidR="00EC5E9A">
        <w:rPr>
          <w:rFonts w:ascii="Times New Roman" w:hAnsi="Times New Roman" w:cs="Times New Roman"/>
          <w:sz w:val="24"/>
          <w:szCs w:val="24"/>
        </w:rPr>
        <w:t xml:space="preserve">based his authority to institute proceedings on </w:t>
      </w:r>
      <w:r w:rsidR="00FA5750">
        <w:rPr>
          <w:rFonts w:ascii="Times New Roman" w:hAnsi="Times New Roman" w:cs="Times New Roman"/>
          <w:sz w:val="24"/>
          <w:szCs w:val="24"/>
        </w:rPr>
        <w:t xml:space="preserve">a letter </w:t>
      </w:r>
      <w:r w:rsidR="00ED780E">
        <w:rPr>
          <w:rFonts w:ascii="Times New Roman" w:hAnsi="Times New Roman" w:cs="Times New Roman"/>
          <w:sz w:val="24"/>
          <w:szCs w:val="24"/>
        </w:rPr>
        <w:t>dated</w:t>
      </w:r>
      <w:r w:rsidR="0038516B">
        <w:rPr>
          <w:rFonts w:ascii="Times New Roman" w:hAnsi="Times New Roman" w:cs="Times New Roman"/>
          <w:sz w:val="24"/>
          <w:szCs w:val="24"/>
        </w:rPr>
        <w:t xml:space="preserve"> 9 August </w:t>
      </w:r>
      <w:r w:rsidR="00ED780E">
        <w:rPr>
          <w:rFonts w:ascii="Times New Roman" w:hAnsi="Times New Roman" w:cs="Times New Roman"/>
          <w:sz w:val="24"/>
          <w:szCs w:val="24"/>
        </w:rPr>
        <w:t>2024, referenced</w:t>
      </w:r>
      <w:r w:rsidR="00FA5750">
        <w:rPr>
          <w:rFonts w:ascii="Times New Roman" w:hAnsi="Times New Roman" w:cs="Times New Roman"/>
          <w:sz w:val="24"/>
          <w:szCs w:val="24"/>
        </w:rPr>
        <w:t xml:space="preserve"> </w:t>
      </w:r>
      <w:r w:rsidR="0038516B">
        <w:rPr>
          <w:rFonts w:ascii="Times New Roman" w:hAnsi="Times New Roman" w:cs="Times New Roman"/>
          <w:sz w:val="24"/>
          <w:szCs w:val="24"/>
        </w:rPr>
        <w:t xml:space="preserve">“To whom it may concern” and </w:t>
      </w:r>
      <w:r w:rsidR="00FA5750">
        <w:rPr>
          <w:rFonts w:ascii="Times New Roman" w:hAnsi="Times New Roman" w:cs="Times New Roman"/>
          <w:sz w:val="24"/>
          <w:szCs w:val="24"/>
        </w:rPr>
        <w:t xml:space="preserve">signed by Alderman Councillor (sic) John Mudzonga, Council Chairman </w:t>
      </w:r>
      <w:r w:rsidR="0038516B">
        <w:rPr>
          <w:rFonts w:ascii="Times New Roman" w:hAnsi="Times New Roman" w:cs="Times New Roman"/>
          <w:sz w:val="24"/>
          <w:szCs w:val="24"/>
        </w:rPr>
        <w:t xml:space="preserve">in the following </w:t>
      </w:r>
      <w:r w:rsidR="00FA5750">
        <w:rPr>
          <w:rFonts w:ascii="Times New Roman" w:hAnsi="Times New Roman" w:cs="Times New Roman"/>
          <w:sz w:val="24"/>
          <w:szCs w:val="24"/>
        </w:rPr>
        <w:t>terms</w:t>
      </w:r>
      <w:r w:rsidR="0038516B">
        <w:rPr>
          <w:rFonts w:ascii="Times New Roman" w:hAnsi="Times New Roman" w:cs="Times New Roman"/>
          <w:sz w:val="24"/>
          <w:szCs w:val="24"/>
        </w:rPr>
        <w:t>: -</w:t>
      </w:r>
    </w:p>
    <w:p w14:paraId="4B87A170" w14:textId="64D615A8" w:rsidR="000C6D72" w:rsidRDefault="005D2270" w:rsidP="005D2270">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sz w:val="24"/>
          <w:szCs w:val="24"/>
        </w:rPr>
        <w:t>“</w:t>
      </w:r>
      <w:r w:rsidR="000C6D72">
        <w:rPr>
          <w:rFonts w:ascii="Times New Roman" w:hAnsi="Times New Roman" w:cs="Times New Roman"/>
          <w:sz w:val="24"/>
          <w:szCs w:val="24"/>
        </w:rPr>
        <w:t xml:space="preserve">This is to confirm that Mr Liberty Mufandaedza is authorized in his capacity as Chief Executive Officer of </w:t>
      </w:r>
      <w:bookmarkStart w:id="2" w:name="_Hlk201249410"/>
      <w:r w:rsidR="000C6D72">
        <w:rPr>
          <w:rFonts w:ascii="Times New Roman" w:hAnsi="Times New Roman" w:cs="Times New Roman"/>
          <w:sz w:val="24"/>
          <w:szCs w:val="24"/>
        </w:rPr>
        <w:t xml:space="preserve">Mazowe Rural District Council </w:t>
      </w:r>
      <w:bookmarkEnd w:id="2"/>
      <w:r w:rsidR="000C6D72">
        <w:rPr>
          <w:rFonts w:ascii="Times New Roman" w:hAnsi="Times New Roman" w:cs="Times New Roman"/>
          <w:sz w:val="24"/>
          <w:szCs w:val="24"/>
        </w:rPr>
        <w:t xml:space="preserve">to represent Council, sign and execute all documents in relation to all legal matters involving Council at the courts of law and specifically the matter involving Zimbabwe Rural District Councils` Workers Union and Mazowe Rural District Council concerning non-payment of salaries and benefits. This is in terms of Section 66 of the Rural District Councils Act </w:t>
      </w:r>
      <w:r w:rsidR="000C6D72" w:rsidRPr="00CB6EEC">
        <w:rPr>
          <w:rFonts w:ascii="Times New Roman" w:hAnsi="Times New Roman" w:cs="Times New Roman"/>
          <w:i/>
          <w:iCs/>
          <w:sz w:val="24"/>
          <w:szCs w:val="24"/>
        </w:rPr>
        <w:t>Chapter</w:t>
      </w:r>
      <w:r w:rsidR="000C6D72">
        <w:rPr>
          <w:rFonts w:ascii="Times New Roman" w:hAnsi="Times New Roman" w:cs="Times New Roman"/>
          <w:sz w:val="24"/>
          <w:szCs w:val="24"/>
        </w:rPr>
        <w:t xml:space="preserve"> 29:13 as read with section 69 of the same. This is also confirmed by Resolution 530C469 of 2015 attached hereto”</w:t>
      </w:r>
    </w:p>
    <w:p w14:paraId="079A11C9" w14:textId="1AC3EC71" w:rsidR="000C6D72" w:rsidRDefault="005D2270" w:rsidP="0038516B">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700AB">
        <w:rPr>
          <w:rFonts w:ascii="Times New Roman" w:hAnsi="Times New Roman" w:cs="Times New Roman"/>
          <w:sz w:val="24"/>
          <w:szCs w:val="24"/>
        </w:rPr>
        <w:t>7</w:t>
      </w:r>
      <w:r>
        <w:rPr>
          <w:rFonts w:ascii="Times New Roman" w:hAnsi="Times New Roman" w:cs="Times New Roman"/>
          <w:sz w:val="24"/>
          <w:szCs w:val="24"/>
        </w:rPr>
        <w:t xml:space="preserve">] </w:t>
      </w:r>
      <w:r w:rsidR="00EC5E9A">
        <w:rPr>
          <w:rFonts w:ascii="Times New Roman" w:hAnsi="Times New Roman" w:cs="Times New Roman"/>
          <w:sz w:val="24"/>
          <w:szCs w:val="24"/>
        </w:rPr>
        <w:t>The r</w:t>
      </w:r>
      <w:r w:rsidR="000C6D72">
        <w:rPr>
          <w:rFonts w:ascii="Times New Roman" w:hAnsi="Times New Roman" w:cs="Times New Roman"/>
          <w:sz w:val="24"/>
          <w:szCs w:val="24"/>
        </w:rPr>
        <w:t>esolution 530C469 of 2015</w:t>
      </w:r>
      <w:r w:rsidR="0088573B">
        <w:rPr>
          <w:rFonts w:ascii="Times New Roman" w:hAnsi="Times New Roman" w:cs="Times New Roman"/>
          <w:sz w:val="24"/>
          <w:szCs w:val="24"/>
        </w:rPr>
        <w:t xml:space="preserve"> (“resolution</w:t>
      </w:r>
      <w:r w:rsidR="00436067">
        <w:rPr>
          <w:rFonts w:ascii="Times New Roman" w:hAnsi="Times New Roman" w:cs="Times New Roman"/>
          <w:sz w:val="24"/>
          <w:szCs w:val="24"/>
        </w:rPr>
        <w:t xml:space="preserve"> 530C469”</w:t>
      </w:r>
      <w:r w:rsidR="00EC5E9A">
        <w:rPr>
          <w:rFonts w:ascii="Times New Roman" w:hAnsi="Times New Roman" w:cs="Times New Roman"/>
          <w:sz w:val="24"/>
          <w:szCs w:val="24"/>
        </w:rPr>
        <w:t xml:space="preserve">) referred to in Alderman Mudzonga’ s letter was passed by applicant </w:t>
      </w:r>
      <w:r w:rsidR="000C6D72">
        <w:rPr>
          <w:rFonts w:ascii="Times New Roman" w:hAnsi="Times New Roman" w:cs="Times New Roman"/>
          <w:sz w:val="24"/>
          <w:szCs w:val="24"/>
        </w:rPr>
        <w:t xml:space="preserve">council on 25 June 2015 </w:t>
      </w:r>
      <w:r w:rsidR="00EC5E9A">
        <w:rPr>
          <w:rFonts w:ascii="Times New Roman" w:hAnsi="Times New Roman" w:cs="Times New Roman"/>
          <w:sz w:val="24"/>
          <w:szCs w:val="24"/>
        </w:rPr>
        <w:t xml:space="preserve">and </w:t>
      </w:r>
      <w:r w:rsidR="000C6D72">
        <w:rPr>
          <w:rFonts w:ascii="Times New Roman" w:hAnsi="Times New Roman" w:cs="Times New Roman"/>
          <w:sz w:val="24"/>
          <w:szCs w:val="24"/>
        </w:rPr>
        <w:t>read as follows; -</w:t>
      </w:r>
    </w:p>
    <w:p w14:paraId="40B7783C" w14:textId="5A533132" w:rsidR="000C6D72" w:rsidRDefault="00FA5750" w:rsidP="005D2270">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sz w:val="24"/>
          <w:szCs w:val="24"/>
        </w:rPr>
        <w:t>“</w:t>
      </w:r>
      <w:r w:rsidRPr="005D2270">
        <w:rPr>
          <w:rFonts w:ascii="Times New Roman" w:hAnsi="Times New Roman" w:cs="Times New Roman"/>
          <w:sz w:val="24"/>
          <w:szCs w:val="24"/>
          <w:u w:val="single"/>
        </w:rPr>
        <w:t>Delegation</w:t>
      </w:r>
      <w:r w:rsidR="000C6D72" w:rsidRPr="005D2270">
        <w:rPr>
          <w:rFonts w:ascii="Times New Roman" w:hAnsi="Times New Roman" w:cs="Times New Roman"/>
          <w:sz w:val="24"/>
          <w:szCs w:val="24"/>
          <w:u w:val="single"/>
        </w:rPr>
        <w:t xml:space="preserve"> of Powers </w:t>
      </w:r>
      <w:r w:rsidRPr="005D2270">
        <w:rPr>
          <w:rFonts w:ascii="Times New Roman" w:hAnsi="Times New Roman" w:cs="Times New Roman"/>
          <w:sz w:val="24"/>
          <w:szCs w:val="24"/>
          <w:u w:val="single"/>
        </w:rPr>
        <w:t>to</w:t>
      </w:r>
      <w:r w:rsidR="000C6D72" w:rsidRPr="005D2270">
        <w:rPr>
          <w:rFonts w:ascii="Times New Roman" w:hAnsi="Times New Roman" w:cs="Times New Roman"/>
          <w:sz w:val="24"/>
          <w:szCs w:val="24"/>
          <w:u w:val="single"/>
        </w:rPr>
        <w:t xml:space="preserve"> the Chief Executive Officer to Make Appeals</w:t>
      </w:r>
    </w:p>
    <w:p w14:paraId="19A57257" w14:textId="2E32B692" w:rsidR="00617E95" w:rsidRDefault="000C6D72" w:rsidP="005D2270">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sz w:val="24"/>
          <w:szCs w:val="24"/>
        </w:rPr>
        <w:t xml:space="preserve">Council resolved that powers be delegated to the Chief Executive Officer to </w:t>
      </w:r>
      <w:r w:rsidR="00FA5750">
        <w:rPr>
          <w:rFonts w:ascii="Times New Roman" w:hAnsi="Times New Roman" w:cs="Times New Roman"/>
          <w:sz w:val="24"/>
          <w:szCs w:val="24"/>
        </w:rPr>
        <w:t>instigate appeals against cases awarded unfavourably to Council.”</w:t>
      </w:r>
    </w:p>
    <w:p w14:paraId="052F9965" w14:textId="1750B4FF" w:rsidR="00617E95" w:rsidRPr="005D2270" w:rsidRDefault="00617E95" w:rsidP="004A72B3">
      <w:pPr>
        <w:pStyle w:val="NoSpacing"/>
        <w:spacing w:before="240" w:line="360" w:lineRule="auto"/>
        <w:jc w:val="both"/>
        <w:rPr>
          <w:rFonts w:ascii="Times New Roman" w:hAnsi="Times New Roman" w:cs="Times New Roman"/>
        </w:rPr>
      </w:pPr>
      <w:r w:rsidRPr="005D2270">
        <w:rPr>
          <w:rFonts w:ascii="Times New Roman" w:hAnsi="Times New Roman" w:cs="Times New Roman"/>
        </w:rPr>
        <w:t xml:space="preserve">THE </w:t>
      </w:r>
      <w:r w:rsidR="00EC5E9A">
        <w:rPr>
          <w:rFonts w:ascii="Times New Roman" w:hAnsi="Times New Roman" w:cs="Times New Roman"/>
        </w:rPr>
        <w:t xml:space="preserve">POINT </w:t>
      </w:r>
      <w:r w:rsidR="00EC5E9A" w:rsidRPr="00FE32A2">
        <w:rPr>
          <w:rFonts w:ascii="Times New Roman" w:hAnsi="Times New Roman" w:cs="Times New Roman"/>
          <w:i/>
          <w:iCs/>
        </w:rPr>
        <w:t>IN LIMINE</w:t>
      </w:r>
      <w:r w:rsidRPr="005D2270">
        <w:rPr>
          <w:rFonts w:ascii="Times New Roman" w:hAnsi="Times New Roman" w:cs="Times New Roman"/>
        </w:rPr>
        <w:t>.</w:t>
      </w:r>
    </w:p>
    <w:p w14:paraId="7FC28976" w14:textId="32242FDC" w:rsidR="00371982" w:rsidRDefault="00806E7C" w:rsidP="004A72B3">
      <w:pPr>
        <w:pStyle w:val="NoSpacing"/>
        <w:spacing w:before="240" w:line="360" w:lineRule="auto"/>
        <w:jc w:val="both"/>
        <w:rPr>
          <w:rFonts w:ascii="Times New Roman" w:hAnsi="Times New Roman" w:cs="Times New Roman"/>
          <w:sz w:val="24"/>
          <w:szCs w:val="24"/>
        </w:rPr>
      </w:pPr>
      <w:r w:rsidRPr="004A72B3">
        <w:rPr>
          <w:rFonts w:ascii="Times New Roman" w:hAnsi="Times New Roman" w:cs="Times New Roman"/>
          <w:sz w:val="24"/>
          <w:szCs w:val="24"/>
        </w:rPr>
        <w:t>[</w:t>
      </w:r>
      <w:r w:rsidR="008700AB">
        <w:rPr>
          <w:rFonts w:ascii="Times New Roman" w:hAnsi="Times New Roman" w:cs="Times New Roman"/>
          <w:sz w:val="24"/>
          <w:szCs w:val="24"/>
        </w:rPr>
        <w:t>8</w:t>
      </w:r>
      <w:r w:rsidRPr="004A72B3">
        <w:rPr>
          <w:rFonts w:ascii="Times New Roman" w:hAnsi="Times New Roman" w:cs="Times New Roman"/>
          <w:sz w:val="24"/>
          <w:szCs w:val="24"/>
        </w:rPr>
        <w:t>]</w:t>
      </w:r>
      <w:r w:rsidR="00B208A0" w:rsidRPr="004A72B3">
        <w:rPr>
          <w:rFonts w:ascii="Times New Roman" w:hAnsi="Times New Roman" w:cs="Times New Roman"/>
          <w:sz w:val="24"/>
          <w:szCs w:val="24"/>
        </w:rPr>
        <w:t xml:space="preserve"> </w:t>
      </w:r>
      <w:r w:rsidR="00ED780E">
        <w:rPr>
          <w:rFonts w:ascii="Times New Roman" w:hAnsi="Times New Roman" w:cs="Times New Roman"/>
          <w:sz w:val="24"/>
          <w:szCs w:val="24"/>
        </w:rPr>
        <w:t xml:space="preserve">Respondent, </w:t>
      </w:r>
      <w:r w:rsidR="008456A8">
        <w:rPr>
          <w:rFonts w:ascii="Times New Roman" w:hAnsi="Times New Roman" w:cs="Times New Roman"/>
          <w:sz w:val="24"/>
          <w:szCs w:val="24"/>
        </w:rPr>
        <w:t>challenged the validity of this resolution as authority for the CEO of applicant to institute present proceedings. I</w:t>
      </w:r>
      <w:r w:rsidR="00ED780E">
        <w:rPr>
          <w:rFonts w:ascii="Times New Roman" w:hAnsi="Times New Roman" w:cs="Times New Roman"/>
          <w:sz w:val="24"/>
          <w:szCs w:val="24"/>
        </w:rPr>
        <w:t xml:space="preserve">n the opposing affidavit sworn to by its Operations Manager, Mr Richard </w:t>
      </w:r>
      <w:r w:rsidR="00235B3C">
        <w:rPr>
          <w:rFonts w:ascii="Times New Roman" w:hAnsi="Times New Roman" w:cs="Times New Roman"/>
          <w:sz w:val="24"/>
          <w:szCs w:val="24"/>
        </w:rPr>
        <w:t>Chakweya averred</w:t>
      </w:r>
      <w:r w:rsidR="00371982">
        <w:rPr>
          <w:rFonts w:ascii="Times New Roman" w:hAnsi="Times New Roman" w:cs="Times New Roman"/>
          <w:sz w:val="24"/>
          <w:szCs w:val="24"/>
        </w:rPr>
        <w:t xml:space="preserve"> </w:t>
      </w:r>
      <w:r w:rsidR="00ED780E">
        <w:rPr>
          <w:rStyle w:val="FootnoteReference"/>
          <w:rFonts w:ascii="Times New Roman" w:hAnsi="Times New Roman" w:cs="Times New Roman"/>
          <w:sz w:val="24"/>
          <w:szCs w:val="24"/>
        </w:rPr>
        <w:footnoteReference w:id="3"/>
      </w:r>
      <w:r w:rsidR="00371982">
        <w:rPr>
          <w:rFonts w:ascii="Times New Roman" w:hAnsi="Times New Roman" w:cs="Times New Roman"/>
          <w:sz w:val="24"/>
          <w:szCs w:val="24"/>
        </w:rPr>
        <w:t>;-</w:t>
      </w:r>
      <w:r w:rsidR="00ED780E">
        <w:rPr>
          <w:rFonts w:ascii="Times New Roman" w:hAnsi="Times New Roman" w:cs="Times New Roman"/>
          <w:sz w:val="24"/>
          <w:szCs w:val="24"/>
        </w:rPr>
        <w:t xml:space="preserve"> </w:t>
      </w:r>
    </w:p>
    <w:p w14:paraId="0A65CA0E" w14:textId="574B532B" w:rsidR="00ED780E" w:rsidRDefault="00ED780E" w:rsidP="00766342">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sz w:val="24"/>
          <w:szCs w:val="24"/>
        </w:rPr>
        <w:t>“That it was common cause that the Council which made this resolution would have been dissolved and new councillors appointed and new resolutions made. Therefore, this court cannot be made to rely on a council resolution made 10 years ago, as situations and circumstances change and appointees change. The resolution is therefore unreliable to establish authority of the deponent.”</w:t>
      </w:r>
    </w:p>
    <w:p w14:paraId="2AAD48A6" w14:textId="6BBBBE40" w:rsidR="0038516B" w:rsidRDefault="00371982"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8700AB">
        <w:rPr>
          <w:rFonts w:ascii="Times New Roman" w:hAnsi="Times New Roman" w:cs="Times New Roman"/>
          <w:sz w:val="24"/>
          <w:szCs w:val="24"/>
        </w:rPr>
        <w:t>9</w:t>
      </w:r>
      <w:r>
        <w:rPr>
          <w:rFonts w:ascii="Times New Roman" w:hAnsi="Times New Roman" w:cs="Times New Roman"/>
          <w:sz w:val="24"/>
          <w:szCs w:val="24"/>
        </w:rPr>
        <w:t xml:space="preserve">] Further, </w:t>
      </w:r>
      <w:r w:rsidR="008456A8">
        <w:rPr>
          <w:rFonts w:ascii="Times New Roman" w:hAnsi="Times New Roman" w:cs="Times New Roman"/>
          <w:sz w:val="24"/>
          <w:szCs w:val="24"/>
        </w:rPr>
        <w:t xml:space="preserve">Mr Chakweya insisted that </w:t>
      </w:r>
      <w:bookmarkStart w:id="3" w:name="_Hlk201331088"/>
      <w:r w:rsidR="0088573B">
        <w:rPr>
          <w:rFonts w:ascii="Times New Roman" w:hAnsi="Times New Roman" w:cs="Times New Roman"/>
          <w:sz w:val="24"/>
          <w:szCs w:val="24"/>
        </w:rPr>
        <w:t xml:space="preserve">resolution </w:t>
      </w:r>
      <w:bookmarkEnd w:id="3"/>
      <w:r w:rsidR="00436067">
        <w:rPr>
          <w:rFonts w:ascii="Times New Roman" w:hAnsi="Times New Roman" w:cs="Times New Roman"/>
          <w:sz w:val="24"/>
          <w:szCs w:val="24"/>
        </w:rPr>
        <w:t xml:space="preserve">530C469 </w:t>
      </w:r>
      <w:r w:rsidR="0088573B">
        <w:rPr>
          <w:rFonts w:ascii="Times New Roman" w:hAnsi="Times New Roman" w:cs="Times New Roman"/>
          <w:sz w:val="24"/>
          <w:szCs w:val="24"/>
        </w:rPr>
        <w:t>pertained</w:t>
      </w:r>
      <w:r w:rsidR="0038516B">
        <w:rPr>
          <w:rFonts w:ascii="Times New Roman" w:hAnsi="Times New Roman" w:cs="Times New Roman"/>
          <w:sz w:val="24"/>
          <w:szCs w:val="24"/>
        </w:rPr>
        <w:t xml:space="preserve"> to a specific set of litigation whose ambit excluded present </w:t>
      </w:r>
      <w:r w:rsidR="008456A8">
        <w:rPr>
          <w:rFonts w:ascii="Times New Roman" w:hAnsi="Times New Roman" w:cs="Times New Roman"/>
          <w:sz w:val="24"/>
          <w:szCs w:val="24"/>
        </w:rPr>
        <w:t>proceedings. The</w:t>
      </w:r>
      <w:r w:rsidR="0038516B">
        <w:rPr>
          <w:rFonts w:ascii="Times New Roman" w:hAnsi="Times New Roman" w:cs="Times New Roman"/>
          <w:sz w:val="24"/>
          <w:szCs w:val="24"/>
        </w:rPr>
        <w:t xml:space="preserve"> resolution </w:t>
      </w:r>
      <w:r w:rsidR="00436067">
        <w:rPr>
          <w:rFonts w:ascii="Times New Roman" w:hAnsi="Times New Roman" w:cs="Times New Roman"/>
          <w:sz w:val="24"/>
          <w:szCs w:val="24"/>
        </w:rPr>
        <w:t xml:space="preserve">530C469 </w:t>
      </w:r>
      <w:r w:rsidR="0038516B">
        <w:rPr>
          <w:rFonts w:ascii="Times New Roman" w:hAnsi="Times New Roman" w:cs="Times New Roman"/>
          <w:sz w:val="24"/>
          <w:szCs w:val="24"/>
        </w:rPr>
        <w:t>read; - “Council resolved that powers be delegated to the Chief executive Officer to instigate appeals against cases awarded unfavourably (sic) to council”.</w:t>
      </w:r>
    </w:p>
    <w:p w14:paraId="6F85CAB4" w14:textId="3BBCA9D2" w:rsidR="008456A8" w:rsidRDefault="00371982"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235B3C">
        <w:rPr>
          <w:rFonts w:ascii="Times New Roman" w:hAnsi="Times New Roman" w:cs="Times New Roman"/>
          <w:sz w:val="24"/>
          <w:szCs w:val="24"/>
        </w:rPr>
        <w:t>1</w:t>
      </w:r>
      <w:r w:rsidR="008700AB">
        <w:rPr>
          <w:rFonts w:ascii="Times New Roman" w:hAnsi="Times New Roman" w:cs="Times New Roman"/>
          <w:sz w:val="24"/>
          <w:szCs w:val="24"/>
        </w:rPr>
        <w:t>0</w:t>
      </w:r>
      <w:r>
        <w:rPr>
          <w:rFonts w:ascii="Times New Roman" w:hAnsi="Times New Roman" w:cs="Times New Roman"/>
          <w:sz w:val="24"/>
          <w:szCs w:val="24"/>
        </w:rPr>
        <w:t xml:space="preserve">] </w:t>
      </w:r>
      <w:r w:rsidR="008456A8">
        <w:rPr>
          <w:rFonts w:ascii="Times New Roman" w:hAnsi="Times New Roman" w:cs="Times New Roman"/>
          <w:sz w:val="24"/>
          <w:szCs w:val="24"/>
        </w:rPr>
        <w:t>It being an application for summary judgment with no facility for an answering affidavit, applicant</w:t>
      </w:r>
      <w:r>
        <w:rPr>
          <w:rFonts w:ascii="Times New Roman" w:hAnsi="Times New Roman" w:cs="Times New Roman"/>
          <w:sz w:val="24"/>
          <w:szCs w:val="24"/>
        </w:rPr>
        <w:t xml:space="preserve"> did not answer these factual averments. That aside, the point </w:t>
      </w:r>
      <w:r w:rsidRPr="00246D4B">
        <w:rPr>
          <w:rFonts w:ascii="Times New Roman" w:hAnsi="Times New Roman" w:cs="Times New Roman"/>
          <w:i/>
          <w:iCs/>
          <w:sz w:val="24"/>
          <w:szCs w:val="24"/>
        </w:rPr>
        <w:t>in limine</w:t>
      </w:r>
      <w:r>
        <w:rPr>
          <w:rFonts w:ascii="Times New Roman" w:hAnsi="Times New Roman" w:cs="Times New Roman"/>
          <w:sz w:val="24"/>
          <w:szCs w:val="24"/>
        </w:rPr>
        <w:t xml:space="preserve"> was sustained on essentially the same basis in the respondent`s heads of arguments. Mr </w:t>
      </w:r>
      <w:r w:rsidRPr="00B8354C">
        <w:rPr>
          <w:rFonts w:ascii="Times New Roman" w:hAnsi="Times New Roman" w:cs="Times New Roman"/>
          <w:i/>
          <w:iCs/>
          <w:sz w:val="24"/>
          <w:szCs w:val="24"/>
        </w:rPr>
        <w:t>Sithole</w:t>
      </w:r>
      <w:r>
        <w:rPr>
          <w:rFonts w:ascii="Times New Roman" w:hAnsi="Times New Roman" w:cs="Times New Roman"/>
          <w:sz w:val="24"/>
          <w:szCs w:val="24"/>
        </w:rPr>
        <w:t xml:space="preserve">, for </w:t>
      </w:r>
      <w:r w:rsidR="008456A8">
        <w:rPr>
          <w:rFonts w:ascii="Times New Roman" w:hAnsi="Times New Roman" w:cs="Times New Roman"/>
          <w:sz w:val="24"/>
          <w:szCs w:val="24"/>
        </w:rPr>
        <w:t>respondent reiterated the position taken in the opposing affidavit and heads of argument that t</w:t>
      </w:r>
      <w:r>
        <w:rPr>
          <w:rFonts w:ascii="Times New Roman" w:hAnsi="Times New Roman" w:cs="Times New Roman"/>
          <w:sz w:val="24"/>
          <w:szCs w:val="24"/>
        </w:rPr>
        <w:t xml:space="preserve">here was no valid application before the </w:t>
      </w:r>
      <w:r w:rsidR="00766342">
        <w:rPr>
          <w:rFonts w:ascii="Times New Roman" w:hAnsi="Times New Roman" w:cs="Times New Roman"/>
          <w:sz w:val="24"/>
          <w:szCs w:val="24"/>
        </w:rPr>
        <w:t xml:space="preserve">court. </w:t>
      </w:r>
    </w:p>
    <w:p w14:paraId="104A4E57" w14:textId="53ADB0A3" w:rsidR="00577DDD" w:rsidRDefault="008456A8"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8700AB">
        <w:rPr>
          <w:rFonts w:ascii="Times New Roman" w:hAnsi="Times New Roman" w:cs="Times New Roman"/>
          <w:sz w:val="24"/>
          <w:szCs w:val="24"/>
        </w:rPr>
        <w:t>1</w:t>
      </w:r>
      <w:r w:rsidR="00EA6FD4">
        <w:rPr>
          <w:rFonts w:ascii="Times New Roman" w:hAnsi="Times New Roman" w:cs="Times New Roman"/>
          <w:sz w:val="24"/>
          <w:szCs w:val="24"/>
        </w:rPr>
        <w:t xml:space="preserve">] </w:t>
      </w:r>
      <w:r w:rsidR="008C3BE4">
        <w:rPr>
          <w:rFonts w:ascii="Times New Roman" w:hAnsi="Times New Roman" w:cs="Times New Roman"/>
          <w:sz w:val="24"/>
          <w:szCs w:val="24"/>
        </w:rPr>
        <w:t xml:space="preserve">There was no valid resolution by applicant to have present proceedings instituted on its behalf. </w:t>
      </w:r>
      <w:r w:rsidR="00436067">
        <w:rPr>
          <w:rFonts w:ascii="Times New Roman" w:hAnsi="Times New Roman" w:cs="Times New Roman"/>
          <w:sz w:val="24"/>
          <w:szCs w:val="24"/>
        </w:rPr>
        <w:t>The r</w:t>
      </w:r>
      <w:r w:rsidR="0088573B">
        <w:rPr>
          <w:rFonts w:ascii="Times New Roman" w:hAnsi="Times New Roman" w:cs="Times New Roman"/>
          <w:sz w:val="24"/>
          <w:szCs w:val="24"/>
        </w:rPr>
        <w:t>esolution</w:t>
      </w:r>
      <w:r w:rsidR="00436067">
        <w:rPr>
          <w:rFonts w:ascii="Times New Roman" w:hAnsi="Times New Roman" w:cs="Times New Roman"/>
          <w:sz w:val="24"/>
          <w:szCs w:val="24"/>
        </w:rPr>
        <w:t xml:space="preserve"> 530C469</w:t>
      </w:r>
      <w:r w:rsidR="0088573B">
        <w:rPr>
          <w:rFonts w:ascii="Times New Roman" w:hAnsi="Times New Roman" w:cs="Times New Roman"/>
          <w:sz w:val="24"/>
          <w:szCs w:val="24"/>
        </w:rPr>
        <w:t xml:space="preserve"> </w:t>
      </w:r>
      <w:r w:rsidR="008C3BE4">
        <w:rPr>
          <w:rFonts w:ascii="Times New Roman" w:hAnsi="Times New Roman" w:cs="Times New Roman"/>
          <w:sz w:val="24"/>
          <w:szCs w:val="24"/>
        </w:rPr>
        <w:t xml:space="preserve">attached </w:t>
      </w:r>
      <w:r w:rsidR="0088573B">
        <w:rPr>
          <w:rFonts w:ascii="Times New Roman" w:hAnsi="Times New Roman" w:cs="Times New Roman"/>
          <w:sz w:val="24"/>
          <w:szCs w:val="24"/>
        </w:rPr>
        <w:t xml:space="preserve">to the founding papers </w:t>
      </w:r>
      <w:r w:rsidR="008C3BE4">
        <w:rPr>
          <w:rFonts w:ascii="Times New Roman" w:hAnsi="Times New Roman" w:cs="Times New Roman"/>
          <w:sz w:val="24"/>
          <w:szCs w:val="24"/>
        </w:rPr>
        <w:t xml:space="preserve">was </w:t>
      </w:r>
      <w:r w:rsidR="00EA6FD4">
        <w:rPr>
          <w:rFonts w:ascii="Times New Roman" w:hAnsi="Times New Roman" w:cs="Times New Roman"/>
          <w:sz w:val="24"/>
          <w:szCs w:val="24"/>
        </w:rPr>
        <w:t xml:space="preserve">nearly </w:t>
      </w:r>
      <w:r w:rsidR="008C3BE4">
        <w:rPr>
          <w:rFonts w:ascii="Times New Roman" w:hAnsi="Times New Roman" w:cs="Times New Roman"/>
          <w:sz w:val="24"/>
          <w:szCs w:val="24"/>
        </w:rPr>
        <w:t xml:space="preserve">10 years old. </w:t>
      </w:r>
      <w:r w:rsidR="00577DDD">
        <w:rPr>
          <w:rFonts w:ascii="Times New Roman" w:hAnsi="Times New Roman" w:cs="Times New Roman"/>
          <w:sz w:val="24"/>
          <w:szCs w:val="24"/>
        </w:rPr>
        <w:t>In that regard, argued</w:t>
      </w:r>
      <w:r w:rsidR="00EA6FD4">
        <w:rPr>
          <w:rFonts w:ascii="Times New Roman" w:hAnsi="Times New Roman" w:cs="Times New Roman"/>
          <w:sz w:val="24"/>
          <w:szCs w:val="24"/>
        </w:rPr>
        <w:t xml:space="preserve"> counsel, </w:t>
      </w:r>
      <w:r w:rsidR="00577DDD">
        <w:rPr>
          <w:rFonts w:ascii="Times New Roman" w:hAnsi="Times New Roman" w:cs="Times New Roman"/>
          <w:sz w:val="24"/>
          <w:szCs w:val="24"/>
        </w:rPr>
        <w:t xml:space="preserve">it was clear that </w:t>
      </w:r>
      <w:r w:rsidR="00EA6FD4">
        <w:rPr>
          <w:rFonts w:ascii="Times New Roman" w:hAnsi="Times New Roman" w:cs="Times New Roman"/>
          <w:sz w:val="24"/>
          <w:szCs w:val="24"/>
        </w:rPr>
        <w:t>o</w:t>
      </w:r>
      <w:r w:rsidR="00766342">
        <w:rPr>
          <w:rFonts w:ascii="Times New Roman" w:hAnsi="Times New Roman" w:cs="Times New Roman"/>
          <w:sz w:val="24"/>
          <w:szCs w:val="24"/>
        </w:rPr>
        <w:t xml:space="preserve">n 25 June 2015 when applicant council passed </w:t>
      </w:r>
      <w:r w:rsidR="0088573B">
        <w:rPr>
          <w:rFonts w:ascii="Times New Roman" w:hAnsi="Times New Roman" w:cs="Times New Roman"/>
          <w:sz w:val="24"/>
          <w:szCs w:val="24"/>
        </w:rPr>
        <w:t>resolution 530C469, the</w:t>
      </w:r>
      <w:r w:rsidR="008C3BE4">
        <w:rPr>
          <w:rFonts w:ascii="Times New Roman" w:hAnsi="Times New Roman" w:cs="Times New Roman"/>
          <w:sz w:val="24"/>
          <w:szCs w:val="24"/>
        </w:rPr>
        <w:t xml:space="preserve"> present suit was not at all </w:t>
      </w:r>
      <w:r w:rsidR="0088573B">
        <w:rPr>
          <w:rFonts w:ascii="Times New Roman" w:hAnsi="Times New Roman" w:cs="Times New Roman"/>
          <w:sz w:val="24"/>
          <w:szCs w:val="24"/>
        </w:rPr>
        <w:t xml:space="preserve">within its </w:t>
      </w:r>
      <w:r w:rsidR="008C3BE4">
        <w:rPr>
          <w:rFonts w:ascii="Times New Roman" w:hAnsi="Times New Roman" w:cs="Times New Roman"/>
          <w:sz w:val="24"/>
          <w:szCs w:val="24"/>
        </w:rPr>
        <w:t>contemplat</w:t>
      </w:r>
      <w:r w:rsidR="00766342">
        <w:rPr>
          <w:rFonts w:ascii="Times New Roman" w:hAnsi="Times New Roman" w:cs="Times New Roman"/>
          <w:sz w:val="24"/>
          <w:szCs w:val="24"/>
        </w:rPr>
        <w:t xml:space="preserve">ion. In addition, the </w:t>
      </w:r>
      <w:r w:rsidR="00766342">
        <w:rPr>
          <w:rFonts w:ascii="Times New Roman" w:hAnsi="Times New Roman" w:cs="Times New Roman"/>
          <w:sz w:val="24"/>
          <w:szCs w:val="24"/>
        </w:rPr>
        <w:lastRenderedPageBreak/>
        <w:t xml:space="preserve">passage of time </w:t>
      </w:r>
      <w:r>
        <w:rPr>
          <w:rFonts w:ascii="Times New Roman" w:hAnsi="Times New Roman" w:cs="Times New Roman"/>
          <w:sz w:val="24"/>
          <w:szCs w:val="24"/>
        </w:rPr>
        <w:t xml:space="preserve">since 2015 </w:t>
      </w:r>
      <w:r w:rsidR="00766342">
        <w:rPr>
          <w:rFonts w:ascii="Times New Roman" w:hAnsi="Times New Roman" w:cs="Times New Roman"/>
          <w:sz w:val="24"/>
          <w:szCs w:val="24"/>
        </w:rPr>
        <w:t xml:space="preserve">had ushered in so </w:t>
      </w:r>
      <w:r w:rsidR="00235B3C">
        <w:rPr>
          <w:rFonts w:ascii="Times New Roman" w:hAnsi="Times New Roman" w:cs="Times New Roman"/>
          <w:sz w:val="24"/>
          <w:szCs w:val="24"/>
        </w:rPr>
        <w:t>much change</w:t>
      </w:r>
      <w:r w:rsidR="00766342">
        <w:rPr>
          <w:rFonts w:ascii="Times New Roman" w:hAnsi="Times New Roman" w:cs="Times New Roman"/>
          <w:sz w:val="24"/>
          <w:szCs w:val="24"/>
        </w:rPr>
        <w:t xml:space="preserve"> </w:t>
      </w:r>
      <w:r w:rsidR="00577DDD">
        <w:rPr>
          <w:rFonts w:ascii="Times New Roman" w:hAnsi="Times New Roman" w:cs="Times New Roman"/>
          <w:sz w:val="24"/>
          <w:szCs w:val="24"/>
        </w:rPr>
        <w:t xml:space="preserve">as to render </w:t>
      </w:r>
      <w:r w:rsidR="00436067">
        <w:rPr>
          <w:rFonts w:ascii="Times New Roman" w:hAnsi="Times New Roman" w:cs="Times New Roman"/>
          <w:sz w:val="24"/>
          <w:szCs w:val="24"/>
        </w:rPr>
        <w:t xml:space="preserve">the </w:t>
      </w:r>
      <w:r w:rsidR="00577DDD">
        <w:rPr>
          <w:rFonts w:ascii="Times New Roman" w:hAnsi="Times New Roman" w:cs="Times New Roman"/>
          <w:sz w:val="24"/>
          <w:szCs w:val="24"/>
        </w:rPr>
        <w:t>resolution</w:t>
      </w:r>
      <w:r w:rsidR="0088573B">
        <w:rPr>
          <w:rFonts w:ascii="Times New Roman" w:hAnsi="Times New Roman" w:cs="Times New Roman"/>
          <w:sz w:val="24"/>
          <w:szCs w:val="24"/>
        </w:rPr>
        <w:t xml:space="preserve"> </w:t>
      </w:r>
      <w:r w:rsidR="00436067">
        <w:rPr>
          <w:rFonts w:ascii="Times New Roman" w:hAnsi="Times New Roman" w:cs="Times New Roman"/>
          <w:sz w:val="24"/>
          <w:szCs w:val="24"/>
        </w:rPr>
        <w:t xml:space="preserve">530C469 </w:t>
      </w:r>
      <w:r w:rsidR="0088573B">
        <w:rPr>
          <w:rFonts w:ascii="Times New Roman" w:hAnsi="Times New Roman" w:cs="Times New Roman"/>
          <w:sz w:val="24"/>
          <w:szCs w:val="24"/>
        </w:rPr>
        <w:t xml:space="preserve">virtually </w:t>
      </w:r>
      <w:r w:rsidR="00766342">
        <w:rPr>
          <w:rFonts w:ascii="Times New Roman" w:hAnsi="Times New Roman" w:cs="Times New Roman"/>
          <w:sz w:val="24"/>
          <w:szCs w:val="24"/>
        </w:rPr>
        <w:t>otiose.</w:t>
      </w:r>
    </w:p>
    <w:p w14:paraId="7A9730E7" w14:textId="47D0A69E" w:rsidR="008456A8" w:rsidRDefault="00577DDD"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8700AB">
        <w:rPr>
          <w:rFonts w:ascii="Times New Roman" w:hAnsi="Times New Roman" w:cs="Times New Roman"/>
          <w:sz w:val="24"/>
          <w:szCs w:val="24"/>
        </w:rPr>
        <w:t>2</w:t>
      </w:r>
      <w:r>
        <w:rPr>
          <w:rFonts w:ascii="Times New Roman" w:hAnsi="Times New Roman" w:cs="Times New Roman"/>
          <w:sz w:val="24"/>
          <w:szCs w:val="24"/>
        </w:rPr>
        <w:t>] Membership</w:t>
      </w:r>
      <w:r w:rsidR="00766342">
        <w:rPr>
          <w:rFonts w:ascii="Times New Roman" w:hAnsi="Times New Roman" w:cs="Times New Roman"/>
          <w:sz w:val="24"/>
          <w:szCs w:val="24"/>
        </w:rPr>
        <w:t xml:space="preserve"> of council had changed</w:t>
      </w:r>
      <w:r w:rsidR="008700AB">
        <w:rPr>
          <w:rFonts w:ascii="Times New Roman" w:hAnsi="Times New Roman" w:cs="Times New Roman"/>
          <w:sz w:val="24"/>
          <w:szCs w:val="24"/>
        </w:rPr>
        <w:t xml:space="preserve"> with a</w:t>
      </w:r>
      <w:r>
        <w:rPr>
          <w:rFonts w:ascii="Times New Roman" w:hAnsi="Times New Roman" w:cs="Times New Roman"/>
          <w:sz w:val="24"/>
          <w:szCs w:val="24"/>
        </w:rPr>
        <w:t>n entirely different set of councillors now presid</w:t>
      </w:r>
      <w:r w:rsidR="008700AB">
        <w:rPr>
          <w:rFonts w:ascii="Times New Roman" w:hAnsi="Times New Roman" w:cs="Times New Roman"/>
          <w:sz w:val="24"/>
          <w:szCs w:val="24"/>
        </w:rPr>
        <w:t xml:space="preserve">ing </w:t>
      </w:r>
      <w:r>
        <w:rPr>
          <w:rFonts w:ascii="Times New Roman" w:hAnsi="Times New Roman" w:cs="Times New Roman"/>
          <w:sz w:val="24"/>
          <w:szCs w:val="24"/>
        </w:rPr>
        <w:t xml:space="preserve">over applicant`s affairs. Further, resolution </w:t>
      </w:r>
      <w:r w:rsidR="00436067">
        <w:rPr>
          <w:rFonts w:ascii="Times New Roman" w:hAnsi="Times New Roman" w:cs="Times New Roman"/>
          <w:sz w:val="24"/>
          <w:szCs w:val="24"/>
        </w:rPr>
        <w:t xml:space="preserve">530C469 </w:t>
      </w:r>
      <w:r>
        <w:rPr>
          <w:rFonts w:ascii="Times New Roman" w:hAnsi="Times New Roman" w:cs="Times New Roman"/>
          <w:sz w:val="24"/>
          <w:szCs w:val="24"/>
        </w:rPr>
        <w:t>authorised the CEO to institute a completely different type of legal proceedings. These being appeals and matters granted unfavourably against council.</w:t>
      </w:r>
      <w:r w:rsidRPr="00577DDD">
        <w:rPr>
          <w:rFonts w:ascii="Times New Roman" w:hAnsi="Times New Roman" w:cs="Times New Roman"/>
          <w:sz w:val="24"/>
          <w:szCs w:val="24"/>
        </w:rPr>
        <w:t xml:space="preserve"> </w:t>
      </w:r>
      <w:r>
        <w:rPr>
          <w:rFonts w:ascii="Times New Roman" w:hAnsi="Times New Roman" w:cs="Times New Roman"/>
          <w:sz w:val="24"/>
          <w:szCs w:val="24"/>
        </w:rPr>
        <w:t xml:space="preserve">It was </w:t>
      </w:r>
      <w:r w:rsidR="00D07D34">
        <w:rPr>
          <w:rFonts w:ascii="Times New Roman" w:hAnsi="Times New Roman" w:cs="Times New Roman"/>
          <w:sz w:val="24"/>
          <w:szCs w:val="24"/>
        </w:rPr>
        <w:t xml:space="preserve">neither </w:t>
      </w:r>
      <w:r>
        <w:rPr>
          <w:rFonts w:ascii="Times New Roman" w:hAnsi="Times New Roman" w:cs="Times New Roman"/>
          <w:sz w:val="24"/>
          <w:szCs w:val="24"/>
        </w:rPr>
        <w:t xml:space="preserve">specifically crafted </w:t>
      </w:r>
      <w:r w:rsidR="00D07D34">
        <w:rPr>
          <w:rFonts w:ascii="Times New Roman" w:hAnsi="Times New Roman" w:cs="Times New Roman"/>
          <w:sz w:val="24"/>
          <w:szCs w:val="24"/>
        </w:rPr>
        <w:t>nor passed</w:t>
      </w:r>
      <w:r>
        <w:rPr>
          <w:rFonts w:ascii="Times New Roman" w:hAnsi="Times New Roman" w:cs="Times New Roman"/>
          <w:sz w:val="24"/>
          <w:szCs w:val="24"/>
        </w:rPr>
        <w:t xml:space="preserve"> to authorise the institution of present summary judgment proceedings.</w:t>
      </w:r>
      <w:r w:rsidRPr="00577DDD">
        <w:rPr>
          <w:rFonts w:ascii="Times New Roman" w:hAnsi="Times New Roman" w:cs="Times New Roman"/>
          <w:sz w:val="24"/>
          <w:szCs w:val="24"/>
        </w:rPr>
        <w:t xml:space="preserve"> </w:t>
      </w:r>
      <w:r>
        <w:rPr>
          <w:rFonts w:ascii="Times New Roman" w:hAnsi="Times New Roman" w:cs="Times New Roman"/>
          <w:sz w:val="24"/>
          <w:szCs w:val="24"/>
        </w:rPr>
        <w:t xml:space="preserve">Even then, </w:t>
      </w:r>
      <w:r w:rsidR="00436067">
        <w:rPr>
          <w:rFonts w:ascii="Times New Roman" w:hAnsi="Times New Roman" w:cs="Times New Roman"/>
          <w:sz w:val="24"/>
          <w:szCs w:val="24"/>
        </w:rPr>
        <w:t xml:space="preserve">the </w:t>
      </w:r>
      <w:r>
        <w:rPr>
          <w:rFonts w:ascii="Times New Roman" w:hAnsi="Times New Roman" w:cs="Times New Roman"/>
          <w:sz w:val="24"/>
          <w:szCs w:val="24"/>
        </w:rPr>
        <w:t xml:space="preserve">resolution </w:t>
      </w:r>
      <w:r w:rsidR="00436067">
        <w:rPr>
          <w:rFonts w:ascii="Times New Roman" w:hAnsi="Times New Roman" w:cs="Times New Roman"/>
          <w:sz w:val="24"/>
          <w:szCs w:val="24"/>
        </w:rPr>
        <w:t>530C469 carried</w:t>
      </w:r>
      <w:r>
        <w:rPr>
          <w:rFonts w:ascii="Times New Roman" w:hAnsi="Times New Roman" w:cs="Times New Roman"/>
          <w:sz w:val="24"/>
          <w:szCs w:val="24"/>
        </w:rPr>
        <w:t xml:space="preserve"> yet another incurable defect in that generic in nature and thus blanket in application.</w:t>
      </w:r>
    </w:p>
    <w:p w14:paraId="0D22C328" w14:textId="044414A2" w:rsidR="00D07D34" w:rsidRDefault="008456A8"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8700AB">
        <w:rPr>
          <w:rFonts w:ascii="Times New Roman" w:hAnsi="Times New Roman" w:cs="Times New Roman"/>
          <w:sz w:val="24"/>
          <w:szCs w:val="24"/>
        </w:rPr>
        <w:t>3</w:t>
      </w:r>
      <w:r w:rsidR="00577DDD">
        <w:rPr>
          <w:rFonts w:ascii="Times New Roman" w:hAnsi="Times New Roman" w:cs="Times New Roman"/>
          <w:sz w:val="24"/>
          <w:szCs w:val="24"/>
        </w:rPr>
        <w:t>] The</w:t>
      </w:r>
      <w:r w:rsidR="006A421F">
        <w:rPr>
          <w:rFonts w:ascii="Times New Roman" w:hAnsi="Times New Roman" w:cs="Times New Roman"/>
          <w:sz w:val="24"/>
          <w:szCs w:val="24"/>
        </w:rPr>
        <w:t xml:space="preserve"> </w:t>
      </w:r>
      <w:r w:rsidR="00E87439">
        <w:rPr>
          <w:rFonts w:ascii="Times New Roman" w:hAnsi="Times New Roman" w:cs="Times New Roman"/>
          <w:sz w:val="24"/>
          <w:szCs w:val="24"/>
        </w:rPr>
        <w:t xml:space="preserve">issue </w:t>
      </w:r>
      <w:r w:rsidR="006A421F">
        <w:rPr>
          <w:rFonts w:ascii="Times New Roman" w:hAnsi="Times New Roman" w:cs="Times New Roman"/>
          <w:sz w:val="24"/>
          <w:szCs w:val="24"/>
        </w:rPr>
        <w:t>was compounded by Alderman Mudzonga` s</w:t>
      </w:r>
      <w:r w:rsidR="000D4B7E">
        <w:rPr>
          <w:rFonts w:ascii="Times New Roman" w:hAnsi="Times New Roman" w:cs="Times New Roman"/>
          <w:sz w:val="24"/>
          <w:szCs w:val="24"/>
        </w:rPr>
        <w:t xml:space="preserve"> “resolution” dated</w:t>
      </w:r>
      <w:r w:rsidR="006A421F">
        <w:rPr>
          <w:rFonts w:ascii="Times New Roman" w:hAnsi="Times New Roman" w:cs="Times New Roman"/>
          <w:sz w:val="24"/>
          <w:szCs w:val="24"/>
        </w:rPr>
        <w:t xml:space="preserve"> </w:t>
      </w:r>
      <w:r w:rsidR="000D4B7E">
        <w:rPr>
          <w:rFonts w:ascii="Times New Roman" w:hAnsi="Times New Roman" w:cs="Times New Roman"/>
          <w:sz w:val="24"/>
          <w:szCs w:val="24"/>
        </w:rPr>
        <w:t>9 August 2024</w:t>
      </w:r>
      <w:r w:rsidR="00D635A7">
        <w:rPr>
          <w:rFonts w:ascii="Times New Roman" w:hAnsi="Times New Roman" w:cs="Times New Roman"/>
          <w:sz w:val="24"/>
          <w:szCs w:val="24"/>
        </w:rPr>
        <w:t xml:space="preserve"> which </w:t>
      </w:r>
      <w:r>
        <w:rPr>
          <w:rFonts w:ascii="Times New Roman" w:hAnsi="Times New Roman" w:cs="Times New Roman"/>
          <w:sz w:val="24"/>
          <w:szCs w:val="24"/>
        </w:rPr>
        <w:t xml:space="preserve">purported to extend the CEO`s authority to </w:t>
      </w:r>
      <w:r w:rsidR="00235B3C">
        <w:rPr>
          <w:rFonts w:ascii="Times New Roman" w:hAnsi="Times New Roman" w:cs="Times New Roman"/>
          <w:sz w:val="24"/>
          <w:szCs w:val="24"/>
        </w:rPr>
        <w:t xml:space="preserve">litigate on </w:t>
      </w:r>
      <w:r w:rsidR="00D635A7">
        <w:rPr>
          <w:rFonts w:ascii="Times New Roman" w:hAnsi="Times New Roman" w:cs="Times New Roman"/>
          <w:sz w:val="24"/>
          <w:szCs w:val="24"/>
        </w:rPr>
        <w:t>labour appeals</w:t>
      </w:r>
      <w:r w:rsidR="000D4B7E">
        <w:rPr>
          <w:rFonts w:ascii="Times New Roman" w:hAnsi="Times New Roman" w:cs="Times New Roman"/>
          <w:sz w:val="24"/>
          <w:szCs w:val="24"/>
        </w:rPr>
        <w:t>.</w:t>
      </w:r>
      <w:r w:rsidR="00894197">
        <w:rPr>
          <w:rFonts w:ascii="Times New Roman" w:hAnsi="Times New Roman" w:cs="Times New Roman"/>
          <w:sz w:val="24"/>
          <w:szCs w:val="24"/>
        </w:rPr>
        <w:t xml:space="preserve"> Again</w:t>
      </w:r>
      <w:r w:rsidR="00E87439">
        <w:rPr>
          <w:rFonts w:ascii="Times New Roman" w:hAnsi="Times New Roman" w:cs="Times New Roman"/>
          <w:sz w:val="24"/>
          <w:szCs w:val="24"/>
        </w:rPr>
        <w:t xml:space="preserve">, the present matter-being an application for summary judgment-did not fit the definition of a labour appeal. </w:t>
      </w:r>
    </w:p>
    <w:p w14:paraId="6D77D4AD" w14:textId="6AEE6A75" w:rsidR="00D07D34" w:rsidRDefault="00E87439" w:rsidP="00D07D34">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8700AB">
        <w:rPr>
          <w:rFonts w:ascii="Times New Roman" w:hAnsi="Times New Roman" w:cs="Times New Roman"/>
          <w:sz w:val="24"/>
          <w:szCs w:val="24"/>
        </w:rPr>
        <w:t>4</w:t>
      </w:r>
      <w:r>
        <w:rPr>
          <w:rFonts w:ascii="Times New Roman" w:hAnsi="Times New Roman" w:cs="Times New Roman"/>
          <w:sz w:val="24"/>
          <w:szCs w:val="24"/>
        </w:rPr>
        <w:t>]</w:t>
      </w:r>
      <w:r w:rsidR="00D07D34">
        <w:rPr>
          <w:rFonts w:ascii="Times New Roman" w:hAnsi="Times New Roman" w:cs="Times New Roman"/>
          <w:sz w:val="24"/>
          <w:szCs w:val="24"/>
        </w:rPr>
        <w:t xml:space="preserve"> </w:t>
      </w:r>
      <w:r w:rsidR="000D4B7E">
        <w:rPr>
          <w:rFonts w:ascii="Times New Roman" w:hAnsi="Times New Roman" w:cs="Times New Roman"/>
          <w:sz w:val="24"/>
          <w:szCs w:val="24"/>
        </w:rPr>
        <w:t>Mr</w:t>
      </w:r>
      <w:r w:rsidR="00DF1F39">
        <w:rPr>
          <w:rFonts w:ascii="Times New Roman" w:hAnsi="Times New Roman" w:cs="Times New Roman"/>
          <w:sz w:val="24"/>
          <w:szCs w:val="24"/>
        </w:rPr>
        <w:t xml:space="preserve"> </w:t>
      </w:r>
      <w:r w:rsidR="00DF1F39" w:rsidRPr="00B8354C">
        <w:rPr>
          <w:rFonts w:ascii="Times New Roman" w:hAnsi="Times New Roman" w:cs="Times New Roman"/>
          <w:i/>
          <w:iCs/>
          <w:sz w:val="24"/>
          <w:szCs w:val="24"/>
        </w:rPr>
        <w:t>Sithole</w:t>
      </w:r>
      <w:r w:rsidR="00DF1F39">
        <w:rPr>
          <w:rFonts w:ascii="Times New Roman" w:hAnsi="Times New Roman" w:cs="Times New Roman"/>
          <w:sz w:val="24"/>
          <w:szCs w:val="24"/>
        </w:rPr>
        <w:t xml:space="preserve"> referred </w:t>
      </w:r>
      <w:r w:rsidR="00B8354C">
        <w:rPr>
          <w:rFonts w:ascii="Times New Roman" w:hAnsi="Times New Roman" w:cs="Times New Roman"/>
          <w:sz w:val="24"/>
          <w:szCs w:val="24"/>
        </w:rPr>
        <w:t>in that regard</w:t>
      </w:r>
      <w:r w:rsidR="00D635A7">
        <w:rPr>
          <w:rFonts w:ascii="Times New Roman" w:hAnsi="Times New Roman" w:cs="Times New Roman"/>
          <w:sz w:val="24"/>
          <w:szCs w:val="24"/>
        </w:rPr>
        <w:t>,</w:t>
      </w:r>
      <w:r w:rsidR="00B8354C">
        <w:rPr>
          <w:rFonts w:ascii="Times New Roman" w:hAnsi="Times New Roman" w:cs="Times New Roman"/>
          <w:sz w:val="24"/>
          <w:szCs w:val="24"/>
        </w:rPr>
        <w:t xml:space="preserve"> </w:t>
      </w:r>
      <w:r w:rsidR="00DF1F39">
        <w:rPr>
          <w:rFonts w:ascii="Times New Roman" w:hAnsi="Times New Roman" w:cs="Times New Roman"/>
          <w:sz w:val="24"/>
          <w:szCs w:val="24"/>
        </w:rPr>
        <w:t>to</w:t>
      </w:r>
      <w:r w:rsidR="00D635A7">
        <w:rPr>
          <w:rFonts w:ascii="Times New Roman" w:hAnsi="Times New Roman" w:cs="Times New Roman"/>
          <w:sz w:val="24"/>
          <w:szCs w:val="24"/>
        </w:rPr>
        <w:t xml:space="preserve"> this court`s decision in </w:t>
      </w:r>
      <w:r w:rsidR="00D635A7" w:rsidRPr="00D635A7">
        <w:rPr>
          <w:rFonts w:ascii="Times New Roman" w:hAnsi="Times New Roman" w:cs="Times New Roman"/>
          <w:i/>
          <w:iCs/>
          <w:sz w:val="24"/>
          <w:szCs w:val="24"/>
        </w:rPr>
        <w:t>Lugania</w:t>
      </w:r>
      <w:r w:rsidR="00DF1F39" w:rsidRPr="00B8354C">
        <w:rPr>
          <w:rFonts w:ascii="Times New Roman" w:hAnsi="Times New Roman" w:cs="Times New Roman"/>
          <w:i/>
          <w:iCs/>
          <w:sz w:val="24"/>
          <w:szCs w:val="24"/>
        </w:rPr>
        <w:t xml:space="preserve"> Investments (Pvt) Ltd v Rose Natalie Heuer &amp; Anor</w:t>
      </w:r>
      <w:r w:rsidR="00DF1F39">
        <w:rPr>
          <w:rFonts w:ascii="Times New Roman" w:hAnsi="Times New Roman" w:cs="Times New Roman"/>
          <w:sz w:val="24"/>
          <w:szCs w:val="24"/>
        </w:rPr>
        <w:t xml:space="preserve"> HH 453-</w:t>
      </w:r>
      <w:r w:rsidR="00D07D34">
        <w:rPr>
          <w:rFonts w:ascii="Times New Roman" w:hAnsi="Times New Roman" w:cs="Times New Roman"/>
          <w:sz w:val="24"/>
          <w:szCs w:val="24"/>
        </w:rPr>
        <w:t>21.</w:t>
      </w:r>
      <w:r w:rsidR="00D07D34" w:rsidRPr="00D07D34">
        <w:rPr>
          <w:rFonts w:ascii="Times New Roman" w:hAnsi="Times New Roman" w:cs="Times New Roman"/>
          <w:sz w:val="24"/>
          <w:szCs w:val="24"/>
        </w:rPr>
        <w:t xml:space="preserve"> </w:t>
      </w:r>
      <w:r w:rsidR="00D07D34">
        <w:rPr>
          <w:rFonts w:ascii="Times New Roman" w:hAnsi="Times New Roman" w:cs="Times New Roman"/>
          <w:sz w:val="24"/>
          <w:szCs w:val="24"/>
        </w:rPr>
        <w:t>His</w:t>
      </w:r>
      <w:r w:rsidR="00B8354C">
        <w:rPr>
          <w:rFonts w:ascii="Times New Roman" w:hAnsi="Times New Roman" w:cs="Times New Roman"/>
          <w:sz w:val="24"/>
          <w:szCs w:val="24"/>
        </w:rPr>
        <w:t xml:space="preserve"> reading of the </w:t>
      </w:r>
      <w:r w:rsidR="00D635A7">
        <w:rPr>
          <w:rFonts w:ascii="Times New Roman" w:hAnsi="Times New Roman" w:cs="Times New Roman"/>
          <w:sz w:val="24"/>
          <w:szCs w:val="24"/>
        </w:rPr>
        <w:t xml:space="preserve">authority </w:t>
      </w:r>
      <w:r w:rsidR="00B8354C">
        <w:rPr>
          <w:rFonts w:ascii="Times New Roman" w:hAnsi="Times New Roman" w:cs="Times New Roman"/>
          <w:sz w:val="24"/>
          <w:szCs w:val="24"/>
        </w:rPr>
        <w:t xml:space="preserve">was that the court reasoned that </w:t>
      </w:r>
      <w:r w:rsidR="00436067">
        <w:rPr>
          <w:rFonts w:ascii="Times New Roman" w:hAnsi="Times New Roman" w:cs="Times New Roman"/>
          <w:sz w:val="24"/>
          <w:szCs w:val="24"/>
        </w:rPr>
        <w:t xml:space="preserve">an </w:t>
      </w:r>
      <w:r w:rsidR="00B8354C">
        <w:rPr>
          <w:rFonts w:ascii="Times New Roman" w:hAnsi="Times New Roman" w:cs="Times New Roman"/>
          <w:sz w:val="24"/>
          <w:szCs w:val="24"/>
        </w:rPr>
        <w:t xml:space="preserve">aged resolution generated validity </w:t>
      </w:r>
      <w:r w:rsidR="00C65B83">
        <w:rPr>
          <w:rFonts w:ascii="Times New Roman" w:hAnsi="Times New Roman" w:cs="Times New Roman"/>
          <w:sz w:val="24"/>
          <w:szCs w:val="24"/>
        </w:rPr>
        <w:t xml:space="preserve">questions. It held </w:t>
      </w:r>
      <w:r w:rsidR="003869ED">
        <w:rPr>
          <w:rFonts w:ascii="Times New Roman" w:hAnsi="Times New Roman" w:cs="Times New Roman"/>
          <w:sz w:val="24"/>
          <w:szCs w:val="24"/>
        </w:rPr>
        <w:t>that “blanket</w:t>
      </w:r>
      <w:r w:rsidR="00C65B83">
        <w:rPr>
          <w:rFonts w:ascii="Times New Roman" w:hAnsi="Times New Roman" w:cs="Times New Roman"/>
          <w:sz w:val="24"/>
          <w:szCs w:val="24"/>
        </w:rPr>
        <w:t xml:space="preserve"> and aged</w:t>
      </w:r>
      <w:r w:rsidR="003869ED">
        <w:rPr>
          <w:rFonts w:ascii="Times New Roman" w:hAnsi="Times New Roman" w:cs="Times New Roman"/>
          <w:sz w:val="24"/>
          <w:szCs w:val="24"/>
        </w:rPr>
        <w:t>”</w:t>
      </w:r>
      <w:r w:rsidR="00C65B83">
        <w:rPr>
          <w:rFonts w:ascii="Times New Roman" w:hAnsi="Times New Roman" w:cs="Times New Roman"/>
          <w:sz w:val="24"/>
          <w:szCs w:val="24"/>
        </w:rPr>
        <w:t xml:space="preserve"> resolutions, such as the one before the court, passed to authorise the institution of legal proceedings on behalf of corporates as incompetent.</w:t>
      </w:r>
    </w:p>
    <w:p w14:paraId="00376FB2" w14:textId="6DE8907D" w:rsidR="00D07D34" w:rsidRDefault="00D07D34" w:rsidP="00D07D34">
      <w:pPr>
        <w:pStyle w:val="NoSpacing"/>
        <w:spacing w:before="240" w:line="360" w:lineRule="auto"/>
        <w:jc w:val="both"/>
        <w:rPr>
          <w:rFonts w:ascii="Times New Roman" w:hAnsi="Times New Roman" w:cs="Times New Roman"/>
          <w:i/>
          <w:iCs/>
          <w:sz w:val="24"/>
          <w:szCs w:val="24"/>
        </w:rPr>
      </w:pPr>
      <w:r>
        <w:rPr>
          <w:rFonts w:ascii="Times New Roman" w:hAnsi="Times New Roman" w:cs="Times New Roman"/>
          <w:sz w:val="24"/>
          <w:szCs w:val="24"/>
        </w:rPr>
        <w:t>[15] As</w:t>
      </w:r>
      <w:r w:rsidR="00B8354C">
        <w:rPr>
          <w:rFonts w:ascii="Times New Roman" w:hAnsi="Times New Roman" w:cs="Times New Roman"/>
          <w:sz w:val="24"/>
          <w:szCs w:val="24"/>
        </w:rPr>
        <w:t xml:space="preserve"> such</w:t>
      </w:r>
      <w:r w:rsidR="006A421F">
        <w:rPr>
          <w:rFonts w:ascii="Times New Roman" w:hAnsi="Times New Roman" w:cs="Times New Roman"/>
          <w:sz w:val="24"/>
          <w:szCs w:val="24"/>
        </w:rPr>
        <w:t xml:space="preserve">, the court per Mr. </w:t>
      </w:r>
      <w:r w:rsidR="006A421F" w:rsidRPr="000D4B7E">
        <w:rPr>
          <w:rFonts w:ascii="Times New Roman" w:hAnsi="Times New Roman" w:cs="Times New Roman"/>
          <w:i/>
          <w:iCs/>
          <w:sz w:val="24"/>
          <w:szCs w:val="24"/>
        </w:rPr>
        <w:t>Sithole</w:t>
      </w:r>
      <w:r w:rsidR="006A421F">
        <w:rPr>
          <w:rFonts w:ascii="Times New Roman" w:hAnsi="Times New Roman" w:cs="Times New Roman"/>
          <w:sz w:val="24"/>
          <w:szCs w:val="24"/>
        </w:rPr>
        <w:t xml:space="preserve">, opined that it was necessary for the party relying on an aged resolution to place </w:t>
      </w:r>
      <w:r w:rsidR="00B8354C">
        <w:rPr>
          <w:rFonts w:ascii="Times New Roman" w:hAnsi="Times New Roman" w:cs="Times New Roman"/>
          <w:sz w:val="24"/>
          <w:szCs w:val="24"/>
        </w:rPr>
        <w:t xml:space="preserve">verifiable evidence to confirm </w:t>
      </w:r>
      <w:r w:rsidR="006A421F">
        <w:rPr>
          <w:rFonts w:ascii="Times New Roman" w:hAnsi="Times New Roman" w:cs="Times New Roman"/>
          <w:sz w:val="24"/>
          <w:szCs w:val="24"/>
        </w:rPr>
        <w:t>the relevance and validity of such resolution. The</w:t>
      </w:r>
      <w:r w:rsidR="00B8354C">
        <w:rPr>
          <w:rFonts w:ascii="Times New Roman" w:hAnsi="Times New Roman" w:cs="Times New Roman"/>
          <w:sz w:val="24"/>
          <w:szCs w:val="24"/>
        </w:rPr>
        <w:t xml:space="preserve"> court</w:t>
      </w:r>
      <w:r w:rsidR="006A421F">
        <w:rPr>
          <w:rFonts w:ascii="Times New Roman" w:hAnsi="Times New Roman" w:cs="Times New Roman"/>
          <w:sz w:val="24"/>
          <w:szCs w:val="24"/>
        </w:rPr>
        <w:t xml:space="preserve"> in </w:t>
      </w:r>
      <w:r w:rsidR="006A421F" w:rsidRPr="000D4B7E">
        <w:rPr>
          <w:rFonts w:ascii="Times New Roman" w:hAnsi="Times New Roman" w:cs="Times New Roman"/>
          <w:i/>
          <w:iCs/>
          <w:sz w:val="24"/>
          <w:szCs w:val="24"/>
        </w:rPr>
        <w:t>Lugania Investments</w:t>
      </w:r>
      <w:r w:rsidR="006A421F">
        <w:rPr>
          <w:rFonts w:ascii="Times New Roman" w:hAnsi="Times New Roman" w:cs="Times New Roman"/>
          <w:sz w:val="24"/>
          <w:szCs w:val="24"/>
        </w:rPr>
        <w:t xml:space="preserve"> </w:t>
      </w:r>
      <w:r w:rsidR="00D635A7">
        <w:rPr>
          <w:rFonts w:ascii="Times New Roman" w:hAnsi="Times New Roman" w:cs="Times New Roman"/>
          <w:sz w:val="24"/>
          <w:szCs w:val="24"/>
        </w:rPr>
        <w:t xml:space="preserve">eventually </w:t>
      </w:r>
      <w:r w:rsidR="006A421F">
        <w:rPr>
          <w:rFonts w:ascii="Times New Roman" w:hAnsi="Times New Roman" w:cs="Times New Roman"/>
          <w:sz w:val="24"/>
          <w:szCs w:val="24"/>
        </w:rPr>
        <w:t xml:space="preserve">ruled the outdated resolution </w:t>
      </w:r>
      <w:r w:rsidR="00436067">
        <w:rPr>
          <w:rFonts w:ascii="Times New Roman" w:hAnsi="Times New Roman" w:cs="Times New Roman"/>
          <w:sz w:val="24"/>
          <w:szCs w:val="24"/>
        </w:rPr>
        <w:t xml:space="preserve">530C469 </w:t>
      </w:r>
      <w:r w:rsidR="006A421F">
        <w:rPr>
          <w:rFonts w:ascii="Times New Roman" w:hAnsi="Times New Roman" w:cs="Times New Roman"/>
          <w:sz w:val="24"/>
          <w:szCs w:val="24"/>
        </w:rPr>
        <w:t>as invalid</w:t>
      </w:r>
      <w:r w:rsidR="00B8354C">
        <w:rPr>
          <w:rFonts w:ascii="Times New Roman" w:hAnsi="Times New Roman" w:cs="Times New Roman"/>
          <w:sz w:val="24"/>
          <w:szCs w:val="24"/>
        </w:rPr>
        <w:t xml:space="preserve">, </w:t>
      </w:r>
      <w:r w:rsidR="006A421F">
        <w:rPr>
          <w:rFonts w:ascii="Times New Roman" w:hAnsi="Times New Roman" w:cs="Times New Roman"/>
          <w:sz w:val="24"/>
          <w:szCs w:val="24"/>
        </w:rPr>
        <w:t>submitted M</w:t>
      </w:r>
      <w:r w:rsidR="00B8354C">
        <w:rPr>
          <w:rFonts w:ascii="Times New Roman" w:hAnsi="Times New Roman" w:cs="Times New Roman"/>
          <w:sz w:val="24"/>
          <w:szCs w:val="24"/>
        </w:rPr>
        <w:t xml:space="preserve">r </w:t>
      </w:r>
      <w:r w:rsidR="00B8354C" w:rsidRPr="00D166F1">
        <w:rPr>
          <w:rFonts w:ascii="Times New Roman" w:hAnsi="Times New Roman" w:cs="Times New Roman"/>
          <w:i/>
          <w:iCs/>
          <w:sz w:val="24"/>
          <w:szCs w:val="24"/>
        </w:rPr>
        <w:t>Sithole</w:t>
      </w:r>
      <w:r w:rsidR="00353201">
        <w:rPr>
          <w:rStyle w:val="FootnoteReference"/>
          <w:rFonts w:ascii="Times New Roman" w:hAnsi="Times New Roman" w:cs="Times New Roman"/>
          <w:i/>
          <w:iCs/>
          <w:sz w:val="24"/>
          <w:szCs w:val="24"/>
        </w:rPr>
        <w:footnoteReference w:id="4"/>
      </w:r>
      <w:r w:rsidR="006A421F" w:rsidRPr="00D166F1">
        <w:rPr>
          <w:rFonts w:ascii="Times New Roman" w:hAnsi="Times New Roman" w:cs="Times New Roman"/>
          <w:i/>
          <w:iCs/>
          <w:sz w:val="24"/>
          <w:szCs w:val="24"/>
        </w:rPr>
        <w:t>.</w:t>
      </w:r>
    </w:p>
    <w:p w14:paraId="39D720BA" w14:textId="5923B6AB" w:rsidR="00D07D34" w:rsidRPr="00D07D34" w:rsidRDefault="00D07D34" w:rsidP="00D07D34">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[16] On inquiry from the court as to whether the doctrine of perpetual succession did not address the change in membership, Mr. </w:t>
      </w:r>
      <w:r w:rsidRPr="00235B3C">
        <w:rPr>
          <w:rFonts w:ascii="Times New Roman" w:hAnsi="Times New Roman" w:cs="Times New Roman"/>
          <w:i/>
          <w:iCs/>
          <w:sz w:val="24"/>
          <w:szCs w:val="24"/>
        </w:rPr>
        <w:t>Sithole</w:t>
      </w:r>
      <w:r>
        <w:rPr>
          <w:rFonts w:ascii="Times New Roman" w:hAnsi="Times New Roman" w:cs="Times New Roman"/>
          <w:sz w:val="24"/>
          <w:szCs w:val="24"/>
        </w:rPr>
        <w:t xml:space="preserve"> partly conceded but drew attention to the reference in resolution 530C469 to appeals and other matters granted unfavourably against </w:t>
      </w:r>
      <w:r w:rsidRPr="00D07D34">
        <w:rPr>
          <w:rFonts w:ascii="Times New Roman" w:hAnsi="Times New Roman" w:cs="Times New Roman"/>
          <w:sz w:val="24"/>
          <w:szCs w:val="24"/>
        </w:rPr>
        <w:t xml:space="preserve">council which rendered it inapplicable. </w:t>
      </w:r>
    </w:p>
    <w:p w14:paraId="2F179A31" w14:textId="50C16B71" w:rsidR="005A1713" w:rsidRDefault="006447F3" w:rsidP="008700AB">
      <w:pPr>
        <w:pStyle w:val="NoSpacing"/>
        <w:spacing w:before="240" w:line="360" w:lineRule="auto"/>
        <w:jc w:val="both"/>
        <w:rPr>
          <w:rFonts w:ascii="Times New Roman" w:hAnsi="Times New Roman" w:cs="Times New Roman"/>
          <w:sz w:val="24"/>
          <w:szCs w:val="24"/>
        </w:rPr>
      </w:pPr>
      <w:r w:rsidRPr="00D07D34">
        <w:rPr>
          <w:rFonts w:ascii="Times New Roman" w:hAnsi="Times New Roman" w:cs="Times New Roman"/>
          <w:sz w:val="24"/>
          <w:szCs w:val="24"/>
        </w:rPr>
        <w:t>[</w:t>
      </w:r>
      <w:r w:rsidR="008700AB" w:rsidRPr="00D07D34">
        <w:rPr>
          <w:rFonts w:ascii="Times New Roman" w:hAnsi="Times New Roman" w:cs="Times New Roman"/>
          <w:sz w:val="24"/>
          <w:szCs w:val="24"/>
        </w:rPr>
        <w:t>1</w:t>
      </w:r>
      <w:r w:rsidR="00D07D34" w:rsidRPr="00D07D34">
        <w:rPr>
          <w:rFonts w:ascii="Times New Roman" w:hAnsi="Times New Roman" w:cs="Times New Roman"/>
          <w:sz w:val="24"/>
          <w:szCs w:val="24"/>
        </w:rPr>
        <w:t>7</w:t>
      </w:r>
      <w:r w:rsidRPr="00D07D34">
        <w:rPr>
          <w:rFonts w:ascii="Times New Roman" w:hAnsi="Times New Roman" w:cs="Times New Roman"/>
          <w:sz w:val="24"/>
          <w:szCs w:val="24"/>
        </w:rPr>
        <w:t xml:space="preserve">] </w:t>
      </w:r>
      <w:r w:rsidR="00D635A7" w:rsidRPr="00D07D34">
        <w:rPr>
          <w:rFonts w:ascii="Times New Roman" w:hAnsi="Times New Roman" w:cs="Times New Roman"/>
          <w:sz w:val="24"/>
          <w:szCs w:val="24"/>
        </w:rPr>
        <w:t xml:space="preserve">Counsel </w:t>
      </w:r>
      <w:r w:rsidR="00FD0805" w:rsidRPr="00D07D34">
        <w:rPr>
          <w:rFonts w:ascii="Times New Roman" w:hAnsi="Times New Roman" w:cs="Times New Roman"/>
          <w:sz w:val="24"/>
          <w:szCs w:val="24"/>
        </w:rPr>
        <w:t xml:space="preserve">reverted to the guidance in </w:t>
      </w:r>
      <w:r w:rsidR="00484FBF" w:rsidRPr="00D07D34">
        <w:rPr>
          <w:rFonts w:ascii="Times New Roman" w:hAnsi="Times New Roman" w:cs="Times New Roman"/>
          <w:i/>
          <w:iCs/>
          <w:sz w:val="24"/>
          <w:szCs w:val="24"/>
        </w:rPr>
        <w:t>Madzivire</w:t>
      </w:r>
      <w:r w:rsidRPr="00D07D34">
        <w:rPr>
          <w:rFonts w:ascii="Times New Roman" w:hAnsi="Times New Roman" w:cs="Times New Roman"/>
          <w:i/>
          <w:iCs/>
          <w:sz w:val="24"/>
          <w:szCs w:val="24"/>
        </w:rPr>
        <w:t xml:space="preserve"> &amp; Ors v Zvarivadza &amp; Ors</w:t>
      </w:r>
      <w:r w:rsidRPr="00D07D34">
        <w:rPr>
          <w:rFonts w:ascii="Times New Roman" w:hAnsi="Times New Roman" w:cs="Times New Roman"/>
          <w:sz w:val="24"/>
          <w:szCs w:val="24"/>
        </w:rPr>
        <w:t xml:space="preserve"> </w:t>
      </w:r>
      <w:r w:rsidR="00484FBF" w:rsidRPr="00D07D34">
        <w:rPr>
          <w:rFonts w:ascii="Times New Roman" w:hAnsi="Times New Roman" w:cs="Times New Roman"/>
          <w:sz w:val="24"/>
          <w:szCs w:val="24"/>
        </w:rPr>
        <w:t xml:space="preserve">2006 (1) ZLR 514 (S) </w:t>
      </w:r>
      <w:r w:rsidR="001A7206" w:rsidRPr="00D07D34">
        <w:rPr>
          <w:rFonts w:ascii="Times New Roman" w:hAnsi="Times New Roman" w:cs="Times New Roman"/>
          <w:sz w:val="24"/>
          <w:szCs w:val="24"/>
        </w:rPr>
        <w:t>on the need for specificity in the wording of resolutions authorising legal proceedings.</w:t>
      </w:r>
      <w:r w:rsidR="00235B3C" w:rsidRPr="00D07D34">
        <w:rPr>
          <w:rFonts w:ascii="Times New Roman" w:hAnsi="Times New Roman" w:cs="Times New Roman"/>
          <w:sz w:val="24"/>
          <w:szCs w:val="24"/>
        </w:rPr>
        <w:t xml:space="preserve"> A</w:t>
      </w:r>
      <w:r w:rsidR="00D331E6" w:rsidRPr="00D07D34">
        <w:rPr>
          <w:rFonts w:ascii="Times New Roman" w:hAnsi="Times New Roman" w:cs="Times New Roman"/>
          <w:sz w:val="24"/>
          <w:szCs w:val="24"/>
        </w:rPr>
        <w:t xml:space="preserve"> resolution had to specify the terms of reference </w:t>
      </w:r>
      <w:r w:rsidR="00F0487B" w:rsidRPr="00D07D34">
        <w:rPr>
          <w:rFonts w:ascii="Times New Roman" w:hAnsi="Times New Roman" w:cs="Times New Roman"/>
          <w:sz w:val="24"/>
          <w:szCs w:val="24"/>
        </w:rPr>
        <w:t xml:space="preserve">circumscribing the authority </w:t>
      </w:r>
      <w:r w:rsidR="00D331E6" w:rsidRPr="00D07D34">
        <w:rPr>
          <w:rFonts w:ascii="Times New Roman" w:hAnsi="Times New Roman" w:cs="Times New Roman"/>
          <w:sz w:val="24"/>
          <w:szCs w:val="24"/>
        </w:rPr>
        <w:t xml:space="preserve">of </w:t>
      </w:r>
      <w:r w:rsidR="00F0487B" w:rsidRPr="00D07D34">
        <w:rPr>
          <w:rFonts w:ascii="Times New Roman" w:hAnsi="Times New Roman" w:cs="Times New Roman"/>
          <w:sz w:val="24"/>
          <w:szCs w:val="24"/>
        </w:rPr>
        <w:t xml:space="preserve">the herein </w:t>
      </w:r>
      <w:r w:rsidR="00F0487B" w:rsidRPr="00D07D34">
        <w:rPr>
          <w:rFonts w:ascii="Times New Roman" w:hAnsi="Times New Roman" w:cs="Times New Roman"/>
          <w:sz w:val="24"/>
          <w:szCs w:val="24"/>
        </w:rPr>
        <w:lastRenderedPageBreak/>
        <w:t>CEO deponent. Resolution 530C</w:t>
      </w:r>
      <w:r w:rsidR="00810A16" w:rsidRPr="00D07D34">
        <w:rPr>
          <w:rFonts w:ascii="Times New Roman" w:hAnsi="Times New Roman" w:cs="Times New Roman"/>
          <w:sz w:val="24"/>
          <w:szCs w:val="24"/>
        </w:rPr>
        <w:t>469, being broad</w:t>
      </w:r>
      <w:r w:rsidR="00F0487B" w:rsidRPr="00D07D34">
        <w:rPr>
          <w:rFonts w:ascii="Times New Roman" w:hAnsi="Times New Roman" w:cs="Times New Roman"/>
          <w:sz w:val="24"/>
          <w:szCs w:val="24"/>
        </w:rPr>
        <w:t xml:space="preserve"> in application, did not delineate the CEO`s </w:t>
      </w:r>
      <w:r w:rsidR="00D331E6" w:rsidRPr="00D07D34">
        <w:rPr>
          <w:rFonts w:ascii="Times New Roman" w:hAnsi="Times New Roman" w:cs="Times New Roman"/>
          <w:sz w:val="24"/>
          <w:szCs w:val="24"/>
        </w:rPr>
        <w:t>mandate and scope</w:t>
      </w:r>
      <w:r w:rsidR="00F0487B" w:rsidRPr="00D07D34">
        <w:rPr>
          <w:rFonts w:ascii="Times New Roman" w:hAnsi="Times New Roman" w:cs="Times New Roman"/>
          <w:sz w:val="24"/>
          <w:szCs w:val="24"/>
        </w:rPr>
        <w:t>,</w:t>
      </w:r>
      <w:r w:rsidR="00D331E6" w:rsidRPr="00D07D34">
        <w:rPr>
          <w:rFonts w:ascii="Times New Roman" w:hAnsi="Times New Roman" w:cs="Times New Roman"/>
          <w:sz w:val="24"/>
          <w:szCs w:val="24"/>
        </w:rPr>
        <w:t xml:space="preserve"> was </w:t>
      </w:r>
      <w:r w:rsidR="00F0487B" w:rsidRPr="00D07D34">
        <w:rPr>
          <w:rFonts w:ascii="Times New Roman" w:hAnsi="Times New Roman" w:cs="Times New Roman"/>
          <w:sz w:val="24"/>
          <w:szCs w:val="24"/>
        </w:rPr>
        <w:t xml:space="preserve">resultantly </w:t>
      </w:r>
      <w:r w:rsidR="00D331E6" w:rsidRPr="00D07D34">
        <w:rPr>
          <w:rFonts w:ascii="Times New Roman" w:hAnsi="Times New Roman" w:cs="Times New Roman"/>
          <w:sz w:val="24"/>
          <w:szCs w:val="24"/>
        </w:rPr>
        <w:t xml:space="preserve">inappropriate. </w:t>
      </w:r>
      <w:r w:rsidR="00AF5A48" w:rsidRPr="00D07D34">
        <w:rPr>
          <w:rFonts w:ascii="Times New Roman" w:hAnsi="Times New Roman" w:cs="Times New Roman"/>
          <w:sz w:val="24"/>
          <w:szCs w:val="24"/>
        </w:rPr>
        <w:t xml:space="preserve">Similarly, submitted Mr. </w:t>
      </w:r>
      <w:r w:rsidR="00AF5A48" w:rsidRPr="00D07D34">
        <w:rPr>
          <w:rFonts w:ascii="Times New Roman" w:hAnsi="Times New Roman" w:cs="Times New Roman"/>
          <w:i/>
          <w:iCs/>
          <w:sz w:val="24"/>
          <w:szCs w:val="24"/>
        </w:rPr>
        <w:t>Sithole,</w:t>
      </w:r>
      <w:r w:rsidR="00AF5A48" w:rsidRPr="00D07D34">
        <w:rPr>
          <w:rFonts w:ascii="Times New Roman" w:hAnsi="Times New Roman" w:cs="Times New Roman"/>
          <w:sz w:val="24"/>
          <w:szCs w:val="24"/>
        </w:rPr>
        <w:t xml:space="preserve"> a resolution which granted authorisation of future acts was irreconcilable with the requirement of specificity. A resolution had to relate to the particular litigation </w:t>
      </w:r>
      <w:r w:rsidR="005A155B" w:rsidRPr="00D07D34">
        <w:rPr>
          <w:rFonts w:ascii="Times New Roman" w:hAnsi="Times New Roman" w:cs="Times New Roman"/>
          <w:sz w:val="24"/>
          <w:szCs w:val="24"/>
        </w:rPr>
        <w:t>at hand.</w:t>
      </w:r>
      <w:r w:rsidR="005A155B">
        <w:rPr>
          <w:rFonts w:ascii="Times New Roman" w:hAnsi="Times New Roman" w:cs="Times New Roman"/>
          <w:sz w:val="24"/>
          <w:szCs w:val="24"/>
        </w:rPr>
        <w:t xml:space="preserve"> </w:t>
      </w:r>
    </w:p>
    <w:p w14:paraId="38A58E2C" w14:textId="77777777" w:rsidR="005A1713" w:rsidRDefault="005A1713" w:rsidP="005A155B">
      <w:pPr>
        <w:spacing w:after="0" w:line="360" w:lineRule="auto"/>
        <w:jc w:val="both"/>
        <w:rPr>
          <w:rFonts w:ascii="Times New Roman" w:hAnsi="Times New Roman" w:cs="Times New Roman"/>
          <w:sz w:val="24"/>
          <w:szCs w:val="24"/>
        </w:rPr>
      </w:pPr>
    </w:p>
    <w:p w14:paraId="13A09249" w14:textId="284AC163" w:rsidR="00D07D34" w:rsidRDefault="005A1713" w:rsidP="005A155B">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w:t>
      </w:r>
      <w:r w:rsidR="008700AB">
        <w:rPr>
          <w:rFonts w:ascii="Times New Roman" w:hAnsi="Times New Roman" w:cs="Times New Roman"/>
          <w:sz w:val="24"/>
          <w:szCs w:val="24"/>
        </w:rPr>
        <w:t>1</w:t>
      </w:r>
      <w:r w:rsidR="00D07D34">
        <w:rPr>
          <w:rFonts w:ascii="Times New Roman" w:hAnsi="Times New Roman" w:cs="Times New Roman"/>
          <w:sz w:val="24"/>
          <w:szCs w:val="24"/>
        </w:rPr>
        <w:t>8</w:t>
      </w:r>
      <w:r>
        <w:rPr>
          <w:rFonts w:ascii="Times New Roman" w:hAnsi="Times New Roman" w:cs="Times New Roman"/>
          <w:sz w:val="24"/>
          <w:szCs w:val="24"/>
        </w:rPr>
        <w:t xml:space="preserve">] </w:t>
      </w:r>
      <w:r w:rsidR="008700AB">
        <w:rPr>
          <w:rFonts w:ascii="Times New Roman" w:hAnsi="Times New Roman" w:cs="Times New Roman"/>
          <w:bCs/>
          <w:sz w:val="24"/>
          <w:szCs w:val="24"/>
        </w:rPr>
        <w:t xml:space="preserve">This requirement of specificity in resolutions, submitted counsel, had been asserted beyond contest by the courts in decisions cited in </w:t>
      </w:r>
      <w:r w:rsidR="005A155B" w:rsidRPr="005A155B">
        <w:rPr>
          <w:rFonts w:ascii="Times New Roman" w:hAnsi="Times New Roman" w:cs="Times New Roman"/>
          <w:bCs/>
          <w:i/>
          <w:iCs/>
          <w:sz w:val="24"/>
          <w:szCs w:val="24"/>
        </w:rPr>
        <w:t xml:space="preserve">Arosume Property Development (Private) Limited v Farai Olivia Mashonganyika &amp; Minister </w:t>
      </w:r>
      <w:r w:rsidR="003117A6" w:rsidRPr="005A155B">
        <w:rPr>
          <w:rFonts w:ascii="Times New Roman" w:hAnsi="Times New Roman" w:cs="Times New Roman"/>
          <w:bCs/>
          <w:i/>
          <w:iCs/>
          <w:sz w:val="24"/>
          <w:szCs w:val="24"/>
        </w:rPr>
        <w:t>of</w:t>
      </w:r>
      <w:r w:rsidR="005A155B" w:rsidRPr="005A155B">
        <w:rPr>
          <w:rFonts w:ascii="Times New Roman" w:hAnsi="Times New Roman" w:cs="Times New Roman"/>
          <w:bCs/>
          <w:i/>
          <w:iCs/>
          <w:sz w:val="24"/>
          <w:szCs w:val="24"/>
        </w:rPr>
        <w:t xml:space="preserve"> Local Government and Public Works</w:t>
      </w:r>
      <w:r w:rsidR="005A155B">
        <w:rPr>
          <w:rFonts w:ascii="Times New Roman" w:hAnsi="Times New Roman" w:cs="Times New Roman"/>
          <w:bCs/>
          <w:sz w:val="24"/>
          <w:szCs w:val="24"/>
        </w:rPr>
        <w:t xml:space="preserve"> </w:t>
      </w:r>
      <w:r w:rsidR="005A155B" w:rsidRPr="005C386D">
        <w:rPr>
          <w:rFonts w:ascii="Times New Roman" w:hAnsi="Times New Roman" w:cs="Times New Roman"/>
          <w:bCs/>
          <w:sz w:val="24"/>
          <w:szCs w:val="24"/>
        </w:rPr>
        <w:t>HH</w:t>
      </w:r>
      <w:r w:rsidR="005A155B">
        <w:rPr>
          <w:rFonts w:ascii="Times New Roman" w:hAnsi="Times New Roman" w:cs="Times New Roman"/>
          <w:bCs/>
          <w:sz w:val="24"/>
          <w:szCs w:val="24"/>
        </w:rPr>
        <w:t xml:space="preserve"> 1</w:t>
      </w:r>
      <w:r>
        <w:rPr>
          <w:rFonts w:ascii="Times New Roman" w:hAnsi="Times New Roman" w:cs="Times New Roman"/>
          <w:bCs/>
          <w:sz w:val="24"/>
          <w:szCs w:val="24"/>
        </w:rPr>
        <w:t>4</w:t>
      </w:r>
      <w:r w:rsidR="005A155B">
        <w:rPr>
          <w:rFonts w:ascii="Times New Roman" w:hAnsi="Times New Roman" w:cs="Times New Roman"/>
          <w:bCs/>
          <w:sz w:val="24"/>
          <w:szCs w:val="24"/>
        </w:rPr>
        <w:t>3-</w:t>
      </w:r>
      <w:r>
        <w:rPr>
          <w:rFonts w:ascii="Times New Roman" w:hAnsi="Times New Roman" w:cs="Times New Roman"/>
          <w:bCs/>
          <w:sz w:val="24"/>
          <w:szCs w:val="24"/>
        </w:rPr>
        <w:t>25</w:t>
      </w:r>
      <w:r w:rsidR="008700AB">
        <w:rPr>
          <w:rFonts w:ascii="Times New Roman" w:hAnsi="Times New Roman" w:cs="Times New Roman"/>
          <w:bCs/>
          <w:sz w:val="24"/>
          <w:szCs w:val="24"/>
        </w:rPr>
        <w:t>.</w:t>
      </w:r>
      <w:r w:rsidR="006447F3">
        <w:rPr>
          <w:rFonts w:ascii="Times New Roman" w:hAnsi="Times New Roman" w:cs="Times New Roman"/>
          <w:bCs/>
          <w:sz w:val="24"/>
          <w:szCs w:val="24"/>
        </w:rPr>
        <w:t xml:space="preserve"> </w:t>
      </w:r>
    </w:p>
    <w:p w14:paraId="669A9C64" w14:textId="34008E77" w:rsidR="005A155B" w:rsidRDefault="00D07D34" w:rsidP="00D07D34">
      <w:pPr>
        <w:pStyle w:val="NoSpacing"/>
        <w:spacing w:before="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[19] Counsel argued that despite all these glaring anomalies having been raised in notice of opposition as well as heads of argument, no attempt to file an updated authority was made by applicant. Right unto cusp of the hearing. </w:t>
      </w:r>
      <w:r w:rsidR="006447F3">
        <w:rPr>
          <w:rFonts w:ascii="Times New Roman" w:hAnsi="Times New Roman" w:cs="Times New Roman"/>
          <w:bCs/>
          <w:sz w:val="24"/>
          <w:szCs w:val="24"/>
        </w:rPr>
        <w:t xml:space="preserve">Mr </w:t>
      </w:r>
      <w:r w:rsidR="006447F3" w:rsidRPr="00235B3C">
        <w:rPr>
          <w:rFonts w:ascii="Times New Roman" w:hAnsi="Times New Roman" w:cs="Times New Roman"/>
          <w:bCs/>
          <w:i/>
          <w:iCs/>
          <w:sz w:val="24"/>
          <w:szCs w:val="24"/>
        </w:rPr>
        <w:t xml:space="preserve">Sithole </w:t>
      </w:r>
      <w:r w:rsidR="00FB20C2">
        <w:rPr>
          <w:rFonts w:ascii="Times New Roman" w:hAnsi="Times New Roman" w:cs="Times New Roman"/>
          <w:bCs/>
          <w:sz w:val="24"/>
          <w:szCs w:val="24"/>
        </w:rPr>
        <w:t xml:space="preserve">asked </w:t>
      </w:r>
      <w:r w:rsidR="006447F3">
        <w:rPr>
          <w:rFonts w:ascii="Times New Roman" w:hAnsi="Times New Roman" w:cs="Times New Roman"/>
          <w:bCs/>
          <w:sz w:val="24"/>
          <w:szCs w:val="24"/>
        </w:rPr>
        <w:t>for a punitive order of costs given the applicant`s obdurate response to extended attempts to persuade it to see the light.</w:t>
      </w:r>
    </w:p>
    <w:p w14:paraId="79F454F0" w14:textId="77777777" w:rsidR="006447F3" w:rsidRDefault="006447F3" w:rsidP="005A155B">
      <w:pPr>
        <w:spacing w:after="0" w:line="360" w:lineRule="auto"/>
        <w:jc w:val="both"/>
        <w:rPr>
          <w:rFonts w:ascii="Times New Roman" w:hAnsi="Times New Roman" w:cs="Times New Roman"/>
          <w:bCs/>
          <w:sz w:val="24"/>
          <w:szCs w:val="24"/>
        </w:rPr>
      </w:pPr>
    </w:p>
    <w:p w14:paraId="0F7ABC4D" w14:textId="014AEEAE" w:rsidR="006447F3" w:rsidRDefault="00615A8E" w:rsidP="005A155B">
      <w:pPr>
        <w:spacing w:after="0" w:line="360" w:lineRule="auto"/>
        <w:jc w:val="both"/>
        <w:rPr>
          <w:rFonts w:ascii="Times New Roman" w:hAnsi="Times New Roman" w:cs="Times New Roman"/>
          <w:bCs/>
        </w:rPr>
      </w:pPr>
      <w:r w:rsidRPr="00D166F1">
        <w:rPr>
          <w:rFonts w:ascii="Times New Roman" w:hAnsi="Times New Roman" w:cs="Times New Roman"/>
          <w:bCs/>
        </w:rPr>
        <w:t>AUTHORITY TO REPRESENT AN ENTITY: STATUTORY BODIES</w:t>
      </w:r>
    </w:p>
    <w:p w14:paraId="27DFF41B" w14:textId="77777777" w:rsidR="00D166F1" w:rsidRPr="00D166F1" w:rsidRDefault="00D166F1" w:rsidP="005A155B">
      <w:pPr>
        <w:spacing w:after="0" w:line="360" w:lineRule="auto"/>
        <w:jc w:val="both"/>
        <w:rPr>
          <w:rFonts w:ascii="Times New Roman" w:hAnsi="Times New Roman" w:cs="Times New Roman"/>
          <w:bCs/>
        </w:rPr>
      </w:pPr>
    </w:p>
    <w:p w14:paraId="7B11303B" w14:textId="4D5BB5A9" w:rsidR="005F7466" w:rsidRDefault="00615A8E" w:rsidP="003C3FA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8700AB">
        <w:rPr>
          <w:rFonts w:ascii="Times New Roman" w:hAnsi="Times New Roman" w:cs="Times New Roman"/>
          <w:bCs/>
          <w:sz w:val="24"/>
          <w:szCs w:val="24"/>
        </w:rPr>
        <w:t>0</w:t>
      </w:r>
      <w:r>
        <w:rPr>
          <w:rFonts w:ascii="Times New Roman" w:hAnsi="Times New Roman" w:cs="Times New Roman"/>
          <w:bCs/>
          <w:sz w:val="24"/>
          <w:szCs w:val="24"/>
        </w:rPr>
        <w:t xml:space="preserve">] Mr </w:t>
      </w:r>
      <w:r w:rsidRPr="00EF5C2A">
        <w:rPr>
          <w:rFonts w:ascii="Times New Roman" w:hAnsi="Times New Roman" w:cs="Times New Roman"/>
          <w:bCs/>
          <w:i/>
          <w:iCs/>
          <w:sz w:val="24"/>
          <w:szCs w:val="24"/>
        </w:rPr>
        <w:t>Mavhiringidze</w:t>
      </w:r>
      <w:r>
        <w:rPr>
          <w:rFonts w:ascii="Times New Roman" w:hAnsi="Times New Roman" w:cs="Times New Roman"/>
          <w:bCs/>
          <w:sz w:val="24"/>
          <w:szCs w:val="24"/>
        </w:rPr>
        <w:t xml:space="preserve"> for the applicant </w:t>
      </w:r>
      <w:r w:rsidR="005F7466">
        <w:rPr>
          <w:rFonts w:ascii="Times New Roman" w:hAnsi="Times New Roman" w:cs="Times New Roman"/>
          <w:bCs/>
          <w:sz w:val="24"/>
          <w:szCs w:val="24"/>
        </w:rPr>
        <w:t xml:space="preserve">distinguished </w:t>
      </w:r>
      <w:r w:rsidR="005F7466" w:rsidRPr="005A155B">
        <w:rPr>
          <w:rFonts w:ascii="Times New Roman" w:hAnsi="Times New Roman" w:cs="Times New Roman"/>
          <w:bCs/>
          <w:i/>
          <w:iCs/>
          <w:sz w:val="24"/>
          <w:szCs w:val="24"/>
        </w:rPr>
        <w:t xml:space="preserve">Arosume Property Development </w:t>
      </w:r>
      <w:r w:rsidR="005F7466">
        <w:rPr>
          <w:rFonts w:ascii="Times New Roman" w:hAnsi="Times New Roman" w:cs="Times New Roman"/>
          <w:bCs/>
          <w:i/>
          <w:iCs/>
          <w:sz w:val="24"/>
          <w:szCs w:val="24"/>
        </w:rPr>
        <w:t xml:space="preserve">(Pvt) Ltd </w:t>
      </w:r>
      <w:r w:rsidR="005F7466" w:rsidRPr="005A155B">
        <w:rPr>
          <w:rFonts w:ascii="Times New Roman" w:hAnsi="Times New Roman" w:cs="Times New Roman"/>
          <w:bCs/>
          <w:i/>
          <w:iCs/>
          <w:sz w:val="24"/>
          <w:szCs w:val="24"/>
        </w:rPr>
        <w:t xml:space="preserve">v Farai Olivia Mashonganyika </w:t>
      </w:r>
      <w:r w:rsidR="005F7466">
        <w:rPr>
          <w:rFonts w:ascii="Times New Roman" w:hAnsi="Times New Roman" w:cs="Times New Roman"/>
          <w:bCs/>
          <w:i/>
          <w:iCs/>
          <w:sz w:val="24"/>
          <w:szCs w:val="24"/>
        </w:rPr>
        <w:t xml:space="preserve">&amp; Ors </w:t>
      </w:r>
      <w:r w:rsidR="005F7466" w:rsidRPr="005F7466">
        <w:rPr>
          <w:rFonts w:ascii="Times New Roman" w:hAnsi="Times New Roman" w:cs="Times New Roman"/>
          <w:bCs/>
          <w:sz w:val="24"/>
          <w:szCs w:val="24"/>
        </w:rPr>
        <w:t>(supra) and related authorities</w:t>
      </w:r>
      <w:r w:rsidR="005F7466">
        <w:rPr>
          <w:rFonts w:ascii="Times New Roman" w:hAnsi="Times New Roman" w:cs="Times New Roman"/>
          <w:bCs/>
          <w:i/>
          <w:iCs/>
          <w:sz w:val="24"/>
          <w:szCs w:val="24"/>
        </w:rPr>
        <w:t xml:space="preserve">. </w:t>
      </w:r>
      <w:r w:rsidR="00235B3C">
        <w:rPr>
          <w:rFonts w:ascii="Times New Roman" w:hAnsi="Times New Roman" w:cs="Times New Roman"/>
          <w:bCs/>
          <w:sz w:val="24"/>
          <w:szCs w:val="24"/>
        </w:rPr>
        <w:t xml:space="preserve">In that regard, counsel </w:t>
      </w:r>
      <w:r w:rsidR="005F7466">
        <w:rPr>
          <w:rFonts w:ascii="Times New Roman" w:hAnsi="Times New Roman" w:cs="Times New Roman"/>
          <w:bCs/>
          <w:sz w:val="24"/>
          <w:szCs w:val="24"/>
        </w:rPr>
        <w:t>argued that these decisions` findings exempted</w:t>
      </w:r>
      <w:r w:rsidR="00235B3C">
        <w:rPr>
          <w:rFonts w:ascii="Times New Roman" w:hAnsi="Times New Roman" w:cs="Times New Roman"/>
          <w:bCs/>
          <w:sz w:val="24"/>
          <w:szCs w:val="24"/>
        </w:rPr>
        <w:t xml:space="preserve"> resolutions passed by statutory bodies</w:t>
      </w:r>
      <w:r w:rsidR="005F7466">
        <w:rPr>
          <w:rFonts w:ascii="Times New Roman" w:hAnsi="Times New Roman" w:cs="Times New Roman"/>
          <w:bCs/>
          <w:sz w:val="24"/>
          <w:szCs w:val="24"/>
        </w:rPr>
        <w:t xml:space="preserve"> such as applicant. </w:t>
      </w:r>
      <w:r w:rsidR="003869ED">
        <w:rPr>
          <w:rFonts w:ascii="Times New Roman" w:hAnsi="Times New Roman" w:cs="Times New Roman"/>
          <w:bCs/>
          <w:sz w:val="24"/>
          <w:szCs w:val="24"/>
        </w:rPr>
        <w:t>The a</w:t>
      </w:r>
      <w:r w:rsidR="00235B3C">
        <w:rPr>
          <w:rFonts w:ascii="Times New Roman" w:hAnsi="Times New Roman" w:cs="Times New Roman"/>
          <w:bCs/>
          <w:sz w:val="24"/>
          <w:szCs w:val="24"/>
        </w:rPr>
        <w:t>uthorities like</w:t>
      </w:r>
      <w:r w:rsidR="003869ED">
        <w:rPr>
          <w:rFonts w:ascii="Times New Roman" w:hAnsi="Times New Roman" w:cs="Times New Roman"/>
          <w:bCs/>
          <w:sz w:val="24"/>
          <w:szCs w:val="24"/>
        </w:rPr>
        <w:t xml:space="preserve"> </w:t>
      </w:r>
      <w:r w:rsidR="003869ED" w:rsidRPr="00C473D5">
        <w:rPr>
          <w:rFonts w:ascii="Times New Roman" w:hAnsi="Times New Roman" w:cs="Times New Roman"/>
          <w:bCs/>
          <w:i/>
          <w:iCs/>
          <w:sz w:val="24"/>
          <w:szCs w:val="24"/>
        </w:rPr>
        <w:t>Arosume</w:t>
      </w:r>
      <w:r w:rsidR="00C473D5">
        <w:rPr>
          <w:rFonts w:ascii="Times New Roman" w:hAnsi="Times New Roman" w:cs="Times New Roman"/>
          <w:bCs/>
          <w:sz w:val="24"/>
          <w:szCs w:val="24"/>
        </w:rPr>
        <w:t xml:space="preserve"> </w:t>
      </w:r>
      <w:r w:rsidR="00C473D5" w:rsidRPr="005A155B">
        <w:rPr>
          <w:rFonts w:ascii="Times New Roman" w:hAnsi="Times New Roman" w:cs="Times New Roman"/>
          <w:bCs/>
          <w:i/>
          <w:iCs/>
          <w:sz w:val="24"/>
          <w:szCs w:val="24"/>
        </w:rPr>
        <w:t xml:space="preserve">Property Development </w:t>
      </w:r>
      <w:r w:rsidR="00C473D5">
        <w:rPr>
          <w:rFonts w:ascii="Times New Roman" w:hAnsi="Times New Roman" w:cs="Times New Roman"/>
          <w:bCs/>
          <w:i/>
          <w:iCs/>
          <w:sz w:val="24"/>
          <w:szCs w:val="24"/>
        </w:rPr>
        <w:t xml:space="preserve">(Pvt) Ltd </w:t>
      </w:r>
      <w:r w:rsidR="00C473D5" w:rsidRPr="005A155B">
        <w:rPr>
          <w:rFonts w:ascii="Times New Roman" w:hAnsi="Times New Roman" w:cs="Times New Roman"/>
          <w:bCs/>
          <w:i/>
          <w:iCs/>
          <w:sz w:val="24"/>
          <w:szCs w:val="24"/>
        </w:rPr>
        <w:t>v Mashonganyika</w:t>
      </w:r>
      <w:r w:rsidR="003869ED">
        <w:rPr>
          <w:rFonts w:ascii="Times New Roman" w:hAnsi="Times New Roman" w:cs="Times New Roman"/>
          <w:bCs/>
          <w:sz w:val="24"/>
          <w:szCs w:val="24"/>
        </w:rPr>
        <w:t xml:space="preserve"> </w:t>
      </w:r>
      <w:r w:rsidR="00235B3C">
        <w:rPr>
          <w:rFonts w:ascii="Times New Roman" w:hAnsi="Times New Roman" w:cs="Times New Roman"/>
          <w:bCs/>
          <w:sz w:val="24"/>
          <w:szCs w:val="24"/>
        </w:rPr>
        <w:t>dealt with</w:t>
      </w:r>
      <w:r>
        <w:rPr>
          <w:rFonts w:ascii="Times New Roman" w:hAnsi="Times New Roman" w:cs="Times New Roman"/>
          <w:bCs/>
          <w:sz w:val="24"/>
          <w:szCs w:val="24"/>
        </w:rPr>
        <w:t xml:space="preserve"> resolutions passed by private limited companies. </w:t>
      </w:r>
    </w:p>
    <w:p w14:paraId="50B94C4A" w14:textId="77777777" w:rsidR="005F7466" w:rsidRDefault="005F7466" w:rsidP="003C3FA6">
      <w:pPr>
        <w:spacing w:after="0" w:line="360" w:lineRule="auto"/>
        <w:jc w:val="both"/>
        <w:rPr>
          <w:rFonts w:ascii="Times New Roman" w:hAnsi="Times New Roman" w:cs="Times New Roman"/>
          <w:bCs/>
          <w:sz w:val="24"/>
          <w:szCs w:val="24"/>
        </w:rPr>
      </w:pPr>
    </w:p>
    <w:p w14:paraId="409F532E" w14:textId="77777777" w:rsidR="00CD30A0" w:rsidRDefault="005F7466" w:rsidP="003C3FA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[21] </w:t>
      </w:r>
      <w:r w:rsidR="003C3FA6" w:rsidRPr="0092603B">
        <w:rPr>
          <w:rFonts w:ascii="Times New Roman" w:hAnsi="Times New Roman" w:cs="Times New Roman"/>
          <w:sz w:val="24"/>
          <w:szCs w:val="24"/>
        </w:rPr>
        <w:t xml:space="preserve">Continuing, counsel </w:t>
      </w:r>
      <w:r w:rsidR="003C3FA6">
        <w:rPr>
          <w:rFonts w:ascii="Times New Roman" w:hAnsi="Times New Roman" w:cs="Times New Roman"/>
          <w:sz w:val="24"/>
          <w:szCs w:val="24"/>
        </w:rPr>
        <w:t xml:space="preserve">urged the court to pay regard to the distinction between public corporations, constitutional bodies like the JSC, and statutory bodies like the applicant. He expressed the difficulties </w:t>
      </w:r>
      <w:r w:rsidR="00CD30A0">
        <w:rPr>
          <w:rFonts w:ascii="Times New Roman" w:hAnsi="Times New Roman" w:cs="Times New Roman"/>
          <w:sz w:val="24"/>
          <w:szCs w:val="24"/>
        </w:rPr>
        <w:t xml:space="preserve">likely to befall these organisations, </w:t>
      </w:r>
      <w:r w:rsidR="003C3FA6">
        <w:rPr>
          <w:rFonts w:ascii="Times New Roman" w:hAnsi="Times New Roman" w:cs="Times New Roman"/>
          <w:sz w:val="24"/>
          <w:szCs w:val="24"/>
        </w:rPr>
        <w:t>especially applicant, if the courts were to insist on specific resolutions rather than generic ones</w:t>
      </w:r>
      <w:r w:rsidR="00CD30A0">
        <w:rPr>
          <w:rFonts w:ascii="Times New Roman" w:hAnsi="Times New Roman" w:cs="Times New Roman"/>
          <w:sz w:val="24"/>
          <w:szCs w:val="24"/>
        </w:rPr>
        <w:t>.</w:t>
      </w:r>
      <w:r w:rsidR="003C3FA6">
        <w:rPr>
          <w:rFonts w:ascii="Times New Roman" w:hAnsi="Times New Roman" w:cs="Times New Roman"/>
          <w:sz w:val="24"/>
          <w:szCs w:val="24"/>
        </w:rPr>
        <w:t xml:space="preserve"> The applicant, as a local authority carried diverse statutory responsibilities many of which </w:t>
      </w:r>
      <w:r w:rsidR="00CD30A0">
        <w:rPr>
          <w:rFonts w:ascii="Times New Roman" w:hAnsi="Times New Roman" w:cs="Times New Roman"/>
          <w:sz w:val="24"/>
          <w:szCs w:val="24"/>
        </w:rPr>
        <w:t xml:space="preserve">inevitably generated </w:t>
      </w:r>
      <w:r w:rsidR="003C3FA6">
        <w:rPr>
          <w:rFonts w:ascii="Times New Roman" w:hAnsi="Times New Roman" w:cs="Times New Roman"/>
          <w:sz w:val="24"/>
          <w:szCs w:val="24"/>
        </w:rPr>
        <w:t>litigation.</w:t>
      </w:r>
    </w:p>
    <w:p w14:paraId="2893B2E6" w14:textId="77777777" w:rsidR="00CD30A0" w:rsidRDefault="00CD30A0" w:rsidP="003C3FA6">
      <w:pPr>
        <w:spacing w:after="0" w:line="360" w:lineRule="auto"/>
        <w:jc w:val="both"/>
        <w:rPr>
          <w:rFonts w:ascii="Times New Roman" w:hAnsi="Times New Roman" w:cs="Times New Roman"/>
          <w:sz w:val="24"/>
          <w:szCs w:val="24"/>
        </w:rPr>
      </w:pPr>
    </w:p>
    <w:p w14:paraId="1C8926C7" w14:textId="00F2FB09" w:rsidR="003C3FA6" w:rsidRDefault="00CD30A0" w:rsidP="003C3FA6">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[22] To</w:t>
      </w:r>
      <w:r w:rsidR="003C3FA6">
        <w:rPr>
          <w:rFonts w:ascii="Times New Roman" w:hAnsi="Times New Roman" w:cs="Times New Roman"/>
          <w:sz w:val="24"/>
          <w:szCs w:val="24"/>
        </w:rPr>
        <w:t xml:space="preserve"> then remove the facility of generic resolutions and demand instead that such institutions convene council to pass resolutions each time there was need to litigate would be impracticable. In any event, statutory authorities such as the applicant being creature of statute were restricted to a certain number and cycles of meetings.</w:t>
      </w:r>
      <w:r w:rsidRPr="005F7466">
        <w:rPr>
          <w:rFonts w:ascii="Times New Roman" w:hAnsi="Times New Roman" w:cs="Times New Roman"/>
          <w:bCs/>
          <w:sz w:val="24"/>
          <w:szCs w:val="24"/>
        </w:rPr>
        <w:t xml:space="preserve"> </w:t>
      </w:r>
      <w:r>
        <w:rPr>
          <w:rFonts w:ascii="Times New Roman" w:hAnsi="Times New Roman" w:cs="Times New Roman"/>
          <w:bCs/>
          <w:sz w:val="24"/>
          <w:szCs w:val="24"/>
        </w:rPr>
        <w:t xml:space="preserve">In that regard, he implied in his argument that those </w:t>
      </w:r>
      <w:r>
        <w:rPr>
          <w:rFonts w:ascii="Times New Roman" w:hAnsi="Times New Roman" w:cs="Times New Roman"/>
          <w:bCs/>
          <w:sz w:val="24"/>
          <w:szCs w:val="24"/>
        </w:rPr>
        <w:lastRenderedPageBreak/>
        <w:t>authorities which held as invalid, blanket resolutions to institute legal proceedings, had been incorrectly decided.</w:t>
      </w:r>
    </w:p>
    <w:p w14:paraId="6A55F4C0" w14:textId="77777777" w:rsidR="00CD30A0" w:rsidRDefault="00CD30A0" w:rsidP="003C3FA6">
      <w:pPr>
        <w:spacing w:after="0" w:line="360" w:lineRule="auto"/>
        <w:jc w:val="both"/>
        <w:rPr>
          <w:rFonts w:ascii="Times New Roman" w:hAnsi="Times New Roman" w:cs="Times New Roman"/>
          <w:sz w:val="24"/>
          <w:szCs w:val="24"/>
        </w:rPr>
      </w:pPr>
    </w:p>
    <w:p w14:paraId="68B7F1D0" w14:textId="5ECFB7B5" w:rsidR="00235B3C" w:rsidRDefault="003C3FA6" w:rsidP="005A155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CD30A0">
        <w:rPr>
          <w:rFonts w:ascii="Times New Roman" w:hAnsi="Times New Roman" w:cs="Times New Roman"/>
          <w:bCs/>
          <w:sz w:val="24"/>
          <w:szCs w:val="24"/>
        </w:rPr>
        <w:t>3</w:t>
      </w:r>
      <w:r>
        <w:rPr>
          <w:rFonts w:ascii="Times New Roman" w:hAnsi="Times New Roman" w:cs="Times New Roman"/>
          <w:bCs/>
          <w:sz w:val="24"/>
          <w:szCs w:val="24"/>
        </w:rPr>
        <w:t>] Counsel urged the court to recognise th</w:t>
      </w:r>
      <w:r w:rsidR="00CD30A0">
        <w:rPr>
          <w:rFonts w:ascii="Times New Roman" w:hAnsi="Times New Roman" w:cs="Times New Roman"/>
          <w:bCs/>
          <w:sz w:val="24"/>
          <w:szCs w:val="24"/>
        </w:rPr>
        <w:t>e</w:t>
      </w:r>
      <w:r>
        <w:rPr>
          <w:rFonts w:ascii="Times New Roman" w:hAnsi="Times New Roman" w:cs="Times New Roman"/>
          <w:bCs/>
          <w:sz w:val="24"/>
          <w:szCs w:val="24"/>
        </w:rPr>
        <w:t xml:space="preserve"> </w:t>
      </w:r>
      <w:r w:rsidR="00615A8E">
        <w:rPr>
          <w:rFonts w:ascii="Times New Roman" w:hAnsi="Times New Roman" w:cs="Times New Roman"/>
          <w:bCs/>
          <w:sz w:val="24"/>
          <w:szCs w:val="24"/>
        </w:rPr>
        <w:t xml:space="preserve">salient distinction </w:t>
      </w:r>
      <w:r>
        <w:rPr>
          <w:rFonts w:ascii="Times New Roman" w:hAnsi="Times New Roman" w:cs="Times New Roman"/>
          <w:bCs/>
          <w:sz w:val="24"/>
          <w:szCs w:val="24"/>
        </w:rPr>
        <w:t>between private and statutory bodies in considering the argument regarding invalidity of anticipatory resolutions. Further, t</w:t>
      </w:r>
      <w:r w:rsidR="00615A8E">
        <w:rPr>
          <w:rFonts w:ascii="Times New Roman" w:hAnsi="Times New Roman" w:cs="Times New Roman"/>
          <w:bCs/>
          <w:sz w:val="24"/>
          <w:szCs w:val="24"/>
        </w:rPr>
        <w:t>he RDC Act</w:t>
      </w:r>
      <w:r>
        <w:rPr>
          <w:rFonts w:ascii="Times New Roman" w:hAnsi="Times New Roman" w:cs="Times New Roman"/>
          <w:bCs/>
          <w:sz w:val="24"/>
          <w:szCs w:val="24"/>
        </w:rPr>
        <w:t xml:space="preserve"> by s</w:t>
      </w:r>
      <w:r w:rsidR="00EB2880">
        <w:rPr>
          <w:rFonts w:ascii="Times New Roman" w:hAnsi="Times New Roman" w:cs="Times New Roman"/>
          <w:bCs/>
          <w:sz w:val="24"/>
          <w:szCs w:val="24"/>
        </w:rPr>
        <w:t xml:space="preserve"> </w:t>
      </w:r>
      <w:r w:rsidR="00307E0D">
        <w:rPr>
          <w:rFonts w:ascii="Times New Roman" w:hAnsi="Times New Roman" w:cs="Times New Roman"/>
          <w:bCs/>
          <w:sz w:val="24"/>
          <w:szCs w:val="24"/>
        </w:rPr>
        <w:t>52 dealing with</w:t>
      </w:r>
      <w:r w:rsidR="00307E0D" w:rsidRPr="00307E0D">
        <w:rPr>
          <w:rFonts w:ascii="Times New Roman" w:hAnsi="Times New Roman" w:cs="Times New Roman"/>
          <w:bCs/>
          <w:sz w:val="24"/>
          <w:szCs w:val="24"/>
        </w:rPr>
        <w:t xml:space="preserve"> </w:t>
      </w:r>
      <w:r w:rsidR="00307E0D">
        <w:rPr>
          <w:rFonts w:ascii="Times New Roman" w:hAnsi="Times New Roman" w:cs="Times New Roman"/>
          <w:bCs/>
          <w:sz w:val="24"/>
          <w:szCs w:val="24"/>
        </w:rPr>
        <w:t xml:space="preserve">rescission and alteration of council resolutions provided that all resolutions remained valid and extant unless rescinded or altered by council. Accordingly, Mr. </w:t>
      </w:r>
      <w:r w:rsidR="00307E0D" w:rsidRPr="00307E0D">
        <w:rPr>
          <w:rFonts w:ascii="Times New Roman" w:hAnsi="Times New Roman" w:cs="Times New Roman"/>
          <w:bCs/>
          <w:i/>
          <w:iCs/>
          <w:sz w:val="24"/>
          <w:szCs w:val="24"/>
        </w:rPr>
        <w:t>Mavhiringidze</w:t>
      </w:r>
      <w:r w:rsidR="00307E0D">
        <w:rPr>
          <w:rFonts w:ascii="Times New Roman" w:hAnsi="Times New Roman" w:cs="Times New Roman"/>
          <w:bCs/>
          <w:sz w:val="24"/>
          <w:szCs w:val="24"/>
        </w:rPr>
        <w:t xml:space="preserve"> submitted that the lon</w:t>
      </w:r>
      <w:r w:rsidR="00732C8C">
        <w:rPr>
          <w:rFonts w:ascii="Times New Roman" w:hAnsi="Times New Roman" w:cs="Times New Roman"/>
          <w:bCs/>
          <w:sz w:val="24"/>
          <w:szCs w:val="24"/>
        </w:rPr>
        <w:t xml:space="preserve">gevity of </w:t>
      </w:r>
      <w:r w:rsidR="00732C8C">
        <w:rPr>
          <w:rFonts w:ascii="Times New Roman" w:hAnsi="Times New Roman" w:cs="Times New Roman"/>
          <w:sz w:val="24"/>
          <w:szCs w:val="24"/>
        </w:rPr>
        <w:t xml:space="preserve">resolution 530C469 </w:t>
      </w:r>
      <w:r w:rsidR="00732C8C">
        <w:rPr>
          <w:rFonts w:ascii="Times New Roman" w:hAnsi="Times New Roman" w:cs="Times New Roman"/>
          <w:bCs/>
          <w:sz w:val="24"/>
          <w:szCs w:val="24"/>
        </w:rPr>
        <w:t>was inconsequential.</w:t>
      </w:r>
    </w:p>
    <w:p w14:paraId="203A887A" w14:textId="485B116A" w:rsidR="00615A8E" w:rsidRDefault="00615A8E" w:rsidP="005A155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7667C29" w14:textId="3FC7863E" w:rsidR="00D32A15" w:rsidRDefault="00D32A15" w:rsidP="005A155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CD30A0">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Further and in any event, </w:t>
      </w:r>
      <w:r>
        <w:rPr>
          <w:rFonts w:ascii="Times New Roman" w:hAnsi="Times New Roman" w:cs="Times New Roman"/>
          <w:sz w:val="24"/>
          <w:szCs w:val="24"/>
        </w:rPr>
        <w:t xml:space="preserve">resolution 530C469 </w:t>
      </w:r>
      <w:r>
        <w:rPr>
          <w:rFonts w:ascii="Times New Roman" w:hAnsi="Times New Roman" w:cs="Times New Roman"/>
          <w:bCs/>
          <w:sz w:val="24"/>
          <w:szCs w:val="24"/>
        </w:rPr>
        <w:t xml:space="preserve">was, per Mr </w:t>
      </w:r>
      <w:r w:rsidRPr="005D0F15">
        <w:rPr>
          <w:rFonts w:ascii="Times New Roman" w:hAnsi="Times New Roman" w:cs="Times New Roman"/>
          <w:bCs/>
          <w:i/>
          <w:iCs/>
          <w:sz w:val="24"/>
          <w:szCs w:val="24"/>
        </w:rPr>
        <w:t>Mavhiringidze</w:t>
      </w:r>
      <w:r>
        <w:rPr>
          <w:rFonts w:ascii="Times New Roman" w:hAnsi="Times New Roman" w:cs="Times New Roman"/>
          <w:bCs/>
          <w:sz w:val="24"/>
          <w:szCs w:val="24"/>
        </w:rPr>
        <w:t xml:space="preserve">, </w:t>
      </w:r>
      <w:r w:rsidR="00732C8C">
        <w:rPr>
          <w:rFonts w:ascii="Times New Roman" w:hAnsi="Times New Roman" w:cs="Times New Roman"/>
          <w:bCs/>
          <w:sz w:val="24"/>
          <w:szCs w:val="24"/>
        </w:rPr>
        <w:t xml:space="preserve">backed </w:t>
      </w:r>
      <w:r>
        <w:rPr>
          <w:rFonts w:ascii="Times New Roman" w:hAnsi="Times New Roman" w:cs="Times New Roman"/>
          <w:bCs/>
          <w:sz w:val="24"/>
          <w:szCs w:val="24"/>
        </w:rPr>
        <w:t>by another executed on 9</w:t>
      </w:r>
      <w:r>
        <w:rPr>
          <w:rFonts w:ascii="Times New Roman" w:hAnsi="Times New Roman" w:cs="Times New Roman"/>
          <w:sz w:val="24"/>
          <w:szCs w:val="24"/>
        </w:rPr>
        <w:t xml:space="preserve"> August 2024, by the council chairman Alderman Mudzonga. </w:t>
      </w:r>
      <w:r>
        <w:rPr>
          <w:rFonts w:ascii="Times New Roman" w:hAnsi="Times New Roman" w:cs="Times New Roman"/>
          <w:bCs/>
          <w:sz w:val="24"/>
          <w:szCs w:val="24"/>
        </w:rPr>
        <w:t xml:space="preserve">The latter authority </w:t>
      </w:r>
      <w:r w:rsidR="00810A16">
        <w:rPr>
          <w:rFonts w:ascii="Times New Roman" w:hAnsi="Times New Roman" w:cs="Times New Roman"/>
          <w:bCs/>
          <w:sz w:val="24"/>
          <w:szCs w:val="24"/>
        </w:rPr>
        <w:t xml:space="preserve">also empowered </w:t>
      </w:r>
      <w:r>
        <w:rPr>
          <w:rFonts w:ascii="Times New Roman" w:hAnsi="Times New Roman" w:cs="Times New Roman"/>
          <w:bCs/>
          <w:sz w:val="24"/>
          <w:szCs w:val="24"/>
        </w:rPr>
        <w:t xml:space="preserve">Mr Mufandaedza the applicant`s CEO </w:t>
      </w:r>
      <w:r w:rsidR="005D0F15">
        <w:rPr>
          <w:rFonts w:ascii="Times New Roman" w:hAnsi="Times New Roman" w:cs="Times New Roman"/>
          <w:bCs/>
          <w:sz w:val="24"/>
          <w:szCs w:val="24"/>
        </w:rPr>
        <w:t>to represent council in all legal matters. The issue was not about specificity but about evidence of authority to act on behalf of council.</w:t>
      </w:r>
    </w:p>
    <w:p w14:paraId="34E0628E" w14:textId="77777777" w:rsidR="005D0F15" w:rsidRDefault="005D0F15" w:rsidP="005A155B">
      <w:pPr>
        <w:spacing w:after="0" w:line="360" w:lineRule="auto"/>
        <w:jc w:val="both"/>
        <w:rPr>
          <w:rFonts w:ascii="Times New Roman" w:hAnsi="Times New Roman" w:cs="Times New Roman"/>
          <w:bCs/>
          <w:sz w:val="24"/>
          <w:szCs w:val="24"/>
        </w:rPr>
      </w:pPr>
    </w:p>
    <w:p w14:paraId="5879A35B" w14:textId="161CD695" w:rsidR="001963EB" w:rsidRDefault="005D0F15" w:rsidP="005A155B">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rPr>
        <w:t>[</w:t>
      </w:r>
      <w:r w:rsidR="00436067">
        <w:rPr>
          <w:rFonts w:ascii="Times New Roman" w:hAnsi="Times New Roman" w:cs="Times New Roman"/>
          <w:bCs/>
          <w:sz w:val="24"/>
          <w:szCs w:val="24"/>
        </w:rPr>
        <w:t>2</w:t>
      </w:r>
      <w:r w:rsidR="00CD30A0">
        <w:rPr>
          <w:rFonts w:ascii="Times New Roman" w:hAnsi="Times New Roman" w:cs="Times New Roman"/>
          <w:bCs/>
          <w:sz w:val="24"/>
          <w:szCs w:val="24"/>
        </w:rPr>
        <w:t>5</w:t>
      </w:r>
      <w:r>
        <w:rPr>
          <w:rFonts w:ascii="Times New Roman" w:hAnsi="Times New Roman" w:cs="Times New Roman"/>
          <w:bCs/>
          <w:sz w:val="24"/>
          <w:szCs w:val="24"/>
        </w:rPr>
        <w:t xml:space="preserve">] </w:t>
      </w:r>
      <w:r w:rsidR="00307E0D">
        <w:rPr>
          <w:rFonts w:ascii="Times New Roman" w:hAnsi="Times New Roman" w:cs="Times New Roman"/>
          <w:bCs/>
          <w:sz w:val="24"/>
          <w:szCs w:val="24"/>
        </w:rPr>
        <w:t>Mr</w:t>
      </w:r>
      <w:r w:rsidR="00307E0D" w:rsidRPr="00307E0D">
        <w:rPr>
          <w:rFonts w:ascii="Times New Roman" w:hAnsi="Times New Roman" w:cs="Times New Roman"/>
          <w:bCs/>
          <w:i/>
          <w:iCs/>
          <w:sz w:val="24"/>
          <w:szCs w:val="24"/>
        </w:rPr>
        <w:t>. Mavhiringidze</w:t>
      </w:r>
      <w:r w:rsidR="00307E0D">
        <w:rPr>
          <w:rFonts w:ascii="Times New Roman" w:hAnsi="Times New Roman" w:cs="Times New Roman"/>
          <w:bCs/>
          <w:sz w:val="24"/>
          <w:szCs w:val="24"/>
        </w:rPr>
        <w:t xml:space="preserve"> added that </w:t>
      </w:r>
      <w:r>
        <w:rPr>
          <w:rFonts w:ascii="Times New Roman" w:hAnsi="Times New Roman" w:cs="Times New Roman"/>
          <w:bCs/>
          <w:sz w:val="24"/>
          <w:szCs w:val="24"/>
        </w:rPr>
        <w:t xml:space="preserve">the respondent`s disputation of the </w:t>
      </w:r>
      <w:r w:rsidRPr="00D166F1">
        <w:rPr>
          <w:rFonts w:ascii="Times New Roman" w:hAnsi="Times New Roman" w:cs="Times New Roman"/>
          <w:bCs/>
        </w:rPr>
        <w:t>CEO</w:t>
      </w:r>
      <w:r>
        <w:rPr>
          <w:rFonts w:ascii="Times New Roman" w:hAnsi="Times New Roman" w:cs="Times New Roman"/>
          <w:bCs/>
          <w:sz w:val="24"/>
          <w:szCs w:val="24"/>
        </w:rPr>
        <w:t xml:space="preserve">`s authority was not only insincere but unsustainable.  The parties had executed an agreement consenting to the jurisdiction of the High Court in the event of a dispute. Mr. </w:t>
      </w:r>
      <w:r w:rsidRPr="00D166F1">
        <w:rPr>
          <w:rFonts w:ascii="Times New Roman" w:hAnsi="Times New Roman" w:cs="Times New Roman"/>
          <w:bCs/>
          <w:i/>
          <w:iCs/>
          <w:sz w:val="24"/>
          <w:szCs w:val="24"/>
        </w:rPr>
        <w:t>Mavhiringidze</w:t>
      </w:r>
      <w:r>
        <w:rPr>
          <w:rFonts w:ascii="Times New Roman" w:hAnsi="Times New Roman" w:cs="Times New Roman"/>
          <w:bCs/>
          <w:sz w:val="24"/>
          <w:szCs w:val="24"/>
        </w:rPr>
        <w:t xml:space="preserve"> then cited </w:t>
      </w:r>
      <w:r w:rsidRPr="0099166A">
        <w:rPr>
          <w:rFonts w:ascii="Times New Roman" w:hAnsi="Times New Roman" w:cs="Times New Roman"/>
          <w:i/>
          <w:iCs/>
          <w:sz w:val="24"/>
          <w:szCs w:val="24"/>
          <w:lang w:val="en-US"/>
        </w:rPr>
        <w:t>Tianze Tobacco Co. (Pvt) Limited v Muntuyadzwa</w:t>
      </w:r>
      <w:r>
        <w:rPr>
          <w:rFonts w:ascii="Times New Roman" w:hAnsi="Times New Roman" w:cs="Times New Roman"/>
          <w:sz w:val="24"/>
          <w:szCs w:val="24"/>
          <w:lang w:val="en-US"/>
        </w:rPr>
        <w:t xml:space="preserve"> HH 626</w:t>
      </w:r>
      <w:r w:rsidR="001963EB">
        <w:rPr>
          <w:rFonts w:ascii="Times New Roman" w:hAnsi="Times New Roman" w:cs="Times New Roman"/>
          <w:sz w:val="24"/>
          <w:szCs w:val="24"/>
          <w:lang w:val="en-US"/>
        </w:rPr>
        <w:t>-</w:t>
      </w:r>
      <w:r>
        <w:rPr>
          <w:rFonts w:ascii="Times New Roman" w:hAnsi="Times New Roman" w:cs="Times New Roman"/>
          <w:sz w:val="24"/>
          <w:szCs w:val="24"/>
          <w:lang w:val="en-US"/>
        </w:rPr>
        <w:t>15</w:t>
      </w:r>
      <w:r w:rsidR="001963EB">
        <w:rPr>
          <w:rFonts w:ascii="Times New Roman" w:hAnsi="Times New Roman" w:cs="Times New Roman"/>
          <w:sz w:val="24"/>
          <w:szCs w:val="24"/>
          <w:lang w:val="en-US"/>
        </w:rPr>
        <w:t xml:space="preserve"> where this court criticized frivolous challenges to authority to institute proceedings. </w:t>
      </w:r>
    </w:p>
    <w:p w14:paraId="640449FF" w14:textId="77777777" w:rsidR="00EF5C2A" w:rsidRDefault="00EF5C2A" w:rsidP="005A155B">
      <w:pPr>
        <w:spacing w:after="0" w:line="360" w:lineRule="auto"/>
        <w:jc w:val="both"/>
        <w:rPr>
          <w:rFonts w:ascii="Times New Roman" w:hAnsi="Times New Roman" w:cs="Times New Roman"/>
          <w:sz w:val="24"/>
          <w:szCs w:val="24"/>
          <w:lang w:val="en-US"/>
        </w:rPr>
      </w:pPr>
    </w:p>
    <w:p w14:paraId="79BDA1D9" w14:textId="2ACD46F7" w:rsidR="005D0F15" w:rsidRDefault="00AB1BFF" w:rsidP="005A155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D30A0">
        <w:rPr>
          <w:rFonts w:ascii="Times New Roman" w:hAnsi="Times New Roman" w:cs="Times New Roman"/>
          <w:sz w:val="24"/>
          <w:szCs w:val="24"/>
          <w:lang w:val="en-US"/>
        </w:rPr>
        <w:t>26</w:t>
      </w:r>
      <w:r w:rsidR="001963EB">
        <w:rPr>
          <w:rFonts w:ascii="Times New Roman" w:hAnsi="Times New Roman" w:cs="Times New Roman"/>
          <w:sz w:val="24"/>
          <w:szCs w:val="24"/>
          <w:lang w:val="en-US"/>
        </w:rPr>
        <w:t xml:space="preserve">] In any event, a further updated resolution had been </w:t>
      </w:r>
      <w:r w:rsidR="00D166F1">
        <w:rPr>
          <w:rFonts w:ascii="Times New Roman" w:hAnsi="Times New Roman" w:cs="Times New Roman"/>
          <w:sz w:val="24"/>
          <w:szCs w:val="24"/>
          <w:lang w:val="en-US"/>
        </w:rPr>
        <w:t xml:space="preserve">passed </w:t>
      </w:r>
      <w:r w:rsidR="001963EB">
        <w:rPr>
          <w:rFonts w:ascii="Times New Roman" w:hAnsi="Times New Roman" w:cs="Times New Roman"/>
          <w:sz w:val="24"/>
          <w:szCs w:val="24"/>
          <w:lang w:val="en-US"/>
        </w:rPr>
        <w:t xml:space="preserve">and could be produced. Unfortunately, a copy of same had been left at counsel`s office due to inadvertence. A further undertaking was made by Mr. </w:t>
      </w:r>
      <w:r w:rsidR="001963EB" w:rsidRPr="001963EB">
        <w:rPr>
          <w:rFonts w:ascii="Times New Roman" w:hAnsi="Times New Roman" w:cs="Times New Roman"/>
          <w:i/>
          <w:iCs/>
          <w:sz w:val="24"/>
          <w:szCs w:val="24"/>
          <w:lang w:val="en-US"/>
        </w:rPr>
        <w:t>Mavhiringidze</w:t>
      </w:r>
      <w:r w:rsidR="001963EB">
        <w:rPr>
          <w:rFonts w:ascii="Times New Roman" w:hAnsi="Times New Roman" w:cs="Times New Roman"/>
          <w:sz w:val="24"/>
          <w:szCs w:val="24"/>
          <w:lang w:val="en-US"/>
        </w:rPr>
        <w:t xml:space="preserve"> that applicant council could still convene an extraordinary session in order to issue yet another resolution meeting the specificity demanded by respondent.</w:t>
      </w:r>
      <w:r w:rsidR="008C596F">
        <w:rPr>
          <w:rFonts w:ascii="Times New Roman" w:hAnsi="Times New Roman" w:cs="Times New Roman"/>
          <w:sz w:val="24"/>
          <w:szCs w:val="24"/>
          <w:lang w:val="en-US"/>
        </w:rPr>
        <w:t xml:space="preserve"> The inconsistency between these two positions, was apparently lost to counsel.</w:t>
      </w:r>
    </w:p>
    <w:p w14:paraId="35423229" w14:textId="77777777" w:rsidR="00E436C6" w:rsidRDefault="00E436C6" w:rsidP="005A155B">
      <w:pPr>
        <w:spacing w:after="0" w:line="360" w:lineRule="auto"/>
        <w:jc w:val="both"/>
        <w:rPr>
          <w:rFonts w:ascii="Times New Roman" w:hAnsi="Times New Roman" w:cs="Times New Roman"/>
          <w:sz w:val="24"/>
          <w:szCs w:val="24"/>
          <w:lang w:val="en-US"/>
        </w:rPr>
      </w:pPr>
    </w:p>
    <w:p w14:paraId="0F7692AD" w14:textId="40E2F062" w:rsidR="004C13D8" w:rsidRDefault="00E436C6" w:rsidP="00093193">
      <w:pPr>
        <w:spacing w:after="0" w:line="360" w:lineRule="auto"/>
        <w:jc w:val="both"/>
        <w:rPr>
          <w:rFonts w:ascii="Times New Roman" w:hAnsi="Times New Roman" w:cs="Times New Roman"/>
          <w:sz w:val="24"/>
          <w:szCs w:val="24"/>
        </w:rPr>
      </w:pPr>
      <w:r w:rsidRPr="004C13D8">
        <w:rPr>
          <w:rFonts w:ascii="Times New Roman" w:hAnsi="Times New Roman" w:cs="Times New Roman"/>
          <w:sz w:val="24"/>
          <w:szCs w:val="24"/>
          <w:lang w:val="en-US"/>
        </w:rPr>
        <w:t>[</w:t>
      </w:r>
      <w:r w:rsidR="00CD30A0">
        <w:rPr>
          <w:rFonts w:ascii="Times New Roman" w:hAnsi="Times New Roman" w:cs="Times New Roman"/>
          <w:sz w:val="24"/>
          <w:szCs w:val="24"/>
          <w:lang w:val="en-US"/>
        </w:rPr>
        <w:t>27</w:t>
      </w:r>
      <w:r w:rsidRPr="004C13D8">
        <w:rPr>
          <w:rFonts w:ascii="Times New Roman" w:hAnsi="Times New Roman" w:cs="Times New Roman"/>
          <w:sz w:val="24"/>
          <w:szCs w:val="24"/>
          <w:lang w:val="en-US"/>
        </w:rPr>
        <w:t>] Coun</w:t>
      </w:r>
      <w:r w:rsidR="004C13D8" w:rsidRPr="004C13D8">
        <w:rPr>
          <w:rFonts w:ascii="Times New Roman" w:hAnsi="Times New Roman" w:cs="Times New Roman"/>
          <w:sz w:val="24"/>
          <w:szCs w:val="24"/>
          <w:lang w:val="en-US"/>
        </w:rPr>
        <w:t xml:space="preserve">sel </w:t>
      </w:r>
      <w:r w:rsidRPr="004C13D8">
        <w:rPr>
          <w:rFonts w:ascii="Times New Roman" w:hAnsi="Times New Roman" w:cs="Times New Roman"/>
          <w:sz w:val="24"/>
          <w:szCs w:val="24"/>
          <w:lang w:val="en-US"/>
        </w:rPr>
        <w:t xml:space="preserve">urged the court not to be distracted by </w:t>
      </w:r>
      <w:r w:rsidR="00732C8C">
        <w:rPr>
          <w:rFonts w:ascii="Times New Roman" w:hAnsi="Times New Roman" w:cs="Times New Roman"/>
          <w:sz w:val="24"/>
          <w:szCs w:val="24"/>
          <w:lang w:val="en-US"/>
        </w:rPr>
        <w:t xml:space="preserve">what </w:t>
      </w:r>
      <w:r w:rsidRPr="004C13D8">
        <w:rPr>
          <w:rFonts w:ascii="Times New Roman" w:hAnsi="Times New Roman" w:cs="Times New Roman"/>
          <w:sz w:val="24"/>
          <w:szCs w:val="24"/>
          <w:lang w:val="en-US"/>
        </w:rPr>
        <w:t xml:space="preserve">he termed differences in form over substance in interpreting </w:t>
      </w:r>
      <w:r w:rsidRPr="004C13D8">
        <w:rPr>
          <w:rFonts w:ascii="Times New Roman" w:hAnsi="Times New Roman" w:cs="Times New Roman"/>
          <w:sz w:val="24"/>
          <w:szCs w:val="24"/>
        </w:rPr>
        <w:t xml:space="preserve">resolution 530C469. </w:t>
      </w:r>
      <w:r w:rsidR="004C13D8" w:rsidRPr="004C13D8">
        <w:rPr>
          <w:rFonts w:ascii="Times New Roman" w:hAnsi="Times New Roman" w:cs="Times New Roman"/>
          <w:sz w:val="24"/>
          <w:szCs w:val="24"/>
        </w:rPr>
        <w:t xml:space="preserve">On the strength of </w:t>
      </w:r>
      <w:r w:rsidR="004C13D8" w:rsidRPr="004C13D8">
        <w:rPr>
          <w:rFonts w:ascii="Times New Roman" w:eastAsia="Times New Roman" w:hAnsi="Times New Roman" w:cs="Times New Roman"/>
          <w:i/>
          <w:sz w:val="24"/>
          <w:szCs w:val="24"/>
          <w:lang w:eastAsia="en-ZW"/>
        </w:rPr>
        <w:t>Gold Fields Limited v Harmony Gold Mining Company Limited and Another</w:t>
      </w:r>
      <w:r w:rsidR="004C13D8" w:rsidRPr="004C13D8">
        <w:rPr>
          <w:rFonts w:ascii="Times New Roman" w:eastAsia="Times New Roman" w:hAnsi="Times New Roman" w:cs="Times New Roman"/>
          <w:sz w:val="24"/>
          <w:szCs w:val="24"/>
          <w:lang w:eastAsia="en-ZW"/>
        </w:rPr>
        <w:t xml:space="preserve"> [2005] </w:t>
      </w:r>
      <w:r w:rsidR="004C13D8" w:rsidRPr="004C13D8">
        <w:rPr>
          <w:rFonts w:ascii="Times New Roman" w:eastAsia="Times New Roman" w:hAnsi="Times New Roman" w:cs="Times New Roman"/>
          <w:lang w:eastAsia="en-ZW"/>
        </w:rPr>
        <w:t>ZACAC</w:t>
      </w:r>
      <w:r w:rsidR="004C13D8" w:rsidRPr="004C13D8">
        <w:rPr>
          <w:rFonts w:ascii="Times New Roman" w:eastAsia="Times New Roman" w:hAnsi="Times New Roman" w:cs="Times New Roman"/>
          <w:sz w:val="24"/>
          <w:szCs w:val="24"/>
          <w:lang w:eastAsia="en-ZW"/>
        </w:rPr>
        <w:t xml:space="preserve"> 1; [2005] 1 </w:t>
      </w:r>
      <w:r w:rsidR="004C13D8" w:rsidRPr="004C13D8">
        <w:rPr>
          <w:rFonts w:ascii="Times New Roman" w:eastAsia="Times New Roman" w:hAnsi="Times New Roman" w:cs="Times New Roman"/>
          <w:lang w:eastAsia="en-ZW"/>
        </w:rPr>
        <w:t>CPLR</w:t>
      </w:r>
      <w:r w:rsidR="004C13D8" w:rsidRPr="004C13D8">
        <w:rPr>
          <w:rFonts w:ascii="Times New Roman" w:eastAsia="Times New Roman" w:hAnsi="Times New Roman" w:cs="Times New Roman"/>
          <w:sz w:val="24"/>
          <w:szCs w:val="24"/>
          <w:lang w:eastAsia="en-ZW"/>
        </w:rPr>
        <w:t xml:space="preserve"> 74 </w:t>
      </w:r>
      <w:r w:rsidR="004C13D8" w:rsidRPr="004C13D8">
        <w:rPr>
          <w:rFonts w:ascii="Times New Roman" w:eastAsia="Times New Roman" w:hAnsi="Times New Roman" w:cs="Times New Roman"/>
          <w:lang w:eastAsia="en-ZW"/>
        </w:rPr>
        <w:t>(CAC</w:t>
      </w:r>
      <w:r w:rsidR="004C13D8" w:rsidRPr="004C13D8">
        <w:rPr>
          <w:rFonts w:ascii="Times New Roman" w:hAnsi="Times New Roman" w:cs="Times New Roman"/>
        </w:rPr>
        <w:t>)</w:t>
      </w:r>
      <w:r w:rsidR="004C13D8" w:rsidRPr="004C13D8">
        <w:rPr>
          <w:rFonts w:ascii="Times New Roman" w:hAnsi="Times New Roman" w:cs="Times New Roman"/>
          <w:sz w:val="24"/>
          <w:szCs w:val="24"/>
        </w:rPr>
        <w:t xml:space="preserve"> cited with approval in </w:t>
      </w:r>
      <w:r w:rsidR="004C13D8" w:rsidRPr="00EF5C2A">
        <w:rPr>
          <w:rFonts w:ascii="Times New Roman" w:eastAsia="Calibri" w:hAnsi="Times New Roman" w:cs="Times New Roman"/>
          <w:i/>
          <w:iCs/>
          <w:sz w:val="24"/>
          <w:szCs w:val="24"/>
        </w:rPr>
        <w:t>Ariston      Holdings      Limited v The     Competition     and     Tariff     Commission     of     Zimbabwe</w:t>
      </w:r>
      <w:r w:rsidR="004C13D8">
        <w:rPr>
          <w:rFonts w:ascii="Times New Roman" w:eastAsia="Calibri" w:hAnsi="Times New Roman" w:cs="Times New Roman"/>
          <w:sz w:val="24"/>
          <w:szCs w:val="24"/>
        </w:rPr>
        <w:t xml:space="preserve"> SC 83-20, he contended that m</w:t>
      </w:r>
      <w:r>
        <w:rPr>
          <w:rFonts w:ascii="Times New Roman" w:hAnsi="Times New Roman" w:cs="Times New Roman"/>
          <w:sz w:val="24"/>
          <w:szCs w:val="24"/>
        </w:rPr>
        <w:t>aterially, th</w:t>
      </w:r>
      <w:r w:rsidR="004C13D8">
        <w:rPr>
          <w:rFonts w:ascii="Times New Roman" w:hAnsi="Times New Roman" w:cs="Times New Roman"/>
          <w:sz w:val="24"/>
          <w:szCs w:val="24"/>
        </w:rPr>
        <w:t xml:space="preserve">e </w:t>
      </w:r>
      <w:r>
        <w:rPr>
          <w:rFonts w:ascii="Times New Roman" w:hAnsi="Times New Roman" w:cs="Times New Roman"/>
          <w:sz w:val="24"/>
          <w:szCs w:val="24"/>
        </w:rPr>
        <w:t xml:space="preserve">authority </w:t>
      </w:r>
      <w:r w:rsidR="004C13D8">
        <w:rPr>
          <w:rFonts w:ascii="Times New Roman" w:hAnsi="Times New Roman" w:cs="Times New Roman"/>
          <w:sz w:val="24"/>
          <w:szCs w:val="24"/>
        </w:rPr>
        <w:t xml:space="preserve">on record constituted </w:t>
      </w:r>
      <w:r>
        <w:rPr>
          <w:rFonts w:ascii="Times New Roman" w:hAnsi="Times New Roman" w:cs="Times New Roman"/>
          <w:sz w:val="24"/>
          <w:szCs w:val="24"/>
        </w:rPr>
        <w:t xml:space="preserve">a valid sanction for the </w:t>
      </w:r>
      <w:r w:rsidRPr="004C13D8">
        <w:rPr>
          <w:rFonts w:ascii="Times New Roman" w:hAnsi="Times New Roman" w:cs="Times New Roman"/>
        </w:rPr>
        <w:t>CEO</w:t>
      </w:r>
      <w:r>
        <w:rPr>
          <w:rFonts w:ascii="Times New Roman" w:hAnsi="Times New Roman" w:cs="Times New Roman"/>
          <w:sz w:val="24"/>
          <w:szCs w:val="24"/>
        </w:rPr>
        <w:t xml:space="preserve"> to act as he did. </w:t>
      </w:r>
    </w:p>
    <w:p w14:paraId="4E233693" w14:textId="77777777" w:rsidR="004C13D8" w:rsidRDefault="004C13D8" w:rsidP="00093193">
      <w:pPr>
        <w:spacing w:after="0" w:line="360" w:lineRule="auto"/>
        <w:jc w:val="both"/>
        <w:rPr>
          <w:rFonts w:ascii="Times New Roman" w:hAnsi="Times New Roman" w:cs="Times New Roman"/>
          <w:sz w:val="24"/>
          <w:szCs w:val="24"/>
        </w:rPr>
      </w:pPr>
    </w:p>
    <w:p w14:paraId="7BD2699A" w14:textId="30FD6909" w:rsidR="0092603B" w:rsidRDefault="004C13D8" w:rsidP="00093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28</w:t>
      </w:r>
      <w:r>
        <w:rPr>
          <w:rFonts w:ascii="Times New Roman" w:hAnsi="Times New Roman" w:cs="Times New Roman"/>
          <w:sz w:val="24"/>
          <w:szCs w:val="24"/>
        </w:rPr>
        <w:t xml:space="preserve">] </w:t>
      </w:r>
      <w:r w:rsidR="00E436C6">
        <w:rPr>
          <w:rFonts w:ascii="Times New Roman" w:hAnsi="Times New Roman" w:cs="Times New Roman"/>
          <w:sz w:val="24"/>
          <w:szCs w:val="24"/>
        </w:rPr>
        <w:t xml:space="preserve">It mattered not </w:t>
      </w:r>
      <w:r w:rsidR="0092603B">
        <w:rPr>
          <w:rFonts w:ascii="Times New Roman" w:hAnsi="Times New Roman" w:cs="Times New Roman"/>
          <w:sz w:val="24"/>
          <w:szCs w:val="24"/>
        </w:rPr>
        <w:t>that the resolution referred</w:t>
      </w:r>
      <w:r w:rsidR="00E436C6">
        <w:rPr>
          <w:rFonts w:ascii="Times New Roman" w:hAnsi="Times New Roman" w:cs="Times New Roman"/>
          <w:sz w:val="24"/>
          <w:szCs w:val="24"/>
        </w:rPr>
        <w:t xml:space="preserve"> to </w:t>
      </w:r>
      <w:r w:rsidR="0092603B">
        <w:rPr>
          <w:rFonts w:ascii="Times New Roman" w:hAnsi="Times New Roman" w:cs="Times New Roman"/>
          <w:sz w:val="24"/>
          <w:szCs w:val="24"/>
        </w:rPr>
        <w:t>the institution of legal proceedings relat</w:t>
      </w:r>
      <w:r w:rsidR="00732C8C">
        <w:rPr>
          <w:rFonts w:ascii="Times New Roman" w:hAnsi="Times New Roman" w:cs="Times New Roman"/>
          <w:sz w:val="24"/>
          <w:szCs w:val="24"/>
        </w:rPr>
        <w:t>ed</w:t>
      </w:r>
      <w:r w:rsidR="0092603B">
        <w:rPr>
          <w:rFonts w:ascii="Times New Roman" w:hAnsi="Times New Roman" w:cs="Times New Roman"/>
          <w:sz w:val="24"/>
          <w:szCs w:val="24"/>
        </w:rPr>
        <w:t xml:space="preserve"> to </w:t>
      </w:r>
      <w:r w:rsidR="00E436C6">
        <w:rPr>
          <w:rFonts w:ascii="Times New Roman" w:hAnsi="Times New Roman" w:cs="Times New Roman"/>
          <w:sz w:val="24"/>
          <w:szCs w:val="24"/>
        </w:rPr>
        <w:t xml:space="preserve">appeals rather than the present application for summary judgment. On the same point, Mr. </w:t>
      </w:r>
      <w:r w:rsidR="00E436C6" w:rsidRPr="004C13D8">
        <w:rPr>
          <w:rFonts w:ascii="Times New Roman" w:hAnsi="Times New Roman" w:cs="Times New Roman"/>
          <w:i/>
          <w:iCs/>
          <w:sz w:val="24"/>
          <w:szCs w:val="24"/>
        </w:rPr>
        <w:t>Mavhiringidze</w:t>
      </w:r>
      <w:r w:rsidR="00E436C6">
        <w:rPr>
          <w:rFonts w:ascii="Times New Roman" w:hAnsi="Times New Roman" w:cs="Times New Roman"/>
          <w:sz w:val="24"/>
          <w:szCs w:val="24"/>
        </w:rPr>
        <w:t xml:space="preserve"> reverted to s 149 of the RDC Act </w:t>
      </w:r>
      <w:r w:rsidR="0092603B">
        <w:rPr>
          <w:rFonts w:ascii="Times New Roman" w:hAnsi="Times New Roman" w:cs="Times New Roman"/>
          <w:sz w:val="24"/>
          <w:szCs w:val="24"/>
        </w:rPr>
        <w:t xml:space="preserve">contenting that the provision </w:t>
      </w:r>
      <w:r w:rsidR="00E436C6">
        <w:rPr>
          <w:rFonts w:ascii="Times New Roman" w:hAnsi="Times New Roman" w:cs="Times New Roman"/>
          <w:sz w:val="24"/>
          <w:szCs w:val="24"/>
        </w:rPr>
        <w:t xml:space="preserve">empowered the applicant`s chairperson or </w:t>
      </w:r>
      <w:r w:rsidR="00E436C6" w:rsidRPr="00093193">
        <w:rPr>
          <w:rFonts w:ascii="Times New Roman" w:hAnsi="Times New Roman" w:cs="Times New Roman"/>
        </w:rPr>
        <w:t>CEO</w:t>
      </w:r>
      <w:r w:rsidR="00E436C6">
        <w:rPr>
          <w:rFonts w:ascii="Times New Roman" w:hAnsi="Times New Roman" w:cs="Times New Roman"/>
          <w:sz w:val="24"/>
          <w:szCs w:val="24"/>
        </w:rPr>
        <w:t xml:space="preserve"> to execute or authenticate documents on behalf of </w:t>
      </w:r>
      <w:r w:rsidR="0041174F">
        <w:rPr>
          <w:rFonts w:ascii="Times New Roman" w:hAnsi="Times New Roman" w:cs="Times New Roman"/>
          <w:sz w:val="24"/>
          <w:szCs w:val="24"/>
        </w:rPr>
        <w:t xml:space="preserve">council. </w:t>
      </w:r>
      <w:r w:rsidR="0092603B">
        <w:rPr>
          <w:rFonts w:ascii="Times New Roman" w:hAnsi="Times New Roman" w:cs="Times New Roman"/>
          <w:sz w:val="24"/>
          <w:szCs w:val="24"/>
        </w:rPr>
        <w:t>This power or functionality extended to the issuance of authority to institute legal proceedings on behalf of applicant.</w:t>
      </w:r>
    </w:p>
    <w:p w14:paraId="39C24E69" w14:textId="77777777" w:rsidR="0092603B" w:rsidRDefault="0092603B" w:rsidP="00093193">
      <w:pPr>
        <w:spacing w:after="0" w:line="360" w:lineRule="auto"/>
        <w:jc w:val="both"/>
        <w:rPr>
          <w:rFonts w:ascii="Times New Roman" w:hAnsi="Times New Roman" w:cs="Times New Roman"/>
          <w:sz w:val="24"/>
          <w:szCs w:val="24"/>
        </w:rPr>
      </w:pPr>
    </w:p>
    <w:p w14:paraId="0FD2E0AC" w14:textId="6508D7D8" w:rsidR="0092603B" w:rsidRPr="0092603B" w:rsidRDefault="0092603B" w:rsidP="00093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29</w:t>
      </w:r>
      <w:r>
        <w:rPr>
          <w:rFonts w:ascii="Times New Roman" w:hAnsi="Times New Roman" w:cs="Times New Roman"/>
          <w:sz w:val="24"/>
          <w:szCs w:val="24"/>
        </w:rPr>
        <w:t xml:space="preserve">] </w:t>
      </w:r>
      <w:r w:rsidR="0041174F">
        <w:rPr>
          <w:rFonts w:ascii="Times New Roman" w:hAnsi="Times New Roman" w:cs="Times New Roman"/>
          <w:sz w:val="24"/>
          <w:szCs w:val="24"/>
        </w:rPr>
        <w:t>On his point regarding the uniqueness of a statutory body</w:t>
      </w:r>
      <w:r>
        <w:rPr>
          <w:rFonts w:ascii="Times New Roman" w:hAnsi="Times New Roman" w:cs="Times New Roman"/>
          <w:sz w:val="24"/>
          <w:szCs w:val="24"/>
        </w:rPr>
        <w:t xml:space="preserve"> and automatic authority</w:t>
      </w:r>
      <w:r w:rsidR="0041174F">
        <w:rPr>
          <w:rFonts w:ascii="Times New Roman" w:hAnsi="Times New Roman" w:cs="Times New Roman"/>
          <w:sz w:val="24"/>
          <w:szCs w:val="24"/>
        </w:rPr>
        <w:t xml:space="preserve">, I drew counsel`s attention to </w:t>
      </w:r>
      <w:r w:rsidR="00EF5C2A" w:rsidRPr="00EF5C2A">
        <w:rPr>
          <w:rFonts w:ascii="Times New Roman" w:hAnsi="Times New Roman" w:cs="Times New Roman"/>
          <w:i/>
          <w:iCs/>
          <w:sz w:val="24"/>
          <w:szCs w:val="24"/>
        </w:rPr>
        <w:t xml:space="preserve">Judicial Service Commission v </w:t>
      </w:r>
      <w:r w:rsidR="0041174F" w:rsidRPr="00EF5C2A">
        <w:rPr>
          <w:rFonts w:ascii="Times New Roman" w:hAnsi="Times New Roman" w:cs="Times New Roman"/>
          <w:i/>
          <w:iCs/>
          <w:sz w:val="24"/>
          <w:szCs w:val="24"/>
        </w:rPr>
        <w:t xml:space="preserve">Erica </w:t>
      </w:r>
      <w:r w:rsidR="00EF5C2A" w:rsidRPr="00EF5C2A">
        <w:rPr>
          <w:rFonts w:ascii="Times New Roman" w:hAnsi="Times New Roman" w:cs="Times New Roman"/>
          <w:i/>
          <w:iCs/>
          <w:sz w:val="24"/>
          <w:szCs w:val="24"/>
        </w:rPr>
        <w:t>Fungai Ndewere</w:t>
      </w:r>
      <w:r w:rsidR="00EF5C2A">
        <w:rPr>
          <w:rFonts w:ascii="Times New Roman" w:hAnsi="Times New Roman" w:cs="Times New Roman"/>
          <w:sz w:val="24"/>
          <w:szCs w:val="24"/>
        </w:rPr>
        <w:t xml:space="preserve"> HH 792-22 </w:t>
      </w:r>
      <w:r w:rsidR="0041174F">
        <w:rPr>
          <w:rFonts w:ascii="Times New Roman" w:hAnsi="Times New Roman" w:cs="Times New Roman"/>
          <w:sz w:val="24"/>
          <w:szCs w:val="24"/>
        </w:rPr>
        <w:t xml:space="preserve">where the </w:t>
      </w:r>
      <w:r w:rsidR="00EF5C2A">
        <w:rPr>
          <w:rFonts w:ascii="Times New Roman" w:hAnsi="Times New Roman" w:cs="Times New Roman"/>
          <w:sz w:val="24"/>
          <w:szCs w:val="24"/>
        </w:rPr>
        <w:t xml:space="preserve">issue of statutory accounting officers </w:t>
      </w:r>
      <w:r w:rsidR="0041174F">
        <w:rPr>
          <w:rFonts w:ascii="Times New Roman" w:hAnsi="Times New Roman" w:cs="Times New Roman"/>
          <w:sz w:val="24"/>
          <w:szCs w:val="24"/>
        </w:rPr>
        <w:t>was discussed.</w:t>
      </w:r>
      <w:r w:rsidR="00D41EFC">
        <w:rPr>
          <w:rFonts w:ascii="Times New Roman" w:hAnsi="Times New Roman" w:cs="Times New Roman"/>
          <w:sz w:val="24"/>
          <w:szCs w:val="24"/>
        </w:rPr>
        <w:t xml:space="preserve"> </w:t>
      </w:r>
      <w:r w:rsidR="0041174F">
        <w:rPr>
          <w:rFonts w:ascii="Times New Roman" w:hAnsi="Times New Roman" w:cs="Times New Roman"/>
          <w:sz w:val="24"/>
          <w:szCs w:val="24"/>
        </w:rPr>
        <w:t xml:space="preserve">Mr. </w:t>
      </w:r>
      <w:r w:rsidRPr="00EF5C2A">
        <w:rPr>
          <w:rFonts w:ascii="Times New Roman" w:hAnsi="Times New Roman" w:cs="Times New Roman"/>
          <w:i/>
          <w:iCs/>
          <w:sz w:val="24"/>
          <w:szCs w:val="24"/>
        </w:rPr>
        <w:t>Mavhiringidze</w:t>
      </w:r>
      <w:r>
        <w:rPr>
          <w:rFonts w:ascii="Times New Roman" w:hAnsi="Times New Roman" w:cs="Times New Roman"/>
          <w:i/>
          <w:iCs/>
          <w:sz w:val="24"/>
          <w:szCs w:val="24"/>
        </w:rPr>
        <w:t xml:space="preserve">` s </w:t>
      </w:r>
      <w:r w:rsidRPr="0092603B">
        <w:rPr>
          <w:rFonts w:ascii="Times New Roman" w:hAnsi="Times New Roman" w:cs="Times New Roman"/>
          <w:sz w:val="24"/>
          <w:szCs w:val="24"/>
        </w:rPr>
        <w:t xml:space="preserve">response was that the court in </w:t>
      </w:r>
      <w:r w:rsidRPr="00E52269">
        <w:rPr>
          <w:rFonts w:ascii="Times New Roman" w:hAnsi="Times New Roman" w:cs="Times New Roman"/>
          <w:i/>
          <w:iCs/>
          <w:sz w:val="24"/>
          <w:szCs w:val="24"/>
        </w:rPr>
        <w:t>JSC v Ndewere</w:t>
      </w:r>
      <w:r w:rsidRPr="0092603B">
        <w:rPr>
          <w:rFonts w:ascii="Times New Roman" w:hAnsi="Times New Roman" w:cs="Times New Roman"/>
          <w:sz w:val="24"/>
          <w:szCs w:val="24"/>
        </w:rPr>
        <w:t xml:space="preserve"> </w:t>
      </w:r>
      <w:r w:rsidR="00732C8C">
        <w:rPr>
          <w:rFonts w:ascii="Times New Roman" w:hAnsi="Times New Roman" w:cs="Times New Roman"/>
          <w:sz w:val="24"/>
          <w:szCs w:val="24"/>
        </w:rPr>
        <w:t xml:space="preserve">endorsed applicant`s position in that the </w:t>
      </w:r>
      <w:r w:rsidRPr="0092603B">
        <w:rPr>
          <w:rFonts w:ascii="Times New Roman" w:hAnsi="Times New Roman" w:cs="Times New Roman"/>
          <w:sz w:val="24"/>
          <w:szCs w:val="24"/>
        </w:rPr>
        <w:t xml:space="preserve">court </w:t>
      </w:r>
      <w:r w:rsidR="00C500B1">
        <w:rPr>
          <w:rFonts w:ascii="Times New Roman" w:hAnsi="Times New Roman" w:cs="Times New Roman"/>
          <w:sz w:val="24"/>
          <w:szCs w:val="24"/>
        </w:rPr>
        <w:t xml:space="preserve">in that matter </w:t>
      </w:r>
      <w:r w:rsidRPr="0092603B">
        <w:rPr>
          <w:rFonts w:ascii="Times New Roman" w:hAnsi="Times New Roman" w:cs="Times New Roman"/>
          <w:sz w:val="24"/>
          <w:szCs w:val="24"/>
        </w:rPr>
        <w:t xml:space="preserve">upheld the validity of the </w:t>
      </w:r>
      <w:r w:rsidR="00C500B1">
        <w:rPr>
          <w:rFonts w:ascii="Times New Roman" w:hAnsi="Times New Roman" w:cs="Times New Roman"/>
          <w:sz w:val="24"/>
          <w:szCs w:val="24"/>
        </w:rPr>
        <w:t xml:space="preserve">statutory body`s </w:t>
      </w:r>
      <w:r w:rsidRPr="0092603B">
        <w:rPr>
          <w:rFonts w:ascii="Times New Roman" w:hAnsi="Times New Roman" w:cs="Times New Roman"/>
          <w:sz w:val="24"/>
          <w:szCs w:val="24"/>
        </w:rPr>
        <w:t xml:space="preserve">authority to institute proceedings. </w:t>
      </w:r>
    </w:p>
    <w:p w14:paraId="1BE753AB" w14:textId="77777777" w:rsidR="0092603B" w:rsidRDefault="0092603B" w:rsidP="005A155B">
      <w:pPr>
        <w:spacing w:after="0" w:line="360" w:lineRule="auto"/>
        <w:jc w:val="both"/>
        <w:rPr>
          <w:rFonts w:ascii="Times New Roman" w:hAnsi="Times New Roman" w:cs="Times New Roman"/>
          <w:sz w:val="24"/>
          <w:szCs w:val="24"/>
        </w:rPr>
      </w:pPr>
    </w:p>
    <w:p w14:paraId="2F8E4C4E" w14:textId="75482672" w:rsidR="00E436C6" w:rsidRDefault="0092603B"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B1BFF">
        <w:rPr>
          <w:rFonts w:ascii="Times New Roman" w:hAnsi="Times New Roman" w:cs="Times New Roman"/>
          <w:sz w:val="24"/>
          <w:szCs w:val="24"/>
        </w:rPr>
        <w:t>3</w:t>
      </w:r>
      <w:r w:rsidR="00FB20C2">
        <w:rPr>
          <w:rFonts w:ascii="Times New Roman" w:hAnsi="Times New Roman" w:cs="Times New Roman"/>
          <w:sz w:val="24"/>
          <w:szCs w:val="24"/>
        </w:rPr>
        <w:t>0</w:t>
      </w:r>
      <w:r w:rsidR="00BF2D0C">
        <w:rPr>
          <w:rFonts w:ascii="Times New Roman" w:hAnsi="Times New Roman" w:cs="Times New Roman"/>
          <w:sz w:val="24"/>
          <w:szCs w:val="24"/>
        </w:rPr>
        <w:t>] On</w:t>
      </w:r>
      <w:r w:rsidR="00730ADD">
        <w:rPr>
          <w:rFonts w:ascii="Times New Roman" w:hAnsi="Times New Roman" w:cs="Times New Roman"/>
          <w:sz w:val="24"/>
          <w:szCs w:val="24"/>
        </w:rPr>
        <w:t xml:space="preserve"> costs, counsel urged the court to take cognisant of the novel </w:t>
      </w:r>
      <w:r w:rsidR="00075912">
        <w:rPr>
          <w:rFonts w:ascii="Times New Roman" w:hAnsi="Times New Roman" w:cs="Times New Roman"/>
          <w:sz w:val="24"/>
          <w:szCs w:val="24"/>
        </w:rPr>
        <w:t xml:space="preserve">legal issue arising from the effect of s 149 of the RDC Act on authority. Additionally, that the question of perpetuity of </w:t>
      </w:r>
      <w:r w:rsidR="00C500B1">
        <w:rPr>
          <w:rFonts w:ascii="Times New Roman" w:hAnsi="Times New Roman" w:cs="Times New Roman"/>
          <w:sz w:val="24"/>
          <w:szCs w:val="24"/>
        </w:rPr>
        <w:t xml:space="preserve">a </w:t>
      </w:r>
      <w:r w:rsidR="00075912">
        <w:rPr>
          <w:rFonts w:ascii="Times New Roman" w:hAnsi="Times New Roman" w:cs="Times New Roman"/>
          <w:sz w:val="24"/>
          <w:szCs w:val="24"/>
        </w:rPr>
        <w:t xml:space="preserve">council resolution </w:t>
      </w:r>
      <w:r w:rsidR="00C500B1">
        <w:rPr>
          <w:rFonts w:ascii="Times New Roman" w:hAnsi="Times New Roman" w:cs="Times New Roman"/>
          <w:sz w:val="24"/>
          <w:szCs w:val="24"/>
        </w:rPr>
        <w:t>as prescribed by s 52 became an untested issue for the court to determine.</w:t>
      </w:r>
      <w:r w:rsidR="00075912">
        <w:rPr>
          <w:rFonts w:ascii="Times New Roman" w:hAnsi="Times New Roman" w:cs="Times New Roman"/>
          <w:sz w:val="24"/>
          <w:szCs w:val="24"/>
        </w:rPr>
        <w:t xml:space="preserve"> Finally, Mr. </w:t>
      </w:r>
      <w:r w:rsidR="00075912" w:rsidRPr="0041174F">
        <w:rPr>
          <w:rFonts w:ascii="Times New Roman" w:hAnsi="Times New Roman" w:cs="Times New Roman"/>
          <w:i/>
          <w:iCs/>
          <w:sz w:val="24"/>
          <w:szCs w:val="24"/>
        </w:rPr>
        <w:t>Mavhiringidze</w:t>
      </w:r>
      <w:r w:rsidR="00075912">
        <w:rPr>
          <w:rFonts w:ascii="Times New Roman" w:hAnsi="Times New Roman" w:cs="Times New Roman"/>
          <w:sz w:val="24"/>
          <w:szCs w:val="24"/>
        </w:rPr>
        <w:t xml:space="preserve"> drew attention to the fact that summary judgment did not accord the respondent an opportunity to file an answering affidavit. Which excluded the opportunity to cure the complaint over the resolution.</w:t>
      </w:r>
    </w:p>
    <w:p w14:paraId="343D2274" w14:textId="77777777" w:rsidR="0041174F" w:rsidRDefault="0041174F" w:rsidP="005A155B">
      <w:pPr>
        <w:spacing w:after="0" w:line="360" w:lineRule="auto"/>
        <w:jc w:val="both"/>
        <w:rPr>
          <w:rFonts w:ascii="Times New Roman" w:hAnsi="Times New Roman" w:cs="Times New Roman"/>
          <w:sz w:val="24"/>
          <w:szCs w:val="24"/>
        </w:rPr>
      </w:pPr>
    </w:p>
    <w:p w14:paraId="257C28A5" w14:textId="1D743249" w:rsidR="00075912" w:rsidRDefault="00075912"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FB20C2">
        <w:rPr>
          <w:rFonts w:ascii="Times New Roman" w:hAnsi="Times New Roman" w:cs="Times New Roman"/>
          <w:sz w:val="24"/>
          <w:szCs w:val="24"/>
        </w:rPr>
        <w:t>1</w:t>
      </w:r>
      <w:r>
        <w:rPr>
          <w:rFonts w:ascii="Times New Roman" w:hAnsi="Times New Roman" w:cs="Times New Roman"/>
          <w:sz w:val="24"/>
          <w:szCs w:val="24"/>
        </w:rPr>
        <w:t xml:space="preserve">] In response, Mr </w:t>
      </w:r>
      <w:r w:rsidRPr="00B2662C">
        <w:rPr>
          <w:rFonts w:ascii="Times New Roman" w:hAnsi="Times New Roman" w:cs="Times New Roman"/>
          <w:i/>
          <w:iCs/>
          <w:sz w:val="24"/>
          <w:szCs w:val="24"/>
        </w:rPr>
        <w:t>Sithole</w:t>
      </w:r>
      <w:r>
        <w:rPr>
          <w:rFonts w:ascii="Times New Roman" w:hAnsi="Times New Roman" w:cs="Times New Roman"/>
          <w:sz w:val="24"/>
          <w:szCs w:val="24"/>
        </w:rPr>
        <w:t xml:space="preserve"> </w:t>
      </w:r>
      <w:r w:rsidR="0092603B">
        <w:rPr>
          <w:rFonts w:ascii="Times New Roman" w:hAnsi="Times New Roman" w:cs="Times New Roman"/>
          <w:sz w:val="24"/>
          <w:szCs w:val="24"/>
        </w:rPr>
        <w:t xml:space="preserve">asserted the argument that the courts had spoken on the point. Generic or blanket resolutions such as the one before the court were invalid. He further submitted </w:t>
      </w:r>
      <w:r>
        <w:rPr>
          <w:rFonts w:ascii="Times New Roman" w:hAnsi="Times New Roman" w:cs="Times New Roman"/>
          <w:sz w:val="24"/>
          <w:szCs w:val="24"/>
        </w:rPr>
        <w:t xml:space="preserve">that the opportunity to present a fresh resolution </w:t>
      </w:r>
      <w:r w:rsidR="0092603B">
        <w:rPr>
          <w:rFonts w:ascii="Times New Roman" w:hAnsi="Times New Roman" w:cs="Times New Roman"/>
          <w:sz w:val="24"/>
          <w:szCs w:val="24"/>
        </w:rPr>
        <w:t xml:space="preserve">was no longer available to the applicant. An objection had been raised </w:t>
      </w:r>
      <w:r w:rsidR="00BF2D0C">
        <w:rPr>
          <w:rFonts w:ascii="Times New Roman" w:hAnsi="Times New Roman" w:cs="Times New Roman"/>
          <w:sz w:val="24"/>
          <w:szCs w:val="24"/>
        </w:rPr>
        <w:t>and contested</w:t>
      </w:r>
      <w:r>
        <w:rPr>
          <w:rFonts w:ascii="Times New Roman" w:hAnsi="Times New Roman" w:cs="Times New Roman"/>
          <w:sz w:val="24"/>
          <w:szCs w:val="24"/>
        </w:rPr>
        <w:t xml:space="preserve"> </w:t>
      </w:r>
      <w:r w:rsidR="0092603B">
        <w:rPr>
          <w:rFonts w:ascii="Times New Roman" w:hAnsi="Times New Roman" w:cs="Times New Roman"/>
          <w:sz w:val="24"/>
          <w:szCs w:val="24"/>
        </w:rPr>
        <w:t>and the matter now awaited the court`s determination</w:t>
      </w:r>
      <w:r w:rsidR="0041174F">
        <w:rPr>
          <w:rFonts w:ascii="Times New Roman" w:hAnsi="Times New Roman" w:cs="Times New Roman"/>
          <w:sz w:val="24"/>
          <w:szCs w:val="24"/>
        </w:rPr>
        <w:t>. On</w:t>
      </w:r>
      <w:r>
        <w:rPr>
          <w:rFonts w:ascii="Times New Roman" w:hAnsi="Times New Roman" w:cs="Times New Roman"/>
          <w:sz w:val="24"/>
          <w:szCs w:val="24"/>
        </w:rPr>
        <w:t xml:space="preserve"> </w:t>
      </w:r>
      <w:r w:rsidR="00BF2D0C" w:rsidRPr="00BF2D0C">
        <w:rPr>
          <w:rFonts w:ascii="Times New Roman" w:hAnsi="Times New Roman" w:cs="Times New Roman"/>
          <w:i/>
          <w:iCs/>
          <w:sz w:val="24"/>
          <w:szCs w:val="24"/>
        </w:rPr>
        <w:t xml:space="preserve">JSC v </w:t>
      </w:r>
      <w:r w:rsidRPr="00BF2D0C">
        <w:rPr>
          <w:rFonts w:ascii="Times New Roman" w:hAnsi="Times New Roman" w:cs="Times New Roman"/>
          <w:i/>
          <w:iCs/>
          <w:sz w:val="24"/>
          <w:szCs w:val="24"/>
        </w:rPr>
        <w:t>Ndewere</w:t>
      </w:r>
      <w:r w:rsidR="00BF2D0C">
        <w:rPr>
          <w:rFonts w:ascii="Times New Roman" w:hAnsi="Times New Roman" w:cs="Times New Roman"/>
          <w:sz w:val="24"/>
          <w:szCs w:val="24"/>
        </w:rPr>
        <w:t>,</w:t>
      </w:r>
      <w:r>
        <w:rPr>
          <w:rFonts w:ascii="Times New Roman" w:hAnsi="Times New Roman" w:cs="Times New Roman"/>
          <w:sz w:val="24"/>
          <w:szCs w:val="24"/>
        </w:rPr>
        <w:t xml:space="preserve"> counsel`s view was that </w:t>
      </w:r>
      <w:r w:rsidR="00BF2D0C">
        <w:rPr>
          <w:rFonts w:ascii="Times New Roman" w:hAnsi="Times New Roman" w:cs="Times New Roman"/>
          <w:sz w:val="24"/>
          <w:szCs w:val="24"/>
        </w:rPr>
        <w:t xml:space="preserve">the court had ruled that </w:t>
      </w:r>
      <w:r w:rsidR="0041174F">
        <w:rPr>
          <w:rFonts w:ascii="Times New Roman" w:hAnsi="Times New Roman" w:cs="Times New Roman"/>
          <w:sz w:val="24"/>
          <w:szCs w:val="24"/>
        </w:rPr>
        <w:t xml:space="preserve">authorisation </w:t>
      </w:r>
      <w:r w:rsidR="00BF2D0C">
        <w:rPr>
          <w:rFonts w:ascii="Times New Roman" w:hAnsi="Times New Roman" w:cs="Times New Roman"/>
          <w:sz w:val="24"/>
          <w:szCs w:val="24"/>
        </w:rPr>
        <w:t xml:space="preserve">to institute proceedings </w:t>
      </w:r>
      <w:r w:rsidR="0041174F">
        <w:rPr>
          <w:rFonts w:ascii="Times New Roman" w:hAnsi="Times New Roman" w:cs="Times New Roman"/>
          <w:sz w:val="24"/>
          <w:szCs w:val="24"/>
        </w:rPr>
        <w:t>was required in the case of all artificial persons.</w:t>
      </w:r>
    </w:p>
    <w:p w14:paraId="77348267" w14:textId="77777777" w:rsidR="0041174F" w:rsidRDefault="0041174F" w:rsidP="005A155B">
      <w:pPr>
        <w:spacing w:after="0" w:line="360" w:lineRule="auto"/>
        <w:jc w:val="both"/>
        <w:rPr>
          <w:rFonts w:ascii="Times New Roman" w:hAnsi="Times New Roman" w:cs="Times New Roman"/>
          <w:sz w:val="24"/>
          <w:szCs w:val="24"/>
        </w:rPr>
      </w:pPr>
    </w:p>
    <w:p w14:paraId="0618D6AB" w14:textId="698E40FE" w:rsidR="0041174F" w:rsidRDefault="0041174F" w:rsidP="005A155B">
      <w:pPr>
        <w:spacing w:after="0" w:line="360" w:lineRule="auto"/>
        <w:jc w:val="both"/>
        <w:rPr>
          <w:rFonts w:ascii="Times New Roman" w:hAnsi="Times New Roman" w:cs="Times New Roman"/>
        </w:rPr>
      </w:pPr>
      <w:r w:rsidRPr="00B2662C">
        <w:rPr>
          <w:rFonts w:ascii="Times New Roman" w:hAnsi="Times New Roman" w:cs="Times New Roman"/>
        </w:rPr>
        <w:t>ANALYSIS OF THE ARGUMENTS</w:t>
      </w:r>
    </w:p>
    <w:p w14:paraId="63E8803D" w14:textId="77777777" w:rsidR="00353201" w:rsidRDefault="00353201" w:rsidP="005A155B">
      <w:pPr>
        <w:spacing w:after="0" w:line="360" w:lineRule="auto"/>
        <w:jc w:val="both"/>
        <w:rPr>
          <w:rFonts w:ascii="Times New Roman" w:hAnsi="Times New Roman" w:cs="Times New Roman"/>
        </w:rPr>
      </w:pPr>
    </w:p>
    <w:p w14:paraId="4ECA6C29" w14:textId="57279435" w:rsidR="00353201" w:rsidRPr="00863C18" w:rsidRDefault="00353201" w:rsidP="005A155B">
      <w:pPr>
        <w:spacing w:after="0" w:line="360" w:lineRule="auto"/>
        <w:jc w:val="both"/>
        <w:rPr>
          <w:rFonts w:ascii="Times New Roman" w:hAnsi="Times New Roman" w:cs="Times New Roman"/>
          <w:b/>
          <w:bCs/>
          <w:i/>
          <w:iCs/>
          <w:sz w:val="24"/>
          <w:szCs w:val="24"/>
        </w:rPr>
      </w:pPr>
      <w:r w:rsidRPr="00863C18">
        <w:rPr>
          <w:rFonts w:ascii="Times New Roman" w:hAnsi="Times New Roman" w:cs="Times New Roman"/>
          <w:b/>
          <w:bCs/>
          <w:i/>
          <w:iCs/>
          <w:sz w:val="24"/>
          <w:szCs w:val="24"/>
        </w:rPr>
        <w:t>Issues before the court</w:t>
      </w:r>
    </w:p>
    <w:p w14:paraId="1262658B" w14:textId="77777777" w:rsidR="00D061D1" w:rsidRDefault="00D061D1" w:rsidP="005A155B">
      <w:pPr>
        <w:spacing w:after="0" w:line="360" w:lineRule="auto"/>
        <w:jc w:val="both"/>
        <w:rPr>
          <w:rFonts w:ascii="Times New Roman" w:hAnsi="Times New Roman" w:cs="Times New Roman"/>
          <w:sz w:val="24"/>
          <w:szCs w:val="24"/>
        </w:rPr>
      </w:pPr>
    </w:p>
    <w:p w14:paraId="25FAD9CF" w14:textId="5CA83C4A" w:rsidR="008C596F" w:rsidRDefault="00D41EFC" w:rsidP="005A155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[3</w:t>
      </w:r>
      <w:r w:rsidR="00FB20C2">
        <w:rPr>
          <w:rFonts w:ascii="Times New Roman" w:hAnsi="Times New Roman" w:cs="Times New Roman"/>
          <w:bCs/>
          <w:sz w:val="24"/>
          <w:szCs w:val="24"/>
        </w:rPr>
        <w:t>2</w:t>
      </w:r>
      <w:r>
        <w:rPr>
          <w:rFonts w:ascii="Times New Roman" w:hAnsi="Times New Roman" w:cs="Times New Roman"/>
          <w:bCs/>
          <w:sz w:val="24"/>
          <w:szCs w:val="24"/>
        </w:rPr>
        <w:t xml:space="preserve">] </w:t>
      </w:r>
      <w:r w:rsidR="00BF2D0C">
        <w:rPr>
          <w:rFonts w:ascii="Times New Roman" w:hAnsi="Times New Roman" w:cs="Times New Roman"/>
          <w:bCs/>
          <w:sz w:val="24"/>
          <w:szCs w:val="24"/>
        </w:rPr>
        <w:t xml:space="preserve">The conclusion to reach </w:t>
      </w:r>
      <w:r w:rsidR="00810A16">
        <w:rPr>
          <w:rFonts w:ascii="Times New Roman" w:hAnsi="Times New Roman" w:cs="Times New Roman"/>
          <w:bCs/>
          <w:sz w:val="24"/>
          <w:szCs w:val="24"/>
        </w:rPr>
        <w:t xml:space="preserve">in disposing of the point </w:t>
      </w:r>
      <w:r w:rsidR="00810A16" w:rsidRPr="003869ED">
        <w:rPr>
          <w:rFonts w:ascii="Times New Roman" w:hAnsi="Times New Roman" w:cs="Times New Roman"/>
          <w:bCs/>
          <w:i/>
          <w:iCs/>
          <w:sz w:val="24"/>
          <w:szCs w:val="24"/>
        </w:rPr>
        <w:t>in limine</w:t>
      </w:r>
      <w:r w:rsidR="00810A16">
        <w:rPr>
          <w:rFonts w:ascii="Times New Roman" w:hAnsi="Times New Roman" w:cs="Times New Roman"/>
          <w:bCs/>
          <w:sz w:val="24"/>
          <w:szCs w:val="24"/>
        </w:rPr>
        <w:t xml:space="preserve"> </w:t>
      </w:r>
      <w:r w:rsidR="00BF2D0C">
        <w:rPr>
          <w:rFonts w:ascii="Times New Roman" w:hAnsi="Times New Roman" w:cs="Times New Roman"/>
          <w:bCs/>
          <w:sz w:val="24"/>
          <w:szCs w:val="24"/>
        </w:rPr>
        <w:t>is whether re</w:t>
      </w:r>
      <w:r w:rsidR="00BF2D0C">
        <w:rPr>
          <w:rFonts w:ascii="Times New Roman" w:hAnsi="Times New Roman" w:cs="Times New Roman"/>
          <w:sz w:val="24"/>
          <w:szCs w:val="24"/>
        </w:rPr>
        <w:t>solution 530C469 constitutes valid authority to institute legal proceedings</w:t>
      </w:r>
      <w:r w:rsidR="00C473D5">
        <w:rPr>
          <w:rFonts w:ascii="Times New Roman" w:hAnsi="Times New Roman" w:cs="Times New Roman"/>
          <w:sz w:val="24"/>
          <w:szCs w:val="24"/>
        </w:rPr>
        <w:t>.</w:t>
      </w:r>
      <w:r w:rsidR="00BF2D0C">
        <w:rPr>
          <w:rFonts w:ascii="Times New Roman" w:hAnsi="Times New Roman" w:cs="Times New Roman"/>
          <w:sz w:val="24"/>
          <w:szCs w:val="24"/>
        </w:rPr>
        <w:t xml:space="preserve"> And in addressing the question, it will be necessary to </w:t>
      </w:r>
      <w:r w:rsidR="00AC733D">
        <w:rPr>
          <w:rFonts w:ascii="Times New Roman" w:hAnsi="Times New Roman" w:cs="Times New Roman"/>
          <w:sz w:val="24"/>
          <w:szCs w:val="24"/>
        </w:rPr>
        <w:t xml:space="preserve">deal with the points on </w:t>
      </w:r>
      <w:r w:rsidR="00BF2D0C">
        <w:rPr>
          <w:rFonts w:ascii="Times New Roman" w:hAnsi="Times New Roman" w:cs="Times New Roman"/>
          <w:sz w:val="24"/>
          <w:szCs w:val="24"/>
        </w:rPr>
        <w:t>its longevity, wording a</w:t>
      </w:r>
      <w:r w:rsidR="00AC733D">
        <w:rPr>
          <w:rFonts w:ascii="Times New Roman" w:hAnsi="Times New Roman" w:cs="Times New Roman"/>
          <w:sz w:val="24"/>
          <w:szCs w:val="24"/>
        </w:rPr>
        <w:t xml:space="preserve">s well as the implication of ss 52 and 149 of the RDC Act raised in defence of </w:t>
      </w:r>
      <w:r w:rsidR="00C473D5">
        <w:rPr>
          <w:rFonts w:ascii="Times New Roman" w:hAnsi="Times New Roman" w:cs="Times New Roman"/>
          <w:sz w:val="24"/>
          <w:szCs w:val="24"/>
        </w:rPr>
        <w:t xml:space="preserve">its </w:t>
      </w:r>
      <w:r w:rsidR="00AC733D">
        <w:rPr>
          <w:rFonts w:ascii="Times New Roman" w:hAnsi="Times New Roman" w:cs="Times New Roman"/>
          <w:sz w:val="24"/>
          <w:szCs w:val="24"/>
        </w:rPr>
        <w:t>validity</w:t>
      </w:r>
      <w:r w:rsidR="00C473D5">
        <w:rPr>
          <w:rFonts w:ascii="Times New Roman" w:hAnsi="Times New Roman" w:cs="Times New Roman"/>
          <w:sz w:val="24"/>
          <w:szCs w:val="24"/>
        </w:rPr>
        <w:t xml:space="preserve">. </w:t>
      </w:r>
      <w:r w:rsidR="00AC733D">
        <w:rPr>
          <w:rFonts w:ascii="Times New Roman" w:hAnsi="Times New Roman" w:cs="Times New Roman"/>
          <w:sz w:val="24"/>
          <w:szCs w:val="24"/>
        </w:rPr>
        <w:t xml:space="preserve">I will also turn to argument </w:t>
      </w:r>
      <w:r w:rsidR="00C473D5">
        <w:rPr>
          <w:rFonts w:ascii="Times New Roman" w:hAnsi="Times New Roman" w:cs="Times New Roman"/>
          <w:sz w:val="24"/>
          <w:szCs w:val="24"/>
        </w:rPr>
        <w:t xml:space="preserve">raised </w:t>
      </w:r>
      <w:r w:rsidR="00AC733D">
        <w:rPr>
          <w:rFonts w:ascii="Times New Roman" w:hAnsi="Times New Roman" w:cs="Times New Roman"/>
          <w:sz w:val="24"/>
          <w:szCs w:val="24"/>
        </w:rPr>
        <w:t xml:space="preserve">by applicant that </w:t>
      </w:r>
      <w:r w:rsidR="00C473D5">
        <w:rPr>
          <w:rFonts w:ascii="Times New Roman" w:hAnsi="Times New Roman" w:cs="Times New Roman"/>
          <w:sz w:val="24"/>
          <w:szCs w:val="24"/>
        </w:rPr>
        <w:t xml:space="preserve">statutory </w:t>
      </w:r>
      <w:r w:rsidR="00AC733D">
        <w:rPr>
          <w:rFonts w:ascii="Times New Roman" w:hAnsi="Times New Roman" w:cs="Times New Roman"/>
          <w:sz w:val="24"/>
          <w:szCs w:val="24"/>
        </w:rPr>
        <w:t xml:space="preserve">entities are </w:t>
      </w:r>
      <w:r w:rsidR="00AC733D" w:rsidRPr="00146757">
        <w:rPr>
          <w:rFonts w:ascii="Times New Roman" w:hAnsi="Times New Roman" w:cs="Times New Roman"/>
          <w:i/>
          <w:iCs/>
          <w:sz w:val="24"/>
          <w:szCs w:val="24"/>
        </w:rPr>
        <w:t>sui generis</w:t>
      </w:r>
      <w:r w:rsidR="00AC733D">
        <w:rPr>
          <w:rFonts w:ascii="Times New Roman" w:hAnsi="Times New Roman" w:cs="Times New Roman"/>
          <w:sz w:val="24"/>
          <w:szCs w:val="24"/>
        </w:rPr>
        <w:t xml:space="preserve"> institutions whose named officers were permitted by </w:t>
      </w:r>
      <w:r w:rsidR="00C473D5">
        <w:rPr>
          <w:rFonts w:ascii="Times New Roman" w:hAnsi="Times New Roman" w:cs="Times New Roman"/>
          <w:sz w:val="24"/>
          <w:szCs w:val="24"/>
        </w:rPr>
        <w:t>legislation</w:t>
      </w:r>
      <w:r w:rsidR="00AC733D">
        <w:rPr>
          <w:rFonts w:ascii="Times New Roman" w:hAnsi="Times New Roman" w:cs="Times New Roman"/>
          <w:sz w:val="24"/>
          <w:szCs w:val="24"/>
        </w:rPr>
        <w:t xml:space="preserve">, to institute proceedings under delegated authority of the statutory bodies concerned. </w:t>
      </w:r>
    </w:p>
    <w:p w14:paraId="635F4D8F" w14:textId="77777777" w:rsidR="008C596F" w:rsidRDefault="008C596F" w:rsidP="005A155B">
      <w:pPr>
        <w:spacing w:after="0" w:line="360" w:lineRule="auto"/>
        <w:jc w:val="both"/>
        <w:rPr>
          <w:rFonts w:ascii="Times New Roman" w:hAnsi="Times New Roman" w:cs="Times New Roman"/>
          <w:sz w:val="24"/>
          <w:szCs w:val="24"/>
        </w:rPr>
      </w:pPr>
    </w:p>
    <w:p w14:paraId="30A358CF" w14:textId="12A36FB7" w:rsidR="00AC733D" w:rsidRDefault="008C596F"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FB20C2">
        <w:rPr>
          <w:rFonts w:ascii="Times New Roman" w:hAnsi="Times New Roman" w:cs="Times New Roman"/>
          <w:sz w:val="24"/>
          <w:szCs w:val="24"/>
        </w:rPr>
        <w:t>3</w:t>
      </w:r>
      <w:r>
        <w:rPr>
          <w:rFonts w:ascii="Times New Roman" w:hAnsi="Times New Roman" w:cs="Times New Roman"/>
          <w:sz w:val="24"/>
          <w:szCs w:val="24"/>
        </w:rPr>
        <w:t xml:space="preserve">] </w:t>
      </w:r>
      <w:r w:rsidR="00BF2D0C">
        <w:rPr>
          <w:rFonts w:ascii="Times New Roman" w:hAnsi="Times New Roman" w:cs="Times New Roman"/>
          <w:sz w:val="24"/>
          <w:szCs w:val="24"/>
        </w:rPr>
        <w:t xml:space="preserve">I must also advert to the </w:t>
      </w:r>
      <w:r w:rsidR="00AC733D">
        <w:rPr>
          <w:rFonts w:ascii="Times New Roman" w:hAnsi="Times New Roman" w:cs="Times New Roman"/>
          <w:sz w:val="24"/>
          <w:szCs w:val="24"/>
        </w:rPr>
        <w:t xml:space="preserve">pivotal </w:t>
      </w:r>
      <w:r w:rsidR="00BF2D0C">
        <w:rPr>
          <w:rFonts w:ascii="Times New Roman" w:hAnsi="Times New Roman" w:cs="Times New Roman"/>
          <w:sz w:val="24"/>
          <w:szCs w:val="24"/>
        </w:rPr>
        <w:t xml:space="preserve">argument buttressing the </w:t>
      </w:r>
      <w:r w:rsidR="00777545">
        <w:rPr>
          <w:rFonts w:ascii="Times New Roman" w:hAnsi="Times New Roman" w:cs="Times New Roman"/>
          <w:sz w:val="24"/>
          <w:szCs w:val="24"/>
        </w:rPr>
        <w:t>objection; -</w:t>
      </w:r>
      <w:r w:rsidR="00BF2D0C">
        <w:rPr>
          <w:rFonts w:ascii="Times New Roman" w:hAnsi="Times New Roman" w:cs="Times New Roman"/>
          <w:sz w:val="24"/>
          <w:szCs w:val="24"/>
        </w:rPr>
        <w:t>namely that the High Court has firmly pronounced itself on the invalidity of generic</w:t>
      </w:r>
      <w:r w:rsidR="00C473D5">
        <w:rPr>
          <w:rFonts w:ascii="Times New Roman" w:hAnsi="Times New Roman" w:cs="Times New Roman"/>
          <w:sz w:val="24"/>
          <w:szCs w:val="24"/>
        </w:rPr>
        <w:t>/anticipatory, pre-emptive or</w:t>
      </w:r>
      <w:r w:rsidR="00BF2D0C">
        <w:rPr>
          <w:rFonts w:ascii="Times New Roman" w:hAnsi="Times New Roman" w:cs="Times New Roman"/>
          <w:sz w:val="24"/>
          <w:szCs w:val="24"/>
        </w:rPr>
        <w:t xml:space="preserve"> blanket </w:t>
      </w:r>
      <w:r w:rsidR="00146757">
        <w:rPr>
          <w:rFonts w:ascii="Times New Roman" w:hAnsi="Times New Roman" w:cs="Times New Roman"/>
          <w:sz w:val="24"/>
          <w:szCs w:val="24"/>
        </w:rPr>
        <w:t>resolutions, such as the one before me now, to</w:t>
      </w:r>
      <w:r w:rsidR="00BF2D0C">
        <w:rPr>
          <w:rFonts w:ascii="Times New Roman" w:hAnsi="Times New Roman" w:cs="Times New Roman"/>
          <w:sz w:val="24"/>
          <w:szCs w:val="24"/>
        </w:rPr>
        <w:t xml:space="preserve"> institute proceedings </w:t>
      </w:r>
      <w:r w:rsidR="00146757">
        <w:rPr>
          <w:rFonts w:ascii="Times New Roman" w:hAnsi="Times New Roman" w:cs="Times New Roman"/>
          <w:sz w:val="24"/>
          <w:szCs w:val="24"/>
        </w:rPr>
        <w:t xml:space="preserve">on behalf of an </w:t>
      </w:r>
      <w:r w:rsidR="00AC733D">
        <w:rPr>
          <w:rFonts w:ascii="Times New Roman" w:hAnsi="Times New Roman" w:cs="Times New Roman"/>
          <w:sz w:val="24"/>
          <w:szCs w:val="24"/>
        </w:rPr>
        <w:t xml:space="preserve">entity. </w:t>
      </w:r>
      <w:r w:rsidR="00777545">
        <w:rPr>
          <w:rFonts w:ascii="Times New Roman" w:hAnsi="Times New Roman" w:cs="Times New Roman"/>
          <w:sz w:val="24"/>
          <w:szCs w:val="24"/>
        </w:rPr>
        <w:t xml:space="preserve"> I must point out that </w:t>
      </w:r>
      <w:r w:rsidR="009E29DC">
        <w:rPr>
          <w:rFonts w:ascii="Times New Roman" w:hAnsi="Times New Roman" w:cs="Times New Roman"/>
          <w:sz w:val="24"/>
          <w:szCs w:val="24"/>
        </w:rPr>
        <w:t xml:space="preserve">Mr Sithole argued to his strengths </w:t>
      </w:r>
      <w:r w:rsidR="00777545">
        <w:rPr>
          <w:rFonts w:ascii="Times New Roman" w:hAnsi="Times New Roman" w:cs="Times New Roman"/>
          <w:sz w:val="24"/>
          <w:szCs w:val="24"/>
        </w:rPr>
        <w:t xml:space="preserve">the question of invalidity of blanket authority </w:t>
      </w:r>
      <w:r w:rsidR="00483EBF">
        <w:rPr>
          <w:rFonts w:ascii="Times New Roman" w:hAnsi="Times New Roman" w:cs="Times New Roman"/>
          <w:sz w:val="24"/>
          <w:szCs w:val="24"/>
        </w:rPr>
        <w:t xml:space="preserve">constituting respondent`s point </w:t>
      </w:r>
      <w:r w:rsidR="00483EBF" w:rsidRPr="00AC733D">
        <w:rPr>
          <w:rFonts w:ascii="Times New Roman" w:hAnsi="Times New Roman" w:cs="Times New Roman"/>
          <w:i/>
          <w:iCs/>
          <w:sz w:val="24"/>
          <w:szCs w:val="24"/>
        </w:rPr>
        <w:t>in limine</w:t>
      </w:r>
      <w:r w:rsidR="001F54C5">
        <w:rPr>
          <w:rFonts w:ascii="Times New Roman" w:hAnsi="Times New Roman" w:cs="Times New Roman"/>
          <w:sz w:val="24"/>
          <w:szCs w:val="24"/>
        </w:rPr>
        <w:t xml:space="preserve">. </w:t>
      </w:r>
      <w:r w:rsidR="00AC733D">
        <w:rPr>
          <w:rFonts w:ascii="Times New Roman" w:hAnsi="Times New Roman" w:cs="Times New Roman"/>
          <w:sz w:val="24"/>
          <w:szCs w:val="24"/>
        </w:rPr>
        <w:t>He referred to a string of authorities endorsing this position at law.</w:t>
      </w:r>
    </w:p>
    <w:p w14:paraId="6A14918C" w14:textId="77777777" w:rsidR="00AC733D" w:rsidRDefault="00AC733D" w:rsidP="005A155B">
      <w:pPr>
        <w:spacing w:after="0" w:line="360" w:lineRule="auto"/>
        <w:jc w:val="both"/>
        <w:rPr>
          <w:rFonts w:ascii="Times New Roman" w:hAnsi="Times New Roman" w:cs="Times New Roman"/>
          <w:sz w:val="24"/>
          <w:szCs w:val="24"/>
        </w:rPr>
      </w:pPr>
    </w:p>
    <w:p w14:paraId="4AE78CF6" w14:textId="27CBFB2C" w:rsidR="001F54C5" w:rsidRDefault="00AC733D" w:rsidP="00810A16">
      <w:pPr>
        <w:spacing w:line="360" w:lineRule="auto"/>
        <w:jc w:val="both"/>
        <w:rPr>
          <w:rFonts w:ascii="Times New Roman" w:hAnsi="Times New Roman" w:cs="Times New Roman"/>
          <w:sz w:val="24"/>
          <w:szCs w:val="24"/>
        </w:rPr>
      </w:pPr>
      <w:r w:rsidRPr="00C473D5">
        <w:rPr>
          <w:rFonts w:ascii="Times New Roman" w:hAnsi="Times New Roman" w:cs="Times New Roman"/>
          <w:sz w:val="24"/>
          <w:szCs w:val="24"/>
        </w:rPr>
        <w:t>[3</w:t>
      </w:r>
      <w:r w:rsidR="00FB20C2" w:rsidRPr="00C473D5">
        <w:rPr>
          <w:rFonts w:ascii="Times New Roman" w:hAnsi="Times New Roman" w:cs="Times New Roman"/>
          <w:sz w:val="24"/>
          <w:szCs w:val="24"/>
        </w:rPr>
        <w:t>4</w:t>
      </w:r>
      <w:r w:rsidRPr="00C473D5">
        <w:rPr>
          <w:rFonts w:ascii="Times New Roman" w:hAnsi="Times New Roman" w:cs="Times New Roman"/>
          <w:sz w:val="24"/>
          <w:szCs w:val="24"/>
        </w:rPr>
        <w:t xml:space="preserve">] </w:t>
      </w:r>
      <w:r w:rsidR="00483EBF" w:rsidRPr="00C473D5">
        <w:rPr>
          <w:rFonts w:ascii="Times New Roman" w:hAnsi="Times New Roman" w:cs="Times New Roman"/>
          <w:sz w:val="24"/>
          <w:szCs w:val="24"/>
        </w:rPr>
        <w:t xml:space="preserve">The </w:t>
      </w:r>
      <w:r w:rsidRPr="00C473D5">
        <w:rPr>
          <w:rFonts w:ascii="Times New Roman" w:hAnsi="Times New Roman" w:cs="Times New Roman"/>
          <w:sz w:val="24"/>
          <w:szCs w:val="24"/>
        </w:rPr>
        <w:t xml:space="preserve">same cannot be said of the applicant`s response to this argument. With respect, applicant </w:t>
      </w:r>
      <w:r w:rsidR="00483EBF" w:rsidRPr="00C473D5">
        <w:rPr>
          <w:rFonts w:ascii="Times New Roman" w:hAnsi="Times New Roman" w:cs="Times New Roman"/>
          <w:sz w:val="24"/>
          <w:szCs w:val="24"/>
        </w:rPr>
        <w:t>charge</w:t>
      </w:r>
      <w:r w:rsidRPr="00C473D5">
        <w:rPr>
          <w:rFonts w:ascii="Times New Roman" w:hAnsi="Times New Roman" w:cs="Times New Roman"/>
          <w:sz w:val="24"/>
          <w:szCs w:val="24"/>
        </w:rPr>
        <w:t>d</w:t>
      </w:r>
      <w:r w:rsidR="00483EBF" w:rsidRPr="00C473D5">
        <w:rPr>
          <w:rFonts w:ascii="Times New Roman" w:hAnsi="Times New Roman" w:cs="Times New Roman"/>
          <w:sz w:val="24"/>
          <w:szCs w:val="24"/>
        </w:rPr>
        <w:t xml:space="preserve"> obliquely at the flanks </w:t>
      </w:r>
      <w:r w:rsidRPr="00C473D5">
        <w:rPr>
          <w:rFonts w:ascii="Times New Roman" w:hAnsi="Times New Roman" w:cs="Times New Roman"/>
          <w:sz w:val="24"/>
          <w:szCs w:val="24"/>
        </w:rPr>
        <w:t xml:space="preserve">instead of confronting </w:t>
      </w:r>
      <w:r w:rsidR="00777545" w:rsidRPr="00C473D5">
        <w:rPr>
          <w:rFonts w:ascii="Times New Roman" w:hAnsi="Times New Roman" w:cs="Times New Roman"/>
          <w:sz w:val="24"/>
          <w:szCs w:val="24"/>
        </w:rPr>
        <w:t xml:space="preserve">the </w:t>
      </w:r>
      <w:r w:rsidR="00483EBF" w:rsidRPr="00C473D5">
        <w:rPr>
          <w:rFonts w:ascii="Times New Roman" w:hAnsi="Times New Roman" w:cs="Times New Roman"/>
          <w:sz w:val="24"/>
          <w:szCs w:val="24"/>
        </w:rPr>
        <w:t xml:space="preserve">arguments </w:t>
      </w:r>
      <w:r w:rsidRPr="00C473D5">
        <w:rPr>
          <w:rFonts w:ascii="Times New Roman" w:hAnsi="Times New Roman" w:cs="Times New Roman"/>
          <w:sz w:val="24"/>
          <w:szCs w:val="24"/>
        </w:rPr>
        <w:t xml:space="preserve">on blanket authority </w:t>
      </w:r>
      <w:r w:rsidR="00777545" w:rsidRPr="00C473D5">
        <w:rPr>
          <w:rFonts w:ascii="Times New Roman" w:hAnsi="Times New Roman" w:cs="Times New Roman"/>
          <w:sz w:val="24"/>
          <w:szCs w:val="24"/>
        </w:rPr>
        <w:t xml:space="preserve">head on. </w:t>
      </w:r>
      <w:r w:rsidR="00CC2060" w:rsidRPr="00C473D5">
        <w:rPr>
          <w:rFonts w:ascii="Times New Roman" w:hAnsi="Times New Roman" w:cs="Times New Roman"/>
          <w:sz w:val="24"/>
          <w:szCs w:val="24"/>
        </w:rPr>
        <w:t xml:space="preserve">Counsel for applicant merely </w:t>
      </w:r>
      <w:r w:rsidR="003117A6" w:rsidRPr="00C473D5">
        <w:rPr>
          <w:rFonts w:ascii="Times New Roman" w:hAnsi="Times New Roman" w:cs="Times New Roman"/>
          <w:sz w:val="24"/>
          <w:szCs w:val="24"/>
        </w:rPr>
        <w:t xml:space="preserve">submitted that such authorities were distinguishable before implying that the court could </w:t>
      </w:r>
      <w:r w:rsidR="00CC2060" w:rsidRPr="00C473D5">
        <w:rPr>
          <w:rFonts w:ascii="Times New Roman" w:hAnsi="Times New Roman" w:cs="Times New Roman"/>
          <w:sz w:val="24"/>
          <w:szCs w:val="24"/>
        </w:rPr>
        <w:t xml:space="preserve">even depart from </w:t>
      </w:r>
      <w:r w:rsidR="003117A6" w:rsidRPr="00C473D5">
        <w:rPr>
          <w:rFonts w:ascii="Times New Roman" w:hAnsi="Times New Roman" w:cs="Times New Roman"/>
          <w:sz w:val="24"/>
          <w:szCs w:val="24"/>
        </w:rPr>
        <w:t xml:space="preserve">its own position as set out in </w:t>
      </w:r>
      <w:r w:rsidR="00C473D5" w:rsidRPr="00C473D5">
        <w:rPr>
          <w:rFonts w:ascii="Times New Roman" w:hAnsi="Times New Roman" w:cs="Times New Roman"/>
          <w:bCs/>
          <w:i/>
          <w:iCs/>
          <w:sz w:val="24"/>
          <w:szCs w:val="24"/>
        </w:rPr>
        <w:t>Arosume</w:t>
      </w:r>
      <w:r w:rsidR="00C473D5" w:rsidRPr="00C473D5">
        <w:rPr>
          <w:rFonts w:ascii="Times New Roman" w:hAnsi="Times New Roman" w:cs="Times New Roman"/>
          <w:bCs/>
          <w:sz w:val="24"/>
          <w:szCs w:val="24"/>
        </w:rPr>
        <w:t xml:space="preserve"> </w:t>
      </w:r>
      <w:r w:rsidR="00C473D5" w:rsidRPr="00C473D5">
        <w:rPr>
          <w:rFonts w:ascii="Times New Roman" w:hAnsi="Times New Roman" w:cs="Times New Roman"/>
          <w:bCs/>
          <w:i/>
          <w:iCs/>
          <w:sz w:val="24"/>
          <w:szCs w:val="24"/>
        </w:rPr>
        <w:t>Property Development (Pvt) Ltd v Mashonganyika.</w:t>
      </w:r>
      <w:r w:rsidR="00CC2060">
        <w:rPr>
          <w:rFonts w:ascii="Times New Roman" w:hAnsi="Times New Roman" w:cs="Times New Roman"/>
          <w:sz w:val="24"/>
          <w:szCs w:val="24"/>
        </w:rPr>
        <w:t xml:space="preserve"> </w:t>
      </w:r>
    </w:p>
    <w:p w14:paraId="21BFE819" w14:textId="766598F4" w:rsidR="003117A6" w:rsidRDefault="001F54C5"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36067">
        <w:rPr>
          <w:rFonts w:ascii="Times New Roman" w:hAnsi="Times New Roman" w:cs="Times New Roman"/>
          <w:sz w:val="24"/>
          <w:szCs w:val="24"/>
        </w:rPr>
        <w:t>3</w:t>
      </w:r>
      <w:r w:rsidR="00FB20C2">
        <w:rPr>
          <w:rFonts w:ascii="Times New Roman" w:hAnsi="Times New Roman" w:cs="Times New Roman"/>
          <w:sz w:val="24"/>
          <w:szCs w:val="24"/>
        </w:rPr>
        <w:t>5</w:t>
      </w:r>
      <w:r>
        <w:rPr>
          <w:rFonts w:ascii="Times New Roman" w:hAnsi="Times New Roman" w:cs="Times New Roman"/>
          <w:sz w:val="24"/>
          <w:szCs w:val="24"/>
        </w:rPr>
        <w:t xml:space="preserve">] </w:t>
      </w:r>
      <w:r w:rsidR="00483EBF">
        <w:rPr>
          <w:rFonts w:ascii="Times New Roman" w:hAnsi="Times New Roman" w:cs="Times New Roman"/>
          <w:sz w:val="24"/>
          <w:szCs w:val="24"/>
        </w:rPr>
        <w:t xml:space="preserve">In the result, </w:t>
      </w:r>
      <w:r w:rsidR="00777545">
        <w:rPr>
          <w:rFonts w:ascii="Times New Roman" w:hAnsi="Times New Roman" w:cs="Times New Roman"/>
          <w:sz w:val="24"/>
          <w:szCs w:val="24"/>
        </w:rPr>
        <w:t xml:space="preserve">the </w:t>
      </w:r>
      <w:r w:rsidR="00483EBF">
        <w:rPr>
          <w:rFonts w:ascii="Times New Roman" w:hAnsi="Times New Roman" w:cs="Times New Roman"/>
          <w:sz w:val="24"/>
          <w:szCs w:val="24"/>
        </w:rPr>
        <w:t xml:space="preserve">positions argued before me </w:t>
      </w:r>
      <w:r w:rsidR="00777545">
        <w:rPr>
          <w:rFonts w:ascii="Times New Roman" w:hAnsi="Times New Roman" w:cs="Times New Roman"/>
          <w:sz w:val="24"/>
          <w:szCs w:val="24"/>
        </w:rPr>
        <w:t xml:space="preserve">did not </w:t>
      </w:r>
      <w:r>
        <w:rPr>
          <w:rFonts w:ascii="Times New Roman" w:hAnsi="Times New Roman" w:cs="Times New Roman"/>
          <w:sz w:val="24"/>
          <w:szCs w:val="24"/>
        </w:rPr>
        <w:t>crystallise</w:t>
      </w:r>
      <w:r w:rsidR="00777545">
        <w:rPr>
          <w:rFonts w:ascii="Times New Roman" w:hAnsi="Times New Roman" w:cs="Times New Roman"/>
          <w:sz w:val="24"/>
          <w:szCs w:val="24"/>
        </w:rPr>
        <w:t xml:space="preserve"> </w:t>
      </w:r>
      <w:r w:rsidR="00483EBF">
        <w:rPr>
          <w:rFonts w:ascii="Times New Roman" w:hAnsi="Times New Roman" w:cs="Times New Roman"/>
          <w:sz w:val="24"/>
          <w:szCs w:val="24"/>
        </w:rPr>
        <w:t xml:space="preserve">the question of validity of a blanket or anticipatory resolution </w:t>
      </w:r>
      <w:r w:rsidR="00777545">
        <w:rPr>
          <w:rFonts w:ascii="Times New Roman" w:hAnsi="Times New Roman" w:cs="Times New Roman"/>
          <w:sz w:val="24"/>
          <w:szCs w:val="24"/>
        </w:rPr>
        <w:t xml:space="preserve">into a specific </w:t>
      </w:r>
      <w:r w:rsidR="00483EBF">
        <w:rPr>
          <w:rFonts w:ascii="Times New Roman" w:hAnsi="Times New Roman" w:cs="Times New Roman"/>
          <w:sz w:val="24"/>
          <w:szCs w:val="24"/>
        </w:rPr>
        <w:t>point which</w:t>
      </w:r>
      <w:r>
        <w:rPr>
          <w:rFonts w:ascii="Times New Roman" w:hAnsi="Times New Roman" w:cs="Times New Roman"/>
          <w:sz w:val="24"/>
          <w:szCs w:val="24"/>
        </w:rPr>
        <w:t xml:space="preserve"> required the court`s ruling</w:t>
      </w:r>
      <w:r w:rsidR="00483EBF">
        <w:rPr>
          <w:rFonts w:ascii="Times New Roman" w:hAnsi="Times New Roman" w:cs="Times New Roman"/>
          <w:sz w:val="24"/>
          <w:szCs w:val="24"/>
        </w:rPr>
        <w:t>.</w:t>
      </w:r>
      <w:r>
        <w:rPr>
          <w:rFonts w:ascii="Times New Roman" w:hAnsi="Times New Roman" w:cs="Times New Roman"/>
          <w:sz w:val="24"/>
          <w:szCs w:val="24"/>
        </w:rPr>
        <w:t xml:space="preserve"> Additionally, </w:t>
      </w:r>
      <w:r w:rsidR="00483EBF">
        <w:rPr>
          <w:rFonts w:ascii="Times New Roman" w:hAnsi="Times New Roman" w:cs="Times New Roman"/>
          <w:sz w:val="24"/>
          <w:szCs w:val="24"/>
        </w:rPr>
        <w:t xml:space="preserve">I recognise that </w:t>
      </w:r>
      <w:r w:rsidR="003117A6">
        <w:rPr>
          <w:rFonts w:ascii="Times New Roman" w:hAnsi="Times New Roman" w:cs="Times New Roman"/>
          <w:sz w:val="24"/>
          <w:szCs w:val="24"/>
        </w:rPr>
        <w:t xml:space="preserve">whilst the </w:t>
      </w:r>
      <w:r w:rsidR="00483EBF">
        <w:rPr>
          <w:rFonts w:ascii="Times New Roman" w:hAnsi="Times New Roman" w:cs="Times New Roman"/>
          <w:sz w:val="24"/>
          <w:szCs w:val="24"/>
        </w:rPr>
        <w:t xml:space="preserve">applicant`s argument sought to draw the court into a revision of its position on blanket </w:t>
      </w:r>
      <w:r w:rsidR="003117A6">
        <w:rPr>
          <w:rFonts w:ascii="Times New Roman" w:hAnsi="Times New Roman" w:cs="Times New Roman"/>
          <w:sz w:val="24"/>
          <w:szCs w:val="24"/>
        </w:rPr>
        <w:t>resolutions, it was</w:t>
      </w:r>
      <w:r w:rsidR="00483EBF">
        <w:rPr>
          <w:rFonts w:ascii="Times New Roman" w:hAnsi="Times New Roman" w:cs="Times New Roman"/>
          <w:sz w:val="24"/>
          <w:szCs w:val="24"/>
        </w:rPr>
        <w:t xml:space="preserve"> not </w:t>
      </w:r>
      <w:r>
        <w:rPr>
          <w:rFonts w:ascii="Times New Roman" w:hAnsi="Times New Roman" w:cs="Times New Roman"/>
          <w:sz w:val="24"/>
          <w:szCs w:val="24"/>
        </w:rPr>
        <w:t xml:space="preserve">backed by the </w:t>
      </w:r>
      <w:r w:rsidR="00483EBF">
        <w:rPr>
          <w:rFonts w:ascii="Times New Roman" w:hAnsi="Times New Roman" w:cs="Times New Roman"/>
          <w:sz w:val="24"/>
          <w:szCs w:val="24"/>
        </w:rPr>
        <w:t xml:space="preserve">sort of </w:t>
      </w:r>
      <w:r w:rsidR="009E29DC">
        <w:rPr>
          <w:rFonts w:ascii="Times New Roman" w:hAnsi="Times New Roman" w:cs="Times New Roman"/>
          <w:sz w:val="24"/>
          <w:szCs w:val="24"/>
        </w:rPr>
        <w:t xml:space="preserve">focus, </w:t>
      </w:r>
      <w:r>
        <w:rPr>
          <w:rFonts w:ascii="Times New Roman" w:hAnsi="Times New Roman" w:cs="Times New Roman"/>
          <w:sz w:val="24"/>
          <w:szCs w:val="24"/>
        </w:rPr>
        <w:t xml:space="preserve">depth and </w:t>
      </w:r>
      <w:r w:rsidR="009E29DC">
        <w:rPr>
          <w:rFonts w:ascii="Times New Roman" w:hAnsi="Times New Roman" w:cs="Times New Roman"/>
          <w:sz w:val="24"/>
          <w:szCs w:val="24"/>
        </w:rPr>
        <w:t xml:space="preserve">analysis </w:t>
      </w:r>
      <w:r w:rsidR="00353201">
        <w:rPr>
          <w:rFonts w:ascii="Times New Roman" w:hAnsi="Times New Roman" w:cs="Times New Roman"/>
          <w:sz w:val="24"/>
          <w:szCs w:val="24"/>
        </w:rPr>
        <w:t xml:space="preserve">in </w:t>
      </w:r>
      <w:r w:rsidR="00483EBF">
        <w:rPr>
          <w:rFonts w:ascii="Times New Roman" w:hAnsi="Times New Roman" w:cs="Times New Roman"/>
          <w:sz w:val="24"/>
          <w:szCs w:val="24"/>
        </w:rPr>
        <w:t xml:space="preserve">legal argument </w:t>
      </w:r>
      <w:r w:rsidR="009E29DC">
        <w:rPr>
          <w:rFonts w:ascii="Times New Roman" w:hAnsi="Times New Roman" w:cs="Times New Roman"/>
          <w:sz w:val="24"/>
          <w:szCs w:val="24"/>
        </w:rPr>
        <w:t xml:space="preserve">required </w:t>
      </w:r>
      <w:r>
        <w:rPr>
          <w:rFonts w:ascii="Times New Roman" w:hAnsi="Times New Roman" w:cs="Times New Roman"/>
          <w:sz w:val="24"/>
          <w:szCs w:val="24"/>
        </w:rPr>
        <w:t>to sway the court from its established position.</w:t>
      </w:r>
    </w:p>
    <w:p w14:paraId="2883C009" w14:textId="77777777" w:rsidR="003117A6" w:rsidRDefault="003117A6" w:rsidP="005A155B">
      <w:pPr>
        <w:spacing w:after="0" w:line="360" w:lineRule="auto"/>
        <w:jc w:val="both"/>
        <w:rPr>
          <w:rFonts w:ascii="Times New Roman" w:hAnsi="Times New Roman" w:cs="Times New Roman"/>
          <w:sz w:val="24"/>
          <w:szCs w:val="24"/>
        </w:rPr>
      </w:pPr>
    </w:p>
    <w:p w14:paraId="38B42C59" w14:textId="7412A24C" w:rsidR="001F54C5" w:rsidRDefault="003117A6"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36</w:t>
      </w:r>
      <w:r>
        <w:rPr>
          <w:rFonts w:ascii="Times New Roman" w:hAnsi="Times New Roman" w:cs="Times New Roman"/>
          <w:sz w:val="24"/>
          <w:szCs w:val="24"/>
        </w:rPr>
        <w:t>] Nonetheless</w:t>
      </w:r>
      <w:r w:rsidR="001F54C5">
        <w:rPr>
          <w:rFonts w:ascii="Times New Roman" w:hAnsi="Times New Roman" w:cs="Times New Roman"/>
          <w:sz w:val="24"/>
          <w:szCs w:val="24"/>
        </w:rPr>
        <w:t xml:space="preserve">, given the importance of the question of authority to institute legal proceedings on behalf of body </w:t>
      </w:r>
      <w:r w:rsidR="00CC2060">
        <w:rPr>
          <w:rFonts w:ascii="Times New Roman" w:hAnsi="Times New Roman" w:cs="Times New Roman"/>
          <w:sz w:val="24"/>
          <w:szCs w:val="24"/>
        </w:rPr>
        <w:t>corporates,</w:t>
      </w:r>
      <w:r w:rsidR="001F54C5">
        <w:rPr>
          <w:rFonts w:ascii="Times New Roman" w:hAnsi="Times New Roman" w:cs="Times New Roman"/>
          <w:sz w:val="24"/>
          <w:szCs w:val="24"/>
        </w:rPr>
        <w:t xml:space="preserve"> I will linger beyond the </w:t>
      </w:r>
      <w:r w:rsidR="00353201">
        <w:rPr>
          <w:rFonts w:ascii="Times New Roman" w:hAnsi="Times New Roman" w:cs="Times New Roman"/>
          <w:sz w:val="24"/>
          <w:szCs w:val="24"/>
        </w:rPr>
        <w:t xml:space="preserve">usual in my </w:t>
      </w:r>
      <w:r w:rsidR="001F54C5">
        <w:rPr>
          <w:rFonts w:ascii="Times New Roman" w:hAnsi="Times New Roman" w:cs="Times New Roman"/>
          <w:sz w:val="24"/>
          <w:szCs w:val="24"/>
        </w:rPr>
        <w:t xml:space="preserve">attention to </w:t>
      </w:r>
      <w:r w:rsidR="00353201">
        <w:rPr>
          <w:rFonts w:ascii="Times New Roman" w:hAnsi="Times New Roman" w:cs="Times New Roman"/>
          <w:sz w:val="24"/>
          <w:szCs w:val="24"/>
        </w:rPr>
        <w:t xml:space="preserve">the question of blanket or anticipatory resolutions </w:t>
      </w:r>
      <w:r w:rsidR="001F54C5" w:rsidRPr="00353201">
        <w:rPr>
          <w:rFonts w:ascii="Times New Roman" w:hAnsi="Times New Roman" w:cs="Times New Roman"/>
          <w:i/>
          <w:iCs/>
          <w:sz w:val="24"/>
          <w:szCs w:val="24"/>
        </w:rPr>
        <w:t>en passant</w:t>
      </w:r>
      <w:r w:rsidR="001F54C5">
        <w:rPr>
          <w:rFonts w:ascii="Times New Roman" w:hAnsi="Times New Roman" w:cs="Times New Roman"/>
          <w:sz w:val="24"/>
          <w:szCs w:val="24"/>
        </w:rPr>
        <w:t>.</w:t>
      </w:r>
      <w:r w:rsidR="0040773B">
        <w:rPr>
          <w:rFonts w:ascii="Times New Roman" w:hAnsi="Times New Roman" w:cs="Times New Roman"/>
          <w:sz w:val="24"/>
          <w:szCs w:val="24"/>
        </w:rPr>
        <w:t xml:space="preserve"> The daunting prospect of </w:t>
      </w:r>
      <w:r w:rsidR="0040773B" w:rsidRPr="008939B4">
        <w:rPr>
          <w:rFonts w:ascii="Times New Roman" w:hAnsi="Times New Roman" w:cs="Times New Roman"/>
          <w:i/>
          <w:iCs/>
          <w:sz w:val="24"/>
          <w:szCs w:val="24"/>
        </w:rPr>
        <w:t>status legis infelix</w:t>
      </w:r>
      <w:r w:rsidR="0040773B">
        <w:rPr>
          <w:rStyle w:val="FootnoteReference"/>
          <w:rFonts w:ascii="Times New Roman" w:hAnsi="Times New Roman" w:cs="Times New Roman"/>
          <w:i/>
          <w:iCs/>
          <w:sz w:val="24"/>
          <w:szCs w:val="24"/>
        </w:rPr>
        <w:footnoteReference w:id="5"/>
      </w:r>
      <w:r w:rsidR="0040773B" w:rsidRPr="0040773B">
        <w:rPr>
          <w:rFonts w:ascii="Times New Roman" w:hAnsi="Times New Roman" w:cs="Times New Roman"/>
          <w:i/>
          <w:iCs/>
          <w:sz w:val="24"/>
          <w:szCs w:val="24"/>
        </w:rPr>
        <w:t xml:space="preserve"> </w:t>
      </w:r>
      <w:r w:rsidR="0040773B">
        <w:rPr>
          <w:rFonts w:ascii="Times New Roman" w:hAnsi="Times New Roman" w:cs="Times New Roman"/>
          <w:sz w:val="24"/>
          <w:szCs w:val="24"/>
        </w:rPr>
        <w:t xml:space="preserve">must be avoided at all costs. </w:t>
      </w:r>
    </w:p>
    <w:p w14:paraId="187788E1" w14:textId="77777777" w:rsidR="001F54C5" w:rsidRDefault="001F54C5" w:rsidP="005A155B">
      <w:pPr>
        <w:spacing w:after="0" w:line="360" w:lineRule="auto"/>
        <w:jc w:val="both"/>
        <w:rPr>
          <w:rFonts w:ascii="Times New Roman" w:hAnsi="Times New Roman" w:cs="Times New Roman"/>
          <w:sz w:val="24"/>
          <w:szCs w:val="24"/>
        </w:rPr>
      </w:pPr>
    </w:p>
    <w:p w14:paraId="3E97E883" w14:textId="35BE4538" w:rsidR="001F54C5" w:rsidRPr="00863C18" w:rsidRDefault="001F54C5" w:rsidP="005A155B">
      <w:pPr>
        <w:spacing w:after="0" w:line="360" w:lineRule="auto"/>
        <w:jc w:val="both"/>
        <w:rPr>
          <w:rFonts w:ascii="Times New Roman" w:hAnsi="Times New Roman" w:cs="Times New Roman"/>
          <w:b/>
          <w:bCs/>
          <w:i/>
          <w:iCs/>
          <w:sz w:val="24"/>
          <w:szCs w:val="24"/>
        </w:rPr>
      </w:pPr>
      <w:r w:rsidRPr="00863C18">
        <w:rPr>
          <w:rFonts w:ascii="Times New Roman" w:hAnsi="Times New Roman" w:cs="Times New Roman"/>
          <w:b/>
          <w:bCs/>
          <w:i/>
          <w:iCs/>
          <w:sz w:val="24"/>
          <w:szCs w:val="24"/>
        </w:rPr>
        <w:lastRenderedPageBreak/>
        <w:t xml:space="preserve">The </w:t>
      </w:r>
      <w:r w:rsidR="003A44AF" w:rsidRPr="00863C18">
        <w:rPr>
          <w:rFonts w:ascii="Times New Roman" w:hAnsi="Times New Roman" w:cs="Times New Roman"/>
          <w:b/>
          <w:bCs/>
          <w:i/>
          <w:iCs/>
          <w:sz w:val="24"/>
          <w:szCs w:val="24"/>
        </w:rPr>
        <w:t>recurrent challenge</w:t>
      </w:r>
      <w:r w:rsidR="00353201" w:rsidRPr="00863C18">
        <w:rPr>
          <w:rFonts w:ascii="Times New Roman" w:hAnsi="Times New Roman" w:cs="Times New Roman"/>
          <w:b/>
          <w:bCs/>
          <w:i/>
          <w:iCs/>
          <w:sz w:val="24"/>
          <w:szCs w:val="24"/>
        </w:rPr>
        <w:t>s</w:t>
      </w:r>
      <w:r w:rsidR="003A44AF" w:rsidRPr="00863C18">
        <w:rPr>
          <w:rFonts w:ascii="Times New Roman" w:hAnsi="Times New Roman" w:cs="Times New Roman"/>
          <w:b/>
          <w:bCs/>
          <w:i/>
          <w:iCs/>
          <w:sz w:val="24"/>
          <w:szCs w:val="24"/>
        </w:rPr>
        <w:t xml:space="preserve"> on authority to institute legal proceedings.</w:t>
      </w:r>
    </w:p>
    <w:p w14:paraId="5D5AC3F7" w14:textId="77777777" w:rsidR="003A44AF" w:rsidRPr="001F54C5" w:rsidRDefault="003A44AF" w:rsidP="005A155B">
      <w:pPr>
        <w:spacing w:after="0" w:line="360" w:lineRule="auto"/>
        <w:jc w:val="both"/>
        <w:rPr>
          <w:rFonts w:ascii="Times New Roman" w:hAnsi="Times New Roman" w:cs="Times New Roman"/>
          <w:i/>
          <w:iCs/>
          <w:sz w:val="24"/>
          <w:szCs w:val="24"/>
        </w:rPr>
      </w:pPr>
    </w:p>
    <w:p w14:paraId="6EF52F34" w14:textId="2D5E9512" w:rsidR="007B3B8D" w:rsidRDefault="003A44AF" w:rsidP="003A44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37</w:t>
      </w:r>
      <w:r>
        <w:rPr>
          <w:rFonts w:ascii="Times New Roman" w:hAnsi="Times New Roman" w:cs="Times New Roman"/>
          <w:sz w:val="24"/>
          <w:szCs w:val="24"/>
        </w:rPr>
        <w:t xml:space="preserve">] </w:t>
      </w:r>
      <w:r w:rsidR="007B3B8D">
        <w:rPr>
          <w:rFonts w:ascii="Times New Roman" w:hAnsi="Times New Roman" w:cs="Times New Roman"/>
          <w:sz w:val="24"/>
          <w:szCs w:val="24"/>
        </w:rPr>
        <w:t>T</w:t>
      </w:r>
      <w:r w:rsidR="00CC2060">
        <w:rPr>
          <w:rFonts w:ascii="Times New Roman" w:hAnsi="Times New Roman" w:cs="Times New Roman"/>
          <w:sz w:val="24"/>
          <w:szCs w:val="24"/>
        </w:rPr>
        <w:t xml:space="preserve">he facility of one party empowering another to act in </w:t>
      </w:r>
      <w:r w:rsidR="007B3B8D">
        <w:rPr>
          <w:rFonts w:ascii="Times New Roman" w:hAnsi="Times New Roman" w:cs="Times New Roman"/>
          <w:sz w:val="24"/>
          <w:szCs w:val="24"/>
        </w:rPr>
        <w:t xml:space="preserve">the former`s </w:t>
      </w:r>
      <w:r w:rsidR="00CC2060">
        <w:rPr>
          <w:rFonts w:ascii="Times New Roman" w:hAnsi="Times New Roman" w:cs="Times New Roman"/>
          <w:sz w:val="24"/>
          <w:szCs w:val="24"/>
        </w:rPr>
        <w:t xml:space="preserve">stead is a concept intrinsic </w:t>
      </w:r>
      <w:r w:rsidR="00894197">
        <w:rPr>
          <w:rFonts w:ascii="Times New Roman" w:hAnsi="Times New Roman" w:cs="Times New Roman"/>
          <w:sz w:val="24"/>
          <w:szCs w:val="24"/>
        </w:rPr>
        <w:t>to our</w:t>
      </w:r>
      <w:r w:rsidR="00CC2060">
        <w:rPr>
          <w:rFonts w:ascii="Times New Roman" w:hAnsi="Times New Roman" w:cs="Times New Roman"/>
          <w:sz w:val="24"/>
          <w:szCs w:val="24"/>
        </w:rPr>
        <w:t xml:space="preserve"> legal </w:t>
      </w:r>
      <w:r w:rsidR="00894197">
        <w:rPr>
          <w:rFonts w:ascii="Times New Roman" w:hAnsi="Times New Roman" w:cs="Times New Roman"/>
          <w:sz w:val="24"/>
          <w:szCs w:val="24"/>
        </w:rPr>
        <w:t xml:space="preserve">system. Agency manifests in a diversity of situations </w:t>
      </w:r>
      <w:r w:rsidR="007B3B8D">
        <w:rPr>
          <w:rFonts w:ascii="Times New Roman" w:hAnsi="Times New Roman" w:cs="Times New Roman"/>
          <w:sz w:val="24"/>
          <w:szCs w:val="24"/>
        </w:rPr>
        <w:t xml:space="preserve">and represents an indispensable arrangement in the identification, defence and exercise of legal rights. </w:t>
      </w:r>
      <w:r w:rsidR="003117A6">
        <w:rPr>
          <w:rFonts w:ascii="Times New Roman" w:hAnsi="Times New Roman" w:cs="Times New Roman"/>
          <w:sz w:val="24"/>
          <w:szCs w:val="24"/>
        </w:rPr>
        <w:t>As an example, t</w:t>
      </w:r>
      <w:r w:rsidR="007B3B8D">
        <w:rPr>
          <w:rFonts w:ascii="Times New Roman" w:hAnsi="Times New Roman" w:cs="Times New Roman"/>
          <w:sz w:val="24"/>
          <w:szCs w:val="24"/>
        </w:rPr>
        <w:t xml:space="preserve">he </w:t>
      </w:r>
      <w:r w:rsidR="00CC2060">
        <w:rPr>
          <w:rFonts w:ascii="Times New Roman" w:hAnsi="Times New Roman" w:cs="Times New Roman"/>
          <w:sz w:val="24"/>
          <w:szCs w:val="24"/>
        </w:rPr>
        <w:t>humble power of attorney -in its general and special format</w:t>
      </w:r>
      <w:r w:rsidR="007B3B8D">
        <w:rPr>
          <w:rFonts w:ascii="Times New Roman" w:hAnsi="Times New Roman" w:cs="Times New Roman"/>
          <w:sz w:val="24"/>
          <w:szCs w:val="24"/>
        </w:rPr>
        <w:t xml:space="preserve"> </w:t>
      </w:r>
      <w:r w:rsidR="003117A6">
        <w:rPr>
          <w:rFonts w:ascii="Times New Roman" w:hAnsi="Times New Roman" w:cs="Times New Roman"/>
          <w:sz w:val="24"/>
          <w:szCs w:val="24"/>
        </w:rPr>
        <w:t>as variously crafted to suit purpose-</w:t>
      </w:r>
      <w:r w:rsidR="007B3B8D">
        <w:rPr>
          <w:rFonts w:ascii="Times New Roman" w:hAnsi="Times New Roman" w:cs="Times New Roman"/>
          <w:sz w:val="24"/>
          <w:szCs w:val="24"/>
        </w:rPr>
        <w:t xml:space="preserve">is a familiar record of a principal`s assent. </w:t>
      </w:r>
    </w:p>
    <w:p w14:paraId="39E9BC92" w14:textId="77777777" w:rsidR="007B3B8D" w:rsidRDefault="007B3B8D" w:rsidP="003A44AF">
      <w:pPr>
        <w:spacing w:after="0" w:line="360" w:lineRule="auto"/>
        <w:jc w:val="both"/>
        <w:rPr>
          <w:rFonts w:ascii="Times New Roman" w:hAnsi="Times New Roman" w:cs="Times New Roman"/>
          <w:sz w:val="24"/>
          <w:szCs w:val="24"/>
        </w:rPr>
      </w:pPr>
    </w:p>
    <w:p w14:paraId="4F99E9A1" w14:textId="51FB3500" w:rsidR="00CC2060" w:rsidRDefault="007B3B8D" w:rsidP="003A44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38</w:t>
      </w:r>
      <w:r>
        <w:rPr>
          <w:rFonts w:ascii="Times New Roman" w:hAnsi="Times New Roman" w:cs="Times New Roman"/>
          <w:sz w:val="24"/>
          <w:szCs w:val="24"/>
        </w:rPr>
        <w:t xml:space="preserve">] </w:t>
      </w:r>
      <w:r w:rsidR="00CC2060">
        <w:rPr>
          <w:rFonts w:ascii="Times New Roman" w:hAnsi="Times New Roman" w:cs="Times New Roman"/>
          <w:sz w:val="24"/>
          <w:szCs w:val="24"/>
        </w:rPr>
        <w:t xml:space="preserve">Similarly, </w:t>
      </w:r>
      <w:r w:rsidR="003117A6" w:rsidRPr="003117A6">
        <w:rPr>
          <w:rFonts w:ascii="Times New Roman" w:hAnsi="Times New Roman" w:cs="Times New Roman"/>
          <w:i/>
          <w:iCs/>
          <w:sz w:val="24"/>
          <w:szCs w:val="24"/>
        </w:rPr>
        <w:t xml:space="preserve">Cuthbert Elkana </w:t>
      </w:r>
      <w:r w:rsidRPr="003117A6">
        <w:rPr>
          <w:rFonts w:ascii="Times New Roman" w:hAnsi="Times New Roman" w:cs="Times New Roman"/>
          <w:i/>
          <w:iCs/>
          <w:sz w:val="24"/>
          <w:szCs w:val="24"/>
        </w:rPr>
        <w:t>Dube</w:t>
      </w:r>
      <w:r w:rsidRPr="00894197">
        <w:rPr>
          <w:rFonts w:ascii="Times New Roman" w:hAnsi="Times New Roman" w:cs="Times New Roman"/>
          <w:i/>
          <w:iCs/>
          <w:sz w:val="24"/>
          <w:szCs w:val="24"/>
        </w:rPr>
        <w:t xml:space="preserve"> v PSMAS</w:t>
      </w:r>
      <w:r w:rsidR="003117A6">
        <w:rPr>
          <w:rFonts w:ascii="Times New Roman" w:hAnsi="Times New Roman" w:cs="Times New Roman"/>
          <w:i/>
          <w:iCs/>
          <w:sz w:val="24"/>
          <w:szCs w:val="24"/>
        </w:rPr>
        <w:t xml:space="preserve"> &amp; </w:t>
      </w:r>
      <w:r w:rsidR="0040773B">
        <w:rPr>
          <w:rFonts w:ascii="Times New Roman" w:hAnsi="Times New Roman" w:cs="Times New Roman"/>
          <w:i/>
          <w:iCs/>
          <w:sz w:val="24"/>
          <w:szCs w:val="24"/>
        </w:rPr>
        <w:t xml:space="preserve">Anor </w:t>
      </w:r>
      <w:r w:rsidR="0040773B">
        <w:rPr>
          <w:rFonts w:ascii="Times New Roman" w:hAnsi="Times New Roman" w:cs="Times New Roman"/>
          <w:sz w:val="24"/>
          <w:szCs w:val="24"/>
        </w:rPr>
        <w:t>SC</w:t>
      </w:r>
      <w:r w:rsidR="003117A6" w:rsidRPr="005F4960">
        <w:rPr>
          <w:rFonts w:ascii="Times New Roman" w:eastAsia="Calibri" w:hAnsi="Times New Roman" w:cs="Times New Roman"/>
          <w:bCs/>
          <w:sz w:val="24"/>
          <w:szCs w:val="24"/>
        </w:rPr>
        <w:t xml:space="preserve"> 73-19 </w:t>
      </w:r>
      <w:r>
        <w:rPr>
          <w:rFonts w:ascii="Times New Roman" w:hAnsi="Times New Roman" w:cs="Times New Roman"/>
          <w:sz w:val="24"/>
          <w:szCs w:val="24"/>
        </w:rPr>
        <w:t>restated the same principle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that the</w:t>
      </w:r>
      <w:r w:rsidR="00CC2060">
        <w:rPr>
          <w:rFonts w:ascii="Times New Roman" w:hAnsi="Times New Roman" w:cs="Times New Roman"/>
          <w:sz w:val="24"/>
          <w:szCs w:val="24"/>
        </w:rPr>
        <w:t xml:space="preserve"> body corporate</w:t>
      </w:r>
      <w:r w:rsidR="00894197">
        <w:rPr>
          <w:rFonts w:ascii="Times New Roman" w:hAnsi="Times New Roman" w:cs="Times New Roman"/>
          <w:sz w:val="24"/>
          <w:szCs w:val="24"/>
        </w:rPr>
        <w:t>-being unable to represent itself, relie</w:t>
      </w:r>
      <w:r>
        <w:rPr>
          <w:rFonts w:ascii="Times New Roman" w:hAnsi="Times New Roman" w:cs="Times New Roman"/>
          <w:sz w:val="24"/>
          <w:szCs w:val="24"/>
        </w:rPr>
        <w:t>d</w:t>
      </w:r>
      <w:r w:rsidR="00894197">
        <w:rPr>
          <w:rFonts w:ascii="Times New Roman" w:hAnsi="Times New Roman" w:cs="Times New Roman"/>
          <w:sz w:val="24"/>
          <w:szCs w:val="24"/>
        </w:rPr>
        <w:t xml:space="preserve"> on the agency of its associates </w:t>
      </w:r>
      <w:r w:rsidR="00CC2060">
        <w:rPr>
          <w:rFonts w:ascii="Times New Roman" w:hAnsi="Times New Roman" w:cs="Times New Roman"/>
          <w:sz w:val="24"/>
          <w:szCs w:val="24"/>
        </w:rPr>
        <w:t xml:space="preserve">to institute or represent the body corporate concerned in legal </w:t>
      </w:r>
      <w:r w:rsidR="00011788">
        <w:rPr>
          <w:rFonts w:ascii="Times New Roman" w:hAnsi="Times New Roman" w:cs="Times New Roman"/>
          <w:sz w:val="24"/>
          <w:szCs w:val="24"/>
        </w:rPr>
        <w:t>proceedings. But the validity of authority is</w:t>
      </w:r>
      <w:r w:rsidR="00CC2060">
        <w:rPr>
          <w:rFonts w:ascii="Times New Roman" w:hAnsi="Times New Roman" w:cs="Times New Roman"/>
          <w:sz w:val="24"/>
          <w:szCs w:val="24"/>
        </w:rPr>
        <w:t xml:space="preserve"> an absolute pre-requisite to the </w:t>
      </w:r>
      <w:r w:rsidR="00011788">
        <w:rPr>
          <w:rFonts w:ascii="Times New Roman" w:hAnsi="Times New Roman" w:cs="Times New Roman"/>
          <w:sz w:val="24"/>
          <w:szCs w:val="24"/>
        </w:rPr>
        <w:t xml:space="preserve">propriety </w:t>
      </w:r>
      <w:r w:rsidR="00CC2060">
        <w:rPr>
          <w:rFonts w:ascii="Times New Roman" w:hAnsi="Times New Roman" w:cs="Times New Roman"/>
          <w:sz w:val="24"/>
          <w:szCs w:val="24"/>
        </w:rPr>
        <w:t>of such proceedings.</w:t>
      </w:r>
    </w:p>
    <w:p w14:paraId="6C7B6B72" w14:textId="77777777" w:rsidR="00CC2060" w:rsidRDefault="00CC2060" w:rsidP="003A44AF">
      <w:pPr>
        <w:spacing w:after="0" w:line="360" w:lineRule="auto"/>
        <w:jc w:val="both"/>
        <w:rPr>
          <w:rFonts w:ascii="Times New Roman" w:hAnsi="Times New Roman" w:cs="Times New Roman"/>
          <w:sz w:val="24"/>
          <w:szCs w:val="24"/>
        </w:rPr>
      </w:pPr>
    </w:p>
    <w:p w14:paraId="5189B845" w14:textId="06752734" w:rsidR="003A44AF" w:rsidRDefault="00CC2060" w:rsidP="003A44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20C2">
        <w:rPr>
          <w:rFonts w:ascii="Times New Roman" w:hAnsi="Times New Roman" w:cs="Times New Roman"/>
          <w:sz w:val="24"/>
          <w:szCs w:val="24"/>
        </w:rPr>
        <w:t>39</w:t>
      </w:r>
      <w:r>
        <w:rPr>
          <w:rFonts w:ascii="Times New Roman" w:hAnsi="Times New Roman" w:cs="Times New Roman"/>
          <w:sz w:val="24"/>
          <w:szCs w:val="24"/>
        </w:rPr>
        <w:t xml:space="preserve">] </w:t>
      </w:r>
      <w:r w:rsidR="00011788">
        <w:rPr>
          <w:rFonts w:ascii="Times New Roman" w:hAnsi="Times New Roman" w:cs="Times New Roman"/>
          <w:sz w:val="24"/>
          <w:szCs w:val="24"/>
        </w:rPr>
        <w:t>I</w:t>
      </w:r>
      <w:r w:rsidR="005F4960">
        <w:rPr>
          <w:rFonts w:ascii="Times New Roman" w:hAnsi="Times New Roman" w:cs="Times New Roman"/>
          <w:sz w:val="24"/>
          <w:szCs w:val="24"/>
        </w:rPr>
        <w:t>n</w:t>
      </w:r>
      <w:r w:rsidR="00011788">
        <w:rPr>
          <w:rFonts w:ascii="Times New Roman" w:hAnsi="Times New Roman" w:cs="Times New Roman"/>
          <w:sz w:val="24"/>
          <w:szCs w:val="24"/>
        </w:rPr>
        <w:t xml:space="preserve"> that respect and on the latter point, </w:t>
      </w:r>
      <w:r>
        <w:rPr>
          <w:rFonts w:ascii="Times New Roman" w:hAnsi="Times New Roman" w:cs="Times New Roman"/>
          <w:sz w:val="24"/>
          <w:szCs w:val="24"/>
        </w:rPr>
        <w:t xml:space="preserve">there have been a number of concerns and complexities with regard to resolutions passed by entities authorising </w:t>
      </w:r>
      <w:r w:rsidR="003117A6">
        <w:rPr>
          <w:rFonts w:ascii="Times New Roman" w:hAnsi="Times New Roman" w:cs="Times New Roman"/>
          <w:sz w:val="24"/>
          <w:szCs w:val="24"/>
        </w:rPr>
        <w:t xml:space="preserve">the institution of </w:t>
      </w:r>
      <w:r>
        <w:rPr>
          <w:rFonts w:ascii="Times New Roman" w:hAnsi="Times New Roman" w:cs="Times New Roman"/>
          <w:sz w:val="24"/>
          <w:szCs w:val="24"/>
        </w:rPr>
        <w:t xml:space="preserve">legal proceedings. As an example, </w:t>
      </w:r>
      <w:r w:rsidR="00810A16">
        <w:rPr>
          <w:rFonts w:ascii="Times New Roman" w:hAnsi="Times New Roman" w:cs="Times New Roman"/>
          <w:sz w:val="24"/>
          <w:szCs w:val="24"/>
        </w:rPr>
        <w:t xml:space="preserve">the concerns raised by </w:t>
      </w:r>
      <w:r w:rsidR="003A44AF" w:rsidRPr="008C596F">
        <w:rPr>
          <w:rFonts w:ascii="Times New Roman" w:hAnsi="Times New Roman" w:cs="Times New Roman"/>
        </w:rPr>
        <w:t>MATHONSI J</w:t>
      </w:r>
      <w:r w:rsidR="003A44AF">
        <w:rPr>
          <w:rFonts w:ascii="Times New Roman" w:hAnsi="Times New Roman" w:cs="Times New Roman"/>
          <w:sz w:val="24"/>
          <w:szCs w:val="24"/>
        </w:rPr>
        <w:t xml:space="preserve"> in </w:t>
      </w:r>
      <w:bookmarkStart w:id="4" w:name="_Hlk201332050"/>
      <w:r w:rsidR="003A44AF" w:rsidRPr="0099166A">
        <w:rPr>
          <w:rFonts w:ascii="Times New Roman" w:hAnsi="Times New Roman" w:cs="Times New Roman"/>
          <w:i/>
          <w:iCs/>
          <w:sz w:val="24"/>
          <w:szCs w:val="24"/>
          <w:lang w:val="en-US"/>
        </w:rPr>
        <w:t>Tian</w:t>
      </w:r>
      <w:r w:rsidR="003A44AF">
        <w:rPr>
          <w:rFonts w:ascii="Times New Roman" w:hAnsi="Times New Roman" w:cs="Times New Roman"/>
          <w:i/>
          <w:iCs/>
          <w:sz w:val="24"/>
          <w:szCs w:val="24"/>
          <w:lang w:val="en-US"/>
        </w:rPr>
        <w:t>-</w:t>
      </w:r>
      <w:r w:rsidR="003A44AF" w:rsidRPr="0099166A">
        <w:rPr>
          <w:rFonts w:ascii="Times New Roman" w:hAnsi="Times New Roman" w:cs="Times New Roman"/>
          <w:i/>
          <w:iCs/>
          <w:sz w:val="24"/>
          <w:szCs w:val="24"/>
          <w:lang w:val="en-US"/>
        </w:rPr>
        <w:t>ze Tobacco Co. (Pvt) Limited v Muntuyadzwa</w:t>
      </w:r>
      <w:r w:rsidR="003A44AF">
        <w:rPr>
          <w:rFonts w:ascii="Times New Roman" w:hAnsi="Times New Roman" w:cs="Times New Roman"/>
          <w:sz w:val="24"/>
          <w:szCs w:val="24"/>
          <w:lang w:val="en-US"/>
        </w:rPr>
        <w:t xml:space="preserve"> HH 626-15</w:t>
      </w:r>
      <w:bookmarkEnd w:id="4"/>
      <w:r w:rsidR="003A44AF">
        <w:rPr>
          <w:rFonts w:ascii="Times New Roman" w:hAnsi="Times New Roman" w:cs="Times New Roman"/>
          <w:sz w:val="24"/>
          <w:szCs w:val="24"/>
          <w:lang w:val="en-US"/>
        </w:rPr>
        <w:t xml:space="preserve"> </w:t>
      </w:r>
      <w:r w:rsidR="003A44AF">
        <w:rPr>
          <w:rFonts w:ascii="Times New Roman" w:hAnsi="Times New Roman" w:cs="Times New Roman"/>
          <w:sz w:val="24"/>
          <w:szCs w:val="24"/>
        </w:rPr>
        <w:t>ten years ago</w:t>
      </w:r>
      <w:r w:rsidR="00810A16">
        <w:rPr>
          <w:rFonts w:ascii="Times New Roman" w:hAnsi="Times New Roman" w:cs="Times New Roman"/>
          <w:sz w:val="24"/>
          <w:szCs w:val="24"/>
        </w:rPr>
        <w:t xml:space="preserve"> </w:t>
      </w:r>
      <w:r>
        <w:rPr>
          <w:rFonts w:ascii="Times New Roman" w:hAnsi="Times New Roman" w:cs="Times New Roman"/>
          <w:sz w:val="24"/>
          <w:szCs w:val="24"/>
        </w:rPr>
        <w:t xml:space="preserve">still </w:t>
      </w:r>
      <w:r w:rsidR="00810A16">
        <w:rPr>
          <w:rFonts w:ascii="Times New Roman" w:hAnsi="Times New Roman" w:cs="Times New Roman"/>
          <w:sz w:val="24"/>
          <w:szCs w:val="24"/>
        </w:rPr>
        <w:t>abound. Protestations</w:t>
      </w:r>
      <w:r w:rsidR="003A44AF">
        <w:rPr>
          <w:rFonts w:ascii="Times New Roman" w:hAnsi="Times New Roman" w:cs="Times New Roman"/>
          <w:sz w:val="24"/>
          <w:szCs w:val="24"/>
        </w:rPr>
        <w:t xml:space="preserve"> over the validity of authority framed in the following manner are commonplace in the courts; -</w:t>
      </w:r>
    </w:p>
    <w:p w14:paraId="2B6F126C" w14:textId="77777777" w:rsidR="003A44AF" w:rsidRDefault="003A44AF" w:rsidP="003A44AF">
      <w:pPr>
        <w:spacing w:after="0" w:line="360" w:lineRule="auto"/>
        <w:jc w:val="both"/>
        <w:rPr>
          <w:rFonts w:ascii="Times New Roman" w:hAnsi="Times New Roman" w:cs="Times New Roman"/>
          <w:sz w:val="24"/>
          <w:szCs w:val="24"/>
        </w:rPr>
      </w:pPr>
    </w:p>
    <w:p w14:paraId="5F2F1FED" w14:textId="17253D9A" w:rsidR="00BF2D0C" w:rsidRDefault="003A44AF" w:rsidP="003A44AF">
      <w:pPr>
        <w:spacing w:line="360" w:lineRule="auto"/>
        <w:ind w:left="737"/>
        <w:jc w:val="both"/>
        <w:rPr>
          <w:rFonts w:ascii="Times New Roman" w:eastAsia="Calibri" w:hAnsi="Times New Roman" w:cs="Times New Roman"/>
          <w:sz w:val="24"/>
          <w:szCs w:val="24"/>
        </w:rPr>
      </w:pPr>
      <w:r>
        <w:rPr>
          <w:rFonts w:ascii="Times New Roman" w:hAnsi="Times New Roman" w:cs="Times New Roman"/>
          <w:sz w:val="24"/>
          <w:szCs w:val="24"/>
        </w:rPr>
        <w:t>“</w:t>
      </w:r>
      <w:r w:rsidRPr="00B2662C">
        <w:rPr>
          <w:rFonts w:ascii="Times New Roman" w:eastAsia="Calibri" w:hAnsi="Times New Roman" w:cs="Times New Roman"/>
          <w:sz w:val="24"/>
          <w:szCs w:val="24"/>
        </w:rPr>
        <w:t xml:space="preserve">The applicant raised some points </w:t>
      </w:r>
      <w:r w:rsidRPr="00B2662C">
        <w:rPr>
          <w:rFonts w:ascii="Times New Roman" w:eastAsia="Calibri" w:hAnsi="Times New Roman" w:cs="Times New Roman"/>
          <w:i/>
          <w:sz w:val="24"/>
          <w:szCs w:val="24"/>
        </w:rPr>
        <w:t>in limine</w:t>
      </w:r>
      <w:r w:rsidRPr="00B2662C">
        <w:rPr>
          <w:rFonts w:ascii="Times New Roman" w:eastAsia="Calibri" w:hAnsi="Times New Roman" w:cs="Times New Roman"/>
          <w:sz w:val="24"/>
          <w:szCs w:val="24"/>
        </w:rPr>
        <w:t xml:space="preserve"> against the respondents. It is the applicant’s case that the first respondent’s deponent to the opposing affidavit had no lawful authority from the first respondent as there was no resolution authorising the deponent to make such averments. The applicant also affirmed that the deponent for the second respondent’s opposing affidavit had no authority from the Sheriff to depose to the opposing affidavit. Alternatively, the applicant also argued that the deponent to the second respondent’s opposing affidavit did not state necessary averments which may clothe her with the authority to depose to the opposing affidavit. With respect to the third respondent, the applicant submitted that the deponent to the third respondent’s opposing affidavit had no authority to depose to the affidavit as the resolution attached </w:t>
      </w:r>
      <w:r w:rsidRPr="00B2662C">
        <w:rPr>
          <w:rFonts w:ascii="Times New Roman" w:eastAsia="Calibri" w:hAnsi="Times New Roman" w:cs="Times New Roman"/>
          <w:sz w:val="24"/>
          <w:szCs w:val="24"/>
        </w:rPr>
        <w:lastRenderedPageBreak/>
        <w:t>does not give the deponent specific powers to prosecute the third respondent’s defence in this matter.</w:t>
      </w:r>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7"/>
      </w:r>
    </w:p>
    <w:p w14:paraId="4EA9519E" w14:textId="1A628603" w:rsidR="00C500B1" w:rsidRPr="00091914" w:rsidRDefault="00C500B1" w:rsidP="00C500B1">
      <w:pPr>
        <w:spacing w:line="360" w:lineRule="auto"/>
        <w:jc w:val="both"/>
        <w:rPr>
          <w:rFonts w:ascii="Times New Roman" w:hAnsi="Times New Roman" w:cs="Times New Roman"/>
          <w:b/>
          <w:bCs/>
          <w:sz w:val="24"/>
          <w:szCs w:val="24"/>
        </w:rPr>
      </w:pPr>
      <w:r w:rsidRPr="00863C18">
        <w:rPr>
          <w:rFonts w:ascii="Times New Roman" w:eastAsia="Calibri" w:hAnsi="Times New Roman" w:cs="Times New Roman"/>
          <w:b/>
          <w:bCs/>
          <w:i/>
          <w:iCs/>
          <w:sz w:val="24"/>
          <w:szCs w:val="24"/>
        </w:rPr>
        <w:t xml:space="preserve">The rule in </w:t>
      </w:r>
      <w:r w:rsidRPr="00863C18">
        <w:rPr>
          <w:rFonts w:ascii="Times New Roman" w:hAnsi="Times New Roman" w:cs="Times New Roman"/>
          <w:b/>
          <w:bCs/>
          <w:i/>
          <w:iCs/>
          <w:sz w:val="24"/>
          <w:szCs w:val="24"/>
        </w:rPr>
        <w:t>Beach Consultancy (Pvt) Ltd v Makonya &amp; Anor</w:t>
      </w:r>
      <w:r w:rsidR="00091914">
        <w:rPr>
          <w:rFonts w:ascii="Times New Roman" w:hAnsi="Times New Roman" w:cs="Times New Roman"/>
          <w:b/>
          <w:bCs/>
          <w:i/>
          <w:iCs/>
          <w:sz w:val="24"/>
          <w:szCs w:val="24"/>
        </w:rPr>
        <w:t xml:space="preserve"> </w:t>
      </w:r>
      <w:r w:rsidR="00091914" w:rsidRPr="00091914">
        <w:rPr>
          <w:rFonts w:ascii="Times New Roman" w:hAnsi="Times New Roman" w:cs="Times New Roman"/>
          <w:b/>
          <w:bCs/>
          <w:sz w:val="24"/>
          <w:szCs w:val="24"/>
        </w:rPr>
        <w:t>HH 696-21</w:t>
      </w:r>
    </w:p>
    <w:p w14:paraId="2EA016DA" w14:textId="26E1977C" w:rsidR="00810A16" w:rsidRDefault="00D41EFC"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53201">
        <w:rPr>
          <w:rFonts w:ascii="Times New Roman" w:hAnsi="Times New Roman" w:cs="Times New Roman"/>
          <w:sz w:val="24"/>
          <w:szCs w:val="24"/>
        </w:rPr>
        <w:t>4</w:t>
      </w:r>
      <w:r w:rsidR="00FB20C2">
        <w:rPr>
          <w:rFonts w:ascii="Times New Roman" w:hAnsi="Times New Roman" w:cs="Times New Roman"/>
          <w:sz w:val="24"/>
          <w:szCs w:val="24"/>
        </w:rPr>
        <w:t>0</w:t>
      </w:r>
      <w:r>
        <w:rPr>
          <w:rFonts w:ascii="Times New Roman" w:hAnsi="Times New Roman" w:cs="Times New Roman"/>
          <w:sz w:val="24"/>
          <w:szCs w:val="24"/>
        </w:rPr>
        <w:t xml:space="preserve">] </w:t>
      </w:r>
      <w:r w:rsidR="003A44AF">
        <w:rPr>
          <w:rFonts w:ascii="Times New Roman" w:hAnsi="Times New Roman" w:cs="Times New Roman"/>
          <w:sz w:val="24"/>
          <w:szCs w:val="24"/>
        </w:rPr>
        <w:t xml:space="preserve">In seeking to resolve or narrow down </w:t>
      </w:r>
      <w:r w:rsidR="00353201">
        <w:rPr>
          <w:rFonts w:ascii="Times New Roman" w:hAnsi="Times New Roman" w:cs="Times New Roman"/>
          <w:sz w:val="24"/>
          <w:szCs w:val="24"/>
        </w:rPr>
        <w:t>such procedural f</w:t>
      </w:r>
      <w:r w:rsidR="003A44AF">
        <w:rPr>
          <w:rFonts w:ascii="Times New Roman" w:hAnsi="Times New Roman" w:cs="Times New Roman"/>
          <w:sz w:val="24"/>
          <w:szCs w:val="24"/>
        </w:rPr>
        <w:t>lashpoints</w:t>
      </w:r>
      <w:r w:rsidR="00810A16">
        <w:rPr>
          <w:rFonts w:ascii="Times New Roman" w:hAnsi="Times New Roman" w:cs="Times New Roman"/>
          <w:sz w:val="24"/>
          <w:szCs w:val="24"/>
        </w:rPr>
        <w:t xml:space="preserve"> on resolutions authorising legal proceedings</w:t>
      </w:r>
      <w:r w:rsidR="003A44AF">
        <w:rPr>
          <w:rFonts w:ascii="Times New Roman" w:hAnsi="Times New Roman" w:cs="Times New Roman"/>
          <w:sz w:val="24"/>
          <w:szCs w:val="24"/>
        </w:rPr>
        <w:t xml:space="preserve">, this court has taken a </w:t>
      </w:r>
      <w:r w:rsidR="00810A16">
        <w:rPr>
          <w:rFonts w:ascii="Times New Roman" w:hAnsi="Times New Roman" w:cs="Times New Roman"/>
          <w:sz w:val="24"/>
          <w:szCs w:val="24"/>
        </w:rPr>
        <w:t xml:space="preserve">position. It has </w:t>
      </w:r>
      <w:r w:rsidR="003A44AF">
        <w:rPr>
          <w:rFonts w:ascii="Times New Roman" w:hAnsi="Times New Roman" w:cs="Times New Roman"/>
          <w:sz w:val="24"/>
          <w:szCs w:val="24"/>
        </w:rPr>
        <w:t xml:space="preserve">ruled that </w:t>
      </w:r>
      <w:r w:rsidR="00E52269">
        <w:rPr>
          <w:rFonts w:ascii="Times New Roman" w:hAnsi="Times New Roman" w:cs="Times New Roman"/>
          <w:sz w:val="24"/>
          <w:szCs w:val="24"/>
        </w:rPr>
        <w:t>resolutions</w:t>
      </w:r>
      <w:r>
        <w:rPr>
          <w:rFonts w:ascii="Times New Roman" w:hAnsi="Times New Roman" w:cs="Times New Roman"/>
          <w:sz w:val="24"/>
          <w:szCs w:val="24"/>
        </w:rPr>
        <w:t xml:space="preserve"> passed by body corporates granting their officers blanket</w:t>
      </w:r>
      <w:r w:rsidR="00810A16">
        <w:rPr>
          <w:rFonts w:ascii="Times New Roman" w:hAnsi="Times New Roman" w:cs="Times New Roman"/>
          <w:sz w:val="24"/>
          <w:szCs w:val="24"/>
        </w:rPr>
        <w:t>/anticipatory or pre-emptive authority</w:t>
      </w:r>
      <w:r>
        <w:rPr>
          <w:rFonts w:ascii="Times New Roman" w:hAnsi="Times New Roman" w:cs="Times New Roman"/>
          <w:sz w:val="24"/>
          <w:szCs w:val="24"/>
        </w:rPr>
        <w:t xml:space="preserve"> to represent or institute legal proceedings </w:t>
      </w:r>
      <w:r w:rsidR="00A26B98">
        <w:rPr>
          <w:rFonts w:ascii="Times New Roman" w:hAnsi="Times New Roman" w:cs="Times New Roman"/>
          <w:sz w:val="24"/>
          <w:szCs w:val="24"/>
        </w:rPr>
        <w:t xml:space="preserve">are </w:t>
      </w:r>
      <w:r>
        <w:rPr>
          <w:rFonts w:ascii="Times New Roman" w:hAnsi="Times New Roman" w:cs="Times New Roman"/>
          <w:sz w:val="24"/>
          <w:szCs w:val="24"/>
        </w:rPr>
        <w:t>invariably fatal.</w:t>
      </w:r>
    </w:p>
    <w:p w14:paraId="6F62032D" w14:textId="77777777" w:rsidR="00810A16" w:rsidRDefault="00810A16" w:rsidP="005A155B">
      <w:pPr>
        <w:spacing w:after="0" w:line="360" w:lineRule="auto"/>
        <w:jc w:val="both"/>
        <w:rPr>
          <w:rFonts w:ascii="Times New Roman" w:hAnsi="Times New Roman" w:cs="Times New Roman"/>
          <w:sz w:val="24"/>
          <w:szCs w:val="24"/>
        </w:rPr>
      </w:pPr>
    </w:p>
    <w:p w14:paraId="3D9E649A" w14:textId="26C9B308" w:rsidR="00715318" w:rsidRDefault="00810A16" w:rsidP="005A1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FB20C2">
        <w:rPr>
          <w:rFonts w:ascii="Times New Roman" w:hAnsi="Times New Roman" w:cs="Times New Roman"/>
          <w:sz w:val="24"/>
          <w:szCs w:val="24"/>
        </w:rPr>
        <w:t>1</w:t>
      </w:r>
      <w:r>
        <w:rPr>
          <w:rFonts w:ascii="Times New Roman" w:hAnsi="Times New Roman" w:cs="Times New Roman"/>
          <w:sz w:val="24"/>
          <w:szCs w:val="24"/>
        </w:rPr>
        <w:t>] See</w:t>
      </w:r>
      <w:r w:rsidR="00885DFD">
        <w:rPr>
          <w:rFonts w:ascii="Times New Roman" w:hAnsi="Times New Roman" w:cs="Times New Roman"/>
          <w:sz w:val="24"/>
          <w:szCs w:val="24"/>
        </w:rPr>
        <w:t xml:space="preserve"> </w:t>
      </w:r>
      <w:bookmarkStart w:id="5" w:name="_Hlk201423192"/>
      <w:r w:rsidR="00885DFD" w:rsidRPr="00C663DD">
        <w:rPr>
          <w:rFonts w:ascii="Times New Roman" w:hAnsi="Times New Roman" w:cs="Times New Roman"/>
          <w:bCs/>
          <w:i/>
          <w:iCs/>
          <w:sz w:val="24"/>
          <w:szCs w:val="24"/>
        </w:rPr>
        <w:t xml:space="preserve">Beach Consultancy (Pvt) Ltd </w:t>
      </w:r>
      <w:r w:rsidR="00885DFD" w:rsidRPr="0033616D">
        <w:rPr>
          <w:rFonts w:ascii="Times New Roman" w:hAnsi="Times New Roman" w:cs="Times New Roman"/>
          <w:bCs/>
          <w:sz w:val="24"/>
          <w:szCs w:val="24"/>
        </w:rPr>
        <w:t>v</w:t>
      </w:r>
      <w:r w:rsidR="00885DFD" w:rsidRPr="00C663DD">
        <w:rPr>
          <w:rFonts w:ascii="Times New Roman" w:hAnsi="Times New Roman" w:cs="Times New Roman"/>
          <w:bCs/>
          <w:i/>
          <w:iCs/>
          <w:sz w:val="24"/>
          <w:szCs w:val="24"/>
        </w:rPr>
        <w:t xml:space="preserve"> Makonya &amp; Anor </w:t>
      </w:r>
      <w:bookmarkEnd w:id="5"/>
      <w:r w:rsidR="00885DFD">
        <w:rPr>
          <w:rFonts w:ascii="Times New Roman" w:hAnsi="Times New Roman" w:cs="Times New Roman"/>
          <w:bCs/>
          <w:sz w:val="24"/>
          <w:szCs w:val="24"/>
        </w:rPr>
        <w:t>HH 696</w:t>
      </w:r>
      <w:r w:rsidR="00715318">
        <w:rPr>
          <w:rFonts w:ascii="Times New Roman" w:hAnsi="Times New Roman" w:cs="Times New Roman"/>
          <w:bCs/>
          <w:sz w:val="24"/>
          <w:szCs w:val="24"/>
        </w:rPr>
        <w:t>-</w:t>
      </w:r>
      <w:r w:rsidR="00885DFD">
        <w:rPr>
          <w:rFonts w:ascii="Times New Roman" w:hAnsi="Times New Roman" w:cs="Times New Roman"/>
          <w:bCs/>
          <w:sz w:val="24"/>
          <w:szCs w:val="24"/>
        </w:rPr>
        <w:t>21</w:t>
      </w:r>
      <w:r w:rsidR="00715318">
        <w:rPr>
          <w:rFonts w:ascii="Times New Roman" w:hAnsi="Times New Roman" w:cs="Times New Roman"/>
          <w:bCs/>
          <w:sz w:val="24"/>
          <w:szCs w:val="24"/>
        </w:rPr>
        <w:t>,</w:t>
      </w:r>
      <w:r w:rsidR="00885DFD" w:rsidRPr="00885DFD">
        <w:rPr>
          <w:rFonts w:ascii="Times New Roman" w:hAnsi="Times New Roman" w:cs="Times New Roman"/>
          <w:bCs/>
          <w:i/>
          <w:iCs/>
          <w:sz w:val="24"/>
          <w:szCs w:val="24"/>
        </w:rPr>
        <w:t xml:space="preserve"> </w:t>
      </w:r>
      <w:r w:rsidR="00715318" w:rsidRPr="006951E0">
        <w:rPr>
          <w:rFonts w:ascii="Times New Roman" w:hAnsi="Times New Roman" w:cs="Times New Roman"/>
          <w:bCs/>
          <w:i/>
          <w:iCs/>
          <w:sz w:val="24"/>
          <w:szCs w:val="24"/>
        </w:rPr>
        <w:t xml:space="preserve">Leechiz Investments (Pvt) Ltd </w:t>
      </w:r>
      <w:r w:rsidR="00715318" w:rsidRPr="0033616D">
        <w:rPr>
          <w:rFonts w:ascii="Times New Roman" w:hAnsi="Times New Roman" w:cs="Times New Roman"/>
          <w:bCs/>
          <w:sz w:val="24"/>
          <w:szCs w:val="24"/>
        </w:rPr>
        <w:t>v</w:t>
      </w:r>
      <w:r w:rsidR="00715318" w:rsidRPr="006951E0">
        <w:rPr>
          <w:rFonts w:ascii="Times New Roman" w:hAnsi="Times New Roman" w:cs="Times New Roman"/>
          <w:bCs/>
          <w:i/>
          <w:iCs/>
          <w:sz w:val="24"/>
          <w:szCs w:val="24"/>
        </w:rPr>
        <w:t xml:space="preserve"> Central Africa Building Society </w:t>
      </w:r>
      <w:r w:rsidR="00715318">
        <w:rPr>
          <w:rFonts w:ascii="Times New Roman" w:hAnsi="Times New Roman" w:cs="Times New Roman"/>
          <w:bCs/>
          <w:sz w:val="24"/>
          <w:szCs w:val="24"/>
        </w:rPr>
        <w:t>HH 269-23,</w:t>
      </w:r>
      <w:r w:rsidR="00715318" w:rsidRPr="00C663DD">
        <w:rPr>
          <w:rFonts w:ascii="Times New Roman" w:hAnsi="Times New Roman" w:cs="Times New Roman"/>
          <w:bCs/>
          <w:i/>
          <w:iCs/>
          <w:sz w:val="24"/>
          <w:szCs w:val="24"/>
        </w:rPr>
        <w:t xml:space="preserve"> Latifa Sidat &amp; Ors v Nazirf Lambat &amp; Ors</w:t>
      </w:r>
      <w:r w:rsidR="00715318">
        <w:rPr>
          <w:rFonts w:ascii="Times New Roman" w:hAnsi="Times New Roman" w:cs="Times New Roman"/>
          <w:bCs/>
          <w:sz w:val="24"/>
          <w:szCs w:val="24"/>
        </w:rPr>
        <w:t xml:space="preserve"> HH 50-24,</w:t>
      </w:r>
      <w:r w:rsidR="00715318" w:rsidRPr="00C663DD">
        <w:rPr>
          <w:rFonts w:ascii="Times New Roman" w:hAnsi="Times New Roman" w:cs="Times New Roman"/>
          <w:bCs/>
          <w:i/>
          <w:iCs/>
          <w:sz w:val="24"/>
          <w:szCs w:val="24"/>
        </w:rPr>
        <w:t xml:space="preserve"> Romeo</w:t>
      </w:r>
      <w:r w:rsidR="00885DFD" w:rsidRPr="00C663DD">
        <w:rPr>
          <w:rFonts w:ascii="Times New Roman" w:hAnsi="Times New Roman" w:cs="Times New Roman"/>
          <w:bCs/>
          <w:i/>
          <w:iCs/>
          <w:sz w:val="24"/>
          <w:szCs w:val="24"/>
        </w:rPr>
        <w:t xml:space="preserve"> Mkandla v PPC Zimbabwe Ltd &amp; Anor</w:t>
      </w:r>
      <w:r w:rsidR="00885DFD">
        <w:rPr>
          <w:rFonts w:ascii="Times New Roman" w:hAnsi="Times New Roman" w:cs="Times New Roman"/>
          <w:bCs/>
          <w:sz w:val="24"/>
          <w:szCs w:val="24"/>
        </w:rPr>
        <w:t xml:space="preserve"> HB 151</w:t>
      </w:r>
      <w:r w:rsidR="00715318">
        <w:rPr>
          <w:rFonts w:ascii="Times New Roman" w:hAnsi="Times New Roman" w:cs="Times New Roman"/>
          <w:bCs/>
          <w:sz w:val="24"/>
          <w:szCs w:val="24"/>
        </w:rPr>
        <w:t>-</w:t>
      </w:r>
      <w:r w:rsidR="00885DFD">
        <w:rPr>
          <w:rFonts w:ascii="Times New Roman" w:hAnsi="Times New Roman" w:cs="Times New Roman"/>
          <w:bCs/>
          <w:sz w:val="24"/>
          <w:szCs w:val="24"/>
        </w:rPr>
        <w:t>24</w:t>
      </w:r>
      <w:r w:rsidR="00715318">
        <w:rPr>
          <w:rFonts w:ascii="Times New Roman" w:hAnsi="Times New Roman" w:cs="Times New Roman"/>
          <w:bCs/>
          <w:sz w:val="24"/>
          <w:szCs w:val="24"/>
        </w:rPr>
        <w:t>,</w:t>
      </w:r>
      <w:r w:rsidR="00885DFD">
        <w:rPr>
          <w:rFonts w:ascii="Times New Roman" w:hAnsi="Times New Roman" w:cs="Times New Roman"/>
          <w:bCs/>
          <w:sz w:val="24"/>
          <w:szCs w:val="24"/>
        </w:rPr>
        <w:t xml:space="preserve"> and </w:t>
      </w:r>
      <w:r w:rsidR="00885DFD" w:rsidRPr="004A72B3">
        <w:rPr>
          <w:rFonts w:ascii="Times New Roman" w:hAnsi="Times New Roman" w:cs="Times New Roman"/>
          <w:i/>
          <w:iCs/>
          <w:sz w:val="24"/>
          <w:szCs w:val="24"/>
        </w:rPr>
        <w:t>Arosume Property Development (Pvt) Ltd</w:t>
      </w:r>
      <w:r w:rsidR="00885DFD" w:rsidRPr="004A72B3">
        <w:rPr>
          <w:rFonts w:ascii="Times New Roman" w:hAnsi="Times New Roman" w:cs="Times New Roman"/>
          <w:sz w:val="24"/>
          <w:szCs w:val="24"/>
        </w:rPr>
        <w:t xml:space="preserve"> v </w:t>
      </w:r>
      <w:r w:rsidR="00885DFD" w:rsidRPr="00715318">
        <w:rPr>
          <w:rFonts w:ascii="Times New Roman" w:hAnsi="Times New Roman" w:cs="Times New Roman"/>
          <w:i/>
          <w:iCs/>
          <w:sz w:val="24"/>
          <w:szCs w:val="24"/>
        </w:rPr>
        <w:t>Mashonganyika &amp;</w:t>
      </w:r>
      <w:r w:rsidR="00885DFD" w:rsidRPr="004A72B3">
        <w:rPr>
          <w:rFonts w:ascii="Times New Roman" w:hAnsi="Times New Roman" w:cs="Times New Roman"/>
          <w:i/>
          <w:iCs/>
          <w:sz w:val="24"/>
          <w:szCs w:val="24"/>
        </w:rPr>
        <w:t xml:space="preserve"> Anor</w:t>
      </w:r>
      <w:r w:rsidR="00715318">
        <w:rPr>
          <w:rFonts w:ascii="Times New Roman" w:hAnsi="Times New Roman" w:cs="Times New Roman"/>
          <w:sz w:val="24"/>
          <w:szCs w:val="24"/>
        </w:rPr>
        <w:t>.</w:t>
      </w:r>
      <w:r w:rsidR="00715318" w:rsidRPr="00715318">
        <w:rPr>
          <w:rFonts w:ascii="Times New Roman" w:hAnsi="Times New Roman" w:cs="Times New Roman"/>
          <w:bCs/>
          <w:i/>
          <w:iCs/>
          <w:sz w:val="24"/>
          <w:szCs w:val="24"/>
        </w:rPr>
        <w:t xml:space="preserve"> </w:t>
      </w:r>
    </w:p>
    <w:p w14:paraId="373DC8B9" w14:textId="77777777" w:rsidR="00715318" w:rsidRDefault="00715318" w:rsidP="005A155B">
      <w:pPr>
        <w:spacing w:after="0" w:line="360" w:lineRule="auto"/>
        <w:jc w:val="both"/>
        <w:rPr>
          <w:rFonts w:ascii="Times New Roman" w:hAnsi="Times New Roman" w:cs="Times New Roman"/>
          <w:sz w:val="24"/>
          <w:szCs w:val="24"/>
        </w:rPr>
      </w:pPr>
    </w:p>
    <w:p w14:paraId="7E9D775F" w14:textId="7C0FE896" w:rsidR="00D41EFC" w:rsidRDefault="00A26B98" w:rsidP="00617B9F">
      <w:pPr>
        <w:pStyle w:val="ListParagraph"/>
        <w:spacing w:after="0" w:line="360" w:lineRule="auto"/>
        <w:ind w:left="0"/>
        <w:jc w:val="both"/>
        <w:rPr>
          <w:rFonts w:ascii="Times New Roman" w:eastAsia="Calibri" w:hAnsi="Times New Roman" w:cs="Times New Roman"/>
          <w:bCs/>
          <w:sz w:val="24"/>
          <w:szCs w:val="24"/>
        </w:rPr>
      </w:pPr>
      <w:r w:rsidRPr="00617B9F">
        <w:rPr>
          <w:rFonts w:ascii="Times New Roman" w:hAnsi="Times New Roman" w:cs="Times New Roman"/>
          <w:sz w:val="24"/>
          <w:szCs w:val="24"/>
        </w:rPr>
        <w:t>[</w:t>
      </w:r>
      <w:r w:rsidR="008C596F">
        <w:rPr>
          <w:rFonts w:ascii="Times New Roman" w:hAnsi="Times New Roman" w:cs="Times New Roman"/>
          <w:sz w:val="24"/>
          <w:szCs w:val="24"/>
        </w:rPr>
        <w:t>4</w:t>
      </w:r>
      <w:r w:rsidR="00FB20C2">
        <w:rPr>
          <w:rFonts w:ascii="Times New Roman" w:hAnsi="Times New Roman" w:cs="Times New Roman"/>
          <w:sz w:val="24"/>
          <w:szCs w:val="24"/>
        </w:rPr>
        <w:t>2</w:t>
      </w:r>
      <w:r w:rsidRPr="00617B9F">
        <w:rPr>
          <w:rFonts w:ascii="Times New Roman" w:hAnsi="Times New Roman" w:cs="Times New Roman"/>
          <w:sz w:val="24"/>
          <w:szCs w:val="24"/>
        </w:rPr>
        <w:t xml:space="preserve">] </w:t>
      </w:r>
      <w:r w:rsidR="00810A16">
        <w:rPr>
          <w:rFonts w:ascii="Times New Roman" w:hAnsi="Times New Roman" w:cs="Times New Roman"/>
          <w:sz w:val="24"/>
          <w:szCs w:val="24"/>
        </w:rPr>
        <w:t xml:space="preserve">As noted above, </w:t>
      </w:r>
      <w:r w:rsidR="008939B4">
        <w:rPr>
          <w:rFonts w:ascii="Times New Roman" w:hAnsi="Times New Roman" w:cs="Times New Roman"/>
          <w:sz w:val="24"/>
          <w:szCs w:val="24"/>
        </w:rPr>
        <w:t xml:space="preserve">these are the decision relied upon by </w:t>
      </w:r>
      <w:r w:rsidR="00810A16">
        <w:rPr>
          <w:rFonts w:ascii="Times New Roman" w:hAnsi="Times New Roman" w:cs="Times New Roman"/>
          <w:sz w:val="24"/>
          <w:szCs w:val="24"/>
        </w:rPr>
        <w:t xml:space="preserve">Mr </w:t>
      </w:r>
      <w:r w:rsidR="00810A16" w:rsidRPr="00810A16">
        <w:rPr>
          <w:rFonts w:ascii="Times New Roman" w:hAnsi="Times New Roman" w:cs="Times New Roman"/>
          <w:i/>
          <w:iCs/>
          <w:sz w:val="24"/>
          <w:szCs w:val="24"/>
        </w:rPr>
        <w:t>Sithole</w:t>
      </w:r>
      <w:r w:rsidR="00810A16">
        <w:rPr>
          <w:rFonts w:ascii="Times New Roman" w:hAnsi="Times New Roman" w:cs="Times New Roman"/>
          <w:sz w:val="24"/>
          <w:szCs w:val="24"/>
        </w:rPr>
        <w:t xml:space="preserve"> </w:t>
      </w:r>
      <w:r w:rsidR="008939B4">
        <w:rPr>
          <w:rFonts w:ascii="Times New Roman" w:hAnsi="Times New Roman" w:cs="Times New Roman"/>
          <w:sz w:val="24"/>
          <w:szCs w:val="24"/>
        </w:rPr>
        <w:t xml:space="preserve">on one hand, and deemed </w:t>
      </w:r>
      <w:r w:rsidR="008939B4" w:rsidRPr="005F4960">
        <w:rPr>
          <w:rFonts w:ascii="Times New Roman" w:hAnsi="Times New Roman" w:cs="Times New Roman"/>
          <w:sz w:val="24"/>
          <w:szCs w:val="24"/>
        </w:rPr>
        <w:t>distinguishable by Mr.</w:t>
      </w:r>
      <w:r w:rsidR="00810A16" w:rsidRPr="005F4960">
        <w:rPr>
          <w:rFonts w:ascii="Times New Roman" w:hAnsi="Times New Roman" w:cs="Times New Roman"/>
          <w:sz w:val="24"/>
          <w:szCs w:val="24"/>
        </w:rPr>
        <w:t xml:space="preserve"> </w:t>
      </w:r>
      <w:r w:rsidR="00810A16" w:rsidRPr="005F4960">
        <w:rPr>
          <w:rFonts w:ascii="Times New Roman" w:hAnsi="Times New Roman" w:cs="Times New Roman"/>
          <w:i/>
          <w:iCs/>
          <w:sz w:val="24"/>
          <w:szCs w:val="24"/>
        </w:rPr>
        <w:t>Mavhiringidze</w:t>
      </w:r>
      <w:r w:rsidR="00810A16" w:rsidRPr="005F4960">
        <w:rPr>
          <w:rFonts w:ascii="Times New Roman" w:hAnsi="Times New Roman" w:cs="Times New Roman"/>
          <w:sz w:val="24"/>
          <w:szCs w:val="24"/>
        </w:rPr>
        <w:t xml:space="preserve"> </w:t>
      </w:r>
      <w:r w:rsidR="008939B4" w:rsidRPr="005F4960">
        <w:rPr>
          <w:rFonts w:ascii="Times New Roman" w:hAnsi="Times New Roman" w:cs="Times New Roman"/>
          <w:sz w:val="24"/>
          <w:szCs w:val="24"/>
        </w:rPr>
        <w:t>on the other</w:t>
      </w:r>
      <w:r w:rsidR="00810A16" w:rsidRPr="005F4960">
        <w:rPr>
          <w:rFonts w:ascii="Times New Roman" w:hAnsi="Times New Roman" w:cs="Times New Roman"/>
          <w:sz w:val="24"/>
          <w:szCs w:val="24"/>
        </w:rPr>
        <w:t xml:space="preserve">. </w:t>
      </w:r>
      <w:r w:rsidR="003A44AF" w:rsidRPr="005F4960">
        <w:rPr>
          <w:rFonts w:ascii="Times New Roman" w:hAnsi="Times New Roman" w:cs="Times New Roman"/>
          <w:sz w:val="24"/>
          <w:szCs w:val="24"/>
        </w:rPr>
        <w:t xml:space="preserve">I believe the starting point in a discussion on the matter should be </w:t>
      </w:r>
      <w:r w:rsidR="00DE1E55" w:rsidRPr="005F4960">
        <w:rPr>
          <w:rFonts w:ascii="Times New Roman" w:hAnsi="Times New Roman" w:cs="Times New Roman"/>
          <w:sz w:val="24"/>
          <w:szCs w:val="24"/>
        </w:rPr>
        <w:t xml:space="preserve">seminal </w:t>
      </w:r>
      <w:r w:rsidRPr="005F4960">
        <w:rPr>
          <w:rFonts w:ascii="Times New Roman" w:hAnsi="Times New Roman" w:cs="Times New Roman"/>
          <w:sz w:val="24"/>
          <w:szCs w:val="24"/>
        </w:rPr>
        <w:t>decision</w:t>
      </w:r>
      <w:r w:rsidR="001A15E1" w:rsidRPr="005F4960">
        <w:rPr>
          <w:rFonts w:ascii="Times New Roman" w:hAnsi="Times New Roman" w:cs="Times New Roman"/>
          <w:sz w:val="24"/>
          <w:szCs w:val="24"/>
        </w:rPr>
        <w:t xml:space="preserve"> </w:t>
      </w:r>
      <w:r w:rsidR="00D061D1" w:rsidRPr="005F4960">
        <w:rPr>
          <w:rFonts w:ascii="Times New Roman" w:hAnsi="Times New Roman" w:cs="Times New Roman"/>
          <w:sz w:val="24"/>
          <w:szCs w:val="24"/>
        </w:rPr>
        <w:t xml:space="preserve">of </w:t>
      </w:r>
      <w:r w:rsidR="00617B9F" w:rsidRPr="005F4960">
        <w:rPr>
          <w:rFonts w:ascii="Times New Roman" w:hAnsi="Times New Roman" w:cs="Times New Roman"/>
          <w:i/>
          <w:iCs/>
          <w:sz w:val="24"/>
          <w:szCs w:val="24"/>
        </w:rPr>
        <w:t xml:space="preserve">Cuthbert Elkana Dube v </w:t>
      </w:r>
      <w:r w:rsidR="00617B9F" w:rsidRPr="005F4960">
        <w:rPr>
          <w:rFonts w:ascii="Times New Roman" w:eastAsia="Calibri" w:hAnsi="Times New Roman" w:cs="Times New Roman"/>
          <w:b/>
          <w:i/>
          <w:iCs/>
          <w:sz w:val="24"/>
          <w:szCs w:val="24"/>
        </w:rPr>
        <w:t xml:space="preserve">    </w:t>
      </w:r>
      <w:r w:rsidR="00617B9F" w:rsidRPr="005F4960">
        <w:rPr>
          <w:rFonts w:ascii="Times New Roman" w:eastAsia="Calibri" w:hAnsi="Times New Roman" w:cs="Times New Roman"/>
          <w:bCs/>
          <w:i/>
          <w:iCs/>
          <w:sz w:val="24"/>
          <w:szCs w:val="24"/>
        </w:rPr>
        <w:t>Premier     Service     Medical     Aid     Society</w:t>
      </w:r>
      <w:r w:rsidR="00617B9F" w:rsidRPr="005F4960">
        <w:rPr>
          <w:rFonts w:ascii="Times New Roman" w:eastAsia="Calibri" w:hAnsi="Times New Roman" w:cs="Times New Roman"/>
          <w:b/>
          <w:i/>
          <w:iCs/>
          <w:sz w:val="24"/>
          <w:szCs w:val="24"/>
        </w:rPr>
        <w:t xml:space="preserve"> </w:t>
      </w:r>
      <w:r w:rsidR="00617B9F" w:rsidRPr="005F4960">
        <w:rPr>
          <w:rFonts w:ascii="Times New Roman" w:eastAsia="Calibri" w:hAnsi="Times New Roman" w:cs="Times New Roman"/>
          <w:bCs/>
          <w:i/>
          <w:iCs/>
          <w:sz w:val="24"/>
          <w:szCs w:val="24"/>
        </w:rPr>
        <w:t>&amp; Anor</w:t>
      </w:r>
      <w:r w:rsidR="00617B9F" w:rsidRPr="005F4960">
        <w:rPr>
          <w:rFonts w:ascii="Times New Roman" w:eastAsia="Calibri" w:hAnsi="Times New Roman" w:cs="Times New Roman"/>
          <w:bCs/>
          <w:sz w:val="24"/>
          <w:szCs w:val="24"/>
        </w:rPr>
        <w:t xml:space="preserve"> </w:t>
      </w:r>
      <w:r w:rsidR="003117A6">
        <w:rPr>
          <w:rFonts w:ascii="Times New Roman" w:eastAsia="Calibri" w:hAnsi="Times New Roman" w:cs="Times New Roman"/>
          <w:bCs/>
          <w:sz w:val="24"/>
          <w:szCs w:val="24"/>
        </w:rPr>
        <w:t xml:space="preserve">(supra) </w:t>
      </w:r>
      <w:r w:rsidR="003A44AF" w:rsidRPr="005F4960">
        <w:rPr>
          <w:rFonts w:ascii="Times New Roman" w:eastAsia="Calibri" w:hAnsi="Times New Roman" w:cs="Times New Roman"/>
          <w:bCs/>
          <w:sz w:val="24"/>
          <w:szCs w:val="24"/>
        </w:rPr>
        <w:t>where t</w:t>
      </w:r>
      <w:r w:rsidR="00496173" w:rsidRPr="005F4960">
        <w:rPr>
          <w:rFonts w:ascii="Times New Roman" w:eastAsia="Calibri" w:hAnsi="Times New Roman" w:cs="Times New Roman"/>
          <w:bCs/>
          <w:sz w:val="24"/>
          <w:szCs w:val="24"/>
        </w:rPr>
        <w:t>he Supreme Court held</w:t>
      </w:r>
      <w:r w:rsidR="003A44AF" w:rsidRPr="005F4960">
        <w:rPr>
          <w:rFonts w:ascii="Times New Roman" w:eastAsia="Calibri" w:hAnsi="Times New Roman" w:cs="Times New Roman"/>
          <w:bCs/>
          <w:sz w:val="24"/>
          <w:szCs w:val="24"/>
        </w:rPr>
        <w:t xml:space="preserve">, per </w:t>
      </w:r>
      <w:r w:rsidR="003A44AF" w:rsidRPr="005F4960">
        <w:rPr>
          <w:rFonts w:ascii="Times New Roman" w:eastAsia="Calibri" w:hAnsi="Times New Roman" w:cs="Times New Roman"/>
          <w:bCs/>
        </w:rPr>
        <w:t>GARWE JA</w:t>
      </w:r>
      <w:r w:rsidR="003A44AF" w:rsidRPr="005F4960">
        <w:rPr>
          <w:rFonts w:ascii="Times New Roman" w:eastAsia="Calibri" w:hAnsi="Times New Roman" w:cs="Times New Roman"/>
          <w:bCs/>
          <w:sz w:val="24"/>
          <w:szCs w:val="24"/>
        </w:rPr>
        <w:t xml:space="preserve"> </w:t>
      </w:r>
      <w:r w:rsidR="00E52269" w:rsidRPr="005F4960">
        <w:rPr>
          <w:rFonts w:ascii="Times New Roman" w:eastAsia="Calibri" w:hAnsi="Times New Roman" w:cs="Times New Roman"/>
          <w:bCs/>
          <w:sz w:val="24"/>
          <w:szCs w:val="24"/>
        </w:rPr>
        <w:t>(as</w:t>
      </w:r>
      <w:r w:rsidR="003A44AF" w:rsidRPr="005F4960">
        <w:rPr>
          <w:rFonts w:ascii="Times New Roman" w:eastAsia="Calibri" w:hAnsi="Times New Roman" w:cs="Times New Roman"/>
          <w:bCs/>
          <w:sz w:val="24"/>
          <w:szCs w:val="24"/>
        </w:rPr>
        <w:t xml:space="preserve"> he then </w:t>
      </w:r>
      <w:r w:rsidR="00E52269" w:rsidRPr="005F4960">
        <w:rPr>
          <w:rFonts w:ascii="Times New Roman" w:eastAsia="Calibri" w:hAnsi="Times New Roman" w:cs="Times New Roman"/>
          <w:bCs/>
          <w:sz w:val="24"/>
          <w:szCs w:val="24"/>
        </w:rPr>
        <w:t>was) as</w:t>
      </w:r>
      <w:r w:rsidR="00496173" w:rsidRPr="005F4960">
        <w:rPr>
          <w:rFonts w:ascii="Times New Roman" w:eastAsia="Calibri" w:hAnsi="Times New Roman" w:cs="Times New Roman"/>
          <w:bCs/>
          <w:sz w:val="24"/>
          <w:szCs w:val="24"/>
        </w:rPr>
        <w:t xml:space="preserve"> follows at [38]; -</w:t>
      </w:r>
    </w:p>
    <w:p w14:paraId="58060CFE" w14:textId="77777777" w:rsidR="00496173" w:rsidRPr="00617B9F" w:rsidRDefault="00496173" w:rsidP="00617B9F">
      <w:pPr>
        <w:pStyle w:val="ListParagraph"/>
        <w:spacing w:after="0" w:line="360" w:lineRule="auto"/>
        <w:ind w:left="0"/>
        <w:jc w:val="both"/>
        <w:rPr>
          <w:rFonts w:ascii="Times New Roman" w:hAnsi="Times New Roman" w:cs="Times New Roman"/>
          <w:bCs/>
          <w:sz w:val="24"/>
          <w:szCs w:val="24"/>
        </w:rPr>
      </w:pPr>
    </w:p>
    <w:p w14:paraId="0BF27B2D" w14:textId="073EEAFC" w:rsidR="00532C87" w:rsidRPr="00787E11" w:rsidRDefault="00496173" w:rsidP="00EF5C2A">
      <w:pPr>
        <w:spacing w:after="0" w:line="360" w:lineRule="auto"/>
        <w:ind w:left="737"/>
        <w:jc w:val="both"/>
        <w:rPr>
          <w:rFonts w:ascii="Times New Roman" w:hAnsi="Times New Roman" w:cs="Times New Roman"/>
          <w:sz w:val="24"/>
          <w:szCs w:val="24"/>
        </w:rPr>
      </w:pPr>
      <w:r w:rsidRPr="00496173">
        <w:rPr>
          <w:rFonts w:ascii="Times New Roman" w:eastAsia="Calibri" w:hAnsi="Times New Roman" w:cs="Times New Roman"/>
          <w:lang w:val="en-GB"/>
        </w:rPr>
        <w:t xml:space="preserve">“A person who represents </w:t>
      </w:r>
      <w:r w:rsidRPr="00496173">
        <w:rPr>
          <w:rFonts w:ascii="Times New Roman" w:eastAsia="Calibri" w:hAnsi="Times New Roman" w:cs="Times New Roman"/>
          <w:u w:val="single"/>
          <w:lang w:val="en-GB"/>
        </w:rPr>
        <w:t>a legal entity</w:t>
      </w:r>
      <w:r w:rsidRPr="00496173">
        <w:rPr>
          <w:rFonts w:ascii="Times New Roman" w:eastAsia="Calibri" w:hAnsi="Times New Roman" w:cs="Times New Roman"/>
          <w:lang w:val="en-GB"/>
        </w:rPr>
        <w:t xml:space="preserve">, when challenged, must show that he is duly authorised to represent the entity.  His mere claim that </w:t>
      </w:r>
      <w:r w:rsidRPr="00496173">
        <w:rPr>
          <w:rFonts w:ascii="Times New Roman" w:eastAsia="Calibri" w:hAnsi="Times New Roman" w:cs="Times New Roman"/>
          <w:u w:val="single"/>
          <w:lang w:val="en-GB"/>
        </w:rPr>
        <w:t>by virtue of the position he holds in such an entity he is duly authorised to represent the entity is not sufficient</w:t>
      </w:r>
      <w:r w:rsidRPr="00496173">
        <w:rPr>
          <w:rFonts w:ascii="Times New Roman" w:eastAsia="Calibri" w:hAnsi="Times New Roman" w:cs="Times New Roman"/>
          <w:lang w:val="en-GB"/>
        </w:rPr>
        <w:t xml:space="preserve">.  </w:t>
      </w:r>
      <w:r w:rsidRPr="00496173">
        <w:rPr>
          <w:rFonts w:ascii="Times New Roman" w:eastAsia="Calibri" w:hAnsi="Times New Roman" w:cs="Times New Roman"/>
          <w:u w:val="single"/>
          <w:lang w:val="en-GB"/>
        </w:rPr>
        <w:t>He must produce a resolution of the board of that entity which confirms that the board is indeed aware of the proceedings and that it has given such a person the authority to act in the stead of the entity</w:t>
      </w:r>
      <w:r w:rsidRPr="00496173">
        <w:rPr>
          <w:rFonts w:ascii="Times New Roman" w:eastAsia="Calibri" w:hAnsi="Times New Roman" w:cs="Times New Roman"/>
          <w:lang w:val="en-GB"/>
        </w:rPr>
        <w:t xml:space="preserve">.  I stress that the need to produce such proof is necessary only in those cases where the authority of the deponent is put in issue.  </w:t>
      </w:r>
      <w:r w:rsidRPr="00496173">
        <w:rPr>
          <w:rFonts w:ascii="Times New Roman" w:eastAsia="Calibri" w:hAnsi="Times New Roman" w:cs="Times New Roman"/>
          <w:u w:val="single"/>
          <w:lang w:val="en-GB"/>
        </w:rPr>
        <w:t>This represents the current state of the law in this country</w:t>
      </w:r>
      <w:r w:rsidRPr="00496173">
        <w:rPr>
          <w:rFonts w:ascii="Times New Roman" w:eastAsia="Calibri" w:hAnsi="Times New Roman" w:cs="Times New Roman"/>
          <w:lang w:val="en-GB"/>
        </w:rPr>
        <w:t>.”     [underlined for emphasis]</w:t>
      </w:r>
      <w:r w:rsidRPr="00496173">
        <w:rPr>
          <w:rFonts w:ascii="Times New Roman" w:eastAsia="Calibri" w:hAnsi="Times New Roman" w:cs="Times New Roman"/>
          <w:u w:val="single"/>
          <w:lang w:val="en-GB"/>
        </w:rPr>
        <w:t xml:space="preserve"> </w:t>
      </w:r>
    </w:p>
    <w:p w14:paraId="7CFDC9CC" w14:textId="427E939A" w:rsidR="00532C87" w:rsidRDefault="00496173" w:rsidP="004A72B3">
      <w:pPr>
        <w:pStyle w:val="NoSpacing"/>
        <w:spacing w:before="240" w:line="360" w:lineRule="auto"/>
        <w:jc w:val="both"/>
        <w:rPr>
          <w:rFonts w:ascii="Times New Roman" w:hAnsi="Times New Roman" w:cs="Times New Roman"/>
          <w:sz w:val="24"/>
          <w:szCs w:val="24"/>
        </w:rPr>
      </w:pPr>
      <w:r w:rsidRPr="008D5E19">
        <w:rPr>
          <w:rFonts w:ascii="Times New Roman" w:hAnsi="Times New Roman" w:cs="Times New Roman"/>
          <w:sz w:val="24"/>
          <w:szCs w:val="24"/>
        </w:rPr>
        <w:t>[</w:t>
      </w:r>
      <w:r w:rsidR="00D166F1" w:rsidRPr="008D5E19">
        <w:rPr>
          <w:rFonts w:ascii="Times New Roman" w:hAnsi="Times New Roman" w:cs="Times New Roman"/>
          <w:sz w:val="24"/>
          <w:szCs w:val="24"/>
        </w:rPr>
        <w:t>4</w:t>
      </w:r>
      <w:r w:rsidR="00FB20C2">
        <w:rPr>
          <w:rFonts w:ascii="Times New Roman" w:hAnsi="Times New Roman" w:cs="Times New Roman"/>
          <w:sz w:val="24"/>
          <w:szCs w:val="24"/>
        </w:rPr>
        <w:t>3</w:t>
      </w:r>
      <w:r w:rsidRPr="008D5E19">
        <w:rPr>
          <w:rFonts w:ascii="Times New Roman" w:hAnsi="Times New Roman" w:cs="Times New Roman"/>
          <w:sz w:val="24"/>
          <w:szCs w:val="24"/>
        </w:rPr>
        <w:t xml:space="preserve">] </w:t>
      </w:r>
      <w:r w:rsidR="000C3981">
        <w:rPr>
          <w:rFonts w:ascii="Times New Roman" w:hAnsi="Times New Roman" w:cs="Times New Roman"/>
          <w:sz w:val="24"/>
          <w:szCs w:val="24"/>
        </w:rPr>
        <w:t>T</w:t>
      </w:r>
      <w:r w:rsidRPr="008D5E19">
        <w:rPr>
          <w:rFonts w:ascii="Times New Roman" w:hAnsi="Times New Roman" w:cs="Times New Roman"/>
          <w:sz w:val="24"/>
          <w:szCs w:val="24"/>
        </w:rPr>
        <w:t xml:space="preserve">he Supreme Court clarified </w:t>
      </w:r>
      <w:r w:rsidR="00B6563A" w:rsidRPr="008D5E19">
        <w:rPr>
          <w:rFonts w:ascii="Times New Roman" w:hAnsi="Times New Roman" w:cs="Times New Roman"/>
          <w:sz w:val="24"/>
          <w:szCs w:val="24"/>
        </w:rPr>
        <w:t xml:space="preserve">the position </w:t>
      </w:r>
      <w:r w:rsidRPr="008D5E19">
        <w:rPr>
          <w:rFonts w:ascii="Times New Roman" w:hAnsi="Times New Roman" w:cs="Times New Roman"/>
          <w:sz w:val="24"/>
          <w:szCs w:val="24"/>
        </w:rPr>
        <w:t xml:space="preserve">beyond </w:t>
      </w:r>
      <w:r w:rsidR="00B6563A" w:rsidRPr="008D5E19">
        <w:rPr>
          <w:rFonts w:ascii="Times New Roman" w:hAnsi="Times New Roman" w:cs="Times New Roman"/>
          <w:sz w:val="24"/>
          <w:szCs w:val="24"/>
        </w:rPr>
        <w:t xml:space="preserve">issue </w:t>
      </w:r>
      <w:r w:rsidRPr="008D5E19">
        <w:rPr>
          <w:rFonts w:ascii="Times New Roman" w:hAnsi="Times New Roman" w:cs="Times New Roman"/>
          <w:sz w:val="24"/>
          <w:szCs w:val="24"/>
        </w:rPr>
        <w:t xml:space="preserve">in as far as the question of authority to institute proceedings is concerned. All that remains is for the courts </w:t>
      </w:r>
      <w:r w:rsidR="003A44AF" w:rsidRPr="008D5E19">
        <w:rPr>
          <w:rFonts w:ascii="Times New Roman" w:hAnsi="Times New Roman" w:cs="Times New Roman"/>
          <w:sz w:val="24"/>
          <w:szCs w:val="24"/>
        </w:rPr>
        <w:t xml:space="preserve">and litigants </w:t>
      </w:r>
      <w:r w:rsidRPr="008D5E19">
        <w:rPr>
          <w:rFonts w:ascii="Times New Roman" w:hAnsi="Times New Roman" w:cs="Times New Roman"/>
          <w:sz w:val="24"/>
          <w:szCs w:val="24"/>
        </w:rPr>
        <w:t xml:space="preserve">to correctly follow </w:t>
      </w:r>
      <w:r w:rsidR="00B6563A" w:rsidRPr="008D5E19">
        <w:rPr>
          <w:rFonts w:ascii="Times New Roman" w:hAnsi="Times New Roman" w:cs="Times New Roman"/>
          <w:sz w:val="24"/>
          <w:szCs w:val="24"/>
        </w:rPr>
        <w:t xml:space="preserve">the simple </w:t>
      </w:r>
      <w:r w:rsidRPr="008D5E19">
        <w:rPr>
          <w:rFonts w:ascii="Times New Roman" w:hAnsi="Times New Roman" w:cs="Times New Roman"/>
          <w:sz w:val="24"/>
          <w:szCs w:val="24"/>
        </w:rPr>
        <w:t>guidance</w:t>
      </w:r>
      <w:r w:rsidR="00B6563A" w:rsidRPr="008D5E19">
        <w:rPr>
          <w:rFonts w:ascii="Times New Roman" w:hAnsi="Times New Roman" w:cs="Times New Roman"/>
          <w:sz w:val="24"/>
          <w:szCs w:val="24"/>
        </w:rPr>
        <w:t xml:space="preserve"> in that authority</w:t>
      </w:r>
      <w:r w:rsidRPr="008D5E19">
        <w:rPr>
          <w:rFonts w:ascii="Times New Roman" w:hAnsi="Times New Roman" w:cs="Times New Roman"/>
          <w:sz w:val="24"/>
          <w:szCs w:val="24"/>
        </w:rPr>
        <w:t xml:space="preserve">. Equally critical is the fact that the Supreme Court, </w:t>
      </w:r>
      <w:r w:rsidRPr="008D5E19">
        <w:rPr>
          <w:rFonts w:ascii="Times New Roman" w:hAnsi="Times New Roman" w:cs="Times New Roman"/>
          <w:sz w:val="24"/>
          <w:szCs w:val="24"/>
        </w:rPr>
        <w:lastRenderedPageBreak/>
        <w:t xml:space="preserve">in its judicial heavy lifting, carried </w:t>
      </w:r>
      <w:r w:rsidR="00B6563A" w:rsidRPr="008D5E19">
        <w:rPr>
          <w:rFonts w:ascii="Times New Roman" w:hAnsi="Times New Roman" w:cs="Times New Roman"/>
          <w:sz w:val="24"/>
          <w:szCs w:val="24"/>
        </w:rPr>
        <w:t>out a</w:t>
      </w:r>
      <w:r w:rsidRPr="008D5E19">
        <w:rPr>
          <w:rFonts w:ascii="Times New Roman" w:hAnsi="Times New Roman" w:cs="Times New Roman"/>
          <w:sz w:val="24"/>
          <w:szCs w:val="24"/>
        </w:rPr>
        <w:t xml:space="preserve"> survey of conflicting decisions and reconciled the position. </w:t>
      </w:r>
    </w:p>
    <w:p w14:paraId="01FE6B69" w14:textId="2FFB75F3" w:rsidR="008939B4" w:rsidRDefault="00496173"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D166F1">
        <w:rPr>
          <w:rFonts w:ascii="Times New Roman" w:hAnsi="Times New Roman" w:cs="Times New Roman"/>
          <w:sz w:val="24"/>
          <w:szCs w:val="24"/>
        </w:rPr>
        <w:t>4</w:t>
      </w:r>
      <w:r w:rsidR="00FB20C2">
        <w:rPr>
          <w:rFonts w:ascii="Times New Roman" w:hAnsi="Times New Roman" w:cs="Times New Roman"/>
          <w:sz w:val="24"/>
          <w:szCs w:val="24"/>
        </w:rPr>
        <w:t>4</w:t>
      </w:r>
      <w:r>
        <w:rPr>
          <w:rFonts w:ascii="Times New Roman" w:hAnsi="Times New Roman" w:cs="Times New Roman"/>
          <w:sz w:val="24"/>
          <w:szCs w:val="24"/>
        </w:rPr>
        <w:t xml:space="preserve">] </w:t>
      </w:r>
      <w:r w:rsidR="008939B4">
        <w:rPr>
          <w:rFonts w:ascii="Times New Roman" w:hAnsi="Times New Roman" w:cs="Times New Roman"/>
          <w:sz w:val="24"/>
          <w:szCs w:val="24"/>
        </w:rPr>
        <w:t xml:space="preserve">With the dissipation of the confusing pall of </w:t>
      </w:r>
      <w:r w:rsidR="008939B4" w:rsidRPr="008939B4">
        <w:rPr>
          <w:rFonts w:ascii="Times New Roman" w:hAnsi="Times New Roman" w:cs="Times New Roman"/>
          <w:i/>
          <w:iCs/>
          <w:sz w:val="24"/>
          <w:szCs w:val="24"/>
        </w:rPr>
        <w:t>status legis infelix</w:t>
      </w:r>
      <w:r w:rsidR="008939B4">
        <w:rPr>
          <w:rFonts w:ascii="Times New Roman" w:hAnsi="Times New Roman" w:cs="Times New Roman"/>
          <w:sz w:val="24"/>
          <w:szCs w:val="24"/>
        </w:rPr>
        <w:t xml:space="preserve">, all decision handed down prior to </w:t>
      </w:r>
      <w:r w:rsidR="008939B4" w:rsidRPr="008939B4">
        <w:rPr>
          <w:rFonts w:ascii="Times New Roman" w:hAnsi="Times New Roman" w:cs="Times New Roman"/>
          <w:i/>
          <w:iCs/>
          <w:sz w:val="24"/>
          <w:szCs w:val="24"/>
        </w:rPr>
        <w:t>Cuthbert Dube v PSMAS</w:t>
      </w:r>
      <w:r w:rsidR="008939B4">
        <w:rPr>
          <w:rFonts w:ascii="Times New Roman" w:hAnsi="Times New Roman" w:cs="Times New Roman"/>
          <w:sz w:val="24"/>
          <w:szCs w:val="24"/>
        </w:rPr>
        <w:t xml:space="preserve"> must be read against the guidance of this latter Supreme Court authority. </w:t>
      </w:r>
      <w:r w:rsidR="00EF5C2A">
        <w:rPr>
          <w:rFonts w:ascii="Times New Roman" w:hAnsi="Times New Roman" w:cs="Times New Roman"/>
          <w:sz w:val="24"/>
          <w:szCs w:val="24"/>
        </w:rPr>
        <w:t>Th</w:t>
      </w:r>
      <w:r w:rsidR="003A44AF">
        <w:rPr>
          <w:rFonts w:ascii="Times New Roman" w:hAnsi="Times New Roman" w:cs="Times New Roman"/>
          <w:sz w:val="24"/>
          <w:szCs w:val="24"/>
        </w:rPr>
        <w:t xml:space="preserve">is </w:t>
      </w:r>
      <w:r w:rsidR="00EF5C2A">
        <w:rPr>
          <w:rFonts w:ascii="Times New Roman" w:hAnsi="Times New Roman" w:cs="Times New Roman"/>
          <w:sz w:val="24"/>
          <w:szCs w:val="24"/>
        </w:rPr>
        <w:t xml:space="preserve">leading </w:t>
      </w:r>
      <w:r w:rsidR="003A44AF">
        <w:rPr>
          <w:rFonts w:ascii="Times New Roman" w:hAnsi="Times New Roman" w:cs="Times New Roman"/>
          <w:sz w:val="24"/>
          <w:szCs w:val="24"/>
        </w:rPr>
        <w:t xml:space="preserve">or controlling </w:t>
      </w:r>
      <w:r w:rsidR="00EF5C2A">
        <w:rPr>
          <w:rFonts w:ascii="Times New Roman" w:hAnsi="Times New Roman" w:cs="Times New Roman"/>
          <w:sz w:val="24"/>
          <w:szCs w:val="24"/>
        </w:rPr>
        <w:t>authority has been consistently followed</w:t>
      </w:r>
      <w:r w:rsidR="00B6563A">
        <w:rPr>
          <w:rFonts w:ascii="Times New Roman" w:hAnsi="Times New Roman" w:cs="Times New Roman"/>
          <w:sz w:val="24"/>
          <w:szCs w:val="24"/>
        </w:rPr>
        <w:t>,</w:t>
      </w:r>
      <w:r w:rsidR="006F6C82">
        <w:rPr>
          <w:rFonts w:ascii="Times New Roman" w:hAnsi="Times New Roman" w:cs="Times New Roman"/>
          <w:sz w:val="24"/>
          <w:szCs w:val="24"/>
        </w:rPr>
        <w:t xml:space="preserve"> but variously interpreted. </w:t>
      </w:r>
    </w:p>
    <w:p w14:paraId="21B62ABC" w14:textId="674993CE" w:rsidR="006F6C82" w:rsidRPr="006F6C82" w:rsidRDefault="008939B4" w:rsidP="004A72B3">
      <w:pPr>
        <w:pStyle w:val="NoSpacing"/>
        <w:spacing w:before="240" w:line="360" w:lineRule="auto"/>
        <w:jc w:val="both"/>
        <w:rPr>
          <w:rFonts w:ascii="Times New Roman" w:hAnsi="Times New Roman" w:cs="Times New Roman"/>
          <w:i/>
          <w:iCs/>
          <w:sz w:val="24"/>
          <w:szCs w:val="24"/>
        </w:rPr>
      </w:pPr>
      <w:r>
        <w:rPr>
          <w:rFonts w:ascii="Times New Roman" w:hAnsi="Times New Roman" w:cs="Times New Roman"/>
          <w:sz w:val="24"/>
          <w:szCs w:val="24"/>
        </w:rPr>
        <w:t>[</w:t>
      </w:r>
      <w:r w:rsidR="00436067">
        <w:rPr>
          <w:rFonts w:ascii="Times New Roman" w:hAnsi="Times New Roman" w:cs="Times New Roman"/>
          <w:sz w:val="24"/>
          <w:szCs w:val="24"/>
        </w:rPr>
        <w:t>4</w:t>
      </w:r>
      <w:r w:rsidR="00FB20C2">
        <w:rPr>
          <w:rFonts w:ascii="Times New Roman" w:hAnsi="Times New Roman" w:cs="Times New Roman"/>
          <w:sz w:val="24"/>
          <w:szCs w:val="24"/>
        </w:rPr>
        <w:t>5</w:t>
      </w:r>
      <w:r>
        <w:rPr>
          <w:rFonts w:ascii="Times New Roman" w:hAnsi="Times New Roman" w:cs="Times New Roman"/>
          <w:sz w:val="24"/>
          <w:szCs w:val="24"/>
        </w:rPr>
        <w:t xml:space="preserve">] </w:t>
      </w:r>
      <w:r w:rsidR="00B6563A">
        <w:rPr>
          <w:rFonts w:ascii="Times New Roman" w:hAnsi="Times New Roman" w:cs="Times New Roman"/>
          <w:sz w:val="24"/>
          <w:szCs w:val="24"/>
        </w:rPr>
        <w:t>Yet t</w:t>
      </w:r>
      <w:r w:rsidR="006F6C82">
        <w:rPr>
          <w:rFonts w:ascii="Times New Roman" w:hAnsi="Times New Roman" w:cs="Times New Roman"/>
          <w:sz w:val="24"/>
          <w:szCs w:val="24"/>
        </w:rPr>
        <w:t>he Supreme Court</w:t>
      </w:r>
      <w:r w:rsidR="00B6563A">
        <w:rPr>
          <w:rFonts w:ascii="Times New Roman" w:hAnsi="Times New Roman" w:cs="Times New Roman"/>
          <w:sz w:val="24"/>
          <w:szCs w:val="24"/>
        </w:rPr>
        <w:t xml:space="preserve"> has remained clear. I</w:t>
      </w:r>
      <w:r w:rsidR="006F6C82">
        <w:rPr>
          <w:rFonts w:ascii="Times New Roman" w:hAnsi="Times New Roman" w:cs="Times New Roman"/>
          <w:sz w:val="24"/>
          <w:szCs w:val="24"/>
        </w:rPr>
        <w:t xml:space="preserve">n </w:t>
      </w:r>
      <w:r w:rsidR="006F6C82" w:rsidRPr="006F6C82">
        <w:rPr>
          <w:rFonts w:ascii="Times New Roman" w:eastAsia="Calibri" w:hAnsi="Times New Roman" w:cs="Times New Roman"/>
          <w:i/>
          <w:sz w:val="24"/>
          <w:szCs w:val="24"/>
          <w:lang w:val="en-US"/>
        </w:rPr>
        <w:t>Valentine &amp; Anor</w:t>
      </w:r>
      <w:r w:rsidR="006F6C82" w:rsidRPr="006F6C82">
        <w:rPr>
          <w:rFonts w:ascii="Times New Roman" w:eastAsia="Calibri" w:hAnsi="Times New Roman" w:cs="Times New Roman"/>
          <w:sz w:val="24"/>
          <w:szCs w:val="24"/>
          <w:lang w:val="en-US"/>
        </w:rPr>
        <w:t xml:space="preserve"> v </w:t>
      </w:r>
      <w:r w:rsidR="006F6C82" w:rsidRPr="006F6C82">
        <w:rPr>
          <w:rFonts w:ascii="Times New Roman" w:eastAsia="Calibri" w:hAnsi="Times New Roman" w:cs="Times New Roman"/>
          <w:i/>
          <w:sz w:val="24"/>
          <w:szCs w:val="24"/>
          <w:lang w:val="en-US"/>
        </w:rPr>
        <w:t>Blooming Lilly Investments (Private) Limited &amp; Ors</w:t>
      </w:r>
      <w:r w:rsidR="006F6C82" w:rsidRPr="006F6C82">
        <w:rPr>
          <w:rFonts w:ascii="Times New Roman" w:eastAsia="Calibri" w:hAnsi="Times New Roman" w:cs="Times New Roman"/>
          <w:sz w:val="24"/>
          <w:szCs w:val="24"/>
          <w:lang w:val="en-US"/>
        </w:rPr>
        <w:t xml:space="preserve"> S 42-23</w:t>
      </w:r>
      <w:r w:rsidR="006F6C82">
        <w:rPr>
          <w:rFonts w:ascii="Times New Roman" w:eastAsia="Calibri" w:hAnsi="Times New Roman" w:cs="Times New Roman"/>
          <w:sz w:val="24"/>
          <w:szCs w:val="24"/>
          <w:lang w:val="en-US"/>
        </w:rPr>
        <w:t xml:space="preserve">, </w:t>
      </w:r>
      <w:r w:rsidR="006F6C82">
        <w:rPr>
          <w:rFonts w:ascii="Times New Roman" w:hAnsi="Times New Roman" w:cs="Times New Roman"/>
          <w:sz w:val="24"/>
          <w:szCs w:val="24"/>
        </w:rPr>
        <w:t xml:space="preserve">the following meaning </w:t>
      </w:r>
      <w:r w:rsidR="00B6563A">
        <w:rPr>
          <w:rFonts w:ascii="Times New Roman" w:hAnsi="Times New Roman" w:cs="Times New Roman"/>
          <w:sz w:val="24"/>
          <w:szCs w:val="24"/>
        </w:rPr>
        <w:t xml:space="preserve">was given </w:t>
      </w:r>
      <w:r w:rsidR="006F6C82">
        <w:rPr>
          <w:rFonts w:ascii="Times New Roman" w:hAnsi="Times New Roman" w:cs="Times New Roman"/>
          <w:sz w:val="24"/>
          <w:szCs w:val="24"/>
        </w:rPr>
        <w:t xml:space="preserve">to the above passage in </w:t>
      </w:r>
      <w:r w:rsidR="006F6C82" w:rsidRPr="006F6C82">
        <w:rPr>
          <w:rFonts w:ascii="Times New Roman" w:hAnsi="Times New Roman" w:cs="Times New Roman"/>
          <w:i/>
          <w:iCs/>
          <w:sz w:val="24"/>
          <w:szCs w:val="24"/>
        </w:rPr>
        <w:t>Cuthbert Dube v PSMAS; -</w:t>
      </w:r>
    </w:p>
    <w:p w14:paraId="036935F9" w14:textId="3B48010E" w:rsidR="006F6C82" w:rsidRPr="006F6C82" w:rsidRDefault="006F6C82" w:rsidP="008157D8">
      <w:pPr>
        <w:spacing w:after="0" w:line="360" w:lineRule="auto"/>
        <w:ind w:left="567"/>
        <w:jc w:val="both"/>
        <w:rPr>
          <w:rFonts w:ascii="Times New Roman" w:eastAsia="Calibri" w:hAnsi="Times New Roman" w:cs="Times New Roman"/>
          <w:sz w:val="24"/>
          <w:szCs w:val="24"/>
          <w:lang w:val="en-GB"/>
        </w:rPr>
      </w:pPr>
      <w:r w:rsidRPr="006F6C82">
        <w:rPr>
          <w:rFonts w:ascii="Times New Roman" w:hAnsi="Times New Roman" w:cs="Times New Roman"/>
          <w:i/>
          <w:iCs/>
          <w:sz w:val="24"/>
          <w:szCs w:val="24"/>
        </w:rPr>
        <w:t>“[30]</w:t>
      </w:r>
      <w:r>
        <w:rPr>
          <w:rFonts w:ascii="Times New Roman" w:hAnsi="Times New Roman" w:cs="Times New Roman"/>
          <w:sz w:val="24"/>
          <w:szCs w:val="24"/>
        </w:rPr>
        <w:t xml:space="preserve"> </w:t>
      </w:r>
      <w:r w:rsidRPr="006F6C82">
        <w:rPr>
          <w:rFonts w:ascii="Times New Roman" w:eastAsia="Calibri" w:hAnsi="Times New Roman" w:cs="Times New Roman"/>
          <w:sz w:val="24"/>
          <w:szCs w:val="24"/>
          <w:lang w:val="en-GB"/>
        </w:rPr>
        <w:t xml:space="preserve">Therefore, </w:t>
      </w:r>
      <w:r w:rsidRPr="00B6563A">
        <w:rPr>
          <w:rFonts w:ascii="Times New Roman" w:eastAsia="Calibri" w:hAnsi="Times New Roman" w:cs="Times New Roman"/>
          <w:sz w:val="24"/>
          <w:szCs w:val="24"/>
          <w:u w:val="single"/>
          <w:lang w:val="en-GB"/>
        </w:rPr>
        <w:t>a company resolution is required for two reasons</w:t>
      </w:r>
      <w:r w:rsidRPr="00B6563A">
        <w:rPr>
          <w:rFonts w:ascii="Times New Roman" w:eastAsia="Calibri" w:hAnsi="Times New Roman" w:cs="Times New Roman"/>
          <w:b/>
          <w:bCs/>
          <w:i/>
          <w:iCs/>
          <w:sz w:val="24"/>
          <w:szCs w:val="24"/>
          <w:u w:val="single"/>
          <w:lang w:val="en-GB"/>
        </w:rPr>
        <w:t>, first</w:t>
      </w:r>
      <w:r w:rsidRPr="006F6C82">
        <w:rPr>
          <w:rFonts w:ascii="Times New Roman" w:eastAsia="Calibri" w:hAnsi="Times New Roman" w:cs="Times New Roman"/>
          <w:sz w:val="24"/>
          <w:szCs w:val="24"/>
          <w:lang w:val="en-GB"/>
        </w:rPr>
        <w:t xml:space="preserve">, to prove </w:t>
      </w:r>
      <w:r w:rsidRPr="00B6563A">
        <w:rPr>
          <w:rFonts w:ascii="Times New Roman" w:eastAsia="Calibri" w:hAnsi="Times New Roman" w:cs="Times New Roman"/>
          <w:sz w:val="24"/>
          <w:szCs w:val="24"/>
          <w:u w:val="single"/>
          <w:lang w:val="en-GB"/>
        </w:rPr>
        <w:t>that the entity is aware of the legal proceedings</w:t>
      </w:r>
      <w:r w:rsidRPr="006F6C82">
        <w:rPr>
          <w:rFonts w:ascii="Times New Roman" w:eastAsia="Calibri" w:hAnsi="Times New Roman" w:cs="Times New Roman"/>
          <w:sz w:val="24"/>
          <w:szCs w:val="24"/>
          <w:lang w:val="en-GB"/>
        </w:rPr>
        <w:t xml:space="preserve"> and </w:t>
      </w:r>
      <w:r w:rsidRPr="00B6563A">
        <w:rPr>
          <w:rFonts w:ascii="Times New Roman" w:eastAsia="Calibri" w:hAnsi="Times New Roman" w:cs="Times New Roman"/>
          <w:sz w:val="24"/>
          <w:szCs w:val="24"/>
          <w:u w:val="single"/>
          <w:lang w:val="en-GB"/>
        </w:rPr>
        <w:t>has authorised them</w:t>
      </w:r>
      <w:r w:rsidRPr="006F6C82">
        <w:rPr>
          <w:rFonts w:ascii="Times New Roman" w:eastAsia="Calibri" w:hAnsi="Times New Roman" w:cs="Times New Roman"/>
          <w:sz w:val="24"/>
          <w:szCs w:val="24"/>
          <w:lang w:val="en-GB"/>
        </w:rPr>
        <w:t xml:space="preserve"> and, </w:t>
      </w:r>
      <w:r w:rsidRPr="00B6563A">
        <w:rPr>
          <w:rFonts w:ascii="Times New Roman" w:eastAsia="Calibri" w:hAnsi="Times New Roman" w:cs="Times New Roman"/>
          <w:b/>
          <w:bCs/>
          <w:i/>
          <w:iCs/>
          <w:sz w:val="24"/>
          <w:szCs w:val="24"/>
          <w:u w:val="single"/>
          <w:lang w:val="en-GB"/>
        </w:rPr>
        <w:t>secondly</w:t>
      </w:r>
      <w:r w:rsidRPr="006F6C82">
        <w:rPr>
          <w:rFonts w:ascii="Times New Roman" w:eastAsia="Calibri" w:hAnsi="Times New Roman" w:cs="Times New Roman"/>
          <w:sz w:val="24"/>
          <w:szCs w:val="24"/>
          <w:lang w:val="en-GB"/>
        </w:rPr>
        <w:t xml:space="preserve">, </w:t>
      </w:r>
      <w:r w:rsidRPr="00B6563A">
        <w:rPr>
          <w:rFonts w:ascii="Times New Roman" w:eastAsia="Calibri" w:hAnsi="Times New Roman" w:cs="Times New Roman"/>
          <w:sz w:val="24"/>
          <w:szCs w:val="24"/>
          <w:u w:val="single"/>
          <w:lang w:val="en-GB"/>
        </w:rPr>
        <w:t xml:space="preserve">that the person representing it has been clothed with the requisite authority </w:t>
      </w:r>
      <w:r w:rsidRPr="006F6C82">
        <w:rPr>
          <w:rFonts w:ascii="Times New Roman" w:eastAsia="Calibri" w:hAnsi="Times New Roman" w:cs="Times New Roman"/>
          <w:sz w:val="24"/>
          <w:szCs w:val="24"/>
          <w:lang w:val="en-GB"/>
        </w:rPr>
        <w:t>to represent it in the proceedings.</w:t>
      </w:r>
      <w:r>
        <w:rPr>
          <w:rFonts w:ascii="Times New Roman" w:eastAsia="Calibri" w:hAnsi="Times New Roman" w:cs="Times New Roman"/>
          <w:sz w:val="24"/>
          <w:szCs w:val="24"/>
          <w:lang w:val="en-GB"/>
        </w:rPr>
        <w:t>”</w:t>
      </w:r>
      <w:r w:rsidRPr="006F6C82">
        <w:rPr>
          <w:rFonts w:ascii="Times New Roman" w:eastAsia="Calibri" w:hAnsi="Times New Roman" w:cs="Times New Roman"/>
          <w:sz w:val="24"/>
          <w:szCs w:val="24"/>
          <w:lang w:val="en-GB"/>
        </w:rPr>
        <w:t xml:space="preserve">  </w:t>
      </w:r>
    </w:p>
    <w:p w14:paraId="4187DB7B" w14:textId="09AD9FF9" w:rsidR="006F6C82" w:rsidRDefault="006F6C82" w:rsidP="004A72B3">
      <w:pPr>
        <w:pStyle w:val="NoSpacing"/>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FB20C2">
        <w:rPr>
          <w:rFonts w:ascii="Times New Roman" w:hAnsi="Times New Roman" w:cs="Times New Roman"/>
          <w:sz w:val="24"/>
          <w:szCs w:val="24"/>
          <w:lang w:val="en-GB"/>
        </w:rPr>
        <w:t>46</w:t>
      </w:r>
      <w:r>
        <w:rPr>
          <w:rFonts w:ascii="Times New Roman" w:hAnsi="Times New Roman" w:cs="Times New Roman"/>
          <w:sz w:val="24"/>
          <w:szCs w:val="24"/>
          <w:lang w:val="en-GB"/>
        </w:rPr>
        <w:t xml:space="preserve">] These considerations in my view, should guide a court in its treatment of the evidence placed before it to confirm the existence or otherwise of a valid authority to institute </w:t>
      </w:r>
      <w:r w:rsidR="008157D8">
        <w:rPr>
          <w:rFonts w:ascii="Times New Roman" w:hAnsi="Times New Roman" w:cs="Times New Roman"/>
          <w:sz w:val="24"/>
          <w:szCs w:val="24"/>
          <w:lang w:val="en-GB"/>
        </w:rPr>
        <w:t>proceedings. Further</w:t>
      </w:r>
      <w:r>
        <w:rPr>
          <w:rFonts w:ascii="Times New Roman" w:hAnsi="Times New Roman" w:cs="Times New Roman"/>
          <w:sz w:val="24"/>
          <w:szCs w:val="24"/>
          <w:lang w:val="en-GB"/>
        </w:rPr>
        <w:t xml:space="preserve">, in </w:t>
      </w:r>
      <w:r w:rsidRPr="003A44AF">
        <w:rPr>
          <w:rFonts w:ascii="Times New Roman" w:hAnsi="Times New Roman" w:cs="Times New Roman"/>
          <w:i/>
          <w:iCs/>
          <w:sz w:val="24"/>
          <w:szCs w:val="24"/>
          <w:lang w:val="en-GB"/>
        </w:rPr>
        <w:t>Peter Valentine</w:t>
      </w:r>
      <w:r>
        <w:rPr>
          <w:rFonts w:ascii="Times New Roman" w:hAnsi="Times New Roman" w:cs="Times New Roman"/>
          <w:sz w:val="24"/>
          <w:szCs w:val="24"/>
          <w:lang w:val="en-GB"/>
        </w:rPr>
        <w:t xml:space="preserve">, the court traversed a number of other </w:t>
      </w:r>
      <w:r w:rsidR="009E29DC">
        <w:rPr>
          <w:rFonts w:ascii="Times New Roman" w:hAnsi="Times New Roman" w:cs="Times New Roman"/>
          <w:sz w:val="24"/>
          <w:szCs w:val="24"/>
          <w:lang w:val="en-GB"/>
        </w:rPr>
        <w:t>aspects</w:t>
      </w:r>
      <w:r w:rsidR="003A44AF">
        <w:rPr>
          <w:rFonts w:ascii="Times New Roman" w:hAnsi="Times New Roman" w:cs="Times New Roman"/>
          <w:sz w:val="24"/>
          <w:szCs w:val="24"/>
          <w:lang w:val="en-GB"/>
        </w:rPr>
        <w:t>-</w:t>
      </w:r>
      <w:r>
        <w:rPr>
          <w:rFonts w:ascii="Times New Roman" w:hAnsi="Times New Roman" w:cs="Times New Roman"/>
          <w:sz w:val="24"/>
          <w:szCs w:val="24"/>
          <w:lang w:val="en-GB"/>
        </w:rPr>
        <w:t xml:space="preserve"> including the</w:t>
      </w:r>
      <w:r w:rsidR="008157D8">
        <w:rPr>
          <w:rFonts w:ascii="Times New Roman" w:hAnsi="Times New Roman" w:cs="Times New Roman"/>
          <w:sz w:val="24"/>
          <w:szCs w:val="24"/>
          <w:lang w:val="en-GB"/>
        </w:rPr>
        <w:t xml:space="preserve"> facts constituting the dispute, the authenticity of the resolution itself as a document, court as well as the</w:t>
      </w:r>
      <w:r>
        <w:rPr>
          <w:rFonts w:ascii="Times New Roman" w:hAnsi="Times New Roman" w:cs="Times New Roman"/>
          <w:sz w:val="24"/>
          <w:szCs w:val="24"/>
          <w:lang w:val="en-GB"/>
        </w:rPr>
        <w:t xml:space="preserve"> existence of an order of court </w:t>
      </w:r>
      <w:r w:rsidR="003A44AF">
        <w:rPr>
          <w:rFonts w:ascii="Times New Roman" w:hAnsi="Times New Roman" w:cs="Times New Roman"/>
          <w:sz w:val="24"/>
          <w:szCs w:val="24"/>
          <w:lang w:val="en-GB"/>
        </w:rPr>
        <w:t xml:space="preserve">-in </w:t>
      </w:r>
      <w:r>
        <w:rPr>
          <w:rFonts w:ascii="Times New Roman" w:hAnsi="Times New Roman" w:cs="Times New Roman"/>
          <w:sz w:val="24"/>
          <w:szCs w:val="24"/>
          <w:lang w:val="en-GB"/>
        </w:rPr>
        <w:t>addressing the</w:t>
      </w:r>
      <w:r w:rsidR="003A44AF">
        <w:rPr>
          <w:rFonts w:ascii="Times New Roman" w:hAnsi="Times New Roman" w:cs="Times New Roman"/>
          <w:sz w:val="24"/>
          <w:szCs w:val="24"/>
          <w:lang w:val="en-GB"/>
        </w:rPr>
        <w:t xml:space="preserve"> validity of a resolution passed to grant a</w:t>
      </w:r>
      <w:r w:rsidR="008157D8">
        <w:rPr>
          <w:rFonts w:ascii="Times New Roman" w:hAnsi="Times New Roman" w:cs="Times New Roman"/>
          <w:sz w:val="24"/>
          <w:szCs w:val="24"/>
          <w:lang w:val="en-GB"/>
        </w:rPr>
        <w:t xml:space="preserve">uthority. </w:t>
      </w:r>
    </w:p>
    <w:p w14:paraId="3B02CD69" w14:textId="00D71580" w:rsidR="00863C18" w:rsidRDefault="008157D8"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n-GB"/>
        </w:rPr>
        <w:t>[</w:t>
      </w:r>
      <w:r w:rsidR="00FB20C2">
        <w:rPr>
          <w:rFonts w:ascii="Times New Roman" w:hAnsi="Times New Roman" w:cs="Times New Roman"/>
          <w:sz w:val="24"/>
          <w:szCs w:val="24"/>
          <w:lang w:val="en-GB"/>
        </w:rPr>
        <w:t>47</w:t>
      </w:r>
      <w:r>
        <w:rPr>
          <w:rFonts w:ascii="Times New Roman" w:hAnsi="Times New Roman" w:cs="Times New Roman"/>
          <w:sz w:val="24"/>
          <w:szCs w:val="24"/>
          <w:lang w:val="en-GB"/>
        </w:rPr>
        <w:t xml:space="preserve">] My </w:t>
      </w:r>
      <w:r w:rsidR="008939B4">
        <w:rPr>
          <w:rFonts w:ascii="Times New Roman" w:hAnsi="Times New Roman" w:cs="Times New Roman"/>
          <w:sz w:val="24"/>
          <w:szCs w:val="24"/>
          <w:lang w:val="en-GB"/>
        </w:rPr>
        <w:t>view, in passing,</w:t>
      </w:r>
      <w:r>
        <w:rPr>
          <w:rFonts w:ascii="Times New Roman" w:hAnsi="Times New Roman" w:cs="Times New Roman"/>
          <w:sz w:val="24"/>
          <w:szCs w:val="24"/>
          <w:lang w:val="en-GB"/>
        </w:rPr>
        <w:t xml:space="preserve"> being that the </w:t>
      </w:r>
      <w:r w:rsidR="005F4960">
        <w:rPr>
          <w:rFonts w:ascii="Times New Roman" w:hAnsi="Times New Roman" w:cs="Times New Roman"/>
          <w:sz w:val="24"/>
          <w:szCs w:val="24"/>
          <w:lang w:val="en-GB"/>
        </w:rPr>
        <w:t>validity of an empowering r</w:t>
      </w:r>
      <w:r>
        <w:rPr>
          <w:rFonts w:ascii="Times New Roman" w:hAnsi="Times New Roman" w:cs="Times New Roman"/>
          <w:sz w:val="24"/>
          <w:szCs w:val="24"/>
          <w:lang w:val="en-GB"/>
        </w:rPr>
        <w:t xml:space="preserve">esolution is an evidentiary inquiry ahead of all else. </w:t>
      </w:r>
      <w:r w:rsidR="00E52269">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Supreme Court </w:t>
      </w:r>
      <w:r w:rsidR="00E52269">
        <w:rPr>
          <w:rFonts w:ascii="Times New Roman" w:hAnsi="Times New Roman" w:cs="Times New Roman"/>
          <w:sz w:val="24"/>
          <w:szCs w:val="24"/>
          <w:lang w:val="en-GB"/>
        </w:rPr>
        <w:t xml:space="preserve">did not </w:t>
      </w:r>
      <w:r>
        <w:rPr>
          <w:rFonts w:ascii="Times New Roman" w:hAnsi="Times New Roman" w:cs="Times New Roman"/>
          <w:sz w:val="24"/>
          <w:szCs w:val="24"/>
          <w:lang w:val="en-GB"/>
        </w:rPr>
        <w:t>pronounce itself on the nature or format of a resolution as a pre-</w:t>
      </w:r>
      <w:r w:rsidR="00B6563A">
        <w:rPr>
          <w:rFonts w:ascii="Times New Roman" w:hAnsi="Times New Roman" w:cs="Times New Roman"/>
          <w:sz w:val="24"/>
          <w:szCs w:val="24"/>
          <w:lang w:val="en-GB"/>
        </w:rPr>
        <w:t xml:space="preserve">condition to </w:t>
      </w:r>
      <w:r>
        <w:rPr>
          <w:rFonts w:ascii="Times New Roman" w:hAnsi="Times New Roman" w:cs="Times New Roman"/>
          <w:sz w:val="24"/>
          <w:szCs w:val="24"/>
          <w:lang w:val="en-GB"/>
        </w:rPr>
        <w:t xml:space="preserve">its validity. </w:t>
      </w:r>
      <w:r w:rsidR="005F4960">
        <w:rPr>
          <w:rFonts w:ascii="Times New Roman" w:hAnsi="Times New Roman" w:cs="Times New Roman"/>
          <w:sz w:val="24"/>
          <w:szCs w:val="24"/>
          <w:lang w:val="en-GB"/>
        </w:rPr>
        <w:t>No</w:t>
      </w:r>
      <w:r>
        <w:rPr>
          <w:rFonts w:ascii="Times New Roman" w:hAnsi="Times New Roman" w:cs="Times New Roman"/>
          <w:sz w:val="24"/>
          <w:szCs w:val="24"/>
          <w:lang w:val="en-GB"/>
        </w:rPr>
        <w:t xml:space="preserve">r </w:t>
      </w:r>
      <w:r w:rsidR="005F4960">
        <w:rPr>
          <w:rFonts w:ascii="Times New Roman" w:hAnsi="Times New Roman" w:cs="Times New Roman"/>
          <w:sz w:val="24"/>
          <w:szCs w:val="24"/>
          <w:lang w:val="en-GB"/>
        </w:rPr>
        <w:t xml:space="preserve">did </w:t>
      </w:r>
      <w:r w:rsidR="00E52269">
        <w:rPr>
          <w:rFonts w:ascii="Times New Roman" w:hAnsi="Times New Roman" w:cs="Times New Roman"/>
          <w:sz w:val="24"/>
          <w:szCs w:val="24"/>
          <w:lang w:val="en-GB"/>
        </w:rPr>
        <w:t>th</w:t>
      </w:r>
      <w:r w:rsidR="008939B4">
        <w:rPr>
          <w:rFonts w:ascii="Times New Roman" w:hAnsi="Times New Roman" w:cs="Times New Roman"/>
          <w:sz w:val="24"/>
          <w:szCs w:val="24"/>
          <w:lang w:val="en-GB"/>
        </w:rPr>
        <w:t>e Supreme Court</w:t>
      </w:r>
      <w:r w:rsidR="005F4960">
        <w:rPr>
          <w:rFonts w:ascii="Times New Roman" w:hAnsi="Times New Roman" w:cs="Times New Roman"/>
          <w:sz w:val="24"/>
          <w:szCs w:val="24"/>
          <w:lang w:val="en-GB"/>
        </w:rPr>
        <w:t>, more specifically,</w:t>
      </w:r>
      <w:r w:rsidR="008939B4">
        <w:rPr>
          <w:rFonts w:ascii="Times New Roman" w:hAnsi="Times New Roman" w:cs="Times New Roman"/>
          <w:sz w:val="24"/>
          <w:szCs w:val="24"/>
          <w:lang w:val="en-GB"/>
        </w:rPr>
        <w:t xml:space="preserve"> declare all anticipatory</w:t>
      </w:r>
      <w:r w:rsidR="00B6563A">
        <w:rPr>
          <w:rFonts w:ascii="Times New Roman" w:hAnsi="Times New Roman" w:cs="Times New Roman"/>
          <w:sz w:val="24"/>
          <w:szCs w:val="24"/>
          <w:lang w:val="en-GB"/>
        </w:rPr>
        <w:t xml:space="preserve">/pre-emptive or </w:t>
      </w:r>
      <w:r w:rsidR="008939B4">
        <w:rPr>
          <w:rFonts w:ascii="Times New Roman" w:hAnsi="Times New Roman" w:cs="Times New Roman"/>
          <w:sz w:val="24"/>
          <w:szCs w:val="24"/>
          <w:lang w:val="en-GB"/>
        </w:rPr>
        <w:t>blanket resolutions</w:t>
      </w:r>
      <w:r>
        <w:rPr>
          <w:rFonts w:ascii="Times New Roman" w:hAnsi="Times New Roman" w:cs="Times New Roman"/>
          <w:sz w:val="24"/>
          <w:szCs w:val="24"/>
          <w:lang w:val="en-GB"/>
        </w:rPr>
        <w:t xml:space="preserve"> setting out generic authorit</w:t>
      </w:r>
      <w:r w:rsidR="00E52269">
        <w:rPr>
          <w:rFonts w:ascii="Times New Roman" w:hAnsi="Times New Roman" w:cs="Times New Roman"/>
          <w:sz w:val="24"/>
          <w:szCs w:val="24"/>
          <w:lang w:val="en-GB"/>
        </w:rPr>
        <w:t>y</w:t>
      </w:r>
      <w:r>
        <w:rPr>
          <w:rFonts w:ascii="Times New Roman" w:hAnsi="Times New Roman" w:cs="Times New Roman"/>
          <w:sz w:val="24"/>
          <w:szCs w:val="24"/>
          <w:lang w:val="en-GB"/>
        </w:rPr>
        <w:t xml:space="preserve"> </w:t>
      </w:r>
      <w:r w:rsidR="005F4960">
        <w:rPr>
          <w:rFonts w:ascii="Times New Roman" w:hAnsi="Times New Roman" w:cs="Times New Roman"/>
          <w:sz w:val="24"/>
          <w:szCs w:val="24"/>
          <w:lang w:val="en-GB"/>
        </w:rPr>
        <w:t xml:space="preserve">as invalid </w:t>
      </w:r>
      <w:r>
        <w:rPr>
          <w:rFonts w:ascii="Times New Roman" w:hAnsi="Times New Roman" w:cs="Times New Roman"/>
          <w:sz w:val="24"/>
          <w:szCs w:val="24"/>
          <w:lang w:val="en-GB"/>
        </w:rPr>
        <w:t xml:space="preserve">as a matter of law. A resolution, when demanded, must meet the requirements set in </w:t>
      </w:r>
      <w:r w:rsidRPr="00914CBC">
        <w:rPr>
          <w:rFonts w:ascii="Times New Roman" w:hAnsi="Times New Roman" w:cs="Times New Roman"/>
          <w:i/>
          <w:iCs/>
          <w:sz w:val="24"/>
          <w:szCs w:val="24"/>
          <w:lang w:val="en-GB"/>
        </w:rPr>
        <w:t xml:space="preserve">Cuthbert Dube v PSMAS </w:t>
      </w:r>
      <w:r>
        <w:rPr>
          <w:rFonts w:ascii="Times New Roman" w:hAnsi="Times New Roman" w:cs="Times New Roman"/>
          <w:sz w:val="24"/>
          <w:szCs w:val="24"/>
          <w:lang w:val="en-GB"/>
        </w:rPr>
        <w:t xml:space="preserve">as elaborated in </w:t>
      </w:r>
      <w:r w:rsidRPr="00914CBC">
        <w:rPr>
          <w:rFonts w:ascii="Times New Roman" w:hAnsi="Times New Roman" w:cs="Times New Roman"/>
          <w:i/>
          <w:iCs/>
          <w:sz w:val="24"/>
          <w:szCs w:val="24"/>
          <w:lang w:val="en-GB"/>
        </w:rPr>
        <w:t>Peter Valentine</w:t>
      </w:r>
      <w:r>
        <w:rPr>
          <w:rFonts w:ascii="Times New Roman" w:hAnsi="Times New Roman" w:cs="Times New Roman"/>
          <w:sz w:val="24"/>
          <w:szCs w:val="24"/>
          <w:lang w:val="en-GB"/>
        </w:rPr>
        <w:t xml:space="preserve">. How a company will seek to do so is a matter entirely within its power. </w:t>
      </w:r>
      <w:r w:rsidR="004C6852" w:rsidRPr="008157D8">
        <w:rPr>
          <w:rFonts w:ascii="Times New Roman" w:hAnsi="Times New Roman" w:cs="Times New Roman"/>
          <w:sz w:val="24"/>
          <w:szCs w:val="24"/>
        </w:rPr>
        <w:t xml:space="preserve"> </w:t>
      </w:r>
    </w:p>
    <w:p w14:paraId="18D3F770" w14:textId="1891A9EC" w:rsidR="00DE3087" w:rsidRDefault="004C6852"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bCs/>
          <w:sz w:val="24"/>
          <w:szCs w:val="24"/>
          <w:lang w:val="en-US"/>
        </w:rPr>
        <w:t>[</w:t>
      </w:r>
      <w:r w:rsidR="00FB20C2">
        <w:rPr>
          <w:rFonts w:ascii="Times New Roman" w:hAnsi="Times New Roman" w:cs="Times New Roman"/>
          <w:bCs/>
          <w:sz w:val="24"/>
          <w:szCs w:val="24"/>
          <w:lang w:val="en-US"/>
        </w:rPr>
        <w:t>48</w:t>
      </w:r>
      <w:r>
        <w:rPr>
          <w:rFonts w:ascii="Times New Roman" w:hAnsi="Times New Roman" w:cs="Times New Roman"/>
          <w:bCs/>
          <w:sz w:val="24"/>
          <w:szCs w:val="24"/>
          <w:lang w:val="en-US"/>
        </w:rPr>
        <w:t xml:space="preserve">] </w:t>
      </w:r>
      <w:r w:rsidR="00162474">
        <w:rPr>
          <w:rFonts w:ascii="Times New Roman" w:hAnsi="Times New Roman" w:cs="Times New Roman"/>
          <w:bCs/>
          <w:sz w:val="24"/>
          <w:szCs w:val="24"/>
          <w:lang w:val="en-US"/>
        </w:rPr>
        <w:t>Given th</w:t>
      </w:r>
      <w:r w:rsidR="0054783F">
        <w:rPr>
          <w:rFonts w:ascii="Times New Roman" w:hAnsi="Times New Roman" w:cs="Times New Roman"/>
          <w:bCs/>
          <w:sz w:val="24"/>
          <w:szCs w:val="24"/>
          <w:lang w:val="en-US"/>
        </w:rPr>
        <w:t xml:space="preserve">at position one must approach the following decisions properly informed by </w:t>
      </w:r>
      <w:r w:rsidR="00162474" w:rsidRPr="00DE3087">
        <w:rPr>
          <w:rFonts w:ascii="Times New Roman" w:hAnsi="Times New Roman" w:cs="Times New Roman"/>
          <w:bCs/>
          <w:i/>
          <w:iCs/>
          <w:sz w:val="24"/>
          <w:szCs w:val="24"/>
          <w:lang w:val="en-US"/>
        </w:rPr>
        <w:t>Cuthbert Dube v PSMA</w:t>
      </w:r>
      <w:r w:rsidR="0054783F">
        <w:rPr>
          <w:rFonts w:ascii="Times New Roman" w:hAnsi="Times New Roman" w:cs="Times New Roman"/>
          <w:bCs/>
          <w:i/>
          <w:iCs/>
          <w:sz w:val="24"/>
          <w:szCs w:val="24"/>
          <w:lang w:val="en-US"/>
        </w:rPr>
        <w:t>S</w:t>
      </w:r>
      <w:r w:rsidR="009E29DC">
        <w:rPr>
          <w:rFonts w:ascii="Times New Roman" w:hAnsi="Times New Roman" w:cs="Times New Roman"/>
          <w:bCs/>
          <w:i/>
          <w:iCs/>
          <w:sz w:val="24"/>
          <w:szCs w:val="24"/>
          <w:lang w:val="en-US"/>
        </w:rPr>
        <w:t>.</w:t>
      </w:r>
      <w:r w:rsidR="00DE3087">
        <w:rPr>
          <w:rFonts w:ascii="Times New Roman" w:hAnsi="Times New Roman" w:cs="Times New Roman"/>
          <w:bCs/>
          <w:sz w:val="24"/>
          <w:szCs w:val="24"/>
          <w:lang w:val="en-US"/>
        </w:rPr>
        <w:t xml:space="preserve">These being </w:t>
      </w:r>
      <w:r w:rsidRPr="00C663DD">
        <w:rPr>
          <w:rFonts w:ascii="Times New Roman" w:hAnsi="Times New Roman" w:cs="Times New Roman"/>
          <w:bCs/>
          <w:i/>
          <w:iCs/>
          <w:sz w:val="24"/>
          <w:szCs w:val="24"/>
        </w:rPr>
        <w:t xml:space="preserve">Beach Consultancy (Pvt) Ltd </w:t>
      </w:r>
      <w:r w:rsidRPr="0033616D">
        <w:rPr>
          <w:rFonts w:ascii="Times New Roman" w:hAnsi="Times New Roman" w:cs="Times New Roman"/>
          <w:bCs/>
          <w:sz w:val="24"/>
          <w:szCs w:val="24"/>
        </w:rPr>
        <w:t>v</w:t>
      </w:r>
      <w:r w:rsidRPr="00C663DD">
        <w:rPr>
          <w:rFonts w:ascii="Times New Roman" w:hAnsi="Times New Roman" w:cs="Times New Roman"/>
          <w:bCs/>
          <w:i/>
          <w:iCs/>
          <w:sz w:val="24"/>
          <w:szCs w:val="24"/>
        </w:rPr>
        <w:t xml:space="preserve"> Makonya &amp; Anor</w:t>
      </w:r>
      <w:r>
        <w:rPr>
          <w:rFonts w:ascii="Times New Roman" w:hAnsi="Times New Roman" w:cs="Times New Roman"/>
          <w:bCs/>
          <w:i/>
          <w:iCs/>
          <w:sz w:val="24"/>
          <w:szCs w:val="24"/>
        </w:rPr>
        <w:t>,</w:t>
      </w:r>
      <w:r w:rsidRPr="00885DFD">
        <w:rPr>
          <w:rFonts w:ascii="Times New Roman" w:hAnsi="Times New Roman" w:cs="Times New Roman"/>
          <w:bCs/>
          <w:i/>
          <w:iCs/>
          <w:sz w:val="24"/>
          <w:szCs w:val="24"/>
        </w:rPr>
        <w:t xml:space="preserve"> </w:t>
      </w:r>
      <w:r w:rsidRPr="006951E0">
        <w:rPr>
          <w:rFonts w:ascii="Times New Roman" w:hAnsi="Times New Roman" w:cs="Times New Roman"/>
          <w:bCs/>
          <w:i/>
          <w:iCs/>
          <w:sz w:val="24"/>
          <w:szCs w:val="24"/>
        </w:rPr>
        <w:t xml:space="preserve">Leechiz Investments (Pvt) Ltd </w:t>
      </w:r>
      <w:r w:rsidRPr="0033616D">
        <w:rPr>
          <w:rFonts w:ascii="Times New Roman" w:hAnsi="Times New Roman" w:cs="Times New Roman"/>
          <w:bCs/>
          <w:sz w:val="24"/>
          <w:szCs w:val="24"/>
        </w:rPr>
        <w:t>v</w:t>
      </w:r>
      <w:r w:rsidRPr="006951E0">
        <w:rPr>
          <w:rFonts w:ascii="Times New Roman" w:hAnsi="Times New Roman" w:cs="Times New Roman"/>
          <w:bCs/>
          <w:i/>
          <w:iCs/>
          <w:sz w:val="24"/>
          <w:szCs w:val="24"/>
        </w:rPr>
        <w:t xml:space="preserve"> Central Africa Building Society</w:t>
      </w:r>
      <w:r>
        <w:rPr>
          <w:rFonts w:ascii="Times New Roman" w:hAnsi="Times New Roman" w:cs="Times New Roman"/>
          <w:bCs/>
          <w:i/>
          <w:iCs/>
          <w:sz w:val="24"/>
          <w:szCs w:val="24"/>
        </w:rPr>
        <w:t>,</w:t>
      </w:r>
      <w:r w:rsidRPr="00C663DD">
        <w:rPr>
          <w:rFonts w:ascii="Times New Roman" w:hAnsi="Times New Roman" w:cs="Times New Roman"/>
          <w:bCs/>
          <w:i/>
          <w:iCs/>
          <w:sz w:val="24"/>
          <w:szCs w:val="24"/>
        </w:rPr>
        <w:t xml:space="preserve"> Latifa Sidat &amp; Ors v Nazirf </w:t>
      </w:r>
      <w:r w:rsidRPr="00C663DD">
        <w:rPr>
          <w:rFonts w:ascii="Times New Roman" w:hAnsi="Times New Roman" w:cs="Times New Roman"/>
          <w:bCs/>
          <w:i/>
          <w:iCs/>
          <w:sz w:val="24"/>
          <w:szCs w:val="24"/>
        </w:rPr>
        <w:lastRenderedPageBreak/>
        <w:t>Lambat &amp; Ors</w:t>
      </w:r>
      <w:r>
        <w:rPr>
          <w:rFonts w:ascii="Times New Roman" w:hAnsi="Times New Roman" w:cs="Times New Roman"/>
          <w:bCs/>
          <w:i/>
          <w:iCs/>
          <w:sz w:val="24"/>
          <w:szCs w:val="24"/>
        </w:rPr>
        <w:t>,</w:t>
      </w:r>
      <w:r>
        <w:rPr>
          <w:rFonts w:ascii="Times New Roman" w:hAnsi="Times New Roman" w:cs="Times New Roman"/>
          <w:bCs/>
          <w:sz w:val="24"/>
          <w:szCs w:val="24"/>
        </w:rPr>
        <w:t xml:space="preserve"> and </w:t>
      </w:r>
      <w:r w:rsidRPr="004A72B3">
        <w:rPr>
          <w:rFonts w:ascii="Times New Roman" w:hAnsi="Times New Roman" w:cs="Times New Roman"/>
          <w:i/>
          <w:iCs/>
          <w:sz w:val="24"/>
          <w:szCs w:val="24"/>
        </w:rPr>
        <w:t>Arosume Property Development (Pvt) Ltd</w:t>
      </w:r>
      <w:r w:rsidRPr="004A72B3">
        <w:rPr>
          <w:rFonts w:ascii="Times New Roman" w:hAnsi="Times New Roman" w:cs="Times New Roman"/>
          <w:sz w:val="24"/>
          <w:szCs w:val="24"/>
        </w:rPr>
        <w:t xml:space="preserve"> v </w:t>
      </w:r>
      <w:r w:rsidRPr="00715318">
        <w:rPr>
          <w:rFonts w:ascii="Times New Roman" w:hAnsi="Times New Roman" w:cs="Times New Roman"/>
          <w:i/>
          <w:iCs/>
          <w:sz w:val="24"/>
          <w:szCs w:val="24"/>
        </w:rPr>
        <w:t>Mashonganyika &amp;</w:t>
      </w:r>
      <w:r w:rsidRPr="004A72B3">
        <w:rPr>
          <w:rFonts w:ascii="Times New Roman" w:hAnsi="Times New Roman" w:cs="Times New Roman"/>
          <w:i/>
          <w:iCs/>
          <w:sz w:val="24"/>
          <w:szCs w:val="24"/>
        </w:rPr>
        <w:t xml:space="preserve"> </w:t>
      </w:r>
      <w:r w:rsidR="00C473D5" w:rsidRPr="004A72B3">
        <w:rPr>
          <w:rFonts w:ascii="Times New Roman" w:hAnsi="Times New Roman" w:cs="Times New Roman"/>
          <w:i/>
          <w:iCs/>
          <w:sz w:val="24"/>
          <w:szCs w:val="24"/>
        </w:rPr>
        <w:t>Anor</w:t>
      </w:r>
      <w:r w:rsidR="00C473D5" w:rsidRPr="004A72B3">
        <w:rPr>
          <w:rFonts w:ascii="Times New Roman" w:hAnsi="Times New Roman" w:cs="Times New Roman"/>
          <w:sz w:val="24"/>
          <w:szCs w:val="24"/>
        </w:rPr>
        <w:t xml:space="preserve"> </w:t>
      </w:r>
      <w:r w:rsidR="00C473D5">
        <w:rPr>
          <w:rFonts w:ascii="Times New Roman" w:hAnsi="Times New Roman" w:cs="Times New Roman"/>
          <w:sz w:val="24"/>
          <w:szCs w:val="24"/>
        </w:rPr>
        <w:t xml:space="preserve">(supra) </w:t>
      </w:r>
      <w:r w:rsidR="00DE3087">
        <w:rPr>
          <w:rFonts w:ascii="Times New Roman" w:hAnsi="Times New Roman" w:cs="Times New Roman"/>
          <w:sz w:val="24"/>
          <w:szCs w:val="24"/>
        </w:rPr>
        <w:t xml:space="preserve">which declared </w:t>
      </w:r>
      <w:r w:rsidR="00E87439">
        <w:rPr>
          <w:rFonts w:ascii="Times New Roman" w:hAnsi="Times New Roman" w:cs="Times New Roman"/>
          <w:sz w:val="24"/>
          <w:szCs w:val="24"/>
        </w:rPr>
        <w:t>blanket</w:t>
      </w:r>
      <w:r>
        <w:rPr>
          <w:rFonts w:ascii="Times New Roman" w:hAnsi="Times New Roman" w:cs="Times New Roman"/>
          <w:sz w:val="24"/>
          <w:szCs w:val="24"/>
        </w:rPr>
        <w:t xml:space="preserve"> resolutions as </w:t>
      </w:r>
      <w:r w:rsidR="00E43E20">
        <w:rPr>
          <w:rFonts w:ascii="Times New Roman" w:hAnsi="Times New Roman" w:cs="Times New Roman"/>
          <w:sz w:val="24"/>
          <w:szCs w:val="24"/>
        </w:rPr>
        <w:t>invalid</w:t>
      </w:r>
      <w:r w:rsidR="0054783F">
        <w:rPr>
          <w:rFonts w:ascii="Times New Roman" w:hAnsi="Times New Roman" w:cs="Times New Roman"/>
          <w:sz w:val="24"/>
          <w:szCs w:val="24"/>
        </w:rPr>
        <w:t>.</w:t>
      </w:r>
      <w:r w:rsidR="00E87439">
        <w:rPr>
          <w:rFonts w:ascii="Times New Roman" w:hAnsi="Times New Roman" w:cs="Times New Roman"/>
          <w:sz w:val="24"/>
          <w:szCs w:val="24"/>
        </w:rPr>
        <w:t xml:space="preserve"> </w:t>
      </w:r>
    </w:p>
    <w:p w14:paraId="19B3CB99" w14:textId="74B72248" w:rsidR="004C6852" w:rsidRDefault="00DE3087"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FB20C2">
        <w:rPr>
          <w:rFonts w:ascii="Times New Roman" w:hAnsi="Times New Roman" w:cs="Times New Roman"/>
          <w:sz w:val="24"/>
          <w:szCs w:val="24"/>
        </w:rPr>
        <w:t>49</w:t>
      </w:r>
      <w:r>
        <w:rPr>
          <w:rFonts w:ascii="Times New Roman" w:hAnsi="Times New Roman" w:cs="Times New Roman"/>
          <w:sz w:val="24"/>
          <w:szCs w:val="24"/>
        </w:rPr>
        <w:t>] I note that i</w:t>
      </w:r>
      <w:r w:rsidR="00914CBC">
        <w:rPr>
          <w:rFonts w:ascii="Times New Roman" w:hAnsi="Times New Roman" w:cs="Times New Roman"/>
          <w:sz w:val="24"/>
          <w:szCs w:val="24"/>
        </w:rPr>
        <w:t>n</w:t>
      </w:r>
      <w:r w:rsidR="00E43E20">
        <w:rPr>
          <w:rFonts w:ascii="Times New Roman" w:hAnsi="Times New Roman" w:cs="Times New Roman"/>
          <w:sz w:val="24"/>
          <w:szCs w:val="24"/>
        </w:rPr>
        <w:t xml:space="preserve"> </w:t>
      </w:r>
      <w:r w:rsidR="00E43E20" w:rsidRPr="00901006">
        <w:rPr>
          <w:rFonts w:ascii="Times New Roman" w:hAnsi="Times New Roman" w:cs="Times New Roman"/>
          <w:i/>
          <w:iCs/>
          <w:sz w:val="24"/>
          <w:szCs w:val="24"/>
        </w:rPr>
        <w:t>Latifa Sidat</w:t>
      </w:r>
      <w:r w:rsidR="00E43E20">
        <w:rPr>
          <w:rFonts w:ascii="Times New Roman" w:hAnsi="Times New Roman" w:cs="Times New Roman"/>
          <w:sz w:val="24"/>
          <w:szCs w:val="24"/>
        </w:rPr>
        <w:t xml:space="preserve">, this court per </w:t>
      </w:r>
      <w:r w:rsidR="00E43E20" w:rsidRPr="00901006">
        <w:rPr>
          <w:rFonts w:ascii="Times New Roman" w:hAnsi="Times New Roman" w:cs="Times New Roman"/>
        </w:rPr>
        <w:t>CHITAPI J</w:t>
      </w:r>
      <w:r w:rsidR="00E87439">
        <w:rPr>
          <w:rFonts w:ascii="Times New Roman" w:hAnsi="Times New Roman" w:cs="Times New Roman"/>
        </w:rPr>
        <w:t>,</w:t>
      </w:r>
      <w:r w:rsidR="00E43E20">
        <w:rPr>
          <w:rFonts w:ascii="Times New Roman" w:hAnsi="Times New Roman" w:cs="Times New Roman"/>
          <w:sz w:val="24"/>
          <w:szCs w:val="24"/>
        </w:rPr>
        <w:t xml:space="preserve"> whilst </w:t>
      </w:r>
      <w:r w:rsidR="00E52269">
        <w:rPr>
          <w:rFonts w:ascii="Times New Roman" w:hAnsi="Times New Roman" w:cs="Times New Roman"/>
          <w:sz w:val="24"/>
          <w:szCs w:val="24"/>
        </w:rPr>
        <w:t xml:space="preserve">disapproving </w:t>
      </w:r>
      <w:r w:rsidR="00E43E20">
        <w:rPr>
          <w:rFonts w:ascii="Times New Roman" w:hAnsi="Times New Roman" w:cs="Times New Roman"/>
          <w:sz w:val="24"/>
          <w:szCs w:val="24"/>
        </w:rPr>
        <w:t xml:space="preserve">blanket </w:t>
      </w:r>
      <w:r w:rsidR="00901006">
        <w:rPr>
          <w:rFonts w:ascii="Times New Roman" w:hAnsi="Times New Roman" w:cs="Times New Roman"/>
          <w:sz w:val="24"/>
          <w:szCs w:val="24"/>
        </w:rPr>
        <w:t xml:space="preserve">authority, </w:t>
      </w:r>
      <w:r w:rsidR="00914CBC">
        <w:rPr>
          <w:rFonts w:ascii="Times New Roman" w:hAnsi="Times New Roman" w:cs="Times New Roman"/>
          <w:sz w:val="24"/>
          <w:szCs w:val="24"/>
        </w:rPr>
        <w:t xml:space="preserve">appeared </w:t>
      </w:r>
      <w:r w:rsidR="00E43E20">
        <w:rPr>
          <w:rFonts w:ascii="Times New Roman" w:hAnsi="Times New Roman" w:cs="Times New Roman"/>
          <w:sz w:val="24"/>
          <w:szCs w:val="24"/>
        </w:rPr>
        <w:t>circumspect and observed as follows; -</w:t>
      </w:r>
    </w:p>
    <w:p w14:paraId="6409D3D0" w14:textId="56BEEC3F" w:rsidR="00162474" w:rsidRDefault="00E43E20" w:rsidP="00E43E20">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bCs/>
          <w:sz w:val="24"/>
          <w:szCs w:val="24"/>
          <w:lang w:val="en-US"/>
        </w:rPr>
        <w:t>“</w:t>
      </w:r>
      <w:r>
        <w:rPr>
          <w:rFonts w:ascii="Times New Roman" w:hAnsi="Times New Roman" w:cs="Times New Roman"/>
          <w:sz w:val="24"/>
          <w:szCs w:val="24"/>
        </w:rPr>
        <w:t xml:space="preserve">A blanket authority to represent the juristic entity and litigate is not valid </w:t>
      </w:r>
      <w:r w:rsidRPr="00E87439">
        <w:rPr>
          <w:rFonts w:ascii="Times New Roman" w:hAnsi="Times New Roman" w:cs="Times New Roman"/>
          <w:b/>
          <w:bCs/>
          <w:sz w:val="24"/>
          <w:szCs w:val="24"/>
          <w:u w:val="single"/>
        </w:rPr>
        <w:t>unless</w:t>
      </w:r>
      <w:r>
        <w:rPr>
          <w:rFonts w:ascii="Times New Roman" w:hAnsi="Times New Roman" w:cs="Times New Roman"/>
          <w:sz w:val="24"/>
          <w:szCs w:val="24"/>
        </w:rPr>
        <w:t xml:space="preserve"> it relates to a specific cause or matter that must be instituted or defended as the case maybe. Thus, whilst the authority to represent the company may be generalized, when it comes to litigation, </w:t>
      </w:r>
      <w:r w:rsidRPr="00E87439">
        <w:rPr>
          <w:rFonts w:ascii="Times New Roman" w:hAnsi="Times New Roman" w:cs="Times New Roman"/>
          <w:sz w:val="24"/>
          <w:szCs w:val="24"/>
          <w:u w:val="single"/>
        </w:rPr>
        <w:t>the entity must specially authorize the institution of litigation or the defence of a litigation</w:t>
      </w:r>
      <w:r>
        <w:rPr>
          <w:rFonts w:ascii="Times New Roman" w:hAnsi="Times New Roman" w:cs="Times New Roman"/>
          <w:sz w:val="24"/>
          <w:szCs w:val="24"/>
        </w:rPr>
        <w:t xml:space="preserve">.”  </w:t>
      </w:r>
      <w:r w:rsidR="00E87439">
        <w:rPr>
          <w:rFonts w:ascii="Times New Roman" w:hAnsi="Times New Roman" w:cs="Times New Roman"/>
          <w:sz w:val="24"/>
          <w:szCs w:val="24"/>
        </w:rPr>
        <w:t>[ underlined for emphasis].</w:t>
      </w:r>
    </w:p>
    <w:p w14:paraId="2B9AE1BF" w14:textId="2FD29847" w:rsidR="00162474" w:rsidRDefault="00162474" w:rsidP="00162474">
      <w:pPr>
        <w:pStyle w:val="NoSpacing"/>
        <w:spacing w:before="240" w:line="360" w:lineRule="auto"/>
        <w:jc w:val="both"/>
        <w:rPr>
          <w:rFonts w:ascii="Times New Roman" w:hAnsi="Times New Roman" w:cs="Times New Roman"/>
          <w:bCs/>
          <w:sz w:val="24"/>
          <w:szCs w:val="24"/>
        </w:rPr>
      </w:pPr>
      <w:r>
        <w:rPr>
          <w:rFonts w:ascii="Times New Roman" w:hAnsi="Times New Roman" w:cs="Times New Roman"/>
          <w:sz w:val="24"/>
          <w:szCs w:val="24"/>
        </w:rPr>
        <w:t>[5</w:t>
      </w:r>
      <w:r w:rsidR="00FB20C2">
        <w:rPr>
          <w:rFonts w:ascii="Times New Roman" w:hAnsi="Times New Roman" w:cs="Times New Roman"/>
          <w:sz w:val="24"/>
          <w:szCs w:val="24"/>
        </w:rPr>
        <w:t>0</w:t>
      </w:r>
      <w:r>
        <w:rPr>
          <w:rFonts w:ascii="Times New Roman" w:hAnsi="Times New Roman" w:cs="Times New Roman"/>
          <w:sz w:val="24"/>
          <w:szCs w:val="24"/>
        </w:rPr>
        <w:t xml:space="preserve">] </w:t>
      </w:r>
      <w:r w:rsidR="00DE3087">
        <w:rPr>
          <w:rFonts w:ascii="Times New Roman" w:hAnsi="Times New Roman" w:cs="Times New Roman"/>
          <w:sz w:val="24"/>
          <w:szCs w:val="24"/>
        </w:rPr>
        <w:t>Similarly, i</w:t>
      </w:r>
      <w:r>
        <w:rPr>
          <w:rFonts w:ascii="Times New Roman" w:hAnsi="Times New Roman" w:cs="Times New Roman"/>
          <w:sz w:val="24"/>
          <w:szCs w:val="24"/>
        </w:rPr>
        <w:t xml:space="preserve">n </w:t>
      </w:r>
      <w:r w:rsidRPr="008157D8">
        <w:rPr>
          <w:rFonts w:ascii="Times New Roman" w:hAnsi="Times New Roman" w:cs="Times New Roman"/>
          <w:bCs/>
          <w:i/>
          <w:iCs/>
          <w:sz w:val="24"/>
          <w:szCs w:val="24"/>
        </w:rPr>
        <w:t>Romeo Mkandla v PPC Zimbabwe Ltd &amp; Anor</w:t>
      </w:r>
      <w:r w:rsidRPr="008157D8">
        <w:rPr>
          <w:rFonts w:ascii="Times New Roman" w:hAnsi="Times New Roman" w:cs="Times New Roman"/>
          <w:bCs/>
          <w:sz w:val="24"/>
          <w:szCs w:val="24"/>
        </w:rPr>
        <w:t xml:space="preserve"> HB 151-24, </w:t>
      </w:r>
      <w:r>
        <w:rPr>
          <w:rFonts w:ascii="Times New Roman" w:hAnsi="Times New Roman" w:cs="Times New Roman"/>
          <w:bCs/>
          <w:sz w:val="24"/>
          <w:szCs w:val="24"/>
        </w:rPr>
        <w:t>this court, per my sister KABASA J, upheld as valid a resolution in the following terms; -</w:t>
      </w:r>
    </w:p>
    <w:p w14:paraId="6FD3371F" w14:textId="77777777" w:rsidR="00162474" w:rsidRDefault="00162474" w:rsidP="00162474">
      <w:pPr>
        <w:spacing w:line="360" w:lineRule="auto"/>
        <w:ind w:left="737"/>
        <w:jc w:val="both"/>
        <w:rPr>
          <w:rFonts w:ascii="Times New Roman" w:eastAsia="Calibri" w:hAnsi="Times New Roman" w:cs="Times New Roman"/>
          <w:sz w:val="24"/>
          <w:szCs w:val="24"/>
          <w:lang w:val="en-US"/>
        </w:rPr>
      </w:pPr>
      <w:r>
        <w:rPr>
          <w:rFonts w:ascii="Times New Roman" w:hAnsi="Times New Roman" w:cs="Times New Roman"/>
          <w:bCs/>
          <w:sz w:val="24"/>
          <w:szCs w:val="24"/>
        </w:rPr>
        <w:t>“</w:t>
      </w:r>
      <w:r w:rsidRPr="004C6852">
        <w:rPr>
          <w:rFonts w:ascii="Times New Roman" w:eastAsia="Calibri" w:hAnsi="Times New Roman" w:cs="Times New Roman"/>
          <w:sz w:val="24"/>
          <w:szCs w:val="24"/>
          <w:lang w:val="en-US"/>
        </w:rPr>
        <w:t>It was resolved that: -The Head of Legal and Compliance in the Company, Stephen Nyabadza, will sign all affidavits that may need to be signed in any court of law in Zimbabwe in matters that involve the company and any miner or holder of a mining claim pegged on any of applicant’s lands in Zimbabwe. Such matters will involve among other issues, challenging the pegging of such mining claims on applicant’s claims and seeking any such order as the company may deem fit to challenge such pegging or issuance of certificate of registration on any licences including seeking declaratory orders where necessary.  He will do everything he will deem necessary to lawfully protect the interests of the company in this regard.”</w:t>
      </w:r>
    </w:p>
    <w:p w14:paraId="42CE6678" w14:textId="5B969300" w:rsidR="00DE3087" w:rsidRDefault="00DE3087" w:rsidP="00DE3087">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FB20C2">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 xml:space="preserve">] I may also draw attention to the fact that this court actually approved </w:t>
      </w:r>
      <w:r w:rsidR="0040773B">
        <w:rPr>
          <w:rFonts w:ascii="Times New Roman" w:eastAsia="Calibri" w:hAnsi="Times New Roman" w:cs="Times New Roman"/>
          <w:sz w:val="24"/>
          <w:szCs w:val="24"/>
          <w:lang w:val="en-US"/>
        </w:rPr>
        <w:t xml:space="preserve">a </w:t>
      </w:r>
      <w:r>
        <w:rPr>
          <w:rFonts w:ascii="Times New Roman" w:eastAsia="Calibri" w:hAnsi="Times New Roman" w:cs="Times New Roman"/>
          <w:sz w:val="24"/>
          <w:szCs w:val="24"/>
          <w:lang w:val="en-US"/>
        </w:rPr>
        <w:t xml:space="preserve">blanket resolution prior to </w:t>
      </w:r>
      <w:r w:rsidR="0040773B" w:rsidRPr="00C663DD">
        <w:rPr>
          <w:rFonts w:ascii="Times New Roman" w:hAnsi="Times New Roman" w:cs="Times New Roman"/>
          <w:bCs/>
          <w:i/>
          <w:iCs/>
          <w:sz w:val="24"/>
          <w:szCs w:val="24"/>
        </w:rPr>
        <w:t xml:space="preserve">Beach Consultancy (Pvt) Ltd </w:t>
      </w:r>
      <w:r w:rsidR="0040773B" w:rsidRPr="0033616D">
        <w:rPr>
          <w:rFonts w:ascii="Times New Roman" w:hAnsi="Times New Roman" w:cs="Times New Roman"/>
          <w:bCs/>
          <w:sz w:val="24"/>
          <w:szCs w:val="24"/>
        </w:rPr>
        <w:t>v</w:t>
      </w:r>
      <w:r w:rsidR="0040773B" w:rsidRPr="00C663DD">
        <w:rPr>
          <w:rFonts w:ascii="Times New Roman" w:hAnsi="Times New Roman" w:cs="Times New Roman"/>
          <w:bCs/>
          <w:i/>
          <w:iCs/>
          <w:sz w:val="24"/>
          <w:szCs w:val="24"/>
        </w:rPr>
        <w:t xml:space="preserve"> Makonya &amp; Anor</w:t>
      </w:r>
      <w:r w:rsidR="0040773B">
        <w:rPr>
          <w:rFonts w:ascii="Times New Roman" w:eastAsia="Calibri" w:hAnsi="Times New Roman" w:cs="Times New Roman"/>
          <w:sz w:val="24"/>
          <w:szCs w:val="24"/>
          <w:lang w:val="en-US"/>
        </w:rPr>
        <w:t xml:space="preserve"> in </w:t>
      </w:r>
      <w:r w:rsidR="0040773B" w:rsidRPr="0040773B">
        <w:rPr>
          <w:rFonts w:ascii="Times New Roman" w:eastAsia="Calibri" w:hAnsi="Times New Roman" w:cs="Times New Roman"/>
          <w:i/>
          <w:iCs/>
          <w:sz w:val="24"/>
          <w:szCs w:val="24"/>
          <w:lang w:val="en-US"/>
        </w:rPr>
        <w:t>Esau</w:t>
      </w:r>
      <w:r w:rsidRPr="0040773B">
        <w:rPr>
          <w:rFonts w:ascii="Times New Roman" w:eastAsia="Calibri" w:hAnsi="Times New Roman" w:cs="Times New Roman"/>
          <w:i/>
          <w:iCs/>
          <w:sz w:val="24"/>
          <w:szCs w:val="24"/>
          <w:lang w:val="en-US"/>
        </w:rPr>
        <w:t xml:space="preserve"> G</w:t>
      </w:r>
      <w:r w:rsidRPr="00DE3087">
        <w:rPr>
          <w:rFonts w:ascii="Times New Roman" w:eastAsia="Calibri" w:hAnsi="Times New Roman" w:cs="Times New Roman"/>
          <w:i/>
          <w:iCs/>
          <w:sz w:val="24"/>
          <w:szCs w:val="24"/>
          <w:lang w:val="en-US"/>
        </w:rPr>
        <w:t xml:space="preserve">watipedza Dube v </w:t>
      </w:r>
      <w:r w:rsidRPr="00DE3087">
        <w:rPr>
          <w:rFonts w:ascii="Times New Roman" w:eastAsia="Calibri" w:hAnsi="Times New Roman" w:cs="Times New Roman"/>
          <w:i/>
          <w:iCs/>
          <w:sz w:val="24"/>
          <w:szCs w:val="24"/>
        </w:rPr>
        <w:t>The Minister of Local Government, Public Works &amp; National Housing N.O. &amp; 4 Ors</w:t>
      </w:r>
      <w:r>
        <w:rPr>
          <w:rFonts w:ascii="Times New Roman" w:eastAsia="Calibri" w:hAnsi="Times New Roman" w:cs="Times New Roman"/>
          <w:sz w:val="24"/>
          <w:szCs w:val="24"/>
        </w:rPr>
        <w:t xml:space="preserve"> HMA 54-17 </w:t>
      </w:r>
      <w:r>
        <w:rPr>
          <w:rFonts w:ascii="Times New Roman" w:eastAsia="Calibri" w:hAnsi="Times New Roman" w:cs="Times New Roman"/>
          <w:sz w:val="24"/>
          <w:szCs w:val="24"/>
          <w:lang w:val="en-US"/>
        </w:rPr>
        <w:t xml:space="preserve">where </w:t>
      </w:r>
      <w:r w:rsidRPr="00DE3087">
        <w:rPr>
          <w:rFonts w:ascii="Times New Roman" w:eastAsia="Calibri" w:hAnsi="Times New Roman" w:cs="Times New Roman"/>
          <w:lang w:val="en-US"/>
        </w:rPr>
        <w:t>MAFUSIRE J</w:t>
      </w:r>
      <w:r>
        <w:rPr>
          <w:rFonts w:ascii="Times New Roman" w:eastAsia="Calibri" w:hAnsi="Times New Roman" w:cs="Times New Roman"/>
          <w:sz w:val="24"/>
          <w:szCs w:val="24"/>
          <w:lang w:val="en-US"/>
        </w:rPr>
        <w:t xml:space="preserve"> upheld a blanket authority in the following terms; -</w:t>
      </w:r>
    </w:p>
    <w:p w14:paraId="27F47D79" w14:textId="77777777" w:rsidR="00DE3087" w:rsidRDefault="00DE3087" w:rsidP="00DE3087">
      <w:pPr>
        <w:spacing w:after="0" w:line="240" w:lineRule="auto"/>
        <w:jc w:val="both"/>
        <w:rPr>
          <w:rFonts w:ascii="Times New Roman" w:eastAsia="Calibri" w:hAnsi="Times New Roman" w:cs="Times New Roman"/>
          <w:sz w:val="24"/>
          <w:szCs w:val="24"/>
          <w:lang w:val="en-US"/>
        </w:rPr>
      </w:pPr>
    </w:p>
    <w:p w14:paraId="7827D81E" w14:textId="1D0B327F" w:rsidR="00162474" w:rsidRPr="004C6852" w:rsidRDefault="00DE3087" w:rsidP="0040773B">
      <w:pPr>
        <w:spacing w:line="360" w:lineRule="auto"/>
        <w:ind w:left="737"/>
        <w:jc w:val="both"/>
        <w:rPr>
          <w:rFonts w:ascii="Times New Roman" w:hAnsi="Times New Roman" w:cs="Times New Roman"/>
          <w:bCs/>
          <w:sz w:val="24"/>
          <w:szCs w:val="24"/>
          <w:lang w:val="en-US"/>
        </w:rPr>
      </w:pPr>
      <w:r w:rsidRPr="00DE3087">
        <w:rPr>
          <w:rFonts w:ascii="Times New Roman" w:eastAsia="Calibri" w:hAnsi="Times New Roman" w:cs="Times New Roman"/>
          <w:i/>
          <w:iCs/>
          <w:sz w:val="24"/>
          <w:szCs w:val="24"/>
        </w:rPr>
        <w:t>“[3]</w:t>
      </w:r>
      <w:r>
        <w:rPr>
          <w:rFonts w:ascii="Times New Roman" w:eastAsia="Calibri" w:hAnsi="Times New Roman" w:cs="Times New Roman"/>
          <w:sz w:val="24"/>
          <w:szCs w:val="24"/>
        </w:rPr>
        <w:t xml:space="preserve"> ………...</w:t>
      </w:r>
      <w:r w:rsidRPr="00DE3087">
        <w:rPr>
          <w:rFonts w:ascii="Times New Roman" w:eastAsia="Calibri" w:hAnsi="Times New Roman" w:cs="Times New Roman"/>
          <w:sz w:val="24"/>
          <w:szCs w:val="24"/>
        </w:rPr>
        <w:t xml:space="preserve">It was spurious. It was just meant to waste time. Among other things, </w:t>
      </w:r>
      <w:r w:rsidRPr="0040773B">
        <w:rPr>
          <w:rFonts w:ascii="Times New Roman" w:eastAsia="Calibri" w:hAnsi="Times New Roman" w:cs="Times New Roman"/>
          <w:sz w:val="24"/>
          <w:szCs w:val="24"/>
          <w:u w:val="single"/>
        </w:rPr>
        <w:t xml:space="preserve">there was a council resolution attached to the notice of opposition by council authorising the town secretary to represent it in </w:t>
      </w:r>
      <w:r w:rsidRPr="0040773B">
        <w:rPr>
          <w:rFonts w:ascii="Times New Roman" w:eastAsia="Calibri" w:hAnsi="Times New Roman" w:cs="Times New Roman"/>
          <w:b/>
          <w:bCs/>
          <w:i/>
          <w:iCs/>
          <w:sz w:val="24"/>
          <w:szCs w:val="24"/>
          <w:u w:val="single"/>
        </w:rPr>
        <w:t>any legal proceedings</w:t>
      </w:r>
      <w:r w:rsidRPr="00DE3087">
        <w:rPr>
          <w:rFonts w:ascii="Times New Roman" w:eastAsia="Calibri" w:hAnsi="Times New Roman" w:cs="Times New Roman"/>
          <w:sz w:val="24"/>
          <w:szCs w:val="24"/>
        </w:rPr>
        <w:t>.</w:t>
      </w:r>
      <w:r>
        <w:rPr>
          <w:rFonts w:ascii="Times New Roman" w:eastAsia="Calibri" w:hAnsi="Times New Roman" w:cs="Times New Roman"/>
          <w:sz w:val="24"/>
          <w:szCs w:val="24"/>
        </w:rPr>
        <w:t>”</w:t>
      </w:r>
      <w:r w:rsidR="0040773B">
        <w:rPr>
          <w:rFonts w:ascii="Times New Roman" w:eastAsia="Calibri" w:hAnsi="Times New Roman" w:cs="Times New Roman"/>
          <w:sz w:val="24"/>
          <w:szCs w:val="24"/>
        </w:rPr>
        <w:t xml:space="preserve"> [ underlined, italicised and bolded for emphasis]</w:t>
      </w:r>
    </w:p>
    <w:p w14:paraId="267C7099" w14:textId="09D4A605" w:rsidR="004C6852" w:rsidRPr="00091914" w:rsidRDefault="00901006" w:rsidP="004A72B3">
      <w:pPr>
        <w:pStyle w:val="NoSpacing"/>
        <w:spacing w:before="240" w:line="360" w:lineRule="auto"/>
        <w:jc w:val="both"/>
        <w:rPr>
          <w:rFonts w:ascii="Times New Roman" w:hAnsi="Times New Roman" w:cs="Times New Roman"/>
          <w:b/>
          <w:bCs/>
          <w:i/>
          <w:iCs/>
          <w:sz w:val="24"/>
          <w:szCs w:val="24"/>
        </w:rPr>
      </w:pPr>
      <w:r w:rsidRPr="00091914">
        <w:rPr>
          <w:rFonts w:ascii="Times New Roman" w:hAnsi="Times New Roman" w:cs="Times New Roman"/>
          <w:b/>
          <w:bCs/>
          <w:i/>
          <w:iCs/>
          <w:sz w:val="24"/>
          <w:szCs w:val="24"/>
        </w:rPr>
        <w:t>T</w:t>
      </w:r>
      <w:r w:rsidR="00C500B1" w:rsidRPr="00091914">
        <w:rPr>
          <w:rFonts w:ascii="Times New Roman" w:hAnsi="Times New Roman" w:cs="Times New Roman"/>
          <w:b/>
          <w:bCs/>
          <w:i/>
          <w:iCs/>
          <w:sz w:val="24"/>
          <w:szCs w:val="24"/>
        </w:rPr>
        <w:t xml:space="preserve">he rationale in Beach Consultancy (Pvt) Ltd v Makonya &amp; Anor </w:t>
      </w:r>
    </w:p>
    <w:p w14:paraId="00D520E2" w14:textId="7F53FE0E" w:rsidR="00091914" w:rsidRDefault="00901006" w:rsidP="00091914">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w:t>
      </w:r>
      <w:r w:rsidR="008D5E19">
        <w:rPr>
          <w:rFonts w:ascii="Times New Roman" w:hAnsi="Times New Roman" w:cs="Times New Roman"/>
          <w:sz w:val="24"/>
          <w:szCs w:val="24"/>
        </w:rPr>
        <w:t>5</w:t>
      </w:r>
      <w:r w:rsidR="00FB20C2">
        <w:rPr>
          <w:rFonts w:ascii="Times New Roman" w:hAnsi="Times New Roman" w:cs="Times New Roman"/>
          <w:sz w:val="24"/>
          <w:szCs w:val="24"/>
        </w:rPr>
        <w:t>2</w:t>
      </w:r>
      <w:r w:rsidR="00E8430F">
        <w:rPr>
          <w:rFonts w:ascii="Times New Roman" w:hAnsi="Times New Roman" w:cs="Times New Roman"/>
          <w:sz w:val="24"/>
          <w:szCs w:val="24"/>
        </w:rPr>
        <w:t xml:space="preserve">] The </w:t>
      </w:r>
      <w:r w:rsidR="001569E2">
        <w:rPr>
          <w:rFonts w:ascii="Times New Roman" w:hAnsi="Times New Roman" w:cs="Times New Roman"/>
          <w:sz w:val="24"/>
          <w:szCs w:val="24"/>
        </w:rPr>
        <w:t xml:space="preserve">decisions in paragraph [48] above all </w:t>
      </w:r>
      <w:r w:rsidR="00E8430F">
        <w:rPr>
          <w:rFonts w:ascii="Times New Roman" w:hAnsi="Times New Roman" w:cs="Times New Roman"/>
          <w:sz w:val="24"/>
          <w:szCs w:val="24"/>
        </w:rPr>
        <w:t xml:space="preserve">followed this court`s authority of </w:t>
      </w:r>
      <w:r w:rsidR="00E8430F" w:rsidRPr="00914CBC">
        <w:rPr>
          <w:rFonts w:ascii="Times New Roman" w:hAnsi="Times New Roman" w:cs="Times New Roman"/>
          <w:i/>
          <w:iCs/>
          <w:sz w:val="24"/>
          <w:szCs w:val="24"/>
        </w:rPr>
        <w:t>Beach Consultancy</w:t>
      </w:r>
      <w:r w:rsidR="00E8430F">
        <w:rPr>
          <w:rFonts w:ascii="Times New Roman" w:hAnsi="Times New Roman" w:cs="Times New Roman"/>
          <w:i/>
          <w:iCs/>
          <w:sz w:val="24"/>
          <w:szCs w:val="24"/>
        </w:rPr>
        <w:t xml:space="preserve"> v Makonya &amp; Anor.</w:t>
      </w:r>
      <w:r w:rsidR="00E8430F">
        <w:rPr>
          <w:rFonts w:ascii="Times New Roman" w:hAnsi="Times New Roman" w:cs="Times New Roman"/>
          <w:sz w:val="24"/>
          <w:szCs w:val="24"/>
        </w:rPr>
        <w:t xml:space="preserve"> </w:t>
      </w:r>
      <w:r w:rsidR="00091914">
        <w:rPr>
          <w:rFonts w:ascii="Times New Roman" w:hAnsi="Times New Roman" w:cs="Times New Roman"/>
          <w:sz w:val="24"/>
          <w:szCs w:val="24"/>
        </w:rPr>
        <w:t xml:space="preserve">It is therefore necessary in my view to follow the court`s reasoning in </w:t>
      </w:r>
      <w:r w:rsidR="00091914" w:rsidRPr="0054783F">
        <w:rPr>
          <w:rFonts w:ascii="Times New Roman" w:hAnsi="Times New Roman" w:cs="Times New Roman"/>
          <w:i/>
          <w:iCs/>
          <w:sz w:val="24"/>
          <w:szCs w:val="24"/>
        </w:rPr>
        <w:t xml:space="preserve">Beach Consultancy </w:t>
      </w:r>
      <w:r w:rsidR="00091914">
        <w:rPr>
          <w:rFonts w:ascii="Times New Roman" w:hAnsi="Times New Roman" w:cs="Times New Roman"/>
          <w:sz w:val="24"/>
          <w:szCs w:val="24"/>
        </w:rPr>
        <w:t xml:space="preserve">v </w:t>
      </w:r>
      <w:r w:rsidR="00091914" w:rsidRPr="00C663DD">
        <w:rPr>
          <w:rFonts w:ascii="Times New Roman" w:hAnsi="Times New Roman" w:cs="Times New Roman"/>
          <w:bCs/>
          <w:i/>
          <w:iCs/>
          <w:sz w:val="24"/>
          <w:szCs w:val="24"/>
        </w:rPr>
        <w:t>Makonya &amp; Anor</w:t>
      </w:r>
      <w:r w:rsidR="00091914">
        <w:rPr>
          <w:rFonts w:ascii="Times New Roman" w:hAnsi="Times New Roman" w:cs="Times New Roman"/>
          <w:sz w:val="24"/>
          <w:szCs w:val="24"/>
        </w:rPr>
        <w:t xml:space="preserve"> in order to identify and understand the </w:t>
      </w:r>
      <w:r w:rsidR="00091914" w:rsidRPr="00E52269">
        <w:rPr>
          <w:rFonts w:ascii="Times New Roman" w:hAnsi="Times New Roman" w:cs="Times New Roman"/>
          <w:i/>
          <w:iCs/>
          <w:sz w:val="24"/>
          <w:szCs w:val="24"/>
        </w:rPr>
        <w:t>ratio decidendi</w:t>
      </w:r>
      <w:r w:rsidR="00091914">
        <w:rPr>
          <w:rFonts w:ascii="Times New Roman" w:hAnsi="Times New Roman" w:cs="Times New Roman"/>
          <w:sz w:val="24"/>
          <w:szCs w:val="24"/>
        </w:rPr>
        <w:t xml:space="preserve"> behind the rejection of anticipatory authority, as well as establish its alignment to </w:t>
      </w:r>
      <w:r w:rsidR="00091914" w:rsidRPr="00863C18">
        <w:rPr>
          <w:rFonts w:ascii="Times New Roman" w:hAnsi="Times New Roman" w:cs="Times New Roman"/>
          <w:i/>
          <w:iCs/>
          <w:sz w:val="24"/>
          <w:szCs w:val="24"/>
        </w:rPr>
        <w:t>Cuthbert Dube v PSMAS</w:t>
      </w:r>
      <w:r w:rsidR="00091914">
        <w:rPr>
          <w:rFonts w:ascii="Times New Roman" w:hAnsi="Times New Roman" w:cs="Times New Roman"/>
          <w:sz w:val="24"/>
          <w:szCs w:val="24"/>
          <w:lang w:val="en-US"/>
        </w:rPr>
        <w:t>.</w:t>
      </w:r>
    </w:p>
    <w:p w14:paraId="00CBB0DA" w14:textId="0DB7C583" w:rsidR="00E8430F" w:rsidRDefault="00E8430F" w:rsidP="00E8430F">
      <w:pPr>
        <w:pStyle w:val="NoSpacing"/>
        <w:spacing w:before="240" w:line="360" w:lineRule="auto"/>
        <w:jc w:val="both"/>
        <w:rPr>
          <w:rFonts w:ascii="Times New Roman" w:hAnsi="Times New Roman" w:cs="Times New Roman"/>
          <w:bCs/>
          <w:sz w:val="24"/>
          <w:szCs w:val="24"/>
        </w:rPr>
      </w:pPr>
      <w:r>
        <w:rPr>
          <w:rFonts w:ascii="Times New Roman" w:hAnsi="Times New Roman" w:cs="Times New Roman"/>
          <w:sz w:val="24"/>
          <w:szCs w:val="24"/>
        </w:rPr>
        <w:t>[5</w:t>
      </w:r>
      <w:r w:rsidR="00FB20C2">
        <w:rPr>
          <w:rFonts w:ascii="Times New Roman" w:hAnsi="Times New Roman" w:cs="Times New Roman"/>
          <w:sz w:val="24"/>
          <w:szCs w:val="24"/>
        </w:rPr>
        <w:t>3</w:t>
      </w:r>
      <w:r>
        <w:rPr>
          <w:rFonts w:ascii="Times New Roman" w:hAnsi="Times New Roman" w:cs="Times New Roman"/>
          <w:sz w:val="24"/>
          <w:szCs w:val="24"/>
        </w:rPr>
        <w:t xml:space="preserve">] Briefly, in </w:t>
      </w:r>
      <w:r w:rsidRPr="00147C6B">
        <w:rPr>
          <w:rFonts w:ascii="Times New Roman" w:hAnsi="Times New Roman" w:cs="Times New Roman"/>
          <w:i/>
          <w:iCs/>
          <w:sz w:val="24"/>
          <w:szCs w:val="24"/>
        </w:rPr>
        <w:t>Beach</w:t>
      </w:r>
      <w:r w:rsidRPr="00C500B1">
        <w:rPr>
          <w:rFonts w:ascii="Times New Roman" w:hAnsi="Times New Roman" w:cs="Times New Roman"/>
          <w:bCs/>
          <w:i/>
          <w:iCs/>
          <w:sz w:val="24"/>
          <w:szCs w:val="24"/>
        </w:rPr>
        <w:t xml:space="preserve"> Consultancy (Pvt) Ltd v Makonya &amp; </w:t>
      </w:r>
      <w:r w:rsidRPr="00147C6B">
        <w:rPr>
          <w:rFonts w:ascii="Times New Roman" w:hAnsi="Times New Roman" w:cs="Times New Roman"/>
          <w:bCs/>
          <w:i/>
          <w:iCs/>
          <w:sz w:val="24"/>
          <w:szCs w:val="24"/>
        </w:rPr>
        <w:t xml:space="preserve">Anor </w:t>
      </w:r>
      <w:r>
        <w:rPr>
          <w:rFonts w:ascii="Times New Roman" w:hAnsi="Times New Roman" w:cs="Times New Roman"/>
          <w:bCs/>
          <w:sz w:val="24"/>
          <w:szCs w:val="24"/>
        </w:rPr>
        <w:t xml:space="preserve">the court had before it, an urgent chamber application for stay of execution. The underlying dispute traced its origins to a </w:t>
      </w:r>
      <w:r w:rsidRPr="00A824CF">
        <w:rPr>
          <w:rFonts w:ascii="Times New Roman" w:hAnsi="Times New Roman" w:cs="Times New Roman"/>
          <w:bCs/>
          <w:sz w:val="24"/>
          <w:szCs w:val="24"/>
        </w:rPr>
        <w:t xml:space="preserve"> </w:t>
      </w:r>
      <w:r>
        <w:rPr>
          <w:rFonts w:ascii="Times New Roman" w:hAnsi="Times New Roman" w:cs="Times New Roman"/>
          <w:bCs/>
          <w:sz w:val="24"/>
          <w:szCs w:val="24"/>
        </w:rPr>
        <w:t xml:space="preserve"> labour causa</w:t>
      </w:r>
      <w:r w:rsidRPr="00A824CF">
        <w:rPr>
          <w:rFonts w:ascii="Times New Roman" w:hAnsi="Times New Roman" w:cs="Times New Roman"/>
          <w:bCs/>
          <w:sz w:val="24"/>
          <w:szCs w:val="24"/>
        </w:rPr>
        <w:t xml:space="preserve">.  Secondly, one may note out of curiosity that the legal point which subsequently gave birth to the significant prouncement by the court issued from the pen </w:t>
      </w:r>
      <w:r w:rsidR="00D20B66">
        <w:rPr>
          <w:rFonts w:ascii="Times New Roman" w:hAnsi="Times New Roman" w:cs="Times New Roman"/>
          <w:bCs/>
          <w:sz w:val="24"/>
          <w:szCs w:val="24"/>
        </w:rPr>
        <w:t>(</w:t>
      </w:r>
      <w:r w:rsidRPr="00A824CF">
        <w:rPr>
          <w:rFonts w:ascii="Times New Roman" w:hAnsi="Times New Roman" w:cs="Times New Roman"/>
          <w:bCs/>
          <w:sz w:val="24"/>
          <w:szCs w:val="24"/>
        </w:rPr>
        <w:t>or lips</w:t>
      </w:r>
      <w:r w:rsidR="00D20B66">
        <w:rPr>
          <w:rFonts w:ascii="Times New Roman" w:hAnsi="Times New Roman" w:cs="Times New Roman"/>
          <w:bCs/>
          <w:sz w:val="24"/>
          <w:szCs w:val="24"/>
        </w:rPr>
        <w:t>)</w:t>
      </w:r>
      <w:r w:rsidRPr="00A824CF">
        <w:rPr>
          <w:rFonts w:ascii="Times New Roman" w:hAnsi="Times New Roman" w:cs="Times New Roman"/>
          <w:bCs/>
          <w:sz w:val="24"/>
          <w:szCs w:val="24"/>
        </w:rPr>
        <w:t xml:space="preserve"> of a self-actor. </w:t>
      </w:r>
    </w:p>
    <w:p w14:paraId="214C57E4" w14:textId="2002DE2D" w:rsidR="00E8430F" w:rsidRDefault="00E8430F" w:rsidP="00E8430F">
      <w:pPr>
        <w:pStyle w:val="NoSpacing"/>
        <w:spacing w:before="240" w:line="360" w:lineRule="auto"/>
        <w:jc w:val="both"/>
        <w:rPr>
          <w:rFonts w:ascii="Times New Roman" w:hAnsi="Times New Roman" w:cs="Times New Roman"/>
          <w:sz w:val="24"/>
          <w:szCs w:val="24"/>
        </w:rPr>
      </w:pPr>
      <w:r>
        <w:rPr>
          <w:rFonts w:ascii="Times New Roman" w:hAnsi="Times New Roman" w:cs="Times New Roman"/>
          <w:bCs/>
          <w:sz w:val="24"/>
          <w:szCs w:val="24"/>
        </w:rPr>
        <w:t>[5</w:t>
      </w:r>
      <w:r w:rsidR="00FB20C2">
        <w:rPr>
          <w:rFonts w:ascii="Times New Roman" w:hAnsi="Times New Roman" w:cs="Times New Roman"/>
          <w:bCs/>
          <w:sz w:val="24"/>
          <w:szCs w:val="24"/>
        </w:rPr>
        <w:t>4]</w:t>
      </w:r>
      <w:r>
        <w:rPr>
          <w:rFonts w:ascii="Times New Roman" w:hAnsi="Times New Roman" w:cs="Times New Roman"/>
          <w:bCs/>
          <w:sz w:val="24"/>
          <w:szCs w:val="24"/>
        </w:rPr>
        <w:t xml:space="preserve"> </w:t>
      </w:r>
      <w:r w:rsidRPr="00A824CF">
        <w:rPr>
          <w:rFonts w:ascii="Times New Roman" w:hAnsi="Times New Roman" w:cs="Times New Roman"/>
          <w:bCs/>
          <w:sz w:val="24"/>
          <w:szCs w:val="24"/>
        </w:rPr>
        <w:t xml:space="preserve">From the court`s summary of the issues placed before it, there is no suggestion that </w:t>
      </w:r>
      <w:r>
        <w:rPr>
          <w:rFonts w:ascii="Times New Roman" w:hAnsi="Times New Roman" w:cs="Times New Roman"/>
          <w:bCs/>
          <w:sz w:val="24"/>
          <w:szCs w:val="24"/>
        </w:rPr>
        <w:t xml:space="preserve">telling </w:t>
      </w:r>
      <w:r w:rsidRPr="00A824CF">
        <w:rPr>
          <w:rFonts w:ascii="Times New Roman" w:hAnsi="Times New Roman" w:cs="Times New Roman"/>
          <w:bCs/>
          <w:sz w:val="24"/>
          <w:szCs w:val="24"/>
        </w:rPr>
        <w:t>legal arguments flowed from the self-actor</w:t>
      </w:r>
      <w:r>
        <w:rPr>
          <w:rFonts w:ascii="Times New Roman" w:hAnsi="Times New Roman" w:cs="Times New Roman"/>
          <w:bCs/>
          <w:sz w:val="24"/>
          <w:szCs w:val="24"/>
        </w:rPr>
        <w:t>-</w:t>
      </w:r>
      <w:r w:rsidR="001569E2">
        <w:rPr>
          <w:rFonts w:ascii="Times New Roman" w:hAnsi="Times New Roman" w:cs="Times New Roman"/>
          <w:bCs/>
          <w:sz w:val="24"/>
          <w:szCs w:val="24"/>
        </w:rPr>
        <w:t>n</w:t>
      </w:r>
      <w:r>
        <w:rPr>
          <w:rFonts w:ascii="Times New Roman" w:hAnsi="Times New Roman" w:cs="Times New Roman"/>
          <w:bCs/>
          <w:sz w:val="24"/>
          <w:szCs w:val="24"/>
        </w:rPr>
        <w:t xml:space="preserve">or for that matter-the applicant itself. Except that the self-represented respondent relied on the authority of </w:t>
      </w:r>
      <w:r w:rsidRPr="00A824CF">
        <w:rPr>
          <w:rFonts w:ascii="Times New Roman" w:hAnsi="Times New Roman" w:cs="Times New Roman"/>
          <w:bCs/>
          <w:i/>
          <w:iCs/>
          <w:sz w:val="24"/>
          <w:szCs w:val="24"/>
        </w:rPr>
        <w:t>Cuthbert Dube v PSMAS</w:t>
      </w:r>
      <w:r>
        <w:rPr>
          <w:rFonts w:ascii="Times New Roman" w:hAnsi="Times New Roman" w:cs="Times New Roman"/>
          <w:bCs/>
          <w:sz w:val="24"/>
          <w:szCs w:val="24"/>
        </w:rPr>
        <w:t xml:space="preserve"> and </w:t>
      </w:r>
      <w:r w:rsidRPr="006375A3">
        <w:rPr>
          <w:rFonts w:ascii="TimesNewRomanPSMT" w:hAnsi="TimesNewRomanPSMT" w:cs="TimesNewRomanPSMT"/>
          <w:i/>
          <w:iCs/>
          <w:sz w:val="24"/>
          <w:szCs w:val="24"/>
        </w:rPr>
        <w:t>Madzivire v Zvarivadza</w:t>
      </w:r>
      <w:r>
        <w:rPr>
          <w:rFonts w:ascii="TimesNewRomanPSMT" w:hAnsi="TimesNewRomanPSMT" w:cs="TimesNewRomanPSMT"/>
          <w:i/>
          <w:iCs/>
          <w:sz w:val="24"/>
          <w:szCs w:val="24"/>
        </w:rPr>
        <w:t>.</w:t>
      </w:r>
      <w:r>
        <w:rPr>
          <w:rFonts w:ascii="Times New Roman" w:hAnsi="Times New Roman" w:cs="Times New Roman"/>
          <w:bCs/>
          <w:sz w:val="24"/>
          <w:szCs w:val="24"/>
        </w:rPr>
        <w:t xml:space="preserve"> </w:t>
      </w:r>
      <w:r w:rsidRPr="00A824CF">
        <w:rPr>
          <w:rFonts w:ascii="Times New Roman" w:hAnsi="Times New Roman" w:cs="Times New Roman"/>
          <w:bCs/>
          <w:sz w:val="24"/>
          <w:szCs w:val="24"/>
        </w:rPr>
        <w:t xml:space="preserve">That aside, </w:t>
      </w:r>
      <w:r>
        <w:rPr>
          <w:rFonts w:ascii="Times New Roman" w:hAnsi="Times New Roman" w:cs="Times New Roman"/>
          <w:sz w:val="24"/>
          <w:szCs w:val="24"/>
        </w:rPr>
        <w:t xml:space="preserve">in that decision of </w:t>
      </w:r>
      <w:r w:rsidRPr="00A824CF">
        <w:rPr>
          <w:rFonts w:ascii="Times New Roman" w:hAnsi="Times New Roman" w:cs="Times New Roman"/>
          <w:bCs/>
          <w:i/>
          <w:iCs/>
          <w:sz w:val="24"/>
          <w:szCs w:val="24"/>
        </w:rPr>
        <w:t>Beach Consultancy (Pvt) Ltd v Makonya</w:t>
      </w:r>
      <w:r w:rsidRPr="00A824CF">
        <w:rPr>
          <w:rFonts w:ascii="Times New Roman" w:hAnsi="Times New Roman" w:cs="Times New Roman"/>
          <w:bCs/>
          <w:sz w:val="24"/>
          <w:szCs w:val="24"/>
        </w:rPr>
        <w:t>,</w:t>
      </w:r>
      <w:r w:rsidRPr="00A824CF">
        <w:rPr>
          <w:rFonts w:ascii="Times New Roman" w:hAnsi="Times New Roman" w:cs="Times New Roman"/>
          <w:sz w:val="24"/>
          <w:szCs w:val="24"/>
        </w:rPr>
        <w:t xml:space="preserve"> </w:t>
      </w:r>
      <w:r w:rsidRPr="00A824CF">
        <w:rPr>
          <w:rFonts w:ascii="Times New Roman" w:hAnsi="Times New Roman" w:cs="Times New Roman"/>
        </w:rPr>
        <w:t>MAKOMO J,</w:t>
      </w:r>
      <w:r w:rsidRPr="00A824CF">
        <w:rPr>
          <w:rFonts w:ascii="Times New Roman" w:hAnsi="Times New Roman" w:cs="Times New Roman"/>
          <w:sz w:val="24"/>
          <w:szCs w:val="24"/>
        </w:rPr>
        <w:t xml:space="preserve"> after some commendably diligent analysis of the law held as follows at page 9; -</w:t>
      </w:r>
    </w:p>
    <w:p w14:paraId="6A20DFB8" w14:textId="131C3305" w:rsidR="00532C87" w:rsidRDefault="002B6F6D" w:rsidP="002B6F6D">
      <w:pPr>
        <w:pStyle w:val="NoSpacing"/>
        <w:spacing w:before="240" w:line="360" w:lineRule="auto"/>
        <w:ind w:left="73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From the foregoing, I venture to state that a company may not grant general authority to a director or employee to represent it in future court cases that have not yet arisen at the time when the authority is granted.”</w:t>
      </w:r>
    </w:p>
    <w:p w14:paraId="28F6824C" w14:textId="7FC6CD0B" w:rsidR="00091914" w:rsidRDefault="00B50A25" w:rsidP="004A72B3">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B20C2">
        <w:rPr>
          <w:rFonts w:ascii="Times New Roman" w:hAnsi="Times New Roman" w:cs="Times New Roman"/>
          <w:sz w:val="24"/>
          <w:szCs w:val="24"/>
          <w:lang w:val="en-US"/>
        </w:rPr>
        <w:t>5</w:t>
      </w:r>
      <w:r w:rsidR="00091914">
        <w:rPr>
          <w:rFonts w:ascii="Times New Roman" w:hAnsi="Times New Roman" w:cs="Times New Roman"/>
          <w:sz w:val="24"/>
          <w:szCs w:val="24"/>
          <w:lang w:val="en-US"/>
        </w:rPr>
        <w:t>5</w:t>
      </w:r>
      <w:r w:rsidR="00FB20C2">
        <w:rPr>
          <w:rFonts w:ascii="Times New Roman" w:hAnsi="Times New Roman" w:cs="Times New Roman"/>
          <w:sz w:val="24"/>
          <w:szCs w:val="24"/>
          <w:lang w:val="en-US"/>
        </w:rPr>
        <w:t>]</w:t>
      </w:r>
      <w:r>
        <w:rPr>
          <w:rFonts w:ascii="Times New Roman" w:hAnsi="Times New Roman" w:cs="Times New Roman"/>
          <w:sz w:val="24"/>
          <w:szCs w:val="24"/>
          <w:lang w:val="en-US"/>
        </w:rPr>
        <w:t xml:space="preserve"> This </w:t>
      </w:r>
      <w:r w:rsidR="0065387D">
        <w:rPr>
          <w:rFonts w:ascii="Times New Roman" w:hAnsi="Times New Roman" w:cs="Times New Roman"/>
          <w:sz w:val="24"/>
          <w:szCs w:val="24"/>
          <w:lang w:val="en-US"/>
        </w:rPr>
        <w:t xml:space="preserve">proposition of law is singularly attractive </w:t>
      </w:r>
      <w:r w:rsidR="001569E2">
        <w:rPr>
          <w:rFonts w:ascii="Times New Roman" w:hAnsi="Times New Roman" w:cs="Times New Roman"/>
          <w:sz w:val="24"/>
          <w:szCs w:val="24"/>
          <w:lang w:val="en-US"/>
        </w:rPr>
        <w:t xml:space="preserve">due to </w:t>
      </w:r>
      <w:r w:rsidR="0065387D">
        <w:rPr>
          <w:rFonts w:ascii="Times New Roman" w:hAnsi="Times New Roman" w:cs="Times New Roman"/>
          <w:sz w:val="24"/>
          <w:szCs w:val="24"/>
          <w:lang w:val="en-US"/>
        </w:rPr>
        <w:t xml:space="preserve">its definitiveness. </w:t>
      </w:r>
      <w:r w:rsidR="00091914">
        <w:rPr>
          <w:rFonts w:ascii="Times New Roman" w:hAnsi="Times New Roman" w:cs="Times New Roman"/>
          <w:sz w:val="24"/>
          <w:szCs w:val="24"/>
          <w:lang w:val="en-US"/>
        </w:rPr>
        <w:t xml:space="preserve">The conclusion </w:t>
      </w:r>
      <w:r w:rsidR="002B6F6D">
        <w:rPr>
          <w:rFonts w:ascii="Times New Roman" w:hAnsi="Times New Roman" w:cs="Times New Roman"/>
          <w:sz w:val="24"/>
          <w:szCs w:val="24"/>
          <w:lang w:val="en-US"/>
        </w:rPr>
        <w:t>was preceded by a survey of authorities within and without the jurisdiction on authority to represent a body corporate in legal proceedings.</w:t>
      </w:r>
      <w:r w:rsidR="00091914" w:rsidRPr="00091914">
        <w:rPr>
          <w:rFonts w:ascii="Times New Roman" w:hAnsi="Times New Roman" w:cs="Times New Roman"/>
          <w:sz w:val="24"/>
          <w:szCs w:val="24"/>
          <w:lang w:val="en-US"/>
        </w:rPr>
        <w:t xml:space="preserve"> </w:t>
      </w:r>
      <w:r w:rsidR="00091914">
        <w:rPr>
          <w:rFonts w:ascii="Times New Roman" w:hAnsi="Times New Roman" w:cs="Times New Roman"/>
          <w:sz w:val="24"/>
          <w:szCs w:val="24"/>
          <w:lang w:val="en-US"/>
        </w:rPr>
        <w:t>The inquiry also drew the court into the realms of company law and especially, the fiduciary duties of directors.</w:t>
      </w:r>
      <w:r w:rsidR="0065387D">
        <w:rPr>
          <w:rFonts w:ascii="Times New Roman" w:hAnsi="Times New Roman" w:cs="Times New Roman"/>
          <w:sz w:val="24"/>
          <w:szCs w:val="24"/>
          <w:lang w:val="en-US"/>
        </w:rPr>
        <w:t xml:space="preserve"> </w:t>
      </w:r>
      <w:r w:rsidR="0054783F">
        <w:rPr>
          <w:rFonts w:ascii="Times New Roman" w:hAnsi="Times New Roman" w:cs="Times New Roman"/>
          <w:sz w:val="24"/>
          <w:szCs w:val="24"/>
          <w:lang w:val="en-US"/>
        </w:rPr>
        <w:t>The</w:t>
      </w:r>
      <w:r w:rsidR="00377E16">
        <w:rPr>
          <w:rFonts w:ascii="Times New Roman" w:hAnsi="Times New Roman" w:cs="Times New Roman"/>
          <w:sz w:val="24"/>
          <w:szCs w:val="24"/>
          <w:lang w:val="en-US"/>
        </w:rPr>
        <w:t xml:space="preserve"> divergent state of the law (which </w:t>
      </w:r>
      <w:r w:rsidR="00377E16" w:rsidRPr="00914CBC">
        <w:rPr>
          <w:rFonts w:ascii="Times New Roman" w:hAnsi="Times New Roman" w:cs="Times New Roman"/>
          <w:lang w:val="en-US"/>
        </w:rPr>
        <w:t>GARWE JA</w:t>
      </w:r>
      <w:r w:rsidR="00377E16">
        <w:rPr>
          <w:rFonts w:ascii="Times New Roman" w:hAnsi="Times New Roman" w:cs="Times New Roman"/>
          <w:sz w:val="24"/>
          <w:szCs w:val="24"/>
          <w:lang w:val="en-US"/>
        </w:rPr>
        <w:t xml:space="preserve"> described in </w:t>
      </w:r>
      <w:r w:rsidR="00377E16" w:rsidRPr="00914CBC">
        <w:rPr>
          <w:rFonts w:ascii="Times New Roman" w:hAnsi="Times New Roman" w:cs="Times New Roman"/>
          <w:i/>
          <w:iCs/>
          <w:sz w:val="24"/>
          <w:szCs w:val="24"/>
          <w:lang w:val="en-US"/>
        </w:rPr>
        <w:t>Cuthbert Dube v PSMAS</w:t>
      </w:r>
      <w:r w:rsidR="00377E16">
        <w:rPr>
          <w:rFonts w:ascii="Times New Roman" w:hAnsi="Times New Roman" w:cs="Times New Roman"/>
          <w:sz w:val="24"/>
          <w:szCs w:val="24"/>
          <w:lang w:val="en-US"/>
        </w:rPr>
        <w:t xml:space="preserve"> as having been “</w:t>
      </w:r>
      <w:r w:rsidR="00863C18">
        <w:rPr>
          <w:rFonts w:ascii="Times New Roman" w:hAnsi="Times New Roman" w:cs="Times New Roman"/>
          <w:sz w:val="24"/>
          <w:szCs w:val="24"/>
          <w:lang w:val="en-US"/>
        </w:rPr>
        <w:t xml:space="preserve">completely </w:t>
      </w:r>
      <w:r w:rsidR="00377E16">
        <w:rPr>
          <w:rFonts w:ascii="Times New Roman" w:hAnsi="Times New Roman" w:cs="Times New Roman"/>
          <w:sz w:val="24"/>
          <w:szCs w:val="24"/>
          <w:lang w:val="en-US"/>
        </w:rPr>
        <w:t xml:space="preserve">unnecessary”) was also </w:t>
      </w:r>
      <w:r w:rsidR="0054783F">
        <w:rPr>
          <w:rFonts w:ascii="Times New Roman" w:hAnsi="Times New Roman" w:cs="Times New Roman"/>
          <w:sz w:val="24"/>
          <w:szCs w:val="24"/>
          <w:lang w:val="en-US"/>
        </w:rPr>
        <w:t>retraced, with</w:t>
      </w:r>
      <w:r w:rsidR="00377E16">
        <w:rPr>
          <w:rFonts w:ascii="Times New Roman" w:hAnsi="Times New Roman" w:cs="Times New Roman"/>
          <w:sz w:val="24"/>
          <w:szCs w:val="24"/>
          <w:lang w:val="en-US"/>
        </w:rPr>
        <w:t xml:space="preserve"> a </w:t>
      </w:r>
      <w:r w:rsidR="00380DF4">
        <w:rPr>
          <w:rFonts w:ascii="Times New Roman" w:hAnsi="Times New Roman" w:cs="Times New Roman"/>
          <w:sz w:val="24"/>
          <w:szCs w:val="24"/>
          <w:lang w:val="en-US"/>
        </w:rPr>
        <w:t xml:space="preserve">considerable attention </w:t>
      </w:r>
      <w:r w:rsidR="00377E16">
        <w:rPr>
          <w:rFonts w:ascii="Times New Roman" w:hAnsi="Times New Roman" w:cs="Times New Roman"/>
          <w:sz w:val="24"/>
          <w:szCs w:val="24"/>
          <w:lang w:val="en-US"/>
        </w:rPr>
        <w:t>by the court.</w:t>
      </w:r>
    </w:p>
    <w:p w14:paraId="67D6E518" w14:textId="5B659321" w:rsidR="00377E16" w:rsidRDefault="00091914" w:rsidP="004A72B3">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[56] I</w:t>
      </w:r>
      <w:r w:rsidR="00C500B1">
        <w:rPr>
          <w:rFonts w:ascii="Times New Roman" w:hAnsi="Times New Roman" w:cs="Times New Roman"/>
          <w:sz w:val="24"/>
          <w:szCs w:val="24"/>
          <w:lang w:val="en-US"/>
        </w:rPr>
        <w:t xml:space="preserve"> must draw particular emphasis </w:t>
      </w:r>
      <w:r w:rsidR="001569E2">
        <w:rPr>
          <w:rFonts w:ascii="Times New Roman" w:hAnsi="Times New Roman" w:cs="Times New Roman"/>
          <w:sz w:val="24"/>
          <w:szCs w:val="24"/>
          <w:lang w:val="en-US"/>
        </w:rPr>
        <w:t xml:space="preserve">though, </w:t>
      </w:r>
      <w:r w:rsidR="00C500B1">
        <w:rPr>
          <w:rFonts w:ascii="Times New Roman" w:hAnsi="Times New Roman" w:cs="Times New Roman"/>
          <w:sz w:val="24"/>
          <w:szCs w:val="24"/>
          <w:lang w:val="en-US"/>
        </w:rPr>
        <w:t>to the fact that t</w:t>
      </w:r>
      <w:r w:rsidR="00E52269">
        <w:rPr>
          <w:rFonts w:ascii="Times New Roman" w:hAnsi="Times New Roman" w:cs="Times New Roman"/>
          <w:sz w:val="24"/>
          <w:szCs w:val="24"/>
          <w:lang w:val="en-US"/>
        </w:rPr>
        <w:t xml:space="preserve">he court </w:t>
      </w:r>
      <w:r w:rsidR="00914CBC">
        <w:rPr>
          <w:rFonts w:ascii="Times New Roman" w:hAnsi="Times New Roman" w:cs="Times New Roman"/>
          <w:sz w:val="24"/>
          <w:szCs w:val="24"/>
          <w:lang w:val="en-US"/>
        </w:rPr>
        <w:t xml:space="preserve">in </w:t>
      </w:r>
      <w:bookmarkStart w:id="6" w:name="_Hlk201414370"/>
      <w:r w:rsidR="00914CBC" w:rsidRPr="00914CBC">
        <w:rPr>
          <w:rFonts w:ascii="Times New Roman" w:hAnsi="Times New Roman" w:cs="Times New Roman"/>
          <w:i/>
          <w:iCs/>
          <w:sz w:val="24"/>
          <w:szCs w:val="24"/>
          <w:lang w:val="en-US"/>
        </w:rPr>
        <w:t>Beach Consultancy v Makonya</w:t>
      </w:r>
      <w:r w:rsidR="0054783F">
        <w:rPr>
          <w:rFonts w:ascii="Times New Roman" w:hAnsi="Times New Roman" w:cs="Times New Roman"/>
          <w:i/>
          <w:iCs/>
          <w:sz w:val="24"/>
          <w:szCs w:val="24"/>
          <w:lang w:val="en-US"/>
        </w:rPr>
        <w:t xml:space="preserve"> &amp; </w:t>
      </w:r>
      <w:bookmarkEnd w:id="6"/>
      <w:r w:rsidR="0054783F">
        <w:rPr>
          <w:rFonts w:ascii="Times New Roman" w:hAnsi="Times New Roman" w:cs="Times New Roman"/>
          <w:i/>
          <w:iCs/>
          <w:sz w:val="24"/>
          <w:szCs w:val="24"/>
          <w:lang w:val="en-US"/>
        </w:rPr>
        <w:t xml:space="preserve">Anor </w:t>
      </w:r>
      <w:r w:rsidR="0054783F">
        <w:rPr>
          <w:rFonts w:ascii="Times New Roman" w:hAnsi="Times New Roman" w:cs="Times New Roman"/>
          <w:sz w:val="24"/>
          <w:szCs w:val="24"/>
          <w:lang w:val="en-US"/>
        </w:rPr>
        <w:t>started</w:t>
      </w:r>
      <w:r w:rsidR="00914CBC">
        <w:rPr>
          <w:rFonts w:ascii="Times New Roman" w:hAnsi="Times New Roman" w:cs="Times New Roman"/>
          <w:sz w:val="24"/>
          <w:szCs w:val="24"/>
          <w:lang w:val="en-US"/>
        </w:rPr>
        <w:t xml:space="preserve"> </w:t>
      </w:r>
      <w:r w:rsidR="00C500B1">
        <w:rPr>
          <w:rFonts w:ascii="Times New Roman" w:hAnsi="Times New Roman" w:cs="Times New Roman"/>
          <w:sz w:val="24"/>
          <w:szCs w:val="24"/>
          <w:lang w:val="en-US"/>
        </w:rPr>
        <w:t xml:space="preserve">its analysis, </w:t>
      </w:r>
      <w:r w:rsidR="00914CBC">
        <w:rPr>
          <w:rFonts w:ascii="Times New Roman" w:hAnsi="Times New Roman" w:cs="Times New Roman"/>
          <w:sz w:val="24"/>
          <w:szCs w:val="24"/>
          <w:lang w:val="en-US"/>
        </w:rPr>
        <w:t xml:space="preserve">not from </w:t>
      </w:r>
      <w:r w:rsidR="00C500B1">
        <w:rPr>
          <w:rFonts w:ascii="Times New Roman" w:hAnsi="Times New Roman" w:cs="Times New Roman"/>
          <w:sz w:val="24"/>
          <w:szCs w:val="24"/>
          <w:lang w:val="en-US"/>
        </w:rPr>
        <w:t xml:space="preserve">the position stated in </w:t>
      </w:r>
      <w:r w:rsidR="00914CBC" w:rsidRPr="00914CBC">
        <w:rPr>
          <w:rFonts w:ascii="Times New Roman" w:hAnsi="Times New Roman" w:cs="Times New Roman"/>
          <w:i/>
          <w:iCs/>
          <w:sz w:val="24"/>
          <w:szCs w:val="24"/>
          <w:lang w:val="en-US"/>
        </w:rPr>
        <w:t xml:space="preserve">Cuthbert Dube v </w:t>
      </w:r>
      <w:r w:rsidR="006375A3" w:rsidRPr="00914CBC">
        <w:rPr>
          <w:rFonts w:ascii="Times New Roman" w:hAnsi="Times New Roman" w:cs="Times New Roman"/>
          <w:i/>
          <w:iCs/>
          <w:sz w:val="24"/>
          <w:szCs w:val="24"/>
          <w:lang w:val="en-US"/>
        </w:rPr>
        <w:t>PSMAS</w:t>
      </w:r>
      <w:r w:rsidR="006375A3">
        <w:rPr>
          <w:rFonts w:ascii="Times New Roman" w:hAnsi="Times New Roman" w:cs="Times New Roman"/>
          <w:sz w:val="24"/>
          <w:szCs w:val="24"/>
          <w:lang w:val="en-US"/>
        </w:rPr>
        <w:t>, -</w:t>
      </w:r>
      <w:r w:rsidR="00E52269">
        <w:rPr>
          <w:rFonts w:ascii="Times New Roman" w:hAnsi="Times New Roman" w:cs="Times New Roman"/>
          <w:sz w:val="24"/>
          <w:szCs w:val="24"/>
          <w:lang w:val="en-US"/>
        </w:rPr>
        <w:t xml:space="preserve"> </w:t>
      </w:r>
      <w:r w:rsidR="00914CBC">
        <w:rPr>
          <w:rFonts w:ascii="Times New Roman" w:hAnsi="Times New Roman" w:cs="Times New Roman"/>
          <w:sz w:val="24"/>
          <w:szCs w:val="24"/>
          <w:lang w:val="en-US"/>
        </w:rPr>
        <w:t>but the following premise</w:t>
      </w:r>
      <w:r w:rsidR="00380DF4">
        <w:rPr>
          <w:rFonts w:ascii="Times New Roman" w:hAnsi="Times New Roman" w:cs="Times New Roman"/>
          <w:sz w:val="24"/>
          <w:szCs w:val="24"/>
          <w:lang w:val="en-US"/>
        </w:rPr>
        <w:t xml:space="preserve"> [ at page 5]</w:t>
      </w:r>
      <w:r w:rsidR="00914CBC">
        <w:rPr>
          <w:rFonts w:ascii="Times New Roman" w:hAnsi="Times New Roman" w:cs="Times New Roman"/>
          <w:sz w:val="24"/>
          <w:szCs w:val="24"/>
          <w:lang w:val="en-US"/>
        </w:rPr>
        <w:t>; -</w:t>
      </w:r>
    </w:p>
    <w:p w14:paraId="7245CC1E" w14:textId="3DF7E900" w:rsidR="00377E16" w:rsidRDefault="00377E16" w:rsidP="00914CBC">
      <w:pPr>
        <w:pStyle w:val="NoSpacing"/>
        <w:spacing w:before="240" w:line="360" w:lineRule="auto"/>
        <w:ind w:left="737"/>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 xml:space="preserve">Despite the clear exposition of the law in the above authoritative and persuasive texts, </w:t>
      </w:r>
      <w:r w:rsidRPr="0054783F">
        <w:rPr>
          <w:rFonts w:ascii="Times New Roman" w:hAnsi="Times New Roman" w:cs="Times New Roman"/>
          <w:sz w:val="24"/>
          <w:szCs w:val="24"/>
          <w:lang w:val="en-US"/>
        </w:rPr>
        <w:t xml:space="preserve">the </w:t>
      </w:r>
      <w:r w:rsidRPr="0054783F">
        <w:rPr>
          <w:rFonts w:ascii="Times New Roman" w:hAnsi="Times New Roman" w:cs="Times New Roman"/>
          <w:b/>
          <w:bCs/>
          <w:sz w:val="24"/>
          <w:szCs w:val="24"/>
          <w:lang w:val="en-US"/>
        </w:rPr>
        <w:t>question that still confronts me</w:t>
      </w:r>
      <w:r w:rsidRPr="0054783F">
        <w:rPr>
          <w:rFonts w:ascii="Times New Roman" w:hAnsi="Times New Roman" w:cs="Times New Roman"/>
          <w:sz w:val="24"/>
          <w:szCs w:val="24"/>
          <w:lang w:val="en-US"/>
        </w:rPr>
        <w:t xml:space="preserve"> in the instant case </w:t>
      </w:r>
      <w:r w:rsidRPr="0065387D">
        <w:rPr>
          <w:rFonts w:ascii="Times New Roman" w:hAnsi="Times New Roman" w:cs="Times New Roman"/>
          <w:b/>
          <w:bCs/>
          <w:sz w:val="24"/>
          <w:szCs w:val="24"/>
          <w:lang w:val="en-US"/>
        </w:rPr>
        <w:t>is</w:t>
      </w:r>
      <w:r w:rsidRPr="0065387D">
        <w:rPr>
          <w:rFonts w:ascii="Times New Roman" w:hAnsi="Times New Roman" w:cs="Times New Roman"/>
          <w:b/>
          <w:bCs/>
          <w:i/>
          <w:iCs/>
          <w:sz w:val="24"/>
          <w:szCs w:val="24"/>
          <w:lang w:val="en-US"/>
        </w:rPr>
        <w:t xml:space="preserve"> </w:t>
      </w:r>
      <w:r w:rsidRPr="0065387D">
        <w:rPr>
          <w:rFonts w:ascii="Times New Roman" w:hAnsi="Times New Roman" w:cs="Times New Roman"/>
          <w:b/>
          <w:bCs/>
          <w:sz w:val="24"/>
          <w:szCs w:val="24"/>
          <w:lang w:val="en-US"/>
        </w:rPr>
        <w:t xml:space="preserve">whether an entity may give </w:t>
      </w:r>
      <w:r w:rsidRPr="0065387D">
        <w:rPr>
          <w:rFonts w:ascii="Times New Roman" w:hAnsi="Times New Roman" w:cs="Times New Roman"/>
          <w:b/>
          <w:bCs/>
          <w:sz w:val="24"/>
          <w:szCs w:val="24"/>
          <w:lang w:val="en-US"/>
        </w:rPr>
        <w:lastRenderedPageBreak/>
        <w:t>a general authority to a deponent for whatever litigation, that may not be known now but which may arise in future?</w:t>
      </w:r>
      <w:r>
        <w:rPr>
          <w:rFonts w:ascii="Times New Roman" w:hAnsi="Times New Roman" w:cs="Times New Roman"/>
          <w:sz w:val="24"/>
          <w:szCs w:val="24"/>
          <w:lang w:val="en-US"/>
        </w:rPr>
        <w:t xml:space="preserve"> </w:t>
      </w:r>
      <w:r w:rsidRPr="00EC7AB5">
        <w:rPr>
          <w:rFonts w:ascii="Times New Roman" w:hAnsi="Times New Roman" w:cs="Times New Roman"/>
          <w:sz w:val="24"/>
          <w:szCs w:val="24"/>
          <w:lang w:val="en-US"/>
        </w:rPr>
        <w:t>The cases of</w:t>
      </w:r>
      <w:r w:rsidRPr="0054783F">
        <w:rPr>
          <w:rFonts w:ascii="Times New Roman" w:hAnsi="Times New Roman" w:cs="Times New Roman"/>
          <w:b/>
          <w:bCs/>
          <w:sz w:val="24"/>
          <w:szCs w:val="24"/>
          <w:lang w:val="en-US"/>
        </w:rPr>
        <w:t xml:space="preserve"> </w:t>
      </w:r>
      <w:r w:rsidRPr="0054783F">
        <w:rPr>
          <w:rFonts w:ascii="Times New Roman" w:hAnsi="Times New Roman" w:cs="Times New Roman"/>
          <w:b/>
          <w:bCs/>
          <w:i/>
          <w:iCs/>
          <w:sz w:val="24"/>
          <w:szCs w:val="24"/>
          <w:lang w:val="en-US"/>
        </w:rPr>
        <w:t>Madzivire</w:t>
      </w:r>
      <w:r w:rsidRPr="0054783F">
        <w:rPr>
          <w:rFonts w:ascii="Times New Roman" w:hAnsi="Times New Roman" w:cs="Times New Roman"/>
          <w:b/>
          <w:bCs/>
          <w:sz w:val="24"/>
          <w:szCs w:val="24"/>
          <w:lang w:val="en-US"/>
        </w:rPr>
        <w:t xml:space="preserve"> (</w:t>
      </w:r>
      <w:r w:rsidRPr="0054783F">
        <w:rPr>
          <w:rFonts w:ascii="Times New Roman" w:hAnsi="Times New Roman" w:cs="Times New Roman"/>
          <w:b/>
          <w:bCs/>
          <w:i/>
          <w:iCs/>
          <w:sz w:val="24"/>
          <w:szCs w:val="24"/>
          <w:lang w:val="en-US"/>
        </w:rPr>
        <w:t>supra</w:t>
      </w:r>
      <w:r w:rsidRPr="0054783F">
        <w:rPr>
          <w:rFonts w:ascii="Times New Roman" w:hAnsi="Times New Roman" w:cs="Times New Roman"/>
          <w:b/>
          <w:bCs/>
          <w:sz w:val="24"/>
          <w:szCs w:val="24"/>
          <w:lang w:val="en-US"/>
        </w:rPr>
        <w:t xml:space="preserve">) and </w:t>
      </w:r>
      <w:r w:rsidRPr="0054783F">
        <w:rPr>
          <w:rFonts w:ascii="Times New Roman" w:hAnsi="Times New Roman" w:cs="Times New Roman"/>
          <w:b/>
          <w:bCs/>
          <w:i/>
          <w:iCs/>
          <w:sz w:val="24"/>
          <w:szCs w:val="24"/>
          <w:lang w:val="en-US"/>
        </w:rPr>
        <w:t>Cuthbert Elkana Dube</w:t>
      </w:r>
      <w:r>
        <w:rPr>
          <w:rFonts w:ascii="Times New Roman" w:hAnsi="Times New Roman" w:cs="Times New Roman"/>
          <w:sz w:val="24"/>
          <w:szCs w:val="24"/>
          <w:lang w:val="en-US"/>
        </w:rPr>
        <w:t xml:space="preserve"> (</w:t>
      </w:r>
      <w:r w:rsidRPr="005B7449">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cited by the first Respondent for his objection to the founding affidavit by Applicant’s deponent </w:t>
      </w:r>
      <w:r w:rsidRPr="0054783F">
        <w:rPr>
          <w:rFonts w:ascii="Times New Roman" w:hAnsi="Times New Roman" w:cs="Times New Roman"/>
          <w:b/>
          <w:bCs/>
          <w:sz w:val="24"/>
          <w:szCs w:val="24"/>
          <w:lang w:val="en-US"/>
        </w:rPr>
        <w:t>do not answer this question</w:t>
      </w:r>
      <w:r>
        <w:rPr>
          <w:rFonts w:ascii="Times New Roman" w:hAnsi="Times New Roman" w:cs="Times New Roman"/>
          <w:sz w:val="24"/>
          <w:szCs w:val="24"/>
          <w:lang w:val="en-US"/>
        </w:rPr>
        <w:t>.”</w:t>
      </w:r>
      <w:r w:rsidR="0054783F">
        <w:rPr>
          <w:rFonts w:ascii="Times New Roman" w:hAnsi="Times New Roman" w:cs="Times New Roman"/>
          <w:sz w:val="24"/>
          <w:szCs w:val="24"/>
          <w:lang w:val="en-US"/>
        </w:rPr>
        <w:t xml:space="preserve"> [ Underlined and bolded for emphasis] </w:t>
      </w:r>
    </w:p>
    <w:p w14:paraId="3B751E5E" w14:textId="62CA4DF3" w:rsidR="00091914" w:rsidRDefault="00914CBC"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FB20C2">
        <w:rPr>
          <w:rFonts w:ascii="Times New Roman" w:hAnsi="Times New Roman" w:cs="Times New Roman"/>
          <w:sz w:val="24"/>
          <w:szCs w:val="24"/>
          <w:lang w:val="en-US"/>
        </w:rPr>
        <w:t>5</w:t>
      </w:r>
      <w:r w:rsidR="00091914">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65387D">
        <w:rPr>
          <w:rFonts w:ascii="Times New Roman" w:hAnsi="Times New Roman" w:cs="Times New Roman"/>
          <w:sz w:val="24"/>
          <w:szCs w:val="24"/>
          <w:lang w:val="en-US"/>
        </w:rPr>
        <w:t xml:space="preserve">The </w:t>
      </w:r>
      <w:r w:rsidR="00D20B66">
        <w:rPr>
          <w:rFonts w:ascii="Times New Roman" w:hAnsi="Times New Roman" w:cs="Times New Roman"/>
          <w:sz w:val="24"/>
          <w:szCs w:val="24"/>
          <w:lang w:val="en-US"/>
        </w:rPr>
        <w:t xml:space="preserve">consideration issuing from the </w:t>
      </w:r>
      <w:r w:rsidR="0065387D">
        <w:rPr>
          <w:rFonts w:ascii="Times New Roman" w:hAnsi="Times New Roman" w:cs="Times New Roman"/>
          <w:sz w:val="24"/>
          <w:szCs w:val="24"/>
          <w:lang w:val="en-US"/>
        </w:rPr>
        <w:t xml:space="preserve">wording in bold </w:t>
      </w:r>
      <w:r w:rsidR="00C500B1">
        <w:rPr>
          <w:rFonts w:ascii="Times New Roman" w:hAnsi="Times New Roman" w:cs="Times New Roman"/>
          <w:sz w:val="24"/>
          <w:szCs w:val="24"/>
          <w:lang w:val="en-US"/>
        </w:rPr>
        <w:t xml:space="preserve">triggered the whole discussion in </w:t>
      </w:r>
      <w:r w:rsidR="00C500B1" w:rsidRPr="00C663DD">
        <w:rPr>
          <w:rFonts w:ascii="Times New Roman" w:hAnsi="Times New Roman" w:cs="Times New Roman"/>
          <w:bCs/>
          <w:i/>
          <w:iCs/>
          <w:sz w:val="24"/>
          <w:szCs w:val="24"/>
        </w:rPr>
        <w:t xml:space="preserve">Beach Consultancy (Pvt) Ltd </w:t>
      </w:r>
      <w:r w:rsidR="00C500B1" w:rsidRPr="0033616D">
        <w:rPr>
          <w:rFonts w:ascii="Times New Roman" w:hAnsi="Times New Roman" w:cs="Times New Roman"/>
          <w:bCs/>
          <w:sz w:val="24"/>
          <w:szCs w:val="24"/>
        </w:rPr>
        <w:t>v</w:t>
      </w:r>
      <w:r w:rsidR="00C500B1" w:rsidRPr="00C663DD">
        <w:rPr>
          <w:rFonts w:ascii="Times New Roman" w:hAnsi="Times New Roman" w:cs="Times New Roman"/>
          <w:bCs/>
          <w:i/>
          <w:iCs/>
          <w:sz w:val="24"/>
          <w:szCs w:val="24"/>
        </w:rPr>
        <w:t xml:space="preserve"> Makonya &amp; Anor</w:t>
      </w:r>
      <w:r w:rsidR="00C500B1" w:rsidRPr="0065387D">
        <w:rPr>
          <w:rFonts w:ascii="Times New Roman" w:hAnsi="Times New Roman" w:cs="Times New Roman"/>
          <w:bCs/>
          <w:sz w:val="24"/>
          <w:szCs w:val="24"/>
        </w:rPr>
        <w:t xml:space="preserve">. </w:t>
      </w:r>
      <w:r w:rsidR="0065387D" w:rsidRPr="0065387D">
        <w:rPr>
          <w:rFonts w:ascii="Times New Roman" w:hAnsi="Times New Roman" w:cs="Times New Roman"/>
          <w:bCs/>
          <w:sz w:val="24"/>
          <w:szCs w:val="24"/>
        </w:rPr>
        <w:t xml:space="preserve">It imperative </w:t>
      </w:r>
      <w:r w:rsidR="00380DF4">
        <w:rPr>
          <w:rFonts w:ascii="Times New Roman" w:hAnsi="Times New Roman" w:cs="Times New Roman"/>
          <w:bCs/>
          <w:sz w:val="24"/>
          <w:szCs w:val="24"/>
        </w:rPr>
        <w:t xml:space="preserve">that </w:t>
      </w:r>
      <w:r w:rsidR="00380DF4" w:rsidRPr="0065387D">
        <w:rPr>
          <w:rFonts w:ascii="Times New Roman" w:hAnsi="Times New Roman" w:cs="Times New Roman"/>
          <w:bCs/>
          <w:sz w:val="24"/>
          <w:szCs w:val="24"/>
        </w:rPr>
        <w:t xml:space="preserve">one </w:t>
      </w:r>
      <w:r w:rsidR="00380DF4" w:rsidRPr="00495ED0">
        <w:rPr>
          <w:rFonts w:ascii="Times New Roman" w:hAnsi="Times New Roman" w:cs="Times New Roman"/>
          <w:bCs/>
          <w:sz w:val="24"/>
          <w:szCs w:val="24"/>
        </w:rPr>
        <w:t>acknowledges</w:t>
      </w:r>
      <w:r w:rsidR="001569E2">
        <w:rPr>
          <w:rFonts w:ascii="Times New Roman" w:hAnsi="Times New Roman" w:cs="Times New Roman"/>
          <w:bCs/>
          <w:sz w:val="24"/>
          <w:szCs w:val="24"/>
        </w:rPr>
        <w:t>,</w:t>
      </w:r>
      <w:r w:rsidR="00C500B1" w:rsidRPr="00495ED0">
        <w:rPr>
          <w:rFonts w:ascii="Times New Roman" w:hAnsi="Times New Roman" w:cs="Times New Roman"/>
          <w:bCs/>
          <w:sz w:val="24"/>
          <w:szCs w:val="24"/>
        </w:rPr>
        <w:t xml:space="preserve"> in that </w:t>
      </w:r>
      <w:r w:rsidR="00495ED0">
        <w:rPr>
          <w:rFonts w:ascii="Times New Roman" w:hAnsi="Times New Roman" w:cs="Times New Roman"/>
          <w:bCs/>
          <w:sz w:val="24"/>
          <w:szCs w:val="24"/>
        </w:rPr>
        <w:t xml:space="preserve">regard (with the greatest reverence to the late </w:t>
      </w:r>
      <w:r w:rsidR="00495ED0" w:rsidRPr="00495ED0">
        <w:rPr>
          <w:rFonts w:ascii="Times New Roman" w:hAnsi="Times New Roman" w:cs="Times New Roman"/>
          <w:bCs/>
        </w:rPr>
        <w:t>MAKOMO J</w:t>
      </w:r>
      <w:r w:rsidR="00380DF4">
        <w:rPr>
          <w:rFonts w:ascii="Times New Roman" w:hAnsi="Times New Roman" w:cs="Times New Roman"/>
          <w:bCs/>
        </w:rPr>
        <w:t>)</w:t>
      </w:r>
      <w:r w:rsidR="00380DF4">
        <w:rPr>
          <w:rFonts w:ascii="Times New Roman" w:hAnsi="Times New Roman" w:cs="Times New Roman"/>
          <w:bCs/>
          <w:sz w:val="24"/>
          <w:szCs w:val="24"/>
        </w:rPr>
        <w:t xml:space="preserve">, </w:t>
      </w:r>
      <w:r w:rsidR="008E319D">
        <w:rPr>
          <w:rFonts w:ascii="Times New Roman" w:hAnsi="Times New Roman" w:cs="Times New Roman"/>
          <w:bCs/>
          <w:sz w:val="24"/>
          <w:szCs w:val="24"/>
        </w:rPr>
        <w:t xml:space="preserve">that </w:t>
      </w:r>
      <w:r w:rsidR="008E319D" w:rsidRPr="00495ED0">
        <w:rPr>
          <w:rFonts w:ascii="Times New Roman" w:hAnsi="Times New Roman" w:cs="Times New Roman"/>
          <w:bCs/>
          <w:sz w:val="24"/>
          <w:szCs w:val="24"/>
        </w:rPr>
        <w:t>in</w:t>
      </w:r>
      <w:r w:rsidR="00495ED0" w:rsidRPr="00495ED0">
        <w:rPr>
          <w:rFonts w:ascii="Times New Roman" w:hAnsi="Times New Roman" w:cs="Times New Roman"/>
          <w:bCs/>
          <w:sz w:val="24"/>
          <w:szCs w:val="24"/>
        </w:rPr>
        <w:t xml:space="preserve"> </w:t>
      </w:r>
      <w:r w:rsidR="00495ED0" w:rsidRPr="00495ED0">
        <w:rPr>
          <w:rFonts w:ascii="Times New Roman" w:hAnsi="Times New Roman" w:cs="Times New Roman"/>
          <w:sz w:val="24"/>
          <w:szCs w:val="24"/>
        </w:rPr>
        <w:t>search</w:t>
      </w:r>
      <w:r w:rsidR="00512473" w:rsidRPr="00495ED0">
        <w:rPr>
          <w:rFonts w:ascii="Times New Roman" w:hAnsi="Times New Roman" w:cs="Times New Roman"/>
          <w:sz w:val="24"/>
          <w:szCs w:val="24"/>
        </w:rPr>
        <w:t xml:space="preserve"> for answers, the court </w:t>
      </w:r>
      <w:r w:rsidR="0045484E">
        <w:rPr>
          <w:rFonts w:ascii="Times New Roman" w:hAnsi="Times New Roman" w:cs="Times New Roman"/>
          <w:sz w:val="24"/>
          <w:szCs w:val="24"/>
        </w:rPr>
        <w:t>may have unwittingly drawn it</w:t>
      </w:r>
      <w:r w:rsidR="00E52269" w:rsidRPr="00495ED0">
        <w:rPr>
          <w:rFonts w:ascii="Times New Roman" w:hAnsi="Times New Roman" w:cs="Times New Roman"/>
          <w:sz w:val="24"/>
          <w:szCs w:val="24"/>
        </w:rPr>
        <w:t xml:space="preserve">self </w:t>
      </w:r>
      <w:r w:rsidR="006375A3" w:rsidRPr="00495ED0">
        <w:rPr>
          <w:rFonts w:ascii="Times New Roman" w:hAnsi="Times New Roman" w:cs="Times New Roman"/>
          <w:sz w:val="24"/>
          <w:szCs w:val="24"/>
        </w:rPr>
        <w:t xml:space="preserve">further </w:t>
      </w:r>
      <w:r w:rsidR="00E52269" w:rsidRPr="00495ED0">
        <w:rPr>
          <w:rFonts w:ascii="Times New Roman" w:hAnsi="Times New Roman" w:cs="Times New Roman"/>
          <w:sz w:val="24"/>
          <w:szCs w:val="24"/>
        </w:rPr>
        <w:t>away from</w:t>
      </w:r>
      <w:r w:rsidR="00E52269">
        <w:rPr>
          <w:rFonts w:ascii="Times New Roman" w:hAnsi="Times New Roman" w:cs="Times New Roman"/>
          <w:sz w:val="24"/>
          <w:szCs w:val="24"/>
        </w:rPr>
        <w:t xml:space="preserve"> </w:t>
      </w:r>
      <w:r w:rsidR="00E52269" w:rsidRPr="00E52269">
        <w:rPr>
          <w:rFonts w:ascii="Times New Roman" w:hAnsi="Times New Roman" w:cs="Times New Roman"/>
          <w:i/>
          <w:iCs/>
          <w:sz w:val="24"/>
          <w:szCs w:val="24"/>
        </w:rPr>
        <w:t>Cuthbert Dube v PSMAS</w:t>
      </w:r>
      <w:r w:rsidR="006375A3">
        <w:rPr>
          <w:rFonts w:ascii="Times New Roman" w:hAnsi="Times New Roman" w:cs="Times New Roman"/>
          <w:i/>
          <w:iCs/>
          <w:sz w:val="24"/>
          <w:szCs w:val="24"/>
        </w:rPr>
        <w:t>.</w:t>
      </w:r>
      <w:r w:rsidR="00495ED0">
        <w:rPr>
          <w:rFonts w:ascii="Times New Roman" w:hAnsi="Times New Roman" w:cs="Times New Roman"/>
          <w:sz w:val="24"/>
          <w:szCs w:val="24"/>
        </w:rPr>
        <w:t xml:space="preserve"> </w:t>
      </w:r>
      <w:r w:rsidR="00863C18">
        <w:rPr>
          <w:rFonts w:ascii="Times New Roman" w:hAnsi="Times New Roman" w:cs="Times New Roman"/>
          <w:sz w:val="24"/>
          <w:szCs w:val="24"/>
        </w:rPr>
        <w:t>The very authority where the self-same answers lay.</w:t>
      </w:r>
      <w:r w:rsidR="00495ED0">
        <w:rPr>
          <w:rFonts w:ascii="Times New Roman" w:hAnsi="Times New Roman" w:cs="Times New Roman"/>
          <w:sz w:val="24"/>
          <w:szCs w:val="24"/>
        </w:rPr>
        <w:t xml:space="preserve"> </w:t>
      </w:r>
    </w:p>
    <w:p w14:paraId="36DF649B" w14:textId="468CFF45" w:rsidR="0065387D" w:rsidRDefault="00091914"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[58] </w:t>
      </w:r>
      <w:r w:rsidR="00495ED0">
        <w:rPr>
          <w:rFonts w:ascii="Times New Roman" w:hAnsi="Times New Roman" w:cs="Times New Roman"/>
          <w:sz w:val="24"/>
          <w:szCs w:val="24"/>
        </w:rPr>
        <w:t xml:space="preserve">As a result, the court </w:t>
      </w:r>
      <w:r w:rsidR="0065387D">
        <w:rPr>
          <w:rFonts w:ascii="Times New Roman" w:hAnsi="Times New Roman" w:cs="Times New Roman"/>
          <w:sz w:val="24"/>
          <w:szCs w:val="24"/>
        </w:rPr>
        <w:t xml:space="preserve">in </w:t>
      </w:r>
      <w:r w:rsidR="0065387D" w:rsidRPr="00C663DD">
        <w:rPr>
          <w:rFonts w:ascii="Times New Roman" w:hAnsi="Times New Roman" w:cs="Times New Roman"/>
          <w:bCs/>
          <w:i/>
          <w:iCs/>
          <w:sz w:val="24"/>
          <w:szCs w:val="24"/>
        </w:rPr>
        <w:t xml:space="preserve">Beach Consultancy (Pvt) Ltd </w:t>
      </w:r>
      <w:r w:rsidR="0065387D" w:rsidRPr="0033616D">
        <w:rPr>
          <w:rFonts w:ascii="Times New Roman" w:hAnsi="Times New Roman" w:cs="Times New Roman"/>
          <w:bCs/>
          <w:sz w:val="24"/>
          <w:szCs w:val="24"/>
        </w:rPr>
        <w:t>v</w:t>
      </w:r>
      <w:r w:rsidR="0065387D" w:rsidRPr="00C663DD">
        <w:rPr>
          <w:rFonts w:ascii="Times New Roman" w:hAnsi="Times New Roman" w:cs="Times New Roman"/>
          <w:bCs/>
          <w:i/>
          <w:iCs/>
          <w:sz w:val="24"/>
          <w:szCs w:val="24"/>
        </w:rPr>
        <w:t xml:space="preserve"> Makonya &amp; Anor</w:t>
      </w:r>
      <w:r w:rsidR="0065387D">
        <w:rPr>
          <w:rFonts w:ascii="Times New Roman" w:hAnsi="Times New Roman" w:cs="Times New Roman"/>
          <w:sz w:val="24"/>
          <w:szCs w:val="24"/>
        </w:rPr>
        <w:t xml:space="preserve"> </w:t>
      </w:r>
      <w:r w:rsidR="00495ED0">
        <w:rPr>
          <w:rFonts w:ascii="Times New Roman" w:hAnsi="Times New Roman" w:cs="Times New Roman"/>
          <w:sz w:val="24"/>
          <w:szCs w:val="24"/>
        </w:rPr>
        <w:t xml:space="preserve">then </w:t>
      </w:r>
      <w:r w:rsidR="00512473">
        <w:rPr>
          <w:rFonts w:ascii="Times New Roman" w:hAnsi="Times New Roman" w:cs="Times New Roman"/>
          <w:sz w:val="24"/>
          <w:szCs w:val="24"/>
        </w:rPr>
        <w:t xml:space="preserve">settled on </w:t>
      </w:r>
      <w:r w:rsidR="0065387D">
        <w:rPr>
          <w:rFonts w:ascii="Times New Roman" w:hAnsi="Times New Roman" w:cs="Times New Roman"/>
          <w:sz w:val="24"/>
          <w:szCs w:val="24"/>
        </w:rPr>
        <w:t>the below view on</w:t>
      </w:r>
      <w:r w:rsidR="00512473">
        <w:rPr>
          <w:rFonts w:ascii="Times New Roman" w:hAnsi="Times New Roman" w:cs="Times New Roman"/>
          <w:sz w:val="24"/>
          <w:szCs w:val="24"/>
        </w:rPr>
        <w:t xml:space="preserve"> the duties of </w:t>
      </w:r>
      <w:r w:rsidR="0065387D">
        <w:rPr>
          <w:rFonts w:ascii="Times New Roman" w:hAnsi="Times New Roman" w:cs="Times New Roman"/>
          <w:sz w:val="24"/>
          <w:szCs w:val="24"/>
        </w:rPr>
        <w:t xml:space="preserve">directors [ at </w:t>
      </w:r>
      <w:r w:rsidR="00380DF4">
        <w:rPr>
          <w:rFonts w:ascii="Times New Roman" w:hAnsi="Times New Roman" w:cs="Times New Roman"/>
          <w:sz w:val="24"/>
          <w:szCs w:val="24"/>
        </w:rPr>
        <w:t>page 8];</w:t>
      </w:r>
      <w:r w:rsidR="0065387D">
        <w:rPr>
          <w:rFonts w:ascii="Times New Roman" w:hAnsi="Times New Roman" w:cs="Times New Roman"/>
          <w:sz w:val="24"/>
          <w:szCs w:val="24"/>
        </w:rPr>
        <w:t xml:space="preserve"> -</w:t>
      </w:r>
    </w:p>
    <w:p w14:paraId="5D96A095" w14:textId="032F399F" w:rsidR="00512473" w:rsidRDefault="00512473" w:rsidP="00512473">
      <w:pPr>
        <w:spacing w:after="0" w:line="360" w:lineRule="auto"/>
        <w:ind w:left="737"/>
        <w:jc w:val="both"/>
        <w:rPr>
          <w:rFonts w:ascii="Times New Roman" w:hAnsi="Times New Roman" w:cs="Times New Roman"/>
          <w:sz w:val="24"/>
          <w:szCs w:val="24"/>
          <w:lang w:val="en-US"/>
        </w:rPr>
      </w:pPr>
      <w:r>
        <w:rPr>
          <w:rFonts w:ascii="Times New Roman" w:hAnsi="Times New Roman" w:cs="Times New Roman"/>
          <w:sz w:val="24"/>
          <w:szCs w:val="24"/>
          <w:lang w:val="en-US"/>
        </w:rPr>
        <w:t>“For that reason, therefore, directors of an entity may not authorize, on behalf of the company, participation in litigation whose existence and facts thereof</w:t>
      </w:r>
      <w:r w:rsidRPr="007647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are not aware of at the time of the authorization, and whether the company will have any material interests in that litigation. To do so would be to act without due diligence and constitutes a breach of their duty to act in the best interests of the company for purposes of expediency. The purpose of the board properly sitting to authorize a particular litigation or to be involved in such litigation is to consider whether there are any interests of the entity that may be served by instituting or defending the litigation. It is also to carefully consider the consequences of the litigation. Such an exercise is a fiduciary duty of the directors to which they may not divest themselves of by giving a </w:t>
      </w:r>
      <w:r w:rsidRPr="00FF058A">
        <w:rPr>
          <w:rFonts w:ascii="Times New Roman" w:hAnsi="Times New Roman" w:cs="Times New Roman"/>
          <w:i/>
          <w:iCs/>
          <w:sz w:val="24"/>
          <w:szCs w:val="24"/>
          <w:lang w:val="en-US"/>
        </w:rPr>
        <w:t>carte blanche</w:t>
      </w:r>
      <w:r>
        <w:rPr>
          <w:rFonts w:ascii="Times New Roman" w:hAnsi="Times New Roman" w:cs="Times New Roman"/>
          <w:sz w:val="24"/>
          <w:szCs w:val="24"/>
          <w:lang w:val="en-US"/>
        </w:rPr>
        <w:t xml:space="preserve"> authority to the individual director or officer. </w:t>
      </w:r>
      <w:r w:rsidRPr="00561512">
        <w:rPr>
          <w:rFonts w:ascii="Times New Roman" w:hAnsi="Times New Roman" w:cs="Times New Roman"/>
          <w:sz w:val="24"/>
          <w:szCs w:val="24"/>
        </w:rPr>
        <w:t>The duty is inextricably tied to the office of a director who may delegate the duty</w:t>
      </w:r>
      <w:r>
        <w:rPr>
          <w:rFonts w:ascii="Times New Roman" w:hAnsi="Times New Roman" w:cs="Times New Roman"/>
          <w:sz w:val="24"/>
          <w:szCs w:val="24"/>
        </w:rPr>
        <w:t xml:space="preserve"> only in very strict and exceptional circumstances</w:t>
      </w:r>
      <w:r w:rsidRPr="00561512">
        <w:rPr>
          <w:rFonts w:ascii="Times New Roman" w:hAnsi="Times New Roman" w:cs="Times New Roman"/>
          <w:sz w:val="24"/>
          <w:szCs w:val="24"/>
        </w:rPr>
        <w:t xml:space="preserve"> but not totally abdicate on it</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Thus, to grant a particular director or officer blanket authority to exercise discretion on whether to institute or defend litigation whenever it arises in future is to delegate the function which must be that of a properly constituted board to such individual director or officer. That, the board cannot do. The decision to participate in litigation must be carefully considered, in the best interest of the entity, only when the cause has arisen and the facts thereof </w:t>
      </w:r>
      <w:r>
        <w:rPr>
          <w:rFonts w:ascii="Times New Roman" w:hAnsi="Times New Roman" w:cs="Times New Roman"/>
          <w:sz w:val="24"/>
          <w:szCs w:val="24"/>
          <w:lang w:val="en-US"/>
        </w:rPr>
        <w:lastRenderedPageBreak/>
        <w:t xml:space="preserve">known to the board for its proper exercise of discretion. The directors can only discharge this paramount duty to take decisions on behalf of the company and in its best interests when they are properly informed of all the facts relating to the case.” </w:t>
      </w:r>
    </w:p>
    <w:p w14:paraId="20F0B7F9" w14:textId="265853BA" w:rsidR="006375A3" w:rsidRPr="00380DF4" w:rsidRDefault="00512473" w:rsidP="00E52269">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B20C2">
        <w:rPr>
          <w:rFonts w:ascii="Times New Roman" w:hAnsi="Times New Roman" w:cs="Times New Roman"/>
          <w:sz w:val="24"/>
          <w:szCs w:val="24"/>
          <w:lang w:val="en-US"/>
        </w:rPr>
        <w:t>5</w:t>
      </w:r>
      <w:r w:rsidR="00091914">
        <w:rPr>
          <w:rFonts w:ascii="Times New Roman" w:hAnsi="Times New Roman" w:cs="Times New Roman"/>
          <w:sz w:val="24"/>
          <w:szCs w:val="24"/>
          <w:lang w:val="en-US"/>
        </w:rPr>
        <w:t>9</w:t>
      </w:r>
      <w:r w:rsidRPr="00380DF4">
        <w:rPr>
          <w:rFonts w:ascii="Times New Roman" w:hAnsi="Times New Roman" w:cs="Times New Roman"/>
          <w:sz w:val="24"/>
          <w:szCs w:val="24"/>
          <w:lang w:val="en-US"/>
        </w:rPr>
        <w:t>] Th</w:t>
      </w:r>
      <w:r w:rsidR="00E52269" w:rsidRPr="00380DF4">
        <w:rPr>
          <w:rFonts w:ascii="Times New Roman" w:hAnsi="Times New Roman" w:cs="Times New Roman"/>
          <w:sz w:val="24"/>
          <w:szCs w:val="24"/>
          <w:lang w:val="en-US"/>
        </w:rPr>
        <w:t xml:space="preserve">is passage captures the basis </w:t>
      </w:r>
      <w:r w:rsidR="00422CDC" w:rsidRPr="00380DF4">
        <w:rPr>
          <w:rFonts w:ascii="Times New Roman" w:hAnsi="Times New Roman" w:cs="Times New Roman"/>
          <w:sz w:val="24"/>
          <w:szCs w:val="24"/>
          <w:lang w:val="en-US"/>
        </w:rPr>
        <w:t xml:space="preserve">for </w:t>
      </w:r>
      <w:r w:rsidR="00380DF4" w:rsidRPr="00380DF4">
        <w:rPr>
          <w:rFonts w:ascii="Times New Roman" w:hAnsi="Times New Roman" w:cs="Times New Roman"/>
          <w:sz w:val="24"/>
          <w:szCs w:val="24"/>
          <w:lang w:val="en-US"/>
        </w:rPr>
        <w:t>that definitive articulation of the law quoted</w:t>
      </w:r>
      <w:r w:rsidR="000C3981">
        <w:rPr>
          <w:rFonts w:ascii="Times New Roman" w:hAnsi="Times New Roman" w:cs="Times New Roman"/>
          <w:sz w:val="24"/>
          <w:szCs w:val="24"/>
          <w:lang w:val="en-US"/>
        </w:rPr>
        <w:t xml:space="preserve"> in paragraph [54] </w:t>
      </w:r>
      <w:r w:rsidR="000C3981" w:rsidRPr="00380DF4">
        <w:rPr>
          <w:rFonts w:ascii="Times New Roman" w:hAnsi="Times New Roman" w:cs="Times New Roman"/>
          <w:sz w:val="24"/>
          <w:szCs w:val="24"/>
          <w:lang w:val="en-US"/>
        </w:rPr>
        <w:t>above</w:t>
      </w:r>
      <w:r w:rsidR="00380DF4" w:rsidRPr="00380DF4">
        <w:rPr>
          <w:rFonts w:ascii="Times New Roman" w:hAnsi="Times New Roman" w:cs="Times New Roman"/>
          <w:sz w:val="24"/>
          <w:szCs w:val="24"/>
          <w:lang w:val="en-US"/>
        </w:rPr>
        <w:t xml:space="preserve">. </w:t>
      </w:r>
      <w:r w:rsidR="0045484E" w:rsidRPr="00380DF4">
        <w:rPr>
          <w:rFonts w:ascii="Times New Roman" w:hAnsi="Times New Roman" w:cs="Times New Roman"/>
          <w:sz w:val="24"/>
          <w:szCs w:val="24"/>
          <w:lang w:val="en-US"/>
        </w:rPr>
        <w:t>Without a doubt</w:t>
      </w:r>
      <w:r w:rsidR="000C3981">
        <w:rPr>
          <w:rFonts w:ascii="Times New Roman" w:hAnsi="Times New Roman" w:cs="Times New Roman"/>
          <w:sz w:val="24"/>
          <w:szCs w:val="24"/>
          <w:lang w:val="en-US"/>
        </w:rPr>
        <w:t>,</w:t>
      </w:r>
      <w:r w:rsidR="0045484E" w:rsidRPr="00380DF4">
        <w:rPr>
          <w:rFonts w:ascii="Times New Roman" w:hAnsi="Times New Roman" w:cs="Times New Roman"/>
          <w:sz w:val="24"/>
          <w:szCs w:val="24"/>
          <w:lang w:val="en-US"/>
        </w:rPr>
        <w:t xml:space="preserve"> pertinent issues </w:t>
      </w:r>
      <w:r w:rsidR="00380DF4" w:rsidRPr="00380DF4">
        <w:rPr>
          <w:rFonts w:ascii="Times New Roman" w:hAnsi="Times New Roman" w:cs="Times New Roman"/>
          <w:sz w:val="24"/>
          <w:szCs w:val="24"/>
          <w:lang w:val="en-US"/>
        </w:rPr>
        <w:t xml:space="preserve">were </w:t>
      </w:r>
      <w:r w:rsidR="0045484E" w:rsidRPr="00380DF4">
        <w:rPr>
          <w:rFonts w:ascii="Times New Roman" w:hAnsi="Times New Roman" w:cs="Times New Roman"/>
          <w:sz w:val="24"/>
          <w:szCs w:val="24"/>
          <w:lang w:val="en-US"/>
        </w:rPr>
        <w:t>raised</w:t>
      </w:r>
      <w:r w:rsidR="00380DF4" w:rsidRPr="00380DF4">
        <w:rPr>
          <w:rFonts w:ascii="Times New Roman" w:hAnsi="Times New Roman" w:cs="Times New Roman"/>
          <w:sz w:val="24"/>
          <w:szCs w:val="24"/>
          <w:lang w:val="en-US"/>
        </w:rPr>
        <w:t xml:space="preserve"> on the road to the said conclusion</w:t>
      </w:r>
      <w:r w:rsidR="0045484E" w:rsidRPr="00380DF4">
        <w:rPr>
          <w:rFonts w:ascii="Times New Roman" w:hAnsi="Times New Roman" w:cs="Times New Roman"/>
          <w:sz w:val="24"/>
          <w:szCs w:val="24"/>
          <w:lang w:val="en-US"/>
        </w:rPr>
        <w:t xml:space="preserve">. But the </w:t>
      </w:r>
      <w:r w:rsidR="009E29DC" w:rsidRPr="00380DF4">
        <w:rPr>
          <w:rFonts w:ascii="Times New Roman" w:hAnsi="Times New Roman" w:cs="Times New Roman"/>
          <w:sz w:val="24"/>
          <w:szCs w:val="24"/>
          <w:lang w:val="en-US"/>
        </w:rPr>
        <w:t xml:space="preserve">court </w:t>
      </w:r>
      <w:r w:rsidR="0045484E" w:rsidRPr="00380DF4">
        <w:rPr>
          <w:rFonts w:ascii="Times New Roman" w:hAnsi="Times New Roman" w:cs="Times New Roman"/>
          <w:sz w:val="24"/>
          <w:szCs w:val="24"/>
          <w:lang w:val="en-US"/>
        </w:rPr>
        <w:t>may have been persuaded</w:t>
      </w:r>
      <w:r w:rsidR="009E29DC" w:rsidRPr="00380DF4">
        <w:rPr>
          <w:rFonts w:ascii="Times New Roman" w:hAnsi="Times New Roman" w:cs="Times New Roman"/>
          <w:sz w:val="24"/>
          <w:szCs w:val="24"/>
          <w:lang w:val="en-US"/>
        </w:rPr>
        <w:t xml:space="preserve"> </w:t>
      </w:r>
      <w:r w:rsidR="0045484E" w:rsidRPr="00380DF4">
        <w:rPr>
          <w:rFonts w:ascii="Times New Roman" w:hAnsi="Times New Roman" w:cs="Times New Roman"/>
          <w:sz w:val="24"/>
          <w:szCs w:val="24"/>
          <w:lang w:val="en-US"/>
        </w:rPr>
        <w:t xml:space="preserve">more </w:t>
      </w:r>
      <w:r w:rsidR="009E29DC" w:rsidRPr="00380DF4">
        <w:rPr>
          <w:rFonts w:ascii="Times New Roman" w:hAnsi="Times New Roman" w:cs="Times New Roman"/>
          <w:sz w:val="24"/>
          <w:szCs w:val="24"/>
          <w:lang w:val="en-US"/>
        </w:rPr>
        <w:t>by c</w:t>
      </w:r>
      <w:r w:rsidR="006375A3" w:rsidRPr="00380DF4">
        <w:rPr>
          <w:rFonts w:ascii="Times New Roman" w:hAnsi="Times New Roman" w:cs="Times New Roman"/>
          <w:sz w:val="24"/>
          <w:szCs w:val="24"/>
          <w:lang w:val="en-US"/>
        </w:rPr>
        <w:t xml:space="preserve">onsiderations </w:t>
      </w:r>
      <w:r w:rsidR="00422CDC" w:rsidRPr="00380DF4">
        <w:rPr>
          <w:rFonts w:ascii="Times New Roman" w:hAnsi="Times New Roman" w:cs="Times New Roman"/>
          <w:sz w:val="24"/>
          <w:szCs w:val="24"/>
          <w:lang w:val="en-US"/>
        </w:rPr>
        <w:t>on fiduciary</w:t>
      </w:r>
      <w:r w:rsidR="006375A3" w:rsidRPr="00380DF4">
        <w:rPr>
          <w:rFonts w:ascii="Times New Roman" w:hAnsi="Times New Roman" w:cs="Times New Roman"/>
          <w:sz w:val="24"/>
          <w:szCs w:val="24"/>
          <w:lang w:val="en-US"/>
        </w:rPr>
        <w:t xml:space="preserve"> duties of directors than </w:t>
      </w:r>
      <w:r w:rsidR="00380DF4" w:rsidRPr="00380DF4">
        <w:rPr>
          <w:rFonts w:ascii="Times New Roman" w:hAnsi="Times New Roman" w:cs="Times New Roman"/>
          <w:sz w:val="24"/>
          <w:szCs w:val="24"/>
          <w:lang w:val="en-US"/>
        </w:rPr>
        <w:t xml:space="preserve">the </w:t>
      </w:r>
      <w:r w:rsidR="006375A3" w:rsidRPr="00380DF4">
        <w:rPr>
          <w:rFonts w:ascii="Times New Roman" w:hAnsi="Times New Roman" w:cs="Times New Roman"/>
          <w:sz w:val="24"/>
          <w:szCs w:val="24"/>
          <w:lang w:val="en-US"/>
        </w:rPr>
        <w:t xml:space="preserve">primary assessment of evidence of a board`s knowledge, consent and approval as stated in </w:t>
      </w:r>
      <w:r w:rsidR="006375A3" w:rsidRPr="00380DF4">
        <w:rPr>
          <w:rFonts w:ascii="Times New Roman" w:hAnsi="Times New Roman" w:cs="Times New Roman"/>
          <w:i/>
          <w:iCs/>
          <w:sz w:val="24"/>
          <w:szCs w:val="24"/>
          <w:lang w:val="en-US"/>
        </w:rPr>
        <w:t>Cuthbert Dube v PSMAS</w:t>
      </w:r>
      <w:r w:rsidR="006375A3" w:rsidRPr="00380DF4">
        <w:rPr>
          <w:rFonts w:ascii="Times New Roman" w:hAnsi="Times New Roman" w:cs="Times New Roman"/>
          <w:sz w:val="24"/>
          <w:szCs w:val="24"/>
          <w:lang w:val="en-US"/>
        </w:rPr>
        <w:t>.</w:t>
      </w:r>
    </w:p>
    <w:p w14:paraId="7206E09F" w14:textId="5E031C5B" w:rsidR="00473CCD" w:rsidRPr="00863C18" w:rsidRDefault="00473CCD" w:rsidP="00E52269">
      <w:pPr>
        <w:pStyle w:val="NoSpacing"/>
        <w:spacing w:before="240" w:line="360" w:lineRule="auto"/>
        <w:jc w:val="both"/>
        <w:rPr>
          <w:rFonts w:ascii="Times New Roman" w:hAnsi="Times New Roman" w:cs="Times New Roman"/>
          <w:sz w:val="24"/>
          <w:szCs w:val="24"/>
        </w:rPr>
      </w:pPr>
      <w:r w:rsidRPr="00380DF4">
        <w:rPr>
          <w:rFonts w:ascii="Times New Roman" w:hAnsi="Times New Roman" w:cs="Times New Roman"/>
          <w:sz w:val="24"/>
          <w:szCs w:val="24"/>
          <w:lang w:val="en-US"/>
        </w:rPr>
        <w:t>[</w:t>
      </w:r>
      <w:r w:rsidR="00091914">
        <w:rPr>
          <w:rFonts w:ascii="Times New Roman" w:hAnsi="Times New Roman" w:cs="Times New Roman"/>
          <w:sz w:val="24"/>
          <w:szCs w:val="24"/>
          <w:lang w:val="en-US"/>
        </w:rPr>
        <w:t>60</w:t>
      </w:r>
      <w:r w:rsidRPr="00380DF4">
        <w:rPr>
          <w:rFonts w:ascii="Times New Roman" w:hAnsi="Times New Roman" w:cs="Times New Roman"/>
          <w:sz w:val="24"/>
          <w:szCs w:val="24"/>
          <w:lang w:val="en-US"/>
        </w:rPr>
        <w:t xml:space="preserve">] It is not immediately apparent </w:t>
      </w:r>
      <w:r w:rsidR="00363771" w:rsidRPr="00380DF4">
        <w:rPr>
          <w:rFonts w:ascii="Times New Roman" w:hAnsi="Times New Roman" w:cs="Times New Roman"/>
          <w:sz w:val="24"/>
          <w:szCs w:val="24"/>
          <w:lang w:val="en-US"/>
        </w:rPr>
        <w:t>too, if</w:t>
      </w:r>
      <w:r w:rsidRPr="00380DF4">
        <w:rPr>
          <w:rFonts w:ascii="Times New Roman" w:hAnsi="Times New Roman" w:cs="Times New Roman"/>
          <w:sz w:val="24"/>
          <w:szCs w:val="24"/>
          <w:lang w:val="en-US"/>
        </w:rPr>
        <w:t xml:space="preserve"> the </w:t>
      </w:r>
      <w:r>
        <w:rPr>
          <w:rFonts w:ascii="Times New Roman" w:hAnsi="Times New Roman" w:cs="Times New Roman"/>
          <w:sz w:val="24"/>
          <w:szCs w:val="24"/>
        </w:rPr>
        <w:t xml:space="preserve">principle that courts </w:t>
      </w:r>
      <w:r w:rsidR="00495ED0">
        <w:rPr>
          <w:rFonts w:ascii="Times New Roman" w:hAnsi="Times New Roman" w:cs="Times New Roman"/>
          <w:sz w:val="24"/>
          <w:szCs w:val="24"/>
        </w:rPr>
        <w:t>should be reluctant</w:t>
      </w:r>
      <w:r>
        <w:rPr>
          <w:rFonts w:ascii="Times New Roman" w:hAnsi="Times New Roman" w:cs="Times New Roman"/>
          <w:sz w:val="24"/>
          <w:szCs w:val="24"/>
        </w:rPr>
        <w:t xml:space="preserve"> to interfere in the affairs of a company formed part of the inquiry on fiduciary duties of directors (See the court`s </w:t>
      </w:r>
      <w:r w:rsidR="00495ED0" w:rsidRPr="00863C18">
        <w:rPr>
          <w:rFonts w:ascii="Times New Roman" w:hAnsi="Times New Roman" w:cs="Times New Roman"/>
          <w:sz w:val="24"/>
          <w:szCs w:val="24"/>
        </w:rPr>
        <w:t xml:space="preserve">examination of </w:t>
      </w:r>
      <w:r w:rsidRPr="00863C18">
        <w:rPr>
          <w:rFonts w:ascii="Times New Roman" w:hAnsi="Times New Roman" w:cs="Times New Roman"/>
          <w:sz w:val="24"/>
          <w:szCs w:val="24"/>
        </w:rPr>
        <w:t xml:space="preserve">the point in </w:t>
      </w:r>
      <w:r w:rsidRPr="00863C18">
        <w:rPr>
          <w:rFonts w:ascii="Times New Roman" w:hAnsi="Times New Roman" w:cs="Times New Roman"/>
          <w:i/>
          <w:iCs/>
          <w:sz w:val="24"/>
          <w:szCs w:val="24"/>
        </w:rPr>
        <w:t>Meikles Consolidated Holdings (Pvt) Ltd v Meikles</w:t>
      </w:r>
      <w:r w:rsidRPr="00863C18">
        <w:rPr>
          <w:rFonts w:ascii="Times New Roman" w:hAnsi="Times New Roman" w:cs="Times New Roman"/>
          <w:sz w:val="24"/>
          <w:szCs w:val="24"/>
        </w:rPr>
        <w:t xml:space="preserve"> HH 601-24). In that regard, the question arises as to </w:t>
      </w:r>
      <w:r w:rsidR="0045484E" w:rsidRPr="00863C18">
        <w:rPr>
          <w:rFonts w:ascii="Times New Roman" w:hAnsi="Times New Roman" w:cs="Times New Roman"/>
          <w:sz w:val="24"/>
          <w:szCs w:val="24"/>
        </w:rPr>
        <w:t>whether;</w:t>
      </w:r>
      <w:r w:rsidRPr="00863C18">
        <w:rPr>
          <w:rFonts w:ascii="Times New Roman" w:hAnsi="Times New Roman" w:cs="Times New Roman"/>
          <w:sz w:val="24"/>
          <w:szCs w:val="24"/>
        </w:rPr>
        <w:t xml:space="preserve"> by trammelling the latitude of entities to regulate their own affairs including </w:t>
      </w:r>
      <w:r w:rsidR="0045484E">
        <w:rPr>
          <w:rFonts w:ascii="Times New Roman" w:hAnsi="Times New Roman" w:cs="Times New Roman"/>
          <w:sz w:val="24"/>
          <w:szCs w:val="24"/>
        </w:rPr>
        <w:t xml:space="preserve">the passing of </w:t>
      </w:r>
      <w:r w:rsidRPr="00863C18">
        <w:rPr>
          <w:rFonts w:ascii="Times New Roman" w:hAnsi="Times New Roman" w:cs="Times New Roman"/>
          <w:sz w:val="24"/>
          <w:szCs w:val="24"/>
        </w:rPr>
        <w:t>resolutions, the court is not clashing with its own principle?</w:t>
      </w:r>
    </w:p>
    <w:p w14:paraId="38F30AEC" w14:textId="6BD01281" w:rsidR="006375A3" w:rsidRDefault="00422CDC" w:rsidP="00E52269">
      <w:pPr>
        <w:pStyle w:val="NoSpacing"/>
        <w:spacing w:before="240" w:line="360" w:lineRule="auto"/>
        <w:jc w:val="both"/>
        <w:rPr>
          <w:rFonts w:ascii="Times New Roman" w:hAnsi="Times New Roman" w:cs="Times New Roman"/>
          <w:sz w:val="24"/>
          <w:szCs w:val="24"/>
        </w:rPr>
      </w:pPr>
      <w:r w:rsidRPr="00863C18">
        <w:rPr>
          <w:rFonts w:ascii="Times New Roman" w:hAnsi="Times New Roman" w:cs="Times New Roman"/>
          <w:sz w:val="24"/>
          <w:szCs w:val="24"/>
          <w:lang w:val="en-US"/>
        </w:rPr>
        <w:t>[</w:t>
      </w:r>
      <w:r w:rsidR="008D5E19" w:rsidRPr="00863C18">
        <w:rPr>
          <w:rFonts w:ascii="Times New Roman" w:hAnsi="Times New Roman" w:cs="Times New Roman"/>
          <w:sz w:val="24"/>
          <w:szCs w:val="24"/>
          <w:lang w:val="en-US"/>
        </w:rPr>
        <w:t>6</w:t>
      </w:r>
      <w:r w:rsidR="00091914">
        <w:rPr>
          <w:rFonts w:ascii="Times New Roman" w:hAnsi="Times New Roman" w:cs="Times New Roman"/>
          <w:sz w:val="24"/>
          <w:szCs w:val="24"/>
          <w:lang w:val="en-US"/>
        </w:rPr>
        <w:t>1</w:t>
      </w:r>
      <w:r w:rsidRPr="00863C18">
        <w:rPr>
          <w:rFonts w:ascii="Times New Roman" w:hAnsi="Times New Roman" w:cs="Times New Roman"/>
          <w:sz w:val="24"/>
          <w:szCs w:val="24"/>
          <w:lang w:val="en-US"/>
        </w:rPr>
        <w:t xml:space="preserve">] </w:t>
      </w:r>
      <w:r w:rsidR="00E52269" w:rsidRPr="00863C18">
        <w:rPr>
          <w:rFonts w:ascii="Times New Roman" w:hAnsi="Times New Roman" w:cs="Times New Roman"/>
          <w:sz w:val="24"/>
          <w:szCs w:val="24"/>
          <w:lang w:val="en-US"/>
        </w:rPr>
        <w:t xml:space="preserve">It is </w:t>
      </w:r>
      <w:r w:rsidR="00363771">
        <w:rPr>
          <w:rFonts w:ascii="Times New Roman" w:hAnsi="Times New Roman" w:cs="Times New Roman"/>
          <w:sz w:val="24"/>
          <w:szCs w:val="24"/>
          <w:lang w:val="en-US"/>
        </w:rPr>
        <w:t xml:space="preserve">also </w:t>
      </w:r>
      <w:r w:rsidR="00E52269" w:rsidRPr="00863C18">
        <w:rPr>
          <w:rFonts w:ascii="Times New Roman" w:hAnsi="Times New Roman" w:cs="Times New Roman"/>
          <w:sz w:val="24"/>
          <w:szCs w:val="24"/>
          <w:lang w:val="en-US"/>
        </w:rPr>
        <w:t>necessary</w:t>
      </w:r>
      <w:r w:rsidRPr="00863C18">
        <w:rPr>
          <w:rFonts w:ascii="Times New Roman" w:hAnsi="Times New Roman" w:cs="Times New Roman"/>
          <w:sz w:val="24"/>
          <w:szCs w:val="24"/>
          <w:lang w:val="en-US"/>
        </w:rPr>
        <w:t xml:space="preserve">, in reflecting further on </w:t>
      </w:r>
      <w:r w:rsidRPr="00863C18">
        <w:rPr>
          <w:rFonts w:ascii="Times New Roman" w:hAnsi="Times New Roman" w:cs="Times New Roman"/>
          <w:i/>
          <w:iCs/>
          <w:sz w:val="24"/>
          <w:szCs w:val="24"/>
          <w:lang w:val="en-US"/>
        </w:rPr>
        <w:t>Beach Consultancy</w:t>
      </w:r>
      <w:r w:rsidRPr="00914CBC">
        <w:rPr>
          <w:rFonts w:ascii="Times New Roman" w:hAnsi="Times New Roman" w:cs="Times New Roman"/>
          <w:i/>
          <w:iCs/>
          <w:sz w:val="24"/>
          <w:szCs w:val="24"/>
          <w:lang w:val="en-US"/>
        </w:rPr>
        <w:t xml:space="preserve"> v Makonya</w:t>
      </w:r>
      <w:r>
        <w:rPr>
          <w:rFonts w:ascii="Times New Roman" w:hAnsi="Times New Roman" w:cs="Times New Roman"/>
          <w:sz w:val="24"/>
          <w:szCs w:val="24"/>
          <w:lang w:val="en-US"/>
        </w:rPr>
        <w:t xml:space="preserve">, </w:t>
      </w:r>
      <w:r w:rsidR="00E52269">
        <w:rPr>
          <w:rFonts w:ascii="Times New Roman" w:hAnsi="Times New Roman" w:cs="Times New Roman"/>
          <w:sz w:val="24"/>
          <w:szCs w:val="24"/>
          <w:lang w:val="en-US"/>
        </w:rPr>
        <w:t xml:space="preserve">to </w:t>
      </w:r>
      <w:r w:rsidR="00363771">
        <w:rPr>
          <w:rFonts w:ascii="Times New Roman" w:hAnsi="Times New Roman" w:cs="Times New Roman"/>
          <w:sz w:val="24"/>
          <w:szCs w:val="24"/>
          <w:lang w:val="en-US"/>
        </w:rPr>
        <w:t xml:space="preserve">once more </w:t>
      </w:r>
      <w:r w:rsidR="00E52269">
        <w:rPr>
          <w:rFonts w:ascii="Times New Roman" w:hAnsi="Times New Roman" w:cs="Times New Roman"/>
          <w:sz w:val="24"/>
          <w:szCs w:val="24"/>
          <w:lang w:val="en-US"/>
        </w:rPr>
        <w:t>revert</w:t>
      </w:r>
      <w:r w:rsidR="00495ED0">
        <w:rPr>
          <w:rFonts w:ascii="Times New Roman" w:hAnsi="Times New Roman" w:cs="Times New Roman"/>
          <w:sz w:val="24"/>
          <w:szCs w:val="24"/>
          <w:lang w:val="en-US"/>
        </w:rPr>
        <w:t>-</w:t>
      </w:r>
      <w:r w:rsidR="00E52269">
        <w:rPr>
          <w:rFonts w:ascii="Times New Roman" w:hAnsi="Times New Roman" w:cs="Times New Roman"/>
          <w:sz w:val="24"/>
          <w:szCs w:val="24"/>
          <w:lang w:val="en-US"/>
        </w:rPr>
        <w:t xml:space="preserve"> to </w:t>
      </w:r>
      <w:r w:rsidR="00E52269" w:rsidRPr="00422CDC">
        <w:rPr>
          <w:rFonts w:ascii="Times New Roman" w:hAnsi="Times New Roman" w:cs="Times New Roman"/>
          <w:i/>
          <w:iCs/>
          <w:sz w:val="24"/>
          <w:szCs w:val="24"/>
          <w:lang w:val="en-US"/>
        </w:rPr>
        <w:t>Madzivire &amp; Ors v Z</w:t>
      </w:r>
      <w:r w:rsidR="00863C18">
        <w:rPr>
          <w:rFonts w:ascii="Times New Roman" w:hAnsi="Times New Roman" w:cs="Times New Roman"/>
          <w:i/>
          <w:iCs/>
          <w:sz w:val="24"/>
          <w:szCs w:val="24"/>
          <w:lang w:val="en-US"/>
        </w:rPr>
        <w:t>variwadzwa</w:t>
      </w:r>
      <w:r w:rsidR="007D401D">
        <w:rPr>
          <w:rFonts w:ascii="Times New Roman" w:hAnsi="Times New Roman" w:cs="Times New Roman"/>
          <w:i/>
          <w:iCs/>
          <w:sz w:val="24"/>
          <w:szCs w:val="24"/>
          <w:lang w:val="en-US"/>
        </w:rPr>
        <w:t xml:space="preserve"> &amp; Ors </w:t>
      </w:r>
      <w:r w:rsidR="007D401D">
        <w:rPr>
          <w:rFonts w:ascii="Times New Roman" w:hAnsi="Times New Roman" w:cs="Times New Roman"/>
          <w:sz w:val="24"/>
          <w:szCs w:val="24"/>
          <w:lang w:val="en-US"/>
        </w:rPr>
        <w:t>(</w:t>
      </w:r>
      <w:r w:rsidR="006375A3">
        <w:rPr>
          <w:rFonts w:ascii="Times New Roman" w:hAnsi="Times New Roman" w:cs="Times New Roman"/>
          <w:sz w:val="24"/>
          <w:szCs w:val="24"/>
          <w:lang w:val="en-US"/>
        </w:rPr>
        <w:t xml:space="preserve">supra). </w:t>
      </w:r>
      <w:r w:rsidR="00E52269">
        <w:rPr>
          <w:rFonts w:ascii="Times New Roman" w:hAnsi="Times New Roman" w:cs="Times New Roman"/>
          <w:sz w:val="24"/>
          <w:szCs w:val="24"/>
        </w:rPr>
        <w:t xml:space="preserve"> In </w:t>
      </w:r>
      <w:r w:rsidR="006375A3">
        <w:rPr>
          <w:rFonts w:ascii="Times New Roman" w:hAnsi="Times New Roman" w:cs="Times New Roman"/>
          <w:sz w:val="24"/>
          <w:szCs w:val="24"/>
        </w:rPr>
        <w:t>that case</w:t>
      </w:r>
      <w:r w:rsidR="00E52269">
        <w:rPr>
          <w:rFonts w:ascii="Times New Roman" w:hAnsi="Times New Roman" w:cs="Times New Roman"/>
          <w:sz w:val="24"/>
          <w:szCs w:val="24"/>
        </w:rPr>
        <w:t>, three co-director</w:t>
      </w:r>
      <w:r w:rsidR="00863C18">
        <w:rPr>
          <w:rFonts w:ascii="Times New Roman" w:hAnsi="Times New Roman" w:cs="Times New Roman"/>
          <w:sz w:val="24"/>
          <w:szCs w:val="24"/>
        </w:rPr>
        <w:t>-</w:t>
      </w:r>
      <w:r w:rsidR="008D5E19">
        <w:rPr>
          <w:rFonts w:ascii="Times New Roman" w:hAnsi="Times New Roman" w:cs="Times New Roman"/>
          <w:sz w:val="24"/>
          <w:szCs w:val="24"/>
        </w:rPr>
        <w:t xml:space="preserve">shareholders </w:t>
      </w:r>
      <w:r w:rsidR="00E52269">
        <w:rPr>
          <w:rFonts w:ascii="Times New Roman" w:hAnsi="Times New Roman" w:cs="Times New Roman"/>
          <w:sz w:val="24"/>
          <w:szCs w:val="24"/>
        </w:rPr>
        <w:t xml:space="preserve">in instituted proceedings </w:t>
      </w:r>
      <w:r w:rsidR="006375A3">
        <w:rPr>
          <w:rFonts w:ascii="Times New Roman" w:hAnsi="Times New Roman" w:cs="Times New Roman"/>
          <w:sz w:val="24"/>
          <w:szCs w:val="24"/>
        </w:rPr>
        <w:t xml:space="preserve">in the High Court </w:t>
      </w:r>
      <w:r w:rsidR="008D5E19">
        <w:rPr>
          <w:rFonts w:ascii="Times New Roman" w:hAnsi="Times New Roman" w:cs="Times New Roman"/>
          <w:sz w:val="24"/>
          <w:szCs w:val="24"/>
        </w:rPr>
        <w:t>following a dispute with a fellow d</w:t>
      </w:r>
      <w:r w:rsidR="00E52269">
        <w:rPr>
          <w:rFonts w:ascii="Times New Roman" w:hAnsi="Times New Roman" w:cs="Times New Roman"/>
          <w:sz w:val="24"/>
          <w:szCs w:val="24"/>
        </w:rPr>
        <w:t>irector</w:t>
      </w:r>
      <w:r w:rsidR="008D5E19">
        <w:rPr>
          <w:rFonts w:ascii="Times New Roman" w:hAnsi="Times New Roman" w:cs="Times New Roman"/>
          <w:sz w:val="24"/>
          <w:szCs w:val="24"/>
        </w:rPr>
        <w:t>-shareholder</w:t>
      </w:r>
      <w:r w:rsidR="00E52269">
        <w:rPr>
          <w:rFonts w:ascii="Times New Roman" w:hAnsi="Times New Roman" w:cs="Times New Roman"/>
          <w:sz w:val="24"/>
          <w:szCs w:val="24"/>
        </w:rPr>
        <w:t xml:space="preserve"> whom they cited as first respondent. </w:t>
      </w:r>
    </w:p>
    <w:p w14:paraId="510B2027" w14:textId="22DEEF9C" w:rsidR="00E52269" w:rsidRDefault="006375A3" w:rsidP="00E52269">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8D5E19">
        <w:rPr>
          <w:rFonts w:ascii="Times New Roman" w:hAnsi="Times New Roman" w:cs="Times New Roman"/>
          <w:sz w:val="24"/>
          <w:szCs w:val="24"/>
        </w:rPr>
        <w:t>6</w:t>
      </w:r>
      <w:r w:rsidR="00091914">
        <w:rPr>
          <w:rFonts w:ascii="Times New Roman" w:hAnsi="Times New Roman" w:cs="Times New Roman"/>
          <w:sz w:val="24"/>
          <w:szCs w:val="24"/>
        </w:rPr>
        <w:t>2</w:t>
      </w:r>
      <w:r>
        <w:rPr>
          <w:rFonts w:ascii="Times New Roman" w:hAnsi="Times New Roman" w:cs="Times New Roman"/>
          <w:sz w:val="24"/>
          <w:szCs w:val="24"/>
        </w:rPr>
        <w:t xml:space="preserve">] </w:t>
      </w:r>
      <w:r w:rsidR="00E52269">
        <w:rPr>
          <w:rFonts w:ascii="Times New Roman" w:hAnsi="Times New Roman" w:cs="Times New Roman"/>
          <w:sz w:val="24"/>
          <w:szCs w:val="24"/>
        </w:rPr>
        <w:t>The three directors joined to their suit</w:t>
      </w:r>
      <w:r w:rsidR="008D5E19">
        <w:rPr>
          <w:rFonts w:ascii="Times New Roman" w:hAnsi="Times New Roman" w:cs="Times New Roman"/>
          <w:sz w:val="24"/>
          <w:szCs w:val="24"/>
        </w:rPr>
        <w:t>,</w:t>
      </w:r>
      <w:r w:rsidR="00E52269">
        <w:rPr>
          <w:rFonts w:ascii="Times New Roman" w:hAnsi="Times New Roman" w:cs="Times New Roman"/>
          <w:sz w:val="24"/>
          <w:szCs w:val="24"/>
        </w:rPr>
        <w:t xml:space="preserve"> the company as the fourth app</w:t>
      </w:r>
      <w:r>
        <w:rPr>
          <w:rFonts w:ascii="Times New Roman" w:hAnsi="Times New Roman" w:cs="Times New Roman"/>
          <w:sz w:val="24"/>
          <w:szCs w:val="24"/>
        </w:rPr>
        <w:t>licant</w:t>
      </w:r>
      <w:r w:rsidR="00E52269">
        <w:rPr>
          <w:rFonts w:ascii="Times New Roman" w:hAnsi="Times New Roman" w:cs="Times New Roman"/>
          <w:sz w:val="24"/>
          <w:szCs w:val="24"/>
        </w:rPr>
        <w:t>. The first app</w:t>
      </w:r>
      <w:r>
        <w:rPr>
          <w:rFonts w:ascii="Times New Roman" w:hAnsi="Times New Roman" w:cs="Times New Roman"/>
          <w:sz w:val="24"/>
          <w:szCs w:val="24"/>
        </w:rPr>
        <w:t>licant</w:t>
      </w:r>
      <w:r w:rsidR="00E52269">
        <w:rPr>
          <w:rFonts w:ascii="Times New Roman" w:hAnsi="Times New Roman" w:cs="Times New Roman"/>
          <w:sz w:val="24"/>
          <w:szCs w:val="24"/>
        </w:rPr>
        <w:t xml:space="preserve">-director, who also functioned as managing director purported to represent the company in such capacity. </w:t>
      </w:r>
      <w:r w:rsidR="00863C18">
        <w:rPr>
          <w:rFonts w:ascii="Times New Roman" w:hAnsi="Times New Roman" w:cs="Times New Roman"/>
          <w:sz w:val="24"/>
          <w:szCs w:val="24"/>
        </w:rPr>
        <w:t xml:space="preserve">On appeal in </w:t>
      </w:r>
      <w:r w:rsidR="00863C18" w:rsidRPr="007D401D">
        <w:rPr>
          <w:rFonts w:ascii="Times New Roman" w:hAnsi="Times New Roman" w:cs="Times New Roman"/>
          <w:i/>
          <w:iCs/>
          <w:sz w:val="24"/>
          <w:szCs w:val="24"/>
        </w:rPr>
        <w:t>Madzivire</w:t>
      </w:r>
      <w:r w:rsidR="007D401D">
        <w:rPr>
          <w:rFonts w:ascii="Times New Roman" w:hAnsi="Times New Roman" w:cs="Times New Roman"/>
          <w:i/>
          <w:iCs/>
          <w:sz w:val="24"/>
          <w:szCs w:val="24"/>
        </w:rPr>
        <w:t xml:space="preserve"> &amp; Ors </w:t>
      </w:r>
      <w:r w:rsidR="007D401D" w:rsidRPr="007D401D">
        <w:rPr>
          <w:rFonts w:ascii="Times New Roman" w:hAnsi="Times New Roman" w:cs="Times New Roman"/>
          <w:i/>
          <w:iCs/>
          <w:sz w:val="24"/>
          <w:szCs w:val="24"/>
        </w:rPr>
        <w:t>v</w:t>
      </w:r>
      <w:r w:rsidR="00863C18" w:rsidRPr="007D401D">
        <w:rPr>
          <w:rFonts w:ascii="Times New Roman" w:hAnsi="Times New Roman" w:cs="Times New Roman"/>
          <w:i/>
          <w:iCs/>
          <w:sz w:val="24"/>
          <w:szCs w:val="24"/>
        </w:rPr>
        <w:t xml:space="preserve"> Zvarivadza</w:t>
      </w:r>
      <w:r w:rsidR="007D401D">
        <w:rPr>
          <w:rFonts w:ascii="Times New Roman" w:hAnsi="Times New Roman" w:cs="Times New Roman"/>
          <w:i/>
          <w:iCs/>
          <w:sz w:val="24"/>
          <w:szCs w:val="24"/>
        </w:rPr>
        <w:t xml:space="preserve"> &amp; </w:t>
      </w:r>
      <w:r w:rsidR="00091914">
        <w:rPr>
          <w:rFonts w:ascii="Times New Roman" w:hAnsi="Times New Roman" w:cs="Times New Roman"/>
          <w:i/>
          <w:iCs/>
          <w:sz w:val="24"/>
          <w:szCs w:val="24"/>
        </w:rPr>
        <w:t>Ors,</w:t>
      </w:r>
      <w:r w:rsidR="00091914">
        <w:rPr>
          <w:rFonts w:ascii="Times New Roman" w:hAnsi="Times New Roman" w:cs="Times New Roman"/>
          <w:sz w:val="24"/>
          <w:szCs w:val="24"/>
        </w:rPr>
        <w:t xml:space="preserve"> the</w:t>
      </w:r>
      <w:r w:rsidR="00E52269">
        <w:rPr>
          <w:rFonts w:ascii="Times New Roman" w:hAnsi="Times New Roman" w:cs="Times New Roman"/>
          <w:sz w:val="24"/>
          <w:szCs w:val="24"/>
        </w:rPr>
        <w:t xml:space="preserve"> </w:t>
      </w:r>
      <w:r w:rsidR="008D5E19">
        <w:rPr>
          <w:rFonts w:ascii="Times New Roman" w:hAnsi="Times New Roman" w:cs="Times New Roman"/>
          <w:sz w:val="24"/>
          <w:szCs w:val="24"/>
        </w:rPr>
        <w:t xml:space="preserve">Supreme Court </w:t>
      </w:r>
      <w:r w:rsidR="00C82EE5">
        <w:rPr>
          <w:rFonts w:ascii="Times New Roman" w:hAnsi="Times New Roman" w:cs="Times New Roman"/>
          <w:sz w:val="24"/>
          <w:szCs w:val="24"/>
        </w:rPr>
        <w:t>the upheld</w:t>
      </w:r>
      <w:r>
        <w:rPr>
          <w:rFonts w:ascii="Times New Roman" w:hAnsi="Times New Roman" w:cs="Times New Roman"/>
          <w:sz w:val="24"/>
          <w:szCs w:val="24"/>
        </w:rPr>
        <w:t xml:space="preserve"> a challenge to the first app</w:t>
      </w:r>
      <w:r w:rsidR="007D401D">
        <w:rPr>
          <w:rFonts w:ascii="Times New Roman" w:hAnsi="Times New Roman" w:cs="Times New Roman"/>
          <w:sz w:val="24"/>
          <w:szCs w:val="24"/>
        </w:rPr>
        <w:t>ellant</w:t>
      </w:r>
      <w:r>
        <w:rPr>
          <w:rFonts w:ascii="Times New Roman" w:hAnsi="Times New Roman" w:cs="Times New Roman"/>
          <w:sz w:val="24"/>
          <w:szCs w:val="24"/>
        </w:rPr>
        <w:t xml:space="preserve">`s authority to represent the company. </w:t>
      </w:r>
      <w:r w:rsidR="007D401D">
        <w:rPr>
          <w:rFonts w:ascii="Times New Roman" w:hAnsi="Times New Roman" w:cs="Times New Roman"/>
          <w:sz w:val="24"/>
          <w:szCs w:val="24"/>
        </w:rPr>
        <w:t>T</w:t>
      </w:r>
      <w:r>
        <w:rPr>
          <w:rFonts w:ascii="Times New Roman" w:hAnsi="Times New Roman" w:cs="Times New Roman"/>
          <w:sz w:val="24"/>
          <w:szCs w:val="24"/>
        </w:rPr>
        <w:t xml:space="preserve">he Supreme Court per </w:t>
      </w:r>
      <w:r w:rsidRPr="006375A3">
        <w:rPr>
          <w:rFonts w:ascii="Times New Roman" w:hAnsi="Times New Roman" w:cs="Times New Roman"/>
        </w:rPr>
        <w:t>CHEDA JA</w:t>
      </w:r>
      <w:r>
        <w:rPr>
          <w:rFonts w:ascii="Times New Roman" w:hAnsi="Times New Roman" w:cs="Times New Roman"/>
          <w:sz w:val="24"/>
          <w:szCs w:val="24"/>
        </w:rPr>
        <w:t xml:space="preserve"> </w:t>
      </w:r>
      <w:r w:rsidR="00E52269">
        <w:rPr>
          <w:rFonts w:ascii="Times New Roman" w:hAnsi="Times New Roman" w:cs="Times New Roman"/>
          <w:sz w:val="24"/>
          <w:szCs w:val="24"/>
        </w:rPr>
        <w:t xml:space="preserve">ruled </w:t>
      </w:r>
      <w:r w:rsidR="00363771">
        <w:rPr>
          <w:rFonts w:ascii="Times New Roman" w:hAnsi="Times New Roman" w:cs="Times New Roman"/>
          <w:sz w:val="24"/>
          <w:szCs w:val="24"/>
        </w:rPr>
        <w:t>that first</w:t>
      </w:r>
      <w:r w:rsidR="008D5E19">
        <w:rPr>
          <w:rFonts w:ascii="Times New Roman" w:hAnsi="Times New Roman" w:cs="Times New Roman"/>
          <w:sz w:val="24"/>
          <w:szCs w:val="24"/>
        </w:rPr>
        <w:t xml:space="preserve"> appellant`s assumed</w:t>
      </w:r>
      <w:r w:rsidR="00E52269">
        <w:rPr>
          <w:rFonts w:ascii="Times New Roman" w:hAnsi="Times New Roman" w:cs="Times New Roman"/>
          <w:sz w:val="24"/>
          <w:szCs w:val="24"/>
        </w:rPr>
        <w:t xml:space="preserve"> authority </w:t>
      </w:r>
      <w:r w:rsidR="008D5E19">
        <w:rPr>
          <w:rFonts w:ascii="Times New Roman" w:hAnsi="Times New Roman" w:cs="Times New Roman"/>
          <w:sz w:val="24"/>
          <w:szCs w:val="24"/>
        </w:rPr>
        <w:t>was invalid</w:t>
      </w:r>
      <w:r w:rsidR="00E52269">
        <w:rPr>
          <w:rFonts w:ascii="Times New Roman" w:hAnsi="Times New Roman" w:cs="Times New Roman"/>
          <w:sz w:val="24"/>
          <w:szCs w:val="24"/>
        </w:rPr>
        <w:t xml:space="preserve"> and held as follows at 516 D-E: -</w:t>
      </w:r>
    </w:p>
    <w:p w14:paraId="44947C47" w14:textId="695EA88D" w:rsidR="006375A3" w:rsidRDefault="00E52269" w:rsidP="00E52269">
      <w:pPr>
        <w:pStyle w:val="NoSpacing"/>
        <w:spacing w:before="240" w:line="360" w:lineRule="auto"/>
        <w:ind w:left="737"/>
        <w:jc w:val="both"/>
        <w:rPr>
          <w:rFonts w:ascii="Times New Roman" w:hAnsi="Times New Roman" w:cs="Times New Roman"/>
          <w:sz w:val="24"/>
          <w:szCs w:val="24"/>
        </w:rPr>
      </w:pPr>
      <w:r w:rsidRPr="00787E11">
        <w:rPr>
          <w:rFonts w:ascii="Times New Roman" w:hAnsi="Times New Roman" w:cs="Times New Roman"/>
          <w:sz w:val="24"/>
          <w:szCs w:val="24"/>
        </w:rPr>
        <w:t xml:space="preserve">“There is no evidence that there was any service of a notice of a meeting to pass the required resolution authorising the first appellant to represent the fourth appellant. Even if the first, second and third appellants had agreed on the action, there is no indication that the first respondent, who is one of the directors, was served with a notice of a meeting of directors to pass the resolution of authority. Both the fourth appellant and the first respondent are entitled to be served with a notice of meeting so that a resolution </w:t>
      </w:r>
      <w:r w:rsidRPr="00787E11">
        <w:rPr>
          <w:rFonts w:ascii="Times New Roman" w:hAnsi="Times New Roman" w:cs="Times New Roman"/>
          <w:sz w:val="24"/>
          <w:szCs w:val="24"/>
        </w:rPr>
        <w:lastRenderedPageBreak/>
        <w:t>be passed authorising the first appellant to represent the fourth appellant. This was not done. Failure to do so renders the decision to represent the fourth appellant</w:t>
      </w:r>
      <w:r>
        <w:rPr>
          <w:rFonts w:ascii="Times New Roman" w:hAnsi="Times New Roman" w:cs="Times New Roman"/>
          <w:sz w:val="24"/>
          <w:szCs w:val="24"/>
        </w:rPr>
        <w:t xml:space="preserve"> invalid</w:t>
      </w:r>
      <w:r w:rsidRPr="00787E11">
        <w:rPr>
          <w:rFonts w:ascii="Times New Roman" w:hAnsi="Times New Roman" w:cs="Times New Roman"/>
          <w:sz w:val="24"/>
          <w:szCs w:val="24"/>
        </w:rPr>
        <w:t>.”</w:t>
      </w:r>
    </w:p>
    <w:p w14:paraId="79B52F71" w14:textId="77777777" w:rsidR="00C65B83" w:rsidRPr="00787E11" w:rsidRDefault="00C65B83" w:rsidP="00E52269">
      <w:pPr>
        <w:pStyle w:val="NoSpacing"/>
        <w:spacing w:before="240" w:line="360" w:lineRule="auto"/>
        <w:ind w:left="737"/>
        <w:jc w:val="both"/>
        <w:rPr>
          <w:rFonts w:ascii="Times New Roman" w:hAnsi="Times New Roman" w:cs="Times New Roman"/>
          <w:sz w:val="24"/>
          <w:szCs w:val="24"/>
        </w:rPr>
      </w:pPr>
    </w:p>
    <w:p w14:paraId="72AD6518" w14:textId="08F294E7" w:rsidR="008C596F" w:rsidRDefault="006375A3" w:rsidP="006375A3">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w:t>
      </w:r>
      <w:r w:rsidR="008D5E19">
        <w:rPr>
          <w:rFonts w:ascii="TimesNewRomanPSMT" w:hAnsi="TimesNewRomanPSMT" w:cs="TimesNewRomanPSMT"/>
          <w:sz w:val="24"/>
          <w:szCs w:val="24"/>
        </w:rPr>
        <w:t>6</w:t>
      </w:r>
      <w:r w:rsidR="00091914">
        <w:rPr>
          <w:rFonts w:ascii="TimesNewRomanPSMT" w:hAnsi="TimesNewRomanPSMT" w:cs="TimesNewRomanPSMT"/>
          <w:sz w:val="24"/>
          <w:szCs w:val="24"/>
        </w:rPr>
        <w:t>3</w:t>
      </w:r>
      <w:r>
        <w:rPr>
          <w:rFonts w:ascii="TimesNewRomanPSMT" w:hAnsi="TimesNewRomanPSMT" w:cs="TimesNewRomanPSMT"/>
          <w:sz w:val="24"/>
          <w:szCs w:val="24"/>
        </w:rPr>
        <w:t xml:space="preserve">] </w:t>
      </w:r>
      <w:r w:rsidR="00E52269" w:rsidRPr="00787E11">
        <w:rPr>
          <w:rFonts w:ascii="TimesNewRomanPSMT" w:hAnsi="TimesNewRomanPSMT" w:cs="TimesNewRomanPSMT"/>
          <w:sz w:val="24"/>
          <w:szCs w:val="24"/>
        </w:rPr>
        <w:t xml:space="preserve">Clearly, </w:t>
      </w:r>
      <w:r w:rsidR="00E52269" w:rsidRPr="00D331E6">
        <w:rPr>
          <w:rFonts w:ascii="TimesNewRomanPSMT" w:hAnsi="TimesNewRomanPSMT" w:cs="TimesNewRomanPSMT"/>
          <w:i/>
          <w:iCs/>
          <w:sz w:val="24"/>
          <w:szCs w:val="24"/>
        </w:rPr>
        <w:t>Madzivire</w:t>
      </w:r>
      <w:r w:rsidR="00E52269" w:rsidRPr="00787E11">
        <w:rPr>
          <w:rFonts w:ascii="TimesNewRomanPSMT" w:hAnsi="TimesNewRomanPSMT" w:cs="TimesNewRomanPSMT"/>
          <w:sz w:val="24"/>
          <w:szCs w:val="24"/>
        </w:rPr>
        <w:t xml:space="preserve"> restate</w:t>
      </w:r>
      <w:r w:rsidR="008E319D">
        <w:rPr>
          <w:rFonts w:ascii="TimesNewRomanPSMT" w:hAnsi="TimesNewRomanPSMT" w:cs="TimesNewRomanPSMT"/>
          <w:sz w:val="24"/>
          <w:szCs w:val="24"/>
        </w:rPr>
        <w:t>d</w:t>
      </w:r>
      <w:r w:rsidR="00E52269" w:rsidRPr="00787E11">
        <w:rPr>
          <w:rFonts w:ascii="TimesNewRomanPSMT" w:hAnsi="TimesNewRomanPSMT" w:cs="TimesNewRomanPSMT"/>
          <w:sz w:val="24"/>
          <w:szCs w:val="24"/>
        </w:rPr>
        <w:t xml:space="preserve"> the e</w:t>
      </w:r>
      <w:r w:rsidR="00473CCD">
        <w:rPr>
          <w:rFonts w:ascii="TimesNewRomanPSMT" w:hAnsi="TimesNewRomanPSMT" w:cs="TimesNewRomanPSMT"/>
          <w:sz w:val="24"/>
          <w:szCs w:val="24"/>
        </w:rPr>
        <w:t xml:space="preserve">stablished </w:t>
      </w:r>
      <w:r w:rsidR="00E52269" w:rsidRPr="00787E11">
        <w:rPr>
          <w:rFonts w:ascii="TimesNewRomanPSMT" w:hAnsi="TimesNewRomanPSMT" w:cs="TimesNewRomanPSMT"/>
          <w:sz w:val="24"/>
          <w:szCs w:val="24"/>
        </w:rPr>
        <w:t xml:space="preserve">company law </w:t>
      </w:r>
      <w:r w:rsidR="001569E2">
        <w:rPr>
          <w:rFonts w:ascii="TimesNewRomanPSMT" w:hAnsi="TimesNewRomanPSMT" w:cs="TimesNewRomanPSMT"/>
          <w:sz w:val="24"/>
          <w:szCs w:val="24"/>
        </w:rPr>
        <w:t xml:space="preserve">position </w:t>
      </w:r>
      <w:r w:rsidR="00E52269" w:rsidRPr="00787E11">
        <w:rPr>
          <w:rFonts w:ascii="TimesNewRomanPSMT" w:hAnsi="TimesNewRomanPSMT" w:cs="TimesNewRomanPSMT"/>
          <w:sz w:val="24"/>
          <w:szCs w:val="24"/>
        </w:rPr>
        <w:t>that a board of directors can only act validly as an assembly of members (</w:t>
      </w:r>
      <w:r w:rsidR="00E52269" w:rsidRPr="00787E11">
        <w:rPr>
          <w:rFonts w:ascii="TimesNewRomanPSMT" w:hAnsi="TimesNewRomanPSMT" w:cs="TimesNewRomanPSMT"/>
          <w:i/>
          <w:iCs/>
          <w:sz w:val="24"/>
          <w:szCs w:val="24"/>
        </w:rPr>
        <w:t>Burstein</w:t>
      </w:r>
      <w:r w:rsidR="00E52269" w:rsidRPr="00787E11">
        <w:rPr>
          <w:rFonts w:ascii="TimesNewRomanPS-ItalicMT" w:hAnsi="TimesNewRomanPS-ItalicMT" w:cs="TimesNewRomanPS-ItalicMT"/>
          <w:i/>
          <w:iCs/>
          <w:sz w:val="24"/>
          <w:szCs w:val="24"/>
        </w:rPr>
        <w:t xml:space="preserve"> </w:t>
      </w:r>
      <w:r w:rsidR="00E52269" w:rsidRPr="00787E11">
        <w:rPr>
          <w:rFonts w:ascii="TimesNewRomanPSMT" w:hAnsi="TimesNewRomanPSMT" w:cs="TimesNewRomanPSMT"/>
          <w:sz w:val="24"/>
          <w:szCs w:val="24"/>
        </w:rPr>
        <w:t xml:space="preserve">v </w:t>
      </w:r>
      <w:r w:rsidR="00E52269" w:rsidRPr="00787E11">
        <w:rPr>
          <w:rFonts w:ascii="TimesNewRomanPS-ItalicMT" w:hAnsi="TimesNewRomanPS-ItalicMT" w:cs="TimesNewRomanPS-ItalicMT"/>
          <w:i/>
          <w:iCs/>
          <w:sz w:val="24"/>
          <w:szCs w:val="24"/>
        </w:rPr>
        <w:t xml:space="preserve">Yale </w:t>
      </w:r>
      <w:r w:rsidR="00E52269" w:rsidRPr="00787E11">
        <w:rPr>
          <w:rFonts w:ascii="TimesNewRomanPSMT" w:hAnsi="TimesNewRomanPSMT" w:cs="TimesNewRomanPSMT"/>
          <w:sz w:val="24"/>
          <w:szCs w:val="24"/>
        </w:rPr>
        <w:t>1958</w:t>
      </w:r>
      <w:r w:rsidR="00E52269">
        <w:rPr>
          <w:rFonts w:ascii="TimesNewRomanPSMT" w:hAnsi="TimesNewRomanPSMT" w:cs="TimesNewRomanPSMT"/>
          <w:sz w:val="24"/>
          <w:szCs w:val="24"/>
        </w:rPr>
        <w:t xml:space="preserve"> </w:t>
      </w:r>
      <w:r w:rsidR="00E52269" w:rsidRPr="00787E11">
        <w:rPr>
          <w:rFonts w:ascii="TimesNewRomanPSMT" w:hAnsi="TimesNewRomanPSMT" w:cs="TimesNewRomanPSMT"/>
          <w:sz w:val="24"/>
          <w:szCs w:val="24"/>
        </w:rPr>
        <w:t xml:space="preserve">(1) SA 768 (W). As such, all members whose tenure is valid and extant, including those deemed intransigent, hostile or even rogue, must </w:t>
      </w:r>
      <w:r w:rsidR="001569E2">
        <w:rPr>
          <w:rFonts w:ascii="TimesNewRomanPSMT" w:hAnsi="TimesNewRomanPSMT" w:cs="TimesNewRomanPSMT"/>
          <w:sz w:val="24"/>
          <w:szCs w:val="24"/>
        </w:rPr>
        <w:t xml:space="preserve">still </w:t>
      </w:r>
      <w:r w:rsidR="00E52269" w:rsidRPr="00787E11">
        <w:rPr>
          <w:rFonts w:ascii="TimesNewRomanPSMT" w:hAnsi="TimesNewRomanPSMT" w:cs="TimesNewRomanPSMT"/>
          <w:sz w:val="24"/>
          <w:szCs w:val="24"/>
        </w:rPr>
        <w:t xml:space="preserve">be served with </w:t>
      </w:r>
      <w:r w:rsidR="00E52269">
        <w:rPr>
          <w:rFonts w:ascii="TimesNewRomanPSMT" w:hAnsi="TimesNewRomanPSMT" w:cs="TimesNewRomanPSMT"/>
          <w:sz w:val="24"/>
          <w:szCs w:val="24"/>
        </w:rPr>
        <w:t xml:space="preserve">the </w:t>
      </w:r>
      <w:r w:rsidR="00E52269" w:rsidRPr="00787E11">
        <w:rPr>
          <w:rFonts w:ascii="TimesNewRomanPSMT" w:hAnsi="TimesNewRomanPSMT" w:cs="TimesNewRomanPSMT"/>
          <w:sz w:val="24"/>
          <w:szCs w:val="24"/>
        </w:rPr>
        <w:t xml:space="preserve">notice </w:t>
      </w:r>
      <w:r w:rsidR="00E52269">
        <w:rPr>
          <w:rFonts w:ascii="TimesNewRomanPSMT" w:hAnsi="TimesNewRomanPSMT" w:cs="TimesNewRomanPSMT"/>
          <w:sz w:val="24"/>
          <w:szCs w:val="24"/>
        </w:rPr>
        <w:t xml:space="preserve">of meetings called to pass particular </w:t>
      </w:r>
      <w:r>
        <w:rPr>
          <w:rFonts w:ascii="TimesNewRomanPSMT" w:hAnsi="TimesNewRomanPSMT" w:cs="TimesNewRomanPSMT"/>
          <w:sz w:val="24"/>
          <w:szCs w:val="24"/>
        </w:rPr>
        <w:t xml:space="preserve">resolutions. </w:t>
      </w:r>
      <w:r w:rsidR="00495ED0" w:rsidRPr="00495ED0">
        <w:rPr>
          <w:rFonts w:ascii="TimesNewRomanPSMT" w:hAnsi="TimesNewRomanPSMT" w:cs="TimesNewRomanPSMT"/>
          <w:i/>
          <w:iCs/>
          <w:sz w:val="24"/>
          <w:szCs w:val="24"/>
        </w:rPr>
        <w:t>Madzivire v Zvarivadza</w:t>
      </w:r>
      <w:r w:rsidR="00495ED0">
        <w:rPr>
          <w:rFonts w:ascii="TimesNewRomanPSMT" w:hAnsi="TimesNewRomanPSMT" w:cs="TimesNewRomanPSMT"/>
          <w:sz w:val="24"/>
          <w:szCs w:val="24"/>
        </w:rPr>
        <w:t xml:space="preserve"> was decided on the principle that no single director-not even one imbued with executive authority-could purport to act </w:t>
      </w:r>
      <w:r w:rsidR="001569E2">
        <w:rPr>
          <w:rFonts w:ascii="TimesNewRomanPSMT" w:hAnsi="TimesNewRomanPSMT" w:cs="TimesNewRomanPSMT"/>
          <w:sz w:val="24"/>
          <w:szCs w:val="24"/>
        </w:rPr>
        <w:t xml:space="preserve">singlehandedly </w:t>
      </w:r>
      <w:r w:rsidR="00495ED0">
        <w:rPr>
          <w:rFonts w:ascii="TimesNewRomanPSMT" w:hAnsi="TimesNewRomanPSMT" w:cs="TimesNewRomanPSMT"/>
          <w:sz w:val="24"/>
          <w:szCs w:val="24"/>
        </w:rPr>
        <w:t>on behalf of a company.</w:t>
      </w:r>
    </w:p>
    <w:p w14:paraId="4BED7D8D" w14:textId="77777777" w:rsidR="008C596F" w:rsidRDefault="008C596F" w:rsidP="006375A3">
      <w:pPr>
        <w:autoSpaceDE w:val="0"/>
        <w:autoSpaceDN w:val="0"/>
        <w:adjustRightInd w:val="0"/>
        <w:spacing w:after="0" w:line="360" w:lineRule="auto"/>
        <w:jc w:val="both"/>
        <w:rPr>
          <w:rFonts w:ascii="TimesNewRomanPSMT" w:hAnsi="TimesNewRomanPSMT" w:cs="TimesNewRomanPSMT"/>
          <w:sz w:val="24"/>
          <w:szCs w:val="24"/>
        </w:rPr>
      </w:pPr>
    </w:p>
    <w:p w14:paraId="07A14D44" w14:textId="77777777" w:rsidR="00D20B66" w:rsidRDefault="008C596F" w:rsidP="006375A3">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w:t>
      </w:r>
      <w:r w:rsidR="008D5E19">
        <w:rPr>
          <w:rFonts w:ascii="TimesNewRomanPSMT" w:hAnsi="TimesNewRomanPSMT" w:cs="TimesNewRomanPSMT"/>
          <w:sz w:val="24"/>
          <w:szCs w:val="24"/>
        </w:rPr>
        <w:t>6</w:t>
      </w:r>
      <w:r w:rsidR="00091914">
        <w:rPr>
          <w:rFonts w:ascii="TimesNewRomanPSMT" w:hAnsi="TimesNewRomanPSMT" w:cs="TimesNewRomanPSMT"/>
          <w:sz w:val="24"/>
          <w:szCs w:val="24"/>
        </w:rPr>
        <w:t>4</w:t>
      </w:r>
      <w:r>
        <w:rPr>
          <w:rFonts w:ascii="TimesNewRomanPSMT" w:hAnsi="TimesNewRomanPSMT" w:cs="TimesNewRomanPSMT"/>
          <w:sz w:val="24"/>
          <w:szCs w:val="24"/>
        </w:rPr>
        <w:t xml:space="preserve">] </w:t>
      </w:r>
      <w:r w:rsidR="006375A3">
        <w:rPr>
          <w:rFonts w:ascii="TimesNewRomanPSMT" w:hAnsi="TimesNewRomanPSMT" w:cs="TimesNewRomanPSMT"/>
          <w:sz w:val="24"/>
          <w:szCs w:val="24"/>
        </w:rPr>
        <w:t xml:space="preserve">The Supreme Court in </w:t>
      </w:r>
      <w:r w:rsidR="006375A3" w:rsidRPr="006375A3">
        <w:rPr>
          <w:rFonts w:ascii="TimesNewRomanPSMT" w:hAnsi="TimesNewRomanPSMT" w:cs="TimesNewRomanPSMT"/>
          <w:i/>
          <w:iCs/>
          <w:sz w:val="24"/>
          <w:szCs w:val="24"/>
        </w:rPr>
        <w:t xml:space="preserve">Madzivire </w:t>
      </w:r>
      <w:r w:rsidR="00DE6212">
        <w:rPr>
          <w:rFonts w:ascii="TimesNewRomanPSMT" w:hAnsi="TimesNewRomanPSMT" w:cs="TimesNewRomanPSMT"/>
          <w:sz w:val="24"/>
          <w:szCs w:val="24"/>
        </w:rPr>
        <w:t>and</w:t>
      </w:r>
      <w:r w:rsidR="00495ED0">
        <w:rPr>
          <w:rFonts w:ascii="TimesNewRomanPSMT" w:hAnsi="TimesNewRomanPSMT" w:cs="TimesNewRomanPSMT"/>
          <w:sz w:val="24"/>
          <w:szCs w:val="24"/>
        </w:rPr>
        <w:t xml:space="preserve"> subsequently</w:t>
      </w:r>
      <w:r w:rsidR="00D20B66">
        <w:rPr>
          <w:rFonts w:ascii="TimesNewRomanPSMT" w:hAnsi="TimesNewRomanPSMT" w:cs="TimesNewRomanPSMT"/>
          <w:sz w:val="24"/>
          <w:szCs w:val="24"/>
        </w:rPr>
        <w:t>-</w:t>
      </w:r>
      <w:r w:rsidR="00495ED0">
        <w:rPr>
          <w:rFonts w:ascii="TimesNewRomanPSMT" w:hAnsi="TimesNewRomanPSMT" w:cs="TimesNewRomanPSMT"/>
          <w:sz w:val="24"/>
          <w:szCs w:val="24"/>
        </w:rPr>
        <w:t xml:space="preserve"> </w:t>
      </w:r>
      <w:r w:rsidR="00495ED0" w:rsidRPr="00DE6212">
        <w:rPr>
          <w:rFonts w:ascii="TimesNewRomanPSMT" w:hAnsi="TimesNewRomanPSMT" w:cs="TimesNewRomanPSMT"/>
          <w:i/>
          <w:iCs/>
          <w:sz w:val="24"/>
          <w:szCs w:val="24"/>
        </w:rPr>
        <w:t xml:space="preserve">Cuthbert Dube v </w:t>
      </w:r>
      <w:r w:rsidR="00DE6212" w:rsidRPr="00DE6212">
        <w:rPr>
          <w:rFonts w:ascii="TimesNewRomanPSMT" w:hAnsi="TimesNewRomanPSMT" w:cs="TimesNewRomanPSMT"/>
          <w:i/>
          <w:iCs/>
          <w:sz w:val="24"/>
          <w:szCs w:val="24"/>
        </w:rPr>
        <w:t>PSMAS</w:t>
      </w:r>
      <w:r w:rsidR="00D20B66">
        <w:rPr>
          <w:rFonts w:ascii="TimesNewRomanPSMT" w:hAnsi="TimesNewRomanPSMT" w:cs="TimesNewRomanPSMT"/>
          <w:i/>
          <w:iCs/>
          <w:sz w:val="24"/>
          <w:szCs w:val="24"/>
        </w:rPr>
        <w:t>-</w:t>
      </w:r>
      <w:r w:rsidR="00DE6212">
        <w:rPr>
          <w:rFonts w:ascii="TimesNewRomanPSMT" w:hAnsi="TimesNewRomanPSMT" w:cs="TimesNewRomanPSMT"/>
          <w:sz w:val="24"/>
          <w:szCs w:val="24"/>
        </w:rPr>
        <w:t xml:space="preserve"> was</w:t>
      </w:r>
      <w:r w:rsidR="006375A3">
        <w:rPr>
          <w:rFonts w:ascii="TimesNewRomanPSMT" w:hAnsi="TimesNewRomanPSMT" w:cs="TimesNewRomanPSMT"/>
          <w:sz w:val="24"/>
          <w:szCs w:val="24"/>
        </w:rPr>
        <w:t xml:space="preserve"> focussed on the validity of resolutions issued by a panel, college</w:t>
      </w:r>
      <w:r w:rsidR="00D20B66">
        <w:rPr>
          <w:rFonts w:ascii="TimesNewRomanPSMT" w:hAnsi="TimesNewRomanPSMT" w:cs="TimesNewRomanPSMT"/>
          <w:sz w:val="24"/>
          <w:szCs w:val="24"/>
        </w:rPr>
        <w:t xml:space="preserve"> or board</w:t>
      </w:r>
      <w:r w:rsidR="006375A3">
        <w:rPr>
          <w:rFonts w:ascii="TimesNewRomanPSMT" w:hAnsi="TimesNewRomanPSMT" w:cs="TimesNewRomanPSMT"/>
          <w:sz w:val="24"/>
          <w:szCs w:val="24"/>
        </w:rPr>
        <w:t xml:space="preserve"> of directors. The Supreme Court did not</w:t>
      </w:r>
      <w:r w:rsidR="00D20B66">
        <w:rPr>
          <w:rFonts w:ascii="TimesNewRomanPSMT" w:hAnsi="TimesNewRomanPSMT" w:cs="TimesNewRomanPSMT"/>
          <w:sz w:val="24"/>
          <w:szCs w:val="24"/>
        </w:rPr>
        <w:t>, as a matter of primacy in considering the issue before it,</w:t>
      </w:r>
      <w:r w:rsidR="006375A3">
        <w:rPr>
          <w:rFonts w:ascii="TimesNewRomanPSMT" w:hAnsi="TimesNewRomanPSMT" w:cs="TimesNewRomanPSMT"/>
          <w:sz w:val="24"/>
          <w:szCs w:val="24"/>
        </w:rPr>
        <w:t xml:space="preserve"> delve into the</w:t>
      </w:r>
      <w:r w:rsidR="008E319D">
        <w:rPr>
          <w:rFonts w:ascii="TimesNewRomanPSMT" w:hAnsi="TimesNewRomanPSMT" w:cs="TimesNewRomanPSMT"/>
          <w:sz w:val="24"/>
          <w:szCs w:val="24"/>
        </w:rPr>
        <w:t xml:space="preserve"> format of resolution nor directors` </w:t>
      </w:r>
      <w:r w:rsidR="006375A3">
        <w:rPr>
          <w:rFonts w:ascii="TimesNewRomanPSMT" w:hAnsi="TimesNewRomanPSMT" w:cs="TimesNewRomanPSMT"/>
          <w:sz w:val="24"/>
          <w:szCs w:val="24"/>
        </w:rPr>
        <w:t>fiduciary obligations</w:t>
      </w:r>
      <w:r w:rsidR="00D20B66">
        <w:rPr>
          <w:rFonts w:ascii="TimesNewRomanPSMT" w:hAnsi="TimesNewRomanPSMT" w:cs="TimesNewRomanPSMT"/>
          <w:sz w:val="24"/>
          <w:szCs w:val="24"/>
        </w:rPr>
        <w:t xml:space="preserve">. </w:t>
      </w:r>
    </w:p>
    <w:p w14:paraId="5D06130A" w14:textId="77777777" w:rsidR="00D20B66" w:rsidRDefault="00D20B66" w:rsidP="006375A3">
      <w:pPr>
        <w:autoSpaceDE w:val="0"/>
        <w:autoSpaceDN w:val="0"/>
        <w:adjustRightInd w:val="0"/>
        <w:spacing w:after="0" w:line="360" w:lineRule="auto"/>
        <w:jc w:val="both"/>
        <w:rPr>
          <w:rFonts w:ascii="TimesNewRomanPSMT" w:hAnsi="TimesNewRomanPSMT" w:cs="TimesNewRomanPSMT"/>
          <w:sz w:val="24"/>
          <w:szCs w:val="24"/>
        </w:rPr>
      </w:pPr>
    </w:p>
    <w:p w14:paraId="62E0AC0F" w14:textId="7106EA42" w:rsidR="00E52269" w:rsidRDefault="00D20B66" w:rsidP="006375A3">
      <w:pPr>
        <w:autoSpaceDE w:val="0"/>
        <w:autoSpaceDN w:val="0"/>
        <w:adjustRightInd w:val="0"/>
        <w:spacing w:after="0" w:line="360" w:lineRule="auto"/>
        <w:jc w:val="both"/>
        <w:rPr>
          <w:rFonts w:ascii="Times New Roman" w:hAnsi="Times New Roman" w:cs="Times New Roman"/>
          <w:sz w:val="24"/>
          <w:szCs w:val="24"/>
          <w:lang w:val="en-US"/>
        </w:rPr>
      </w:pPr>
      <w:r>
        <w:rPr>
          <w:rFonts w:ascii="TimesNewRomanPSMT" w:hAnsi="TimesNewRomanPSMT" w:cs="TimesNewRomanPSMT"/>
          <w:sz w:val="24"/>
          <w:szCs w:val="24"/>
        </w:rPr>
        <w:t xml:space="preserve">[65] </w:t>
      </w:r>
      <w:r w:rsidR="008E319D">
        <w:rPr>
          <w:rFonts w:ascii="TimesNewRomanPSMT" w:hAnsi="TimesNewRomanPSMT" w:cs="TimesNewRomanPSMT"/>
          <w:sz w:val="24"/>
          <w:szCs w:val="24"/>
        </w:rPr>
        <w:t>Having opined thus on</w:t>
      </w:r>
      <w:r w:rsidR="008E319D" w:rsidRPr="008E319D">
        <w:rPr>
          <w:rFonts w:ascii="Times New Roman" w:hAnsi="Times New Roman" w:cs="Times New Roman"/>
          <w:i/>
          <w:iCs/>
          <w:sz w:val="24"/>
          <w:szCs w:val="24"/>
          <w:lang w:val="en-US"/>
        </w:rPr>
        <w:t xml:space="preserve"> </w:t>
      </w:r>
      <w:r w:rsidR="008E319D" w:rsidRPr="00914CBC">
        <w:rPr>
          <w:rFonts w:ascii="Times New Roman" w:hAnsi="Times New Roman" w:cs="Times New Roman"/>
          <w:i/>
          <w:iCs/>
          <w:sz w:val="24"/>
          <w:szCs w:val="24"/>
          <w:lang w:val="en-US"/>
        </w:rPr>
        <w:t>Beach Consultancy v Makonya</w:t>
      </w:r>
      <w:r w:rsidR="008E319D">
        <w:rPr>
          <w:rFonts w:ascii="Times New Roman" w:hAnsi="Times New Roman" w:cs="Times New Roman"/>
          <w:i/>
          <w:iCs/>
          <w:sz w:val="24"/>
          <w:szCs w:val="24"/>
          <w:lang w:val="en-US"/>
        </w:rPr>
        <w:t xml:space="preserve"> &amp; Anor</w:t>
      </w:r>
      <w:r w:rsidR="008E319D">
        <w:rPr>
          <w:rFonts w:ascii="TimesNewRomanPSMT" w:hAnsi="TimesNewRomanPSMT" w:cs="TimesNewRomanPSMT"/>
          <w:sz w:val="24"/>
          <w:szCs w:val="24"/>
        </w:rPr>
        <w:t xml:space="preserve">, I return to conclude the point </w:t>
      </w:r>
      <w:r w:rsidR="008E319D" w:rsidRPr="008E319D">
        <w:rPr>
          <w:rFonts w:ascii="TimesNewRomanPSMT" w:hAnsi="TimesNewRomanPSMT" w:cs="TimesNewRomanPSMT"/>
          <w:i/>
          <w:iCs/>
          <w:sz w:val="24"/>
          <w:szCs w:val="24"/>
        </w:rPr>
        <w:t>in limine</w:t>
      </w:r>
      <w:r w:rsidR="008E319D">
        <w:rPr>
          <w:rFonts w:ascii="TimesNewRomanPSMT" w:hAnsi="TimesNewRomanPSMT" w:cs="TimesNewRomanPSMT"/>
          <w:sz w:val="24"/>
          <w:szCs w:val="24"/>
        </w:rPr>
        <w:t>.</w:t>
      </w:r>
    </w:p>
    <w:p w14:paraId="5038595D" w14:textId="38342B8C" w:rsidR="008C596F" w:rsidRPr="00363771" w:rsidRDefault="008C596F" w:rsidP="004A72B3">
      <w:pPr>
        <w:pStyle w:val="NoSpacing"/>
        <w:spacing w:before="240" w:line="360" w:lineRule="auto"/>
        <w:jc w:val="both"/>
        <w:rPr>
          <w:rFonts w:ascii="Times New Roman" w:hAnsi="Times New Roman" w:cs="Times New Roman"/>
          <w:b/>
          <w:bCs/>
          <w:i/>
          <w:iCs/>
          <w:sz w:val="24"/>
          <w:szCs w:val="24"/>
          <w:lang w:val="en-US"/>
        </w:rPr>
      </w:pPr>
      <w:r w:rsidRPr="00363771">
        <w:rPr>
          <w:rFonts w:ascii="Times New Roman" w:hAnsi="Times New Roman" w:cs="Times New Roman"/>
          <w:b/>
          <w:bCs/>
          <w:i/>
          <w:iCs/>
          <w:sz w:val="24"/>
          <w:szCs w:val="24"/>
          <w:lang w:val="en-US"/>
        </w:rPr>
        <w:t xml:space="preserve">Are statutory bodies </w:t>
      </w:r>
      <w:r w:rsidR="006C2BF9" w:rsidRPr="00363771">
        <w:rPr>
          <w:rFonts w:ascii="Times New Roman" w:hAnsi="Times New Roman" w:cs="Times New Roman"/>
          <w:b/>
          <w:bCs/>
          <w:i/>
          <w:iCs/>
          <w:sz w:val="24"/>
          <w:szCs w:val="24"/>
          <w:lang w:val="en-US"/>
        </w:rPr>
        <w:t>exempted from the</w:t>
      </w:r>
      <w:r w:rsidR="00DE6212" w:rsidRPr="00363771">
        <w:rPr>
          <w:rFonts w:ascii="Times New Roman" w:hAnsi="Times New Roman" w:cs="Times New Roman"/>
          <w:b/>
          <w:bCs/>
          <w:i/>
          <w:iCs/>
          <w:sz w:val="24"/>
          <w:szCs w:val="24"/>
          <w:lang w:val="en-US"/>
        </w:rPr>
        <w:t xml:space="preserve"> High Court`s position </w:t>
      </w:r>
      <w:r w:rsidR="006C2BF9" w:rsidRPr="00363771">
        <w:rPr>
          <w:rFonts w:ascii="Times New Roman" w:hAnsi="Times New Roman" w:cs="Times New Roman"/>
          <w:b/>
          <w:bCs/>
          <w:i/>
          <w:iCs/>
          <w:sz w:val="24"/>
          <w:szCs w:val="24"/>
          <w:lang w:val="en-US"/>
        </w:rPr>
        <w:t xml:space="preserve">on blanket </w:t>
      </w:r>
      <w:r w:rsidR="00473CCD" w:rsidRPr="00363771">
        <w:rPr>
          <w:rFonts w:ascii="Times New Roman" w:hAnsi="Times New Roman" w:cs="Times New Roman"/>
          <w:b/>
          <w:bCs/>
          <w:i/>
          <w:iCs/>
          <w:sz w:val="24"/>
          <w:szCs w:val="24"/>
          <w:lang w:val="en-US"/>
        </w:rPr>
        <w:t>resolutions? And does the RDC Act empower the council chair and CEO to institute proceedings?</w:t>
      </w:r>
    </w:p>
    <w:p w14:paraId="2CB01329" w14:textId="45473D16" w:rsidR="006C2BF9" w:rsidRDefault="00CB6EEC" w:rsidP="004A72B3">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D5E19">
        <w:rPr>
          <w:rFonts w:ascii="Times New Roman" w:hAnsi="Times New Roman" w:cs="Times New Roman"/>
          <w:sz w:val="24"/>
          <w:szCs w:val="24"/>
          <w:lang w:val="en-US"/>
        </w:rPr>
        <w:t>6</w:t>
      </w:r>
      <w:r w:rsidR="00D20B66">
        <w:rPr>
          <w:rFonts w:ascii="Times New Roman" w:hAnsi="Times New Roman" w:cs="Times New Roman"/>
          <w:sz w:val="24"/>
          <w:szCs w:val="24"/>
          <w:lang w:val="en-US"/>
        </w:rPr>
        <w:t>6</w:t>
      </w:r>
      <w:r w:rsidR="00146757">
        <w:rPr>
          <w:rFonts w:ascii="Times New Roman" w:hAnsi="Times New Roman" w:cs="Times New Roman"/>
          <w:sz w:val="24"/>
          <w:szCs w:val="24"/>
          <w:lang w:val="en-US"/>
        </w:rPr>
        <w:t>] Th</w:t>
      </w:r>
      <w:r w:rsidR="00363771">
        <w:rPr>
          <w:rFonts w:ascii="Times New Roman" w:hAnsi="Times New Roman" w:cs="Times New Roman"/>
          <w:sz w:val="24"/>
          <w:szCs w:val="24"/>
          <w:lang w:val="en-US"/>
        </w:rPr>
        <w:t>ese questions reflect t</w:t>
      </w:r>
      <w:r w:rsidR="006C2BF9">
        <w:rPr>
          <w:rFonts w:ascii="Times New Roman" w:hAnsi="Times New Roman" w:cs="Times New Roman"/>
          <w:sz w:val="24"/>
          <w:szCs w:val="24"/>
          <w:lang w:val="en-US"/>
        </w:rPr>
        <w:t>he thrust of Mr</w:t>
      </w:r>
      <w:r w:rsidR="00512473">
        <w:rPr>
          <w:rFonts w:ascii="Times New Roman" w:hAnsi="Times New Roman" w:cs="Times New Roman"/>
          <w:sz w:val="24"/>
          <w:szCs w:val="24"/>
          <w:lang w:val="en-US"/>
        </w:rPr>
        <w:t xml:space="preserve"> </w:t>
      </w:r>
      <w:r w:rsidR="006C2BF9" w:rsidRPr="00035B36">
        <w:rPr>
          <w:rFonts w:ascii="Times New Roman" w:hAnsi="Times New Roman" w:cs="Times New Roman"/>
          <w:i/>
          <w:iCs/>
          <w:sz w:val="24"/>
          <w:szCs w:val="24"/>
          <w:lang w:val="en-US"/>
        </w:rPr>
        <w:t>Mavhiringidze</w:t>
      </w:r>
      <w:r w:rsidR="006C2BF9">
        <w:rPr>
          <w:rFonts w:ascii="Times New Roman" w:hAnsi="Times New Roman" w:cs="Times New Roman"/>
          <w:sz w:val="24"/>
          <w:szCs w:val="24"/>
          <w:lang w:val="en-US"/>
        </w:rPr>
        <w:t xml:space="preserve"> and I address the</w:t>
      </w:r>
      <w:r w:rsidR="00363771">
        <w:rPr>
          <w:rFonts w:ascii="Times New Roman" w:hAnsi="Times New Roman" w:cs="Times New Roman"/>
          <w:sz w:val="24"/>
          <w:szCs w:val="24"/>
          <w:lang w:val="en-US"/>
        </w:rPr>
        <w:t>m</w:t>
      </w:r>
      <w:r w:rsidR="006C2BF9">
        <w:rPr>
          <w:rFonts w:ascii="Times New Roman" w:hAnsi="Times New Roman" w:cs="Times New Roman"/>
          <w:sz w:val="24"/>
          <w:szCs w:val="24"/>
          <w:lang w:val="en-US"/>
        </w:rPr>
        <w:t xml:space="preserve"> in three </w:t>
      </w:r>
      <w:r w:rsidR="00363771">
        <w:rPr>
          <w:rFonts w:ascii="Times New Roman" w:hAnsi="Times New Roman" w:cs="Times New Roman"/>
          <w:sz w:val="24"/>
          <w:szCs w:val="24"/>
          <w:lang w:val="en-US"/>
        </w:rPr>
        <w:t>comments</w:t>
      </w:r>
      <w:r w:rsidR="006C2BF9">
        <w:rPr>
          <w:rFonts w:ascii="Times New Roman" w:hAnsi="Times New Roman" w:cs="Times New Roman"/>
          <w:sz w:val="24"/>
          <w:szCs w:val="24"/>
          <w:lang w:val="en-US"/>
        </w:rPr>
        <w:t xml:space="preserve">. Firstly, </w:t>
      </w:r>
      <w:r w:rsidR="006C2BF9" w:rsidRPr="00914CBC">
        <w:rPr>
          <w:rFonts w:ascii="Times New Roman" w:hAnsi="Times New Roman" w:cs="Times New Roman"/>
          <w:i/>
          <w:iCs/>
          <w:sz w:val="24"/>
          <w:szCs w:val="24"/>
          <w:lang w:val="en-US"/>
        </w:rPr>
        <w:t>Beach Consultancy v Makonya</w:t>
      </w:r>
      <w:r w:rsidR="008E319D">
        <w:rPr>
          <w:rFonts w:ascii="Times New Roman" w:hAnsi="Times New Roman" w:cs="Times New Roman"/>
          <w:i/>
          <w:iCs/>
          <w:sz w:val="24"/>
          <w:szCs w:val="24"/>
          <w:lang w:val="en-US"/>
        </w:rPr>
        <w:t xml:space="preserve"> &amp; Anor </w:t>
      </w:r>
      <w:r w:rsidR="008E319D" w:rsidRPr="008E319D">
        <w:rPr>
          <w:rFonts w:ascii="Times New Roman" w:hAnsi="Times New Roman" w:cs="Times New Roman"/>
          <w:sz w:val="24"/>
          <w:szCs w:val="24"/>
          <w:lang w:val="en-US"/>
        </w:rPr>
        <w:t>laid</w:t>
      </w:r>
      <w:r w:rsidR="006C2BF9" w:rsidRPr="008E319D">
        <w:rPr>
          <w:rFonts w:ascii="Times New Roman" w:hAnsi="Times New Roman" w:cs="Times New Roman"/>
          <w:sz w:val="24"/>
          <w:szCs w:val="24"/>
          <w:lang w:val="en-US"/>
        </w:rPr>
        <w:t xml:space="preserve"> no exemption</w:t>
      </w:r>
      <w:r w:rsidR="00363771">
        <w:rPr>
          <w:rFonts w:ascii="Times New Roman" w:hAnsi="Times New Roman" w:cs="Times New Roman"/>
          <w:sz w:val="24"/>
          <w:szCs w:val="24"/>
          <w:lang w:val="en-US"/>
        </w:rPr>
        <w:t xml:space="preserve"> as regards application of the rule against blanket resolutions</w:t>
      </w:r>
      <w:r w:rsidR="006C2BF9" w:rsidRPr="006C2BF9">
        <w:rPr>
          <w:rFonts w:ascii="Times New Roman" w:hAnsi="Times New Roman" w:cs="Times New Roman"/>
          <w:sz w:val="24"/>
          <w:szCs w:val="24"/>
          <w:lang w:val="en-US"/>
        </w:rPr>
        <w:t xml:space="preserve">. </w:t>
      </w:r>
      <w:r w:rsidR="00363771">
        <w:rPr>
          <w:rFonts w:ascii="Times New Roman" w:hAnsi="Times New Roman" w:cs="Times New Roman"/>
          <w:sz w:val="24"/>
          <w:szCs w:val="24"/>
          <w:lang w:val="en-US"/>
        </w:rPr>
        <w:t xml:space="preserve">That </w:t>
      </w:r>
      <w:r w:rsidR="006C2BF9" w:rsidRPr="006C2BF9">
        <w:rPr>
          <w:rFonts w:ascii="Times New Roman" w:hAnsi="Times New Roman" w:cs="Times New Roman"/>
          <w:sz w:val="24"/>
          <w:szCs w:val="24"/>
          <w:lang w:val="en-US"/>
        </w:rPr>
        <w:t xml:space="preserve">invalidation extends to all body corporates. </w:t>
      </w:r>
      <w:r w:rsidR="00363771">
        <w:rPr>
          <w:rFonts w:ascii="Times New Roman" w:hAnsi="Times New Roman" w:cs="Times New Roman"/>
          <w:sz w:val="24"/>
          <w:szCs w:val="24"/>
          <w:lang w:val="en-US"/>
        </w:rPr>
        <w:t xml:space="preserve">But in any </w:t>
      </w:r>
      <w:r w:rsidR="006C2BF9" w:rsidRPr="006C2BF9">
        <w:rPr>
          <w:rFonts w:ascii="Times New Roman" w:hAnsi="Times New Roman" w:cs="Times New Roman"/>
          <w:sz w:val="24"/>
          <w:szCs w:val="24"/>
          <w:lang w:val="en-US"/>
        </w:rPr>
        <w:t xml:space="preserve">event, the Supreme Court in </w:t>
      </w:r>
      <w:r w:rsidR="006C2BF9" w:rsidRPr="007B3B8D">
        <w:rPr>
          <w:rFonts w:ascii="Times New Roman" w:hAnsi="Times New Roman" w:cs="Times New Roman"/>
          <w:i/>
          <w:iCs/>
          <w:sz w:val="24"/>
          <w:szCs w:val="24"/>
          <w:lang w:val="en-US"/>
        </w:rPr>
        <w:t>Cuthbert Dube v PSMAS</w:t>
      </w:r>
      <w:r w:rsidR="006C2BF9" w:rsidRPr="006C2BF9">
        <w:rPr>
          <w:rFonts w:ascii="Times New Roman" w:hAnsi="Times New Roman" w:cs="Times New Roman"/>
          <w:sz w:val="24"/>
          <w:szCs w:val="24"/>
          <w:lang w:val="en-US"/>
        </w:rPr>
        <w:t xml:space="preserve"> put issues beyond argument. All body corporates must furnish a valid board (or equivalent) resolution confirming authority to re-present the entity in legal proceedings.</w:t>
      </w:r>
    </w:p>
    <w:p w14:paraId="0096B6AD" w14:textId="52A8D3C5" w:rsidR="006C2BF9" w:rsidRDefault="00CB6EEC" w:rsidP="004A72B3">
      <w:pPr>
        <w:pStyle w:val="NoSpacing"/>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D5E19">
        <w:rPr>
          <w:rFonts w:ascii="Times New Roman" w:hAnsi="Times New Roman" w:cs="Times New Roman"/>
          <w:sz w:val="24"/>
          <w:szCs w:val="24"/>
          <w:lang w:val="en-US"/>
        </w:rPr>
        <w:t>6</w:t>
      </w:r>
      <w:r w:rsidR="00D20B66">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6C2BF9">
        <w:rPr>
          <w:rFonts w:ascii="Times New Roman" w:hAnsi="Times New Roman" w:cs="Times New Roman"/>
          <w:sz w:val="24"/>
          <w:szCs w:val="24"/>
          <w:lang w:val="en-US"/>
        </w:rPr>
        <w:t xml:space="preserve">Secondly, the suggestion that ss </w:t>
      </w:r>
      <w:r w:rsidR="00B32F72">
        <w:rPr>
          <w:rFonts w:ascii="Times New Roman" w:hAnsi="Times New Roman" w:cs="Times New Roman"/>
          <w:sz w:val="24"/>
          <w:szCs w:val="24"/>
          <w:lang w:val="en-US"/>
        </w:rPr>
        <w:t>52 and 149 should be read as investing the council chairperson and CEO with authority to act on applicant`s behalf is clearly misplaced. It is an argument that need not detain the court as the relevant provisions are far removed from the purpose which counsel for applicant attempted to extend.</w:t>
      </w:r>
    </w:p>
    <w:p w14:paraId="704B0C16" w14:textId="77777777" w:rsidR="00B32F72" w:rsidRDefault="00B32F72" w:rsidP="00B32F72">
      <w:pPr>
        <w:spacing w:after="0" w:line="360" w:lineRule="auto"/>
        <w:jc w:val="both"/>
        <w:rPr>
          <w:rFonts w:ascii="Times New Roman" w:hAnsi="Times New Roman" w:cs="Times New Roman"/>
          <w:sz w:val="24"/>
          <w:szCs w:val="24"/>
          <w:lang w:val="en-US"/>
        </w:rPr>
      </w:pPr>
    </w:p>
    <w:p w14:paraId="119DC678" w14:textId="3BE3EA76" w:rsidR="001E7008" w:rsidRDefault="00CB6EEC" w:rsidP="00B32F72">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lang w:val="en-US"/>
        </w:rPr>
        <w:lastRenderedPageBreak/>
        <w:t>[</w:t>
      </w:r>
      <w:r w:rsidR="00FB20C2">
        <w:rPr>
          <w:rFonts w:ascii="Times New Roman" w:hAnsi="Times New Roman" w:cs="Times New Roman"/>
          <w:sz w:val="24"/>
          <w:szCs w:val="24"/>
          <w:lang w:val="en-US"/>
        </w:rPr>
        <w:t>6</w:t>
      </w:r>
      <w:r w:rsidR="00D20B66">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B32F72" w:rsidRPr="00B32F72">
        <w:rPr>
          <w:rFonts w:ascii="Times New Roman" w:hAnsi="Times New Roman" w:cs="Times New Roman"/>
          <w:sz w:val="24"/>
          <w:szCs w:val="24"/>
          <w:lang w:val="en-US"/>
        </w:rPr>
        <w:t>The third comment relates generally to how the courts have interpreted attempts to resort to the</w:t>
      </w:r>
      <w:r w:rsidR="00B32F72" w:rsidRPr="00B32F72">
        <w:rPr>
          <w:rFonts w:ascii="Times New Roman" w:eastAsia="Calibri" w:hAnsi="Times New Roman" w:cs="Times New Roman"/>
          <w:sz w:val="24"/>
          <w:szCs w:val="24"/>
          <w:lang w:val="en-US"/>
        </w:rPr>
        <w:t xml:space="preserve"> Public Finance Management Act [</w:t>
      </w:r>
      <w:r w:rsidR="00B32F72" w:rsidRPr="00B32F72">
        <w:rPr>
          <w:rFonts w:ascii="Times New Roman" w:eastAsia="Calibri" w:hAnsi="Times New Roman" w:cs="Times New Roman"/>
          <w:i/>
          <w:sz w:val="24"/>
          <w:szCs w:val="24"/>
          <w:lang w:val="en-US"/>
        </w:rPr>
        <w:t>Chapter 2:19</w:t>
      </w:r>
      <w:r w:rsidR="00B32F72" w:rsidRPr="00B32F72">
        <w:rPr>
          <w:rFonts w:ascii="Times New Roman" w:eastAsia="Calibri" w:hAnsi="Times New Roman" w:cs="Times New Roman"/>
          <w:sz w:val="24"/>
          <w:szCs w:val="24"/>
          <w:lang w:val="en-US"/>
        </w:rPr>
        <w:t xml:space="preserve">] </w:t>
      </w:r>
      <w:r w:rsidR="00DE6212" w:rsidRPr="00B32F72">
        <w:rPr>
          <w:rFonts w:ascii="Times New Roman" w:eastAsia="Calibri" w:hAnsi="Times New Roman" w:cs="Times New Roman"/>
          <w:sz w:val="24"/>
          <w:szCs w:val="24"/>
          <w:lang w:val="en-US"/>
        </w:rPr>
        <w:t>(</w:t>
      </w:r>
      <w:r w:rsidR="00DE6212">
        <w:rPr>
          <w:rFonts w:ascii="Times New Roman" w:eastAsia="Calibri" w:hAnsi="Times New Roman" w:cs="Times New Roman"/>
          <w:sz w:val="24"/>
          <w:szCs w:val="24"/>
          <w:lang w:val="en-US"/>
        </w:rPr>
        <w:t>“the</w:t>
      </w:r>
      <w:r w:rsidR="00D314B1">
        <w:rPr>
          <w:rFonts w:ascii="Times New Roman" w:eastAsia="Calibri" w:hAnsi="Times New Roman" w:cs="Times New Roman"/>
          <w:sz w:val="24"/>
          <w:szCs w:val="24"/>
          <w:lang w:val="en-US"/>
        </w:rPr>
        <w:t xml:space="preserve"> </w:t>
      </w:r>
      <w:r w:rsidR="00B32F72" w:rsidRPr="00B32F72">
        <w:rPr>
          <w:rFonts w:ascii="Times New Roman" w:eastAsia="Calibri" w:hAnsi="Times New Roman" w:cs="Times New Roman"/>
          <w:sz w:val="24"/>
          <w:szCs w:val="24"/>
          <w:lang w:val="en-US"/>
        </w:rPr>
        <w:t>PFMA</w:t>
      </w:r>
      <w:r w:rsidR="00D314B1">
        <w:rPr>
          <w:rFonts w:ascii="Times New Roman" w:eastAsia="Calibri" w:hAnsi="Times New Roman" w:cs="Times New Roman"/>
          <w:sz w:val="24"/>
          <w:szCs w:val="24"/>
          <w:lang w:val="en-US"/>
        </w:rPr>
        <w:t>”</w:t>
      </w:r>
      <w:r w:rsidR="00B32F72" w:rsidRPr="00B32F72">
        <w:rPr>
          <w:rFonts w:ascii="Times New Roman" w:eastAsia="Calibri" w:hAnsi="Times New Roman" w:cs="Times New Roman"/>
          <w:sz w:val="24"/>
          <w:szCs w:val="24"/>
          <w:lang w:val="en-US"/>
        </w:rPr>
        <w:t>), Public</w:t>
      </w:r>
      <w:r w:rsidR="00B32F72" w:rsidRPr="00B32F72">
        <w:rPr>
          <w:rFonts w:ascii="Times New Roman" w:eastAsia="Calibri" w:hAnsi="Times New Roman" w:cs="Times New Roman"/>
          <w:sz w:val="24"/>
          <w:szCs w:val="24"/>
        </w:rPr>
        <w:t xml:space="preserve"> Entity Corporate Governance Act [</w:t>
      </w:r>
      <w:r w:rsidR="00B32F72" w:rsidRPr="00B32F72">
        <w:rPr>
          <w:rFonts w:ascii="Times New Roman" w:eastAsia="Calibri" w:hAnsi="Times New Roman" w:cs="Times New Roman"/>
          <w:i/>
          <w:sz w:val="24"/>
          <w:szCs w:val="24"/>
        </w:rPr>
        <w:t>Chapter</w:t>
      </w:r>
      <w:r w:rsidR="00B32F72" w:rsidRPr="00B32F72">
        <w:rPr>
          <w:rFonts w:ascii="Times New Roman" w:eastAsia="Calibri" w:hAnsi="Times New Roman" w:cs="Times New Roman"/>
          <w:sz w:val="24"/>
          <w:szCs w:val="24"/>
        </w:rPr>
        <w:t xml:space="preserve"> </w:t>
      </w:r>
      <w:r w:rsidR="00B32F72" w:rsidRPr="00B32F72">
        <w:rPr>
          <w:rFonts w:ascii="Times New Roman" w:eastAsia="Calibri" w:hAnsi="Times New Roman" w:cs="Times New Roman"/>
          <w:i/>
          <w:sz w:val="24"/>
          <w:szCs w:val="24"/>
        </w:rPr>
        <w:t>10:33</w:t>
      </w:r>
      <w:r w:rsidR="00DE6212" w:rsidRPr="00B32F72">
        <w:rPr>
          <w:rFonts w:ascii="Times New Roman" w:eastAsia="Calibri" w:hAnsi="Times New Roman" w:cs="Times New Roman"/>
          <w:sz w:val="24"/>
          <w:szCs w:val="24"/>
        </w:rPr>
        <w:t xml:space="preserve">] </w:t>
      </w:r>
      <w:r w:rsidR="00DE6212">
        <w:rPr>
          <w:rFonts w:ascii="Times New Roman" w:eastAsia="Calibri" w:hAnsi="Times New Roman" w:cs="Times New Roman"/>
          <w:sz w:val="24"/>
          <w:szCs w:val="24"/>
        </w:rPr>
        <w:t>(“</w:t>
      </w:r>
      <w:r w:rsidR="00D314B1">
        <w:rPr>
          <w:rFonts w:ascii="Times New Roman" w:eastAsia="Calibri" w:hAnsi="Times New Roman" w:cs="Times New Roman"/>
          <w:sz w:val="24"/>
          <w:szCs w:val="24"/>
        </w:rPr>
        <w:t xml:space="preserve">the PECGA”) </w:t>
      </w:r>
      <w:r w:rsidR="00B32F72" w:rsidRPr="00B32F72">
        <w:rPr>
          <w:rFonts w:ascii="Times New Roman" w:eastAsia="Calibri" w:hAnsi="Times New Roman" w:cs="Times New Roman"/>
          <w:sz w:val="24"/>
          <w:szCs w:val="24"/>
        </w:rPr>
        <w:t xml:space="preserve">as well as </w:t>
      </w:r>
      <w:r w:rsidR="00363771">
        <w:rPr>
          <w:rFonts w:ascii="Times New Roman" w:eastAsia="Calibri" w:hAnsi="Times New Roman" w:cs="Times New Roman"/>
          <w:sz w:val="24"/>
          <w:szCs w:val="24"/>
        </w:rPr>
        <w:t xml:space="preserve">other </w:t>
      </w:r>
      <w:r w:rsidR="00B32F72" w:rsidRPr="00B32F72">
        <w:rPr>
          <w:rFonts w:ascii="Times New Roman" w:eastAsia="Calibri" w:hAnsi="Times New Roman" w:cs="Times New Roman"/>
          <w:sz w:val="24"/>
          <w:szCs w:val="24"/>
        </w:rPr>
        <w:t>parent statutes governing particular entities on the question of authority.</w:t>
      </w:r>
    </w:p>
    <w:p w14:paraId="10488A2B" w14:textId="77777777" w:rsidR="001E7008" w:rsidRDefault="001E7008" w:rsidP="00B32F72">
      <w:pPr>
        <w:spacing w:after="0" w:line="360" w:lineRule="auto"/>
        <w:jc w:val="both"/>
        <w:rPr>
          <w:rFonts w:ascii="Times New Roman" w:eastAsia="Calibri" w:hAnsi="Times New Roman" w:cs="Times New Roman"/>
          <w:sz w:val="24"/>
          <w:szCs w:val="24"/>
        </w:rPr>
      </w:pPr>
    </w:p>
    <w:p w14:paraId="30B8340E" w14:textId="5C523CDD" w:rsidR="00CB6EEC" w:rsidRDefault="001E7008" w:rsidP="00B32F72">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w:t>
      </w:r>
      <w:r w:rsidR="00FB20C2">
        <w:rPr>
          <w:rFonts w:ascii="Times New Roman" w:eastAsia="Calibri" w:hAnsi="Times New Roman" w:cs="Times New Roman"/>
          <w:sz w:val="24"/>
          <w:szCs w:val="24"/>
        </w:rPr>
        <w:t>6</w:t>
      </w:r>
      <w:r w:rsidR="00D20B6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B32F72">
        <w:rPr>
          <w:rFonts w:ascii="Times New Roman" w:eastAsia="Calibri" w:hAnsi="Times New Roman" w:cs="Times New Roman"/>
          <w:sz w:val="24"/>
          <w:szCs w:val="24"/>
        </w:rPr>
        <w:t>In</w:t>
      </w:r>
      <w:r w:rsidR="00B32F72" w:rsidRPr="00B32F72">
        <w:rPr>
          <w:rFonts w:ascii="Times New Roman" w:eastAsia="Calibri" w:hAnsi="Times New Roman" w:cs="Times New Roman"/>
          <w:sz w:val="24"/>
          <w:szCs w:val="24"/>
        </w:rPr>
        <w:t xml:space="preserve"> </w:t>
      </w:r>
      <w:r w:rsidR="00CB6EEC" w:rsidRPr="00CB6EEC">
        <w:rPr>
          <w:rFonts w:ascii="Times New Roman" w:eastAsia="Calibri" w:hAnsi="Times New Roman" w:cs="Times New Roman"/>
          <w:i/>
          <w:iCs/>
          <w:sz w:val="24"/>
          <w:szCs w:val="24"/>
        </w:rPr>
        <w:t>Tichahleyi Mpofu v Zimbabwe Manpower Development Fund</w:t>
      </w:r>
      <w:r w:rsidR="00CB6EEC">
        <w:rPr>
          <w:rFonts w:ascii="Times New Roman" w:eastAsia="Calibri" w:hAnsi="Times New Roman" w:cs="Times New Roman"/>
          <w:sz w:val="24"/>
          <w:szCs w:val="24"/>
        </w:rPr>
        <w:t xml:space="preserve"> SC 33-24, the CEO of respondent, a statutory body, claimed authority to represent the entity based on s </w:t>
      </w:r>
      <w:r w:rsidR="00B32F72" w:rsidRPr="00B32F72">
        <w:rPr>
          <w:rFonts w:ascii="Times New Roman" w:eastAsia="Calibri" w:hAnsi="Times New Roman" w:cs="Times New Roman"/>
          <w:sz w:val="24"/>
          <w:szCs w:val="24"/>
          <w:lang w:val="en-US"/>
        </w:rPr>
        <w:t xml:space="preserve">41 of the PFMA. </w:t>
      </w:r>
      <w:r w:rsidR="00CB6EEC">
        <w:rPr>
          <w:rFonts w:ascii="Times New Roman" w:eastAsia="Calibri" w:hAnsi="Times New Roman" w:cs="Times New Roman"/>
          <w:sz w:val="24"/>
          <w:szCs w:val="24"/>
          <w:lang w:val="en-US"/>
        </w:rPr>
        <w:t xml:space="preserve">Following </w:t>
      </w:r>
      <w:r w:rsidR="00CB6EEC" w:rsidRPr="00D314B1">
        <w:rPr>
          <w:rFonts w:ascii="Times New Roman" w:eastAsia="Calibri" w:hAnsi="Times New Roman" w:cs="Times New Roman"/>
          <w:i/>
          <w:iCs/>
          <w:sz w:val="24"/>
          <w:szCs w:val="24"/>
          <w:lang w:val="en-US"/>
        </w:rPr>
        <w:t xml:space="preserve">Cuthbert Duve v </w:t>
      </w:r>
      <w:r w:rsidR="00CB6EEC" w:rsidRPr="00D314B1">
        <w:rPr>
          <w:rFonts w:ascii="Times New Roman" w:eastAsia="Calibri" w:hAnsi="Times New Roman" w:cs="Times New Roman"/>
          <w:i/>
          <w:iCs/>
          <w:lang w:val="en-US"/>
        </w:rPr>
        <w:t>PSMAS</w:t>
      </w:r>
      <w:r w:rsidR="00CB6EEC" w:rsidRPr="00D314B1">
        <w:rPr>
          <w:rFonts w:ascii="Times New Roman" w:eastAsia="Calibri" w:hAnsi="Times New Roman" w:cs="Times New Roman"/>
          <w:lang w:val="en-US"/>
        </w:rPr>
        <w:t xml:space="preserve"> </w:t>
      </w:r>
      <w:r w:rsidR="00CB6EEC">
        <w:rPr>
          <w:rFonts w:ascii="Times New Roman" w:eastAsia="Calibri" w:hAnsi="Times New Roman" w:cs="Times New Roman"/>
          <w:sz w:val="24"/>
          <w:szCs w:val="24"/>
          <w:lang w:val="en-US"/>
        </w:rPr>
        <w:t xml:space="preserve">and </w:t>
      </w:r>
      <w:r w:rsidR="00CB6EEC" w:rsidRPr="00D314B1">
        <w:rPr>
          <w:rFonts w:ascii="Times New Roman" w:eastAsia="Calibri" w:hAnsi="Times New Roman" w:cs="Times New Roman"/>
          <w:i/>
          <w:iCs/>
          <w:sz w:val="24"/>
          <w:szCs w:val="24"/>
          <w:lang w:val="en-US"/>
        </w:rPr>
        <w:t>Madzivire v Zvarivadza</w:t>
      </w:r>
      <w:r w:rsidR="00CB6EEC">
        <w:rPr>
          <w:rFonts w:ascii="Times New Roman" w:eastAsia="Calibri" w:hAnsi="Times New Roman" w:cs="Times New Roman"/>
          <w:sz w:val="24"/>
          <w:szCs w:val="24"/>
          <w:lang w:val="en-US"/>
        </w:rPr>
        <w:t xml:space="preserve">, the Supreme Court held that the </w:t>
      </w:r>
      <w:r w:rsidR="00CB6EEC" w:rsidRPr="00D314B1">
        <w:rPr>
          <w:rFonts w:ascii="Times New Roman" w:eastAsia="Calibri" w:hAnsi="Times New Roman" w:cs="Times New Roman"/>
          <w:lang w:val="en-US"/>
        </w:rPr>
        <w:t xml:space="preserve">CEO </w:t>
      </w:r>
      <w:r w:rsidR="00CB6EEC">
        <w:rPr>
          <w:rFonts w:ascii="Times New Roman" w:eastAsia="Calibri" w:hAnsi="Times New Roman" w:cs="Times New Roman"/>
          <w:sz w:val="24"/>
          <w:szCs w:val="24"/>
          <w:lang w:val="en-US"/>
        </w:rPr>
        <w:t>required board approval to institute proceedings on behalf of respondent.</w:t>
      </w:r>
    </w:p>
    <w:p w14:paraId="78D0BDEA" w14:textId="39443667" w:rsidR="00D314B1" w:rsidRDefault="00CB6EEC" w:rsidP="00CB6EEC">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D20B66">
        <w:rPr>
          <w:rFonts w:ascii="Times New Roman" w:hAnsi="Times New Roman" w:cs="Times New Roman"/>
          <w:sz w:val="24"/>
          <w:szCs w:val="24"/>
        </w:rPr>
        <w:t>70</w:t>
      </w:r>
      <w:r>
        <w:rPr>
          <w:rFonts w:ascii="Times New Roman" w:hAnsi="Times New Roman" w:cs="Times New Roman"/>
          <w:sz w:val="24"/>
          <w:szCs w:val="24"/>
        </w:rPr>
        <w:t xml:space="preserve">] </w:t>
      </w:r>
      <w:r w:rsidR="00D314B1">
        <w:rPr>
          <w:rFonts w:ascii="Times New Roman" w:hAnsi="Times New Roman" w:cs="Times New Roman"/>
          <w:sz w:val="24"/>
          <w:szCs w:val="24"/>
        </w:rPr>
        <w:t xml:space="preserve">I must state that in </w:t>
      </w:r>
      <w:r w:rsidR="00D314B1" w:rsidRPr="00D314B1">
        <w:rPr>
          <w:rFonts w:ascii="Times New Roman" w:hAnsi="Times New Roman" w:cs="Times New Roman"/>
          <w:i/>
          <w:iCs/>
          <w:sz w:val="24"/>
          <w:szCs w:val="24"/>
        </w:rPr>
        <w:t xml:space="preserve">Tichahleyi Mpofu v </w:t>
      </w:r>
      <w:r w:rsidR="00D314B1" w:rsidRPr="00D314B1">
        <w:rPr>
          <w:rFonts w:ascii="Times New Roman" w:hAnsi="Times New Roman" w:cs="Times New Roman"/>
          <w:i/>
          <w:iCs/>
        </w:rPr>
        <w:t>ZIMDEF</w:t>
      </w:r>
      <w:r w:rsidR="00D314B1">
        <w:rPr>
          <w:rFonts w:ascii="Times New Roman" w:hAnsi="Times New Roman" w:cs="Times New Roman"/>
          <w:sz w:val="24"/>
          <w:szCs w:val="24"/>
        </w:rPr>
        <w:t xml:space="preserve"> (supra), consideration was given as to whether a </w:t>
      </w:r>
      <w:r w:rsidR="00D314B1" w:rsidRPr="00D314B1">
        <w:rPr>
          <w:rFonts w:ascii="Times New Roman" w:hAnsi="Times New Roman" w:cs="Times New Roman"/>
        </w:rPr>
        <w:t>CEO</w:t>
      </w:r>
      <w:r w:rsidR="00D314B1">
        <w:rPr>
          <w:rFonts w:ascii="Times New Roman" w:hAnsi="Times New Roman" w:cs="Times New Roman"/>
          <w:sz w:val="24"/>
          <w:szCs w:val="24"/>
        </w:rPr>
        <w:t xml:space="preserve"> could act in the stead of a board whilst awaiting constitution of the board concerned. It was held as follows per </w:t>
      </w:r>
      <w:r w:rsidR="00D314B1" w:rsidRPr="00D314B1">
        <w:rPr>
          <w:rFonts w:ascii="Times New Roman" w:hAnsi="Times New Roman" w:cs="Times New Roman"/>
        </w:rPr>
        <w:t>MWAYERA JA</w:t>
      </w:r>
      <w:r w:rsidR="00D314B1">
        <w:rPr>
          <w:rFonts w:ascii="Times New Roman" w:hAnsi="Times New Roman" w:cs="Times New Roman"/>
          <w:sz w:val="24"/>
          <w:szCs w:val="24"/>
        </w:rPr>
        <w:t>; -</w:t>
      </w:r>
    </w:p>
    <w:p w14:paraId="2F98FBE6" w14:textId="1D149FA2" w:rsidR="00D314B1" w:rsidRDefault="00D314B1" w:rsidP="00DE6212">
      <w:pPr>
        <w:pStyle w:val="ListParagraph"/>
        <w:tabs>
          <w:tab w:val="left" w:pos="720"/>
          <w:tab w:val="left" w:pos="1440"/>
        </w:tabs>
        <w:spacing w:after="0" w:line="360" w:lineRule="auto"/>
        <w:ind w:left="737"/>
        <w:jc w:val="both"/>
        <w:rPr>
          <w:rFonts w:ascii="Times New Roman" w:hAnsi="Times New Roman" w:cs="Times New Roman"/>
          <w:sz w:val="24"/>
          <w:szCs w:val="24"/>
        </w:rPr>
      </w:pPr>
      <w:r w:rsidRPr="001E7008">
        <w:rPr>
          <w:rFonts w:ascii="Times New Roman" w:hAnsi="Times New Roman" w:cs="Times New Roman"/>
          <w:i/>
          <w:iCs/>
          <w:sz w:val="24"/>
          <w:szCs w:val="24"/>
        </w:rPr>
        <w:t>“[26]</w:t>
      </w:r>
      <w:r>
        <w:rPr>
          <w:rFonts w:ascii="Times New Roman" w:hAnsi="Times New Roman" w:cs="Times New Roman"/>
          <w:sz w:val="24"/>
          <w:szCs w:val="24"/>
        </w:rPr>
        <w:t xml:space="preserve"> </w:t>
      </w:r>
      <w:r w:rsidRPr="00D314B1">
        <w:rPr>
          <w:rFonts w:ascii="Times New Roman" w:eastAsia="Calibri" w:hAnsi="Times New Roman" w:cs="Times New Roman"/>
          <w:sz w:val="24"/>
          <w:szCs w:val="24"/>
        </w:rPr>
        <w:t>Again the legislative intention can be deduced from the use of the peremptory language.  Where the enabling Act provides for a board and one has not been appointed by the relevant authority a direct obligation is imposed on the chief executive officer to notify the Minister immediately.  The law does not spell out that the chief executive officer is the Board or can act on behalf of the Board</w:t>
      </w:r>
      <w:r>
        <w:rPr>
          <w:rFonts w:ascii="Times New Roman" w:eastAsia="Calibri" w:hAnsi="Times New Roman" w:cs="Times New Roman"/>
          <w:sz w:val="24"/>
          <w:szCs w:val="24"/>
        </w:rPr>
        <w:t>.”</w:t>
      </w:r>
    </w:p>
    <w:p w14:paraId="577863C3" w14:textId="4171F9BD" w:rsidR="00CB6EEC" w:rsidRDefault="00D314B1" w:rsidP="00CB6EEC">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914">
        <w:rPr>
          <w:rFonts w:ascii="Times New Roman" w:hAnsi="Times New Roman" w:cs="Times New Roman"/>
          <w:sz w:val="24"/>
          <w:szCs w:val="24"/>
        </w:rPr>
        <w:t>7</w:t>
      </w:r>
      <w:r w:rsidR="00D20B66">
        <w:rPr>
          <w:rFonts w:ascii="Times New Roman" w:hAnsi="Times New Roman" w:cs="Times New Roman"/>
          <w:sz w:val="24"/>
          <w:szCs w:val="24"/>
        </w:rPr>
        <w:t>1</w:t>
      </w:r>
      <w:r>
        <w:rPr>
          <w:rFonts w:ascii="Times New Roman" w:hAnsi="Times New Roman" w:cs="Times New Roman"/>
          <w:sz w:val="24"/>
          <w:szCs w:val="24"/>
        </w:rPr>
        <w:t xml:space="preserve">] In addition, the power of a statutory corporate CEO`s automatic authority to institute proceedings was dismissed in </w:t>
      </w:r>
      <w:r w:rsidR="00CB6EEC" w:rsidRPr="00146757">
        <w:rPr>
          <w:rFonts w:ascii="Times New Roman" w:hAnsi="Times New Roman" w:cs="Times New Roman"/>
          <w:i/>
          <w:iCs/>
          <w:sz w:val="24"/>
          <w:szCs w:val="24"/>
        </w:rPr>
        <w:t>JSC v Ndewere</w:t>
      </w:r>
      <w:r w:rsidR="00CB6EEC">
        <w:rPr>
          <w:rFonts w:ascii="Times New Roman" w:hAnsi="Times New Roman" w:cs="Times New Roman"/>
          <w:sz w:val="24"/>
          <w:szCs w:val="24"/>
        </w:rPr>
        <w:t xml:space="preserve"> </w:t>
      </w:r>
      <w:r>
        <w:rPr>
          <w:rFonts w:ascii="Times New Roman" w:hAnsi="Times New Roman" w:cs="Times New Roman"/>
          <w:sz w:val="24"/>
          <w:szCs w:val="24"/>
        </w:rPr>
        <w:t xml:space="preserve">where this court, in a matter that I </w:t>
      </w:r>
      <w:r w:rsidR="00146757">
        <w:rPr>
          <w:rFonts w:ascii="Times New Roman" w:hAnsi="Times New Roman" w:cs="Times New Roman"/>
          <w:sz w:val="24"/>
          <w:szCs w:val="24"/>
        </w:rPr>
        <w:t>decided,</w:t>
      </w:r>
      <w:r>
        <w:rPr>
          <w:rFonts w:ascii="Times New Roman" w:hAnsi="Times New Roman" w:cs="Times New Roman"/>
          <w:sz w:val="24"/>
          <w:szCs w:val="24"/>
        </w:rPr>
        <w:t xml:space="preserve"> held as </w:t>
      </w:r>
      <w:r w:rsidR="00CB6EEC">
        <w:rPr>
          <w:rFonts w:ascii="Times New Roman" w:hAnsi="Times New Roman" w:cs="Times New Roman"/>
          <w:sz w:val="24"/>
          <w:szCs w:val="24"/>
        </w:rPr>
        <w:t>follows; -</w:t>
      </w:r>
    </w:p>
    <w:p w14:paraId="40981D76" w14:textId="77777777" w:rsidR="00CB6EEC" w:rsidRPr="004E2C20" w:rsidRDefault="00CB6EEC" w:rsidP="00CB6EEC">
      <w:pPr>
        <w:spacing w:after="0" w:line="360" w:lineRule="auto"/>
        <w:ind w:left="737"/>
        <w:jc w:val="both"/>
        <w:rPr>
          <w:rFonts w:ascii="Times New Roman" w:eastAsia="Calibri" w:hAnsi="Times New Roman" w:cs="Times New Roman"/>
          <w:sz w:val="24"/>
          <w:szCs w:val="24"/>
        </w:rPr>
      </w:pPr>
      <w:r w:rsidRPr="00146757">
        <w:rPr>
          <w:rFonts w:ascii="Times New Roman" w:eastAsia="Calibri" w:hAnsi="Times New Roman" w:cs="Times New Roman"/>
          <w:i/>
          <w:iCs/>
          <w:sz w:val="24"/>
          <w:szCs w:val="24"/>
        </w:rPr>
        <w:t>[56]</w:t>
      </w:r>
      <w:r w:rsidRPr="004E2C20">
        <w:rPr>
          <w:rFonts w:ascii="Times New Roman" w:eastAsia="Calibri" w:hAnsi="Times New Roman" w:cs="Times New Roman"/>
          <w:sz w:val="24"/>
          <w:szCs w:val="24"/>
        </w:rPr>
        <w:t xml:space="preserve"> There are five responses to this third point and its resultant arguments from both counsel. Firstly, if Mr.</w:t>
      </w:r>
      <w:r w:rsidRPr="004E2C20">
        <w:rPr>
          <w:rFonts w:ascii="Times New Roman" w:eastAsia="Calibri" w:hAnsi="Times New Roman" w:cs="Times New Roman"/>
          <w:i/>
          <w:iCs/>
          <w:sz w:val="24"/>
          <w:szCs w:val="24"/>
        </w:rPr>
        <w:t xml:space="preserve"> Mugandiwa` </w:t>
      </w:r>
      <w:r w:rsidRPr="004E2C20">
        <w:rPr>
          <w:rFonts w:ascii="Times New Roman" w:eastAsia="Calibri" w:hAnsi="Times New Roman" w:cs="Times New Roman"/>
          <w:sz w:val="24"/>
          <w:szCs w:val="24"/>
        </w:rPr>
        <w:t>s position is  to be assumed as correct, then by necessary implication, there is no reason why others entity representatives such as “</w:t>
      </w:r>
      <w:r w:rsidRPr="004E2C20">
        <w:rPr>
          <w:rFonts w:ascii="Times New Roman" w:eastAsia="Calibri" w:hAnsi="Times New Roman" w:cs="Times New Roman"/>
          <w:i/>
          <w:iCs/>
          <w:sz w:val="24"/>
          <w:szCs w:val="24"/>
        </w:rPr>
        <w:t>head officers</w:t>
      </w:r>
      <w:r w:rsidRPr="004E2C20">
        <w:rPr>
          <w:rFonts w:ascii="Times New Roman" w:eastAsia="Calibri" w:hAnsi="Times New Roman" w:cs="Times New Roman"/>
          <w:sz w:val="24"/>
          <w:szCs w:val="24"/>
        </w:rPr>
        <w:t>”</w:t>
      </w:r>
      <w:r w:rsidRPr="004E2C20">
        <w:rPr>
          <w:rFonts w:ascii="Times New Roman" w:eastAsia="Calibri" w:hAnsi="Times New Roman" w:cs="Times New Roman"/>
          <w:sz w:val="24"/>
          <w:szCs w:val="24"/>
          <w:vertAlign w:val="superscript"/>
        </w:rPr>
        <w:footnoteReference w:id="9"/>
      </w:r>
      <w:r w:rsidRPr="004E2C20">
        <w:rPr>
          <w:rFonts w:ascii="Times New Roman" w:eastAsia="Calibri" w:hAnsi="Times New Roman" w:cs="Times New Roman"/>
        </w:rPr>
        <w:t>,</w:t>
      </w:r>
      <w:r w:rsidRPr="004E2C20">
        <w:rPr>
          <w:rFonts w:ascii="Times New Roman" w:eastAsia="Calibri" w:hAnsi="Times New Roman" w:cs="Times New Roman"/>
          <w:sz w:val="24"/>
          <w:szCs w:val="24"/>
        </w:rPr>
        <w:t xml:space="preserve"> or even “</w:t>
      </w:r>
      <w:r w:rsidRPr="004E2C20">
        <w:rPr>
          <w:rFonts w:ascii="Times New Roman" w:eastAsia="Calibri" w:hAnsi="Times New Roman" w:cs="Times New Roman"/>
          <w:i/>
          <w:iCs/>
          <w:sz w:val="24"/>
          <w:szCs w:val="24"/>
        </w:rPr>
        <w:t>principal officers</w:t>
      </w:r>
      <w:r w:rsidRPr="004E2C20">
        <w:rPr>
          <w:rFonts w:ascii="Times New Roman" w:eastAsia="Calibri" w:hAnsi="Times New Roman" w:cs="Times New Roman"/>
          <w:sz w:val="24"/>
          <w:szCs w:val="24"/>
        </w:rPr>
        <w:t>”</w:t>
      </w:r>
      <w:r w:rsidRPr="004E2C20">
        <w:rPr>
          <w:rFonts w:ascii="Times New Roman" w:eastAsia="Calibri" w:hAnsi="Times New Roman" w:cs="Times New Roman"/>
          <w:sz w:val="24"/>
          <w:szCs w:val="24"/>
          <w:vertAlign w:val="superscript"/>
        </w:rPr>
        <w:footnoteReference w:id="10"/>
      </w:r>
      <w:r w:rsidRPr="004E2C20">
        <w:rPr>
          <w:rFonts w:ascii="Times New Roman" w:eastAsia="Calibri" w:hAnsi="Times New Roman" w:cs="Times New Roman"/>
          <w:sz w:val="24"/>
          <w:szCs w:val="24"/>
        </w:rPr>
        <w:t>,should not enjoy the same privileges extended to “</w:t>
      </w:r>
      <w:r w:rsidRPr="004E2C20">
        <w:rPr>
          <w:rFonts w:ascii="Times New Roman" w:eastAsia="Calibri" w:hAnsi="Times New Roman" w:cs="Times New Roman"/>
          <w:i/>
          <w:iCs/>
          <w:sz w:val="24"/>
          <w:szCs w:val="24"/>
        </w:rPr>
        <w:t>accounting officers</w:t>
      </w:r>
      <w:r w:rsidRPr="004E2C20">
        <w:rPr>
          <w:rFonts w:ascii="Times New Roman" w:eastAsia="Calibri" w:hAnsi="Times New Roman" w:cs="Times New Roman"/>
          <w:sz w:val="24"/>
          <w:szCs w:val="24"/>
        </w:rPr>
        <w:t>”</w:t>
      </w:r>
      <w:r w:rsidRPr="004E2C20">
        <w:rPr>
          <w:rFonts w:ascii="Times New Roman" w:eastAsia="Calibri" w:hAnsi="Times New Roman" w:cs="Times New Roman"/>
          <w:sz w:val="24"/>
          <w:szCs w:val="24"/>
          <w:vertAlign w:val="superscript"/>
        </w:rPr>
        <w:footnoteReference w:id="11"/>
      </w:r>
      <w:r w:rsidRPr="004E2C20">
        <w:rPr>
          <w:rFonts w:ascii="Times New Roman" w:eastAsia="Calibri" w:hAnsi="Times New Roman" w:cs="Times New Roman"/>
          <w:i/>
          <w:iCs/>
          <w:sz w:val="24"/>
          <w:szCs w:val="24"/>
        </w:rPr>
        <w:t>.</w:t>
      </w:r>
      <w:r w:rsidRPr="004E2C20">
        <w:rPr>
          <w:rFonts w:ascii="Times New Roman" w:eastAsia="Calibri" w:hAnsi="Times New Roman" w:cs="Times New Roman"/>
          <w:sz w:val="24"/>
          <w:szCs w:val="24"/>
        </w:rPr>
        <w:t xml:space="preserve">All such officers ,whose roles are also provided by their governing statutes, should be able to validly institute proceedings in courts without proof of approval from the bodies running the affairs of their entities. Such an approach would clearly be inconsistent, not only with </w:t>
      </w:r>
      <w:r w:rsidRPr="004E2C20">
        <w:rPr>
          <w:rFonts w:ascii="Times New Roman" w:eastAsia="Calibri" w:hAnsi="Times New Roman" w:cs="Times New Roman"/>
          <w:i/>
          <w:iCs/>
          <w:sz w:val="24"/>
          <w:szCs w:val="24"/>
        </w:rPr>
        <w:t xml:space="preserve">Cuthbert Elkana Dube </w:t>
      </w:r>
      <w:r w:rsidRPr="004E2C20">
        <w:rPr>
          <w:rFonts w:ascii="Times New Roman" w:eastAsia="Calibri" w:hAnsi="Times New Roman" w:cs="Times New Roman"/>
          <w:sz w:val="24"/>
          <w:szCs w:val="24"/>
        </w:rPr>
        <w:t xml:space="preserve">and all the other authorities cited therein, but ironically- with </w:t>
      </w:r>
      <w:r w:rsidRPr="004E2C20">
        <w:rPr>
          <w:rFonts w:ascii="Times New Roman" w:eastAsia="Calibri" w:hAnsi="Times New Roman" w:cs="Times New Roman"/>
          <w:i/>
          <w:iCs/>
          <w:sz w:val="24"/>
          <w:szCs w:val="24"/>
        </w:rPr>
        <w:t xml:space="preserve">SC 1-22 </w:t>
      </w:r>
      <w:r w:rsidRPr="004E2C20">
        <w:rPr>
          <w:rFonts w:ascii="Times New Roman" w:eastAsia="Calibri" w:hAnsi="Times New Roman" w:cs="Times New Roman"/>
          <w:sz w:val="24"/>
          <w:szCs w:val="24"/>
        </w:rPr>
        <w:t>itself.</w:t>
      </w:r>
    </w:p>
    <w:p w14:paraId="26AF07BE" w14:textId="77777777" w:rsidR="00CB6EEC" w:rsidRPr="004E2C20" w:rsidRDefault="00CB6EEC" w:rsidP="00CB6EEC">
      <w:pPr>
        <w:spacing w:after="0" w:line="360" w:lineRule="auto"/>
        <w:ind w:left="737"/>
        <w:jc w:val="both"/>
        <w:rPr>
          <w:rFonts w:ascii="Times New Roman" w:eastAsia="Calibri" w:hAnsi="Times New Roman" w:cs="Times New Roman"/>
          <w:sz w:val="24"/>
          <w:szCs w:val="24"/>
        </w:rPr>
      </w:pPr>
    </w:p>
    <w:p w14:paraId="23C8CFA1" w14:textId="34484950" w:rsidR="00CB6EEC" w:rsidRPr="004E2C20" w:rsidRDefault="00CB6EEC" w:rsidP="00CB6EEC">
      <w:pPr>
        <w:spacing w:after="0" w:line="360" w:lineRule="auto"/>
        <w:ind w:left="737"/>
        <w:jc w:val="both"/>
        <w:rPr>
          <w:rFonts w:ascii="Times New Roman" w:eastAsia="Calibri" w:hAnsi="Times New Roman" w:cs="Times New Roman"/>
          <w:sz w:val="24"/>
          <w:szCs w:val="24"/>
        </w:rPr>
      </w:pPr>
      <w:r w:rsidRPr="00146757">
        <w:rPr>
          <w:rFonts w:ascii="Times New Roman" w:eastAsia="Calibri" w:hAnsi="Times New Roman" w:cs="Times New Roman"/>
          <w:i/>
          <w:iCs/>
          <w:sz w:val="24"/>
          <w:szCs w:val="24"/>
        </w:rPr>
        <w:t>[57]</w:t>
      </w:r>
      <w:r w:rsidRPr="004E2C20">
        <w:rPr>
          <w:rFonts w:ascii="Times New Roman" w:eastAsia="Calibri" w:hAnsi="Times New Roman" w:cs="Times New Roman"/>
          <w:sz w:val="24"/>
          <w:szCs w:val="24"/>
        </w:rPr>
        <w:t xml:space="preserve"> Secondly and more substantively, I did not read the </w:t>
      </w:r>
      <w:r w:rsidRPr="004E2C20">
        <w:rPr>
          <w:rFonts w:ascii="Times New Roman" w:eastAsia="Calibri" w:hAnsi="Times New Roman" w:cs="Times New Roman"/>
          <w:i/>
          <w:iCs/>
          <w:sz w:val="24"/>
          <w:szCs w:val="24"/>
        </w:rPr>
        <w:t xml:space="preserve">Bere v </w:t>
      </w:r>
      <w:r w:rsidRPr="004E2C20">
        <w:rPr>
          <w:rFonts w:ascii="Times New Roman" w:eastAsia="Calibri" w:hAnsi="Times New Roman" w:cs="Times New Roman"/>
          <w:i/>
          <w:iCs/>
        </w:rPr>
        <w:t>JSC</w:t>
      </w:r>
      <w:r w:rsidRPr="004E2C20">
        <w:rPr>
          <w:rFonts w:ascii="Times New Roman" w:eastAsia="Calibri" w:hAnsi="Times New Roman" w:cs="Times New Roman"/>
          <w:sz w:val="24"/>
          <w:szCs w:val="24"/>
        </w:rPr>
        <w:t xml:space="preserve"> decisions in the High Court, Supreme Court </w:t>
      </w:r>
      <w:r w:rsidRPr="004E2C20">
        <w:rPr>
          <w:rFonts w:ascii="Times New Roman" w:eastAsia="Calibri" w:hAnsi="Times New Roman" w:cs="Times New Roman"/>
          <w:i/>
          <w:iCs/>
        </w:rPr>
        <w:t>[ SC1-22]</w:t>
      </w:r>
      <w:r w:rsidRPr="004E2C20">
        <w:rPr>
          <w:rFonts w:ascii="Times New Roman" w:eastAsia="Calibri" w:hAnsi="Times New Roman" w:cs="Times New Roman"/>
          <w:sz w:val="24"/>
          <w:szCs w:val="24"/>
        </w:rPr>
        <w:t xml:space="preserve">, and Constitutional Court to have specifically or unequivocally held that the status of statutory accounting officer obviated prior corporate authority to institute proceedings. The relevance of “accounting officer” to the matter at hand in those decisions was secondary to the validity of authority empowering the accounting officer to act on behalf on the entity. In that regard, I do not believe that those decisions should be taken as having departed from the position laid by </w:t>
      </w:r>
      <w:r w:rsidRPr="004E2C20">
        <w:rPr>
          <w:rFonts w:ascii="Times New Roman" w:eastAsia="Calibri" w:hAnsi="Times New Roman" w:cs="Times New Roman"/>
        </w:rPr>
        <w:t>GARWE JA</w:t>
      </w:r>
      <w:r w:rsidRPr="004E2C20">
        <w:rPr>
          <w:rFonts w:ascii="Times New Roman" w:eastAsia="Calibri" w:hAnsi="Times New Roman" w:cs="Times New Roman"/>
          <w:sz w:val="24"/>
          <w:szCs w:val="24"/>
        </w:rPr>
        <w:t xml:space="preserve"> (as he then was) in </w:t>
      </w:r>
      <w:r w:rsidRPr="004E2C20">
        <w:rPr>
          <w:rFonts w:ascii="Times New Roman" w:eastAsia="Calibri" w:hAnsi="Times New Roman" w:cs="Times New Roman"/>
          <w:i/>
          <w:iCs/>
          <w:sz w:val="24"/>
          <w:szCs w:val="24"/>
        </w:rPr>
        <w:t xml:space="preserve">Cuthbert Elkana Dube </w:t>
      </w:r>
      <w:r w:rsidRPr="004E2C20">
        <w:rPr>
          <w:rFonts w:ascii="Times New Roman" w:eastAsia="Calibri" w:hAnsi="Times New Roman" w:cs="Times New Roman"/>
          <w:sz w:val="24"/>
          <w:szCs w:val="24"/>
        </w:rPr>
        <w:t xml:space="preserve">where the Learned Judge of Appeal held as follows [at </w:t>
      </w:r>
      <w:r w:rsidR="00C65B83" w:rsidRPr="004E2C20">
        <w:rPr>
          <w:rFonts w:ascii="Times New Roman" w:eastAsia="Calibri" w:hAnsi="Times New Roman" w:cs="Times New Roman"/>
          <w:sz w:val="24"/>
          <w:szCs w:val="24"/>
        </w:rPr>
        <w:t>38]</w:t>
      </w:r>
      <w:r w:rsidR="00C65B83">
        <w:rPr>
          <w:rFonts w:ascii="Times New Roman" w:eastAsia="Calibri" w:hAnsi="Times New Roman" w:cs="Times New Roman"/>
          <w:sz w:val="24"/>
          <w:szCs w:val="24"/>
        </w:rPr>
        <w:t xml:space="preserve"> ……...”</w:t>
      </w:r>
    </w:p>
    <w:p w14:paraId="621D3D1C" w14:textId="77777777" w:rsidR="00146757" w:rsidRDefault="00146757" w:rsidP="00B32F72">
      <w:pPr>
        <w:spacing w:after="0" w:line="360" w:lineRule="auto"/>
        <w:jc w:val="both"/>
        <w:rPr>
          <w:rFonts w:ascii="Times New Roman" w:eastAsia="Calibri" w:hAnsi="Times New Roman" w:cs="Times New Roman"/>
          <w:sz w:val="24"/>
          <w:szCs w:val="24"/>
        </w:rPr>
      </w:pPr>
    </w:p>
    <w:p w14:paraId="13F662E7" w14:textId="1E7112CF" w:rsidR="006C2BF9" w:rsidRPr="00DE6212" w:rsidRDefault="00146757" w:rsidP="00146757">
      <w:pPr>
        <w:spacing w:after="0" w:line="360" w:lineRule="auto"/>
        <w:jc w:val="both"/>
        <w:rPr>
          <w:rFonts w:ascii="Times New Roman" w:hAnsi="Times New Roman" w:cs="Times New Roman"/>
          <w:lang w:val="en-US"/>
        </w:rPr>
      </w:pPr>
      <w:r w:rsidRPr="00DE6212">
        <w:rPr>
          <w:rFonts w:ascii="Times New Roman" w:eastAsia="Calibri" w:hAnsi="Times New Roman" w:cs="Times New Roman"/>
        </w:rPr>
        <w:t xml:space="preserve">DISPOSITION </w:t>
      </w:r>
    </w:p>
    <w:p w14:paraId="6D0AA868" w14:textId="62F1888D" w:rsidR="002A1FFC" w:rsidRDefault="002A1FFC"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757">
        <w:rPr>
          <w:rFonts w:ascii="Times New Roman" w:hAnsi="Times New Roman" w:cs="Times New Roman"/>
          <w:sz w:val="24"/>
          <w:szCs w:val="24"/>
        </w:rPr>
        <w:t>[</w:t>
      </w:r>
      <w:r w:rsidR="008D5E19">
        <w:rPr>
          <w:rFonts w:ascii="Times New Roman" w:hAnsi="Times New Roman" w:cs="Times New Roman"/>
          <w:sz w:val="24"/>
          <w:szCs w:val="24"/>
        </w:rPr>
        <w:t>7</w:t>
      </w:r>
      <w:r w:rsidR="00D20B66">
        <w:rPr>
          <w:rFonts w:ascii="Times New Roman" w:hAnsi="Times New Roman" w:cs="Times New Roman"/>
          <w:sz w:val="24"/>
          <w:szCs w:val="24"/>
        </w:rPr>
        <w:t>2</w:t>
      </w:r>
      <w:r w:rsidR="00146757">
        <w:rPr>
          <w:rFonts w:ascii="Times New Roman" w:hAnsi="Times New Roman" w:cs="Times New Roman"/>
          <w:sz w:val="24"/>
          <w:szCs w:val="24"/>
        </w:rPr>
        <w:t xml:space="preserve">] </w:t>
      </w:r>
      <w:r>
        <w:rPr>
          <w:rFonts w:ascii="Times New Roman" w:hAnsi="Times New Roman" w:cs="Times New Roman"/>
          <w:sz w:val="24"/>
          <w:szCs w:val="24"/>
        </w:rPr>
        <w:t xml:space="preserve">Returning to the arguments presented, resolution 530C469 cannot be impugned purely because it was </w:t>
      </w:r>
      <w:r w:rsidR="00146757">
        <w:rPr>
          <w:rFonts w:ascii="Times New Roman" w:hAnsi="Times New Roman" w:cs="Times New Roman"/>
          <w:sz w:val="24"/>
          <w:szCs w:val="24"/>
        </w:rPr>
        <w:t>aged</w:t>
      </w:r>
      <w:r>
        <w:rPr>
          <w:rFonts w:ascii="Times New Roman" w:hAnsi="Times New Roman" w:cs="Times New Roman"/>
          <w:sz w:val="24"/>
          <w:szCs w:val="24"/>
        </w:rPr>
        <w:t xml:space="preserve">. A reading of the resolution reveals however, that it pertained to an entirely different mandate. On that </w:t>
      </w:r>
      <w:r w:rsidR="001E7008">
        <w:rPr>
          <w:rFonts w:ascii="Times New Roman" w:hAnsi="Times New Roman" w:cs="Times New Roman"/>
          <w:sz w:val="24"/>
          <w:szCs w:val="24"/>
        </w:rPr>
        <w:t xml:space="preserve">very simple </w:t>
      </w:r>
      <w:r>
        <w:rPr>
          <w:rFonts w:ascii="Times New Roman" w:hAnsi="Times New Roman" w:cs="Times New Roman"/>
          <w:sz w:val="24"/>
          <w:szCs w:val="24"/>
        </w:rPr>
        <w:t xml:space="preserve">basis it cannot avail the applicant. The CEO was authorised by Resolution 530C469 to institute “appeals granted unfavourably to council”. </w:t>
      </w:r>
      <w:r w:rsidR="001E7008">
        <w:rPr>
          <w:rFonts w:ascii="Times New Roman" w:hAnsi="Times New Roman" w:cs="Times New Roman"/>
          <w:sz w:val="24"/>
          <w:szCs w:val="24"/>
        </w:rPr>
        <w:t xml:space="preserve">This matter as argued by Mr. </w:t>
      </w:r>
      <w:r w:rsidR="001E7008" w:rsidRPr="001E7008">
        <w:rPr>
          <w:rFonts w:ascii="Times New Roman" w:hAnsi="Times New Roman" w:cs="Times New Roman"/>
          <w:i/>
          <w:iCs/>
          <w:sz w:val="24"/>
          <w:szCs w:val="24"/>
        </w:rPr>
        <w:t xml:space="preserve">Sithole </w:t>
      </w:r>
      <w:r w:rsidR="001E7008">
        <w:rPr>
          <w:rFonts w:ascii="Times New Roman" w:hAnsi="Times New Roman" w:cs="Times New Roman"/>
          <w:sz w:val="24"/>
          <w:szCs w:val="24"/>
        </w:rPr>
        <w:t xml:space="preserve">does qualify as such. </w:t>
      </w:r>
      <w:r w:rsidR="00146757">
        <w:rPr>
          <w:rFonts w:ascii="Times New Roman" w:hAnsi="Times New Roman" w:cs="Times New Roman"/>
          <w:sz w:val="24"/>
          <w:szCs w:val="24"/>
        </w:rPr>
        <w:t>In stating this, I also discount Alderman Mudzonga` s letter dated as it did not amount to a resolution passed by applicant`s council.</w:t>
      </w:r>
    </w:p>
    <w:p w14:paraId="0E7AF7B1" w14:textId="7D3ED141" w:rsidR="00146757" w:rsidRDefault="002A1FFC"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8D5E19">
        <w:rPr>
          <w:rFonts w:ascii="Times New Roman" w:hAnsi="Times New Roman" w:cs="Times New Roman"/>
          <w:sz w:val="24"/>
          <w:szCs w:val="24"/>
        </w:rPr>
        <w:t>7</w:t>
      </w:r>
      <w:r w:rsidR="00D20B66">
        <w:rPr>
          <w:rFonts w:ascii="Times New Roman" w:hAnsi="Times New Roman" w:cs="Times New Roman"/>
          <w:sz w:val="24"/>
          <w:szCs w:val="24"/>
        </w:rPr>
        <w:t>3</w:t>
      </w:r>
      <w:r>
        <w:rPr>
          <w:rFonts w:ascii="Times New Roman" w:hAnsi="Times New Roman" w:cs="Times New Roman"/>
          <w:sz w:val="24"/>
          <w:szCs w:val="24"/>
        </w:rPr>
        <w:t xml:space="preserve">] Mr. </w:t>
      </w:r>
      <w:r w:rsidRPr="00146757">
        <w:rPr>
          <w:rFonts w:ascii="Times New Roman" w:hAnsi="Times New Roman" w:cs="Times New Roman"/>
          <w:i/>
          <w:iCs/>
          <w:sz w:val="24"/>
          <w:szCs w:val="24"/>
        </w:rPr>
        <w:t>Mavhiringidze</w:t>
      </w:r>
      <w:r>
        <w:rPr>
          <w:rFonts w:ascii="Times New Roman" w:hAnsi="Times New Roman" w:cs="Times New Roman"/>
          <w:sz w:val="24"/>
          <w:szCs w:val="24"/>
        </w:rPr>
        <w:t xml:space="preserve"> in last desperate last-ditch attempts, albeit demure, at securing another opportunity to furnish the authority concerned</w:t>
      </w:r>
      <w:r w:rsidR="00146757">
        <w:rPr>
          <w:rFonts w:ascii="Times New Roman" w:hAnsi="Times New Roman" w:cs="Times New Roman"/>
          <w:sz w:val="24"/>
          <w:szCs w:val="24"/>
        </w:rPr>
        <w:t xml:space="preserve"> cannot prevail</w:t>
      </w:r>
      <w:r>
        <w:rPr>
          <w:rFonts w:ascii="Times New Roman" w:hAnsi="Times New Roman" w:cs="Times New Roman"/>
          <w:sz w:val="24"/>
          <w:szCs w:val="24"/>
        </w:rPr>
        <w:t xml:space="preserve">. The point </w:t>
      </w:r>
      <w:r w:rsidRPr="001E7008">
        <w:rPr>
          <w:rFonts w:ascii="Times New Roman" w:hAnsi="Times New Roman" w:cs="Times New Roman"/>
          <w:i/>
          <w:iCs/>
          <w:sz w:val="24"/>
          <w:szCs w:val="24"/>
        </w:rPr>
        <w:t>in limine</w:t>
      </w:r>
      <w:r>
        <w:rPr>
          <w:rFonts w:ascii="Times New Roman" w:hAnsi="Times New Roman" w:cs="Times New Roman"/>
          <w:sz w:val="24"/>
          <w:szCs w:val="24"/>
        </w:rPr>
        <w:t xml:space="preserve"> must succeed </w:t>
      </w:r>
      <w:r w:rsidR="001E7008">
        <w:rPr>
          <w:rFonts w:ascii="Times New Roman" w:hAnsi="Times New Roman" w:cs="Times New Roman"/>
          <w:sz w:val="24"/>
          <w:szCs w:val="24"/>
        </w:rPr>
        <w:t xml:space="preserve">with costs following the successful party. I see no cause to depart from the established position. Nor is there any basis to punish applicant harshly despite its </w:t>
      </w:r>
      <w:r>
        <w:rPr>
          <w:rFonts w:ascii="Times New Roman" w:hAnsi="Times New Roman" w:cs="Times New Roman"/>
          <w:sz w:val="24"/>
          <w:szCs w:val="24"/>
        </w:rPr>
        <w:t xml:space="preserve">pertinacity in the face of several warnings that its authority was defective. </w:t>
      </w:r>
    </w:p>
    <w:p w14:paraId="3ADF8B2B" w14:textId="767278CF" w:rsidR="002A1FFC" w:rsidRDefault="00146757"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8D5E19">
        <w:rPr>
          <w:rFonts w:ascii="Times New Roman" w:hAnsi="Times New Roman" w:cs="Times New Roman"/>
          <w:sz w:val="24"/>
          <w:szCs w:val="24"/>
        </w:rPr>
        <w:t>7</w:t>
      </w:r>
      <w:r w:rsidR="00D20B66">
        <w:rPr>
          <w:rFonts w:ascii="Times New Roman" w:hAnsi="Times New Roman" w:cs="Times New Roman"/>
          <w:sz w:val="24"/>
          <w:szCs w:val="24"/>
        </w:rPr>
        <w:t>4</w:t>
      </w:r>
      <w:r>
        <w:rPr>
          <w:rFonts w:ascii="Times New Roman" w:hAnsi="Times New Roman" w:cs="Times New Roman"/>
          <w:sz w:val="24"/>
          <w:szCs w:val="24"/>
        </w:rPr>
        <w:t xml:space="preserve">] </w:t>
      </w:r>
      <w:r w:rsidR="002A1FFC">
        <w:rPr>
          <w:rFonts w:ascii="Times New Roman" w:hAnsi="Times New Roman" w:cs="Times New Roman"/>
          <w:sz w:val="24"/>
          <w:szCs w:val="24"/>
        </w:rPr>
        <w:t>I do agree with Mr</w:t>
      </w:r>
      <w:r w:rsidR="002A1FFC" w:rsidRPr="00DE6212">
        <w:rPr>
          <w:rFonts w:ascii="Times New Roman" w:hAnsi="Times New Roman" w:cs="Times New Roman"/>
          <w:i/>
          <w:iCs/>
          <w:sz w:val="24"/>
          <w:szCs w:val="24"/>
        </w:rPr>
        <w:t>. Sithole</w:t>
      </w:r>
      <w:r w:rsidR="002A1FFC">
        <w:rPr>
          <w:rFonts w:ascii="Times New Roman" w:hAnsi="Times New Roman" w:cs="Times New Roman"/>
          <w:sz w:val="24"/>
          <w:szCs w:val="24"/>
        </w:rPr>
        <w:t xml:space="preserve"> that applicant could have resolved the matter by procuring an updated authority free from controversy. I must </w:t>
      </w:r>
      <w:r w:rsidR="004E2C20">
        <w:rPr>
          <w:rFonts w:ascii="Times New Roman" w:hAnsi="Times New Roman" w:cs="Times New Roman"/>
          <w:sz w:val="24"/>
          <w:szCs w:val="24"/>
        </w:rPr>
        <w:t xml:space="preserve">express the court`s displeasure at the obdurate approach adopted by applicant in that regard. I do believe that the court`s censure should suffice for purposes of discouraging </w:t>
      </w:r>
      <w:r w:rsidR="001E7008">
        <w:rPr>
          <w:rFonts w:ascii="Times New Roman" w:hAnsi="Times New Roman" w:cs="Times New Roman"/>
          <w:sz w:val="24"/>
          <w:szCs w:val="24"/>
        </w:rPr>
        <w:t xml:space="preserve">such conduct in </w:t>
      </w:r>
      <w:r w:rsidR="004E2C20">
        <w:rPr>
          <w:rFonts w:ascii="Times New Roman" w:hAnsi="Times New Roman" w:cs="Times New Roman"/>
          <w:sz w:val="24"/>
          <w:szCs w:val="24"/>
        </w:rPr>
        <w:t xml:space="preserve">future. </w:t>
      </w:r>
    </w:p>
    <w:p w14:paraId="72A0E124" w14:textId="17F96DDA" w:rsidR="004E2C20" w:rsidRDefault="004E2C20" w:rsidP="004A72B3">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 -</w:t>
      </w:r>
    </w:p>
    <w:p w14:paraId="1CDA0198" w14:textId="3F62A869" w:rsidR="004E2C20" w:rsidRDefault="004E2C20" w:rsidP="00146757">
      <w:pPr>
        <w:pStyle w:val="NoSpacing"/>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1E7008">
        <w:rPr>
          <w:rFonts w:ascii="Times New Roman" w:hAnsi="Times New Roman" w:cs="Times New Roman"/>
          <w:i/>
          <w:iCs/>
          <w:sz w:val="24"/>
          <w:szCs w:val="24"/>
        </w:rPr>
        <w:t>in limine</w:t>
      </w:r>
      <w:r>
        <w:rPr>
          <w:rFonts w:ascii="Times New Roman" w:hAnsi="Times New Roman" w:cs="Times New Roman"/>
          <w:sz w:val="24"/>
          <w:szCs w:val="24"/>
        </w:rPr>
        <w:t xml:space="preserve"> moved by applicant challenging the validity of applicant`s authority to prosecute the present proceedings be and is hereby</w:t>
      </w:r>
      <w:r w:rsidR="00C65B83">
        <w:rPr>
          <w:rFonts w:ascii="Times New Roman" w:hAnsi="Times New Roman" w:cs="Times New Roman"/>
          <w:sz w:val="24"/>
          <w:szCs w:val="24"/>
        </w:rPr>
        <w:t xml:space="preserve"> upheld.</w:t>
      </w:r>
    </w:p>
    <w:p w14:paraId="0EB95ED2" w14:textId="16FA6BDD" w:rsidR="001E7008" w:rsidRDefault="001E7008" w:rsidP="00146757">
      <w:pPr>
        <w:pStyle w:val="NoSpacing"/>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summary judgment be and is hereby struck off</w:t>
      </w:r>
      <w:r w:rsidR="00D20B66">
        <w:rPr>
          <w:rFonts w:ascii="Times New Roman" w:hAnsi="Times New Roman" w:cs="Times New Roman"/>
          <w:sz w:val="24"/>
          <w:szCs w:val="24"/>
        </w:rPr>
        <w:t xml:space="preserve"> the roll</w:t>
      </w:r>
      <w:r>
        <w:rPr>
          <w:rFonts w:ascii="Times New Roman" w:hAnsi="Times New Roman" w:cs="Times New Roman"/>
          <w:sz w:val="24"/>
          <w:szCs w:val="24"/>
        </w:rPr>
        <w:t>.</w:t>
      </w:r>
    </w:p>
    <w:p w14:paraId="52466C01" w14:textId="25E76312" w:rsidR="001E7008" w:rsidRDefault="001E7008" w:rsidP="00146757">
      <w:pPr>
        <w:pStyle w:val="NoSpacing"/>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Applicant to bear the costs of suit.</w:t>
      </w:r>
    </w:p>
    <w:p w14:paraId="62457AEC" w14:textId="77777777" w:rsidR="00146757" w:rsidRDefault="00146757" w:rsidP="00146757">
      <w:pPr>
        <w:pStyle w:val="NoSpacing"/>
        <w:spacing w:before="240" w:line="360" w:lineRule="auto"/>
        <w:ind w:left="720"/>
        <w:jc w:val="both"/>
        <w:rPr>
          <w:rFonts w:ascii="Times New Roman" w:hAnsi="Times New Roman" w:cs="Times New Roman"/>
          <w:sz w:val="24"/>
          <w:szCs w:val="24"/>
        </w:rPr>
      </w:pPr>
    </w:p>
    <w:p w14:paraId="282BCD7C" w14:textId="199D2FBB" w:rsidR="004E2C20" w:rsidRPr="00146757" w:rsidRDefault="00146757" w:rsidP="00146757">
      <w:pPr>
        <w:pStyle w:val="NoSpacing"/>
        <w:rPr>
          <w:rFonts w:ascii="Times New Roman" w:hAnsi="Times New Roman" w:cs="Times New Roman"/>
          <w:sz w:val="24"/>
          <w:szCs w:val="24"/>
        </w:rPr>
      </w:pPr>
      <w:r w:rsidRPr="00146757">
        <w:rPr>
          <w:rFonts w:ascii="Times New Roman" w:hAnsi="Times New Roman" w:cs="Times New Roman"/>
          <w:i/>
          <w:iCs/>
          <w:sz w:val="24"/>
          <w:szCs w:val="24"/>
        </w:rPr>
        <w:t>Mavhiringidze and Mashanyare</w:t>
      </w:r>
      <w:r w:rsidRPr="00146757">
        <w:rPr>
          <w:rFonts w:ascii="Times New Roman" w:hAnsi="Times New Roman" w:cs="Times New Roman"/>
          <w:sz w:val="24"/>
          <w:szCs w:val="24"/>
        </w:rPr>
        <w:t xml:space="preserve"> – applicant`s legal practitioners</w:t>
      </w:r>
    </w:p>
    <w:p w14:paraId="3D2D0D4F" w14:textId="457E4125" w:rsidR="00146757" w:rsidRPr="00146757" w:rsidRDefault="00146757" w:rsidP="00146757">
      <w:pPr>
        <w:pStyle w:val="NoSpacing"/>
        <w:rPr>
          <w:rFonts w:ascii="Times New Roman" w:hAnsi="Times New Roman" w:cs="Times New Roman"/>
          <w:sz w:val="24"/>
          <w:szCs w:val="24"/>
        </w:rPr>
      </w:pPr>
      <w:r w:rsidRPr="00146757">
        <w:rPr>
          <w:rFonts w:ascii="Times New Roman" w:hAnsi="Times New Roman" w:cs="Times New Roman"/>
          <w:i/>
          <w:iCs/>
          <w:sz w:val="24"/>
          <w:szCs w:val="24"/>
        </w:rPr>
        <w:t>Chambati Mataka and Makonese</w:t>
      </w:r>
      <w:r w:rsidRPr="00146757">
        <w:rPr>
          <w:rFonts w:ascii="Times New Roman" w:hAnsi="Times New Roman" w:cs="Times New Roman"/>
          <w:sz w:val="24"/>
          <w:szCs w:val="24"/>
        </w:rPr>
        <w:t xml:space="preserve"> -respondent’s legal practitioners</w:t>
      </w:r>
    </w:p>
    <w:p w14:paraId="32DF4FF9" w14:textId="77777777" w:rsidR="00496173" w:rsidRPr="00146757" w:rsidRDefault="00496173" w:rsidP="00146757">
      <w:pPr>
        <w:pStyle w:val="NoSpacing"/>
        <w:rPr>
          <w:rFonts w:ascii="Times New Roman" w:hAnsi="Times New Roman" w:cs="Times New Roman"/>
          <w:sz w:val="24"/>
          <w:szCs w:val="24"/>
        </w:rPr>
      </w:pPr>
    </w:p>
    <w:p w14:paraId="2C49F466" w14:textId="15CD03E6" w:rsidR="00496173" w:rsidRPr="00DE6212" w:rsidRDefault="00146757" w:rsidP="004A72B3">
      <w:pPr>
        <w:pStyle w:val="NoSpacing"/>
        <w:spacing w:before="240"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DE6212">
        <w:rPr>
          <w:rFonts w:ascii="Times New Roman" w:hAnsi="Times New Roman" w:cs="Times New Roman"/>
          <w:b/>
          <w:bCs/>
          <w:sz w:val="16"/>
          <w:szCs w:val="16"/>
        </w:rPr>
        <w:t>[CHILIMBE J___2</w:t>
      </w:r>
      <w:r w:rsidR="002D6AD4">
        <w:rPr>
          <w:rFonts w:ascii="Times New Roman" w:hAnsi="Times New Roman" w:cs="Times New Roman"/>
          <w:b/>
          <w:bCs/>
          <w:sz w:val="16"/>
          <w:szCs w:val="16"/>
        </w:rPr>
        <w:t>5</w:t>
      </w:r>
      <w:r w:rsidRPr="00DE6212">
        <w:rPr>
          <w:rFonts w:ascii="Times New Roman" w:hAnsi="Times New Roman" w:cs="Times New Roman"/>
          <w:b/>
          <w:bCs/>
          <w:sz w:val="16"/>
          <w:szCs w:val="16"/>
        </w:rPr>
        <w:t>/6/25]</w:t>
      </w:r>
    </w:p>
    <w:p w14:paraId="08F65B6A" w14:textId="77777777" w:rsidR="00496173" w:rsidRPr="008157D8" w:rsidRDefault="00496173" w:rsidP="004A72B3">
      <w:pPr>
        <w:pStyle w:val="NoSpacing"/>
        <w:spacing w:before="240" w:line="360" w:lineRule="auto"/>
        <w:jc w:val="both"/>
        <w:rPr>
          <w:rFonts w:ascii="Times New Roman" w:hAnsi="Times New Roman" w:cs="Times New Roman"/>
          <w:sz w:val="24"/>
          <w:szCs w:val="24"/>
        </w:rPr>
      </w:pPr>
    </w:p>
    <w:p w14:paraId="708F26DB" w14:textId="2C822363" w:rsidR="004545B4" w:rsidRPr="004A72B3" w:rsidRDefault="00CA532B" w:rsidP="004A72B3">
      <w:pPr>
        <w:pStyle w:val="NoSpacing"/>
        <w:spacing w:line="360" w:lineRule="auto"/>
        <w:jc w:val="both"/>
        <w:rPr>
          <w:rFonts w:ascii="Times New Roman" w:hAnsi="Times New Roman" w:cs="Times New Roman"/>
          <w:sz w:val="24"/>
          <w:szCs w:val="24"/>
          <w:lang w:val="en-US"/>
        </w:rPr>
      </w:pPr>
      <w:bookmarkStart w:id="7" w:name="_Hlk198835383"/>
      <w:r w:rsidRPr="004A72B3">
        <w:rPr>
          <w:rFonts w:ascii="Times New Roman" w:hAnsi="Times New Roman" w:cs="Times New Roman"/>
          <w:sz w:val="24"/>
          <w:szCs w:val="24"/>
          <w:lang w:val="en-US"/>
        </w:rPr>
        <w:t xml:space="preserve"> </w:t>
      </w:r>
      <w:bookmarkEnd w:id="7"/>
      <w:r w:rsidR="000A31DF" w:rsidRPr="00DE7838">
        <w:rPr>
          <w:noProof/>
          <w:lang w:val="en-US"/>
        </w:rPr>
        <w:drawing>
          <wp:inline distT="0" distB="0" distL="0" distR="0" wp14:anchorId="17946861" wp14:editId="23DE27C8">
            <wp:extent cx="1510747" cy="786765"/>
            <wp:effectExtent l="0" t="0" r="0" b="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466" cy="794430"/>
                    </a:xfrm>
                    <a:prstGeom prst="rect">
                      <a:avLst/>
                    </a:prstGeom>
                    <a:noFill/>
                    <a:ln>
                      <a:noFill/>
                    </a:ln>
                  </pic:spPr>
                </pic:pic>
              </a:graphicData>
            </a:graphic>
          </wp:inline>
        </w:drawing>
      </w:r>
    </w:p>
    <w:sectPr w:rsidR="004545B4" w:rsidRPr="004A7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DB43" w14:textId="77777777" w:rsidR="0062583E" w:rsidRDefault="0062583E" w:rsidP="00974BEC">
      <w:pPr>
        <w:spacing w:after="0" w:line="240" w:lineRule="auto"/>
      </w:pPr>
      <w:r>
        <w:separator/>
      </w:r>
    </w:p>
  </w:endnote>
  <w:endnote w:type="continuationSeparator" w:id="0">
    <w:p w14:paraId="75317E4D" w14:textId="77777777" w:rsidR="0062583E" w:rsidRDefault="0062583E" w:rsidP="0097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64741" w14:textId="77777777" w:rsidR="0062583E" w:rsidRDefault="0062583E" w:rsidP="00974BEC">
      <w:pPr>
        <w:spacing w:after="0" w:line="240" w:lineRule="auto"/>
      </w:pPr>
      <w:r>
        <w:separator/>
      </w:r>
    </w:p>
  </w:footnote>
  <w:footnote w:type="continuationSeparator" w:id="0">
    <w:p w14:paraId="6B711321" w14:textId="77777777" w:rsidR="0062583E" w:rsidRDefault="0062583E" w:rsidP="00974BEC">
      <w:pPr>
        <w:spacing w:after="0" w:line="240" w:lineRule="auto"/>
      </w:pPr>
      <w:r>
        <w:continuationSeparator/>
      </w:r>
    </w:p>
  </w:footnote>
  <w:footnote w:id="1">
    <w:p w14:paraId="31CE2B40" w14:textId="074E128F" w:rsidR="00502291" w:rsidRPr="00EF634A" w:rsidRDefault="00502291" w:rsidP="00EF634A">
      <w:pPr>
        <w:pStyle w:val="FootnoteText"/>
        <w:jc w:val="both"/>
        <w:rPr>
          <w:sz w:val="18"/>
          <w:szCs w:val="18"/>
        </w:rPr>
      </w:pPr>
      <w:r>
        <w:rPr>
          <w:rStyle w:val="FootnoteReference"/>
        </w:rPr>
        <w:footnoteRef/>
      </w:r>
      <w:r>
        <w:t xml:space="preserve"> </w:t>
      </w:r>
      <w:r w:rsidR="00291615" w:rsidRPr="00EF634A">
        <w:rPr>
          <w:i/>
          <w:iCs/>
          <w:sz w:val="18"/>
          <w:szCs w:val="18"/>
        </w:rPr>
        <w:t>Madzivire &amp; Ors v Zvariwadzwa &amp; Ors</w:t>
      </w:r>
      <w:r w:rsidR="00291615" w:rsidRPr="00EF634A">
        <w:rPr>
          <w:sz w:val="18"/>
          <w:szCs w:val="18"/>
        </w:rPr>
        <w:t xml:space="preserve"> 2005 (2) ZLR  148 at 150 B-C. Note the spelling difference between </w:t>
      </w:r>
      <w:r w:rsidR="00291615" w:rsidRPr="00EF634A">
        <w:rPr>
          <w:b/>
          <w:bCs/>
          <w:sz w:val="18"/>
          <w:szCs w:val="18"/>
        </w:rPr>
        <w:t>Zvariwadzw</w:t>
      </w:r>
      <w:r w:rsidR="00EA6FD4">
        <w:rPr>
          <w:b/>
          <w:bCs/>
          <w:sz w:val="18"/>
          <w:szCs w:val="18"/>
        </w:rPr>
        <w:t>a</w:t>
      </w:r>
      <w:r w:rsidR="00291615" w:rsidRPr="00EF634A">
        <w:rPr>
          <w:sz w:val="18"/>
          <w:szCs w:val="18"/>
        </w:rPr>
        <w:t xml:space="preserve"> in the </w:t>
      </w:r>
      <w:r w:rsidR="00EA6FD4">
        <w:rPr>
          <w:sz w:val="18"/>
          <w:szCs w:val="18"/>
        </w:rPr>
        <w:t xml:space="preserve">High Court citation, and </w:t>
      </w:r>
      <w:r w:rsidR="00EA6FD4" w:rsidRPr="00EA6FD4">
        <w:rPr>
          <w:b/>
          <w:bCs/>
          <w:sz w:val="18"/>
          <w:szCs w:val="18"/>
        </w:rPr>
        <w:t>Zvarivadza</w:t>
      </w:r>
      <w:r w:rsidR="00EA6FD4">
        <w:rPr>
          <w:sz w:val="18"/>
          <w:szCs w:val="18"/>
        </w:rPr>
        <w:t xml:space="preserve"> in the Supreme Court appeal </w:t>
      </w:r>
      <w:r w:rsidR="00291615" w:rsidRPr="00EF634A">
        <w:rPr>
          <w:sz w:val="18"/>
          <w:szCs w:val="18"/>
        </w:rPr>
        <w:t xml:space="preserve">reported as </w:t>
      </w:r>
      <w:r w:rsidR="00291615" w:rsidRPr="00EF634A">
        <w:rPr>
          <w:i/>
          <w:iCs/>
          <w:sz w:val="18"/>
          <w:szCs w:val="18"/>
        </w:rPr>
        <w:t>Madzivire &amp; Ors v Zvarivadza</w:t>
      </w:r>
      <w:r w:rsidR="00291615" w:rsidRPr="00EF634A">
        <w:rPr>
          <w:sz w:val="18"/>
          <w:szCs w:val="18"/>
        </w:rPr>
        <w:t xml:space="preserve"> &amp; Ors 2006 (1) ZLR   </w:t>
      </w:r>
      <w:r w:rsidR="00EF634A" w:rsidRPr="00EF634A">
        <w:rPr>
          <w:sz w:val="18"/>
          <w:szCs w:val="18"/>
        </w:rPr>
        <w:t>514.</w:t>
      </w:r>
    </w:p>
  </w:footnote>
  <w:footnote w:id="2">
    <w:p w14:paraId="441E9AF6" w14:textId="3F41C491" w:rsidR="00AA14C9" w:rsidRPr="00ED780E" w:rsidRDefault="00AA14C9" w:rsidP="00ED780E">
      <w:pPr>
        <w:pStyle w:val="NoSpacing"/>
        <w:rPr>
          <w:sz w:val="18"/>
          <w:szCs w:val="18"/>
          <w:lang w:val="en-US"/>
        </w:rPr>
      </w:pPr>
      <w:r>
        <w:rPr>
          <w:rStyle w:val="FootnoteReference"/>
        </w:rPr>
        <w:footnoteRef/>
      </w:r>
      <w:r>
        <w:t xml:space="preserve"> </w:t>
      </w:r>
      <w:r w:rsidRPr="00ED780E">
        <w:rPr>
          <w:sz w:val="18"/>
          <w:szCs w:val="18"/>
        </w:rPr>
        <w:t xml:space="preserve">See </w:t>
      </w:r>
      <w:r w:rsidRPr="00ED780E">
        <w:rPr>
          <w:i/>
          <w:iCs/>
          <w:sz w:val="18"/>
          <w:szCs w:val="18"/>
        </w:rPr>
        <w:t>Vevhu</w:t>
      </w:r>
      <w:r w:rsidRPr="00ED780E">
        <w:rPr>
          <w:i/>
          <w:iCs/>
          <w:sz w:val="18"/>
          <w:szCs w:val="18"/>
          <w:lang w:val="en-US"/>
        </w:rPr>
        <w:t xml:space="preserve"> Resources (Pvt) Ltd v Operation Nehemiah Cooperative</w:t>
      </w:r>
      <w:r w:rsidRPr="00ED780E">
        <w:rPr>
          <w:sz w:val="18"/>
          <w:szCs w:val="18"/>
          <w:lang w:val="en-US"/>
        </w:rPr>
        <w:t xml:space="preserve"> HH 628-23</w:t>
      </w:r>
    </w:p>
    <w:p w14:paraId="2E36C599" w14:textId="652B9A85" w:rsidR="00AA14C9" w:rsidRPr="00ED780E" w:rsidRDefault="00AA14C9" w:rsidP="00ED780E">
      <w:pPr>
        <w:pStyle w:val="NoSpacing"/>
        <w:rPr>
          <w:sz w:val="18"/>
          <w:szCs w:val="18"/>
        </w:rPr>
      </w:pPr>
    </w:p>
  </w:footnote>
  <w:footnote w:id="3">
    <w:p w14:paraId="1AF2FF21" w14:textId="0B5A738E" w:rsidR="00ED780E" w:rsidRDefault="00ED780E">
      <w:pPr>
        <w:pStyle w:val="FootnoteText"/>
      </w:pPr>
      <w:r>
        <w:rPr>
          <w:rStyle w:val="FootnoteReference"/>
        </w:rPr>
        <w:footnoteRef/>
      </w:r>
      <w:r>
        <w:t xml:space="preserve"> </w:t>
      </w:r>
      <w:r w:rsidR="005D2270">
        <w:t xml:space="preserve">Paragraph </w:t>
      </w:r>
      <w:r w:rsidR="00766342">
        <w:t>1 A 1 of the opposing affidavit.</w:t>
      </w:r>
    </w:p>
  </w:footnote>
  <w:footnote w:id="4">
    <w:p w14:paraId="2DA28424" w14:textId="632C303D" w:rsidR="00353201" w:rsidRPr="00353201" w:rsidRDefault="00353201" w:rsidP="00353201">
      <w:pPr>
        <w:pStyle w:val="FootnoteText"/>
        <w:jc w:val="both"/>
        <w:rPr>
          <w:sz w:val="18"/>
          <w:szCs w:val="18"/>
        </w:rPr>
      </w:pPr>
      <w:r>
        <w:rPr>
          <w:rStyle w:val="FootnoteReference"/>
        </w:rPr>
        <w:footnoteRef/>
      </w:r>
      <w:r>
        <w:t xml:space="preserve"> </w:t>
      </w:r>
      <w:r w:rsidRPr="00353201">
        <w:rPr>
          <w:sz w:val="18"/>
          <w:szCs w:val="18"/>
        </w:rPr>
        <w:t>Counsel`s interpretation of this authority was not entirely correct. The court disallowed the authority as it was, in the finding of the court, tainted by a number of defects other than the longevity adverted to by counsel.</w:t>
      </w:r>
    </w:p>
  </w:footnote>
  <w:footnote w:id="5">
    <w:p w14:paraId="4EC93902" w14:textId="2C7D1F3C" w:rsidR="0040773B" w:rsidRDefault="0040773B">
      <w:pPr>
        <w:pStyle w:val="FootnoteText"/>
      </w:pPr>
      <w:r>
        <w:rPr>
          <w:rStyle w:val="FootnoteReference"/>
        </w:rPr>
        <w:footnoteRef/>
      </w:r>
      <w:r>
        <w:t xml:space="preserve"> </w:t>
      </w:r>
      <w:r w:rsidRPr="008939B4">
        <w:rPr>
          <w:sz w:val="18"/>
          <w:szCs w:val="18"/>
        </w:rPr>
        <w:t xml:space="preserve">Meaning </w:t>
      </w:r>
      <w:r>
        <w:rPr>
          <w:sz w:val="18"/>
          <w:szCs w:val="18"/>
        </w:rPr>
        <w:t>“</w:t>
      </w:r>
      <w:r w:rsidRPr="008939B4">
        <w:rPr>
          <w:sz w:val="18"/>
          <w:szCs w:val="18"/>
        </w:rPr>
        <w:t>the unhappy/sad state of the law</w:t>
      </w:r>
      <w:r>
        <w:rPr>
          <w:sz w:val="18"/>
          <w:szCs w:val="18"/>
        </w:rPr>
        <w:t>”</w:t>
      </w:r>
      <w:r w:rsidRPr="008939B4">
        <w:rPr>
          <w:sz w:val="18"/>
          <w:szCs w:val="18"/>
        </w:rPr>
        <w:t xml:space="preserve">. An expression used in, among other decisions, </w:t>
      </w:r>
      <w:r w:rsidRPr="008939B4">
        <w:rPr>
          <w:i/>
          <w:iCs/>
          <w:sz w:val="18"/>
          <w:szCs w:val="18"/>
        </w:rPr>
        <w:t>TN Harlequin Luxaire Limited v Mberikunashe Matsvimbo &amp; 14 Ors</w:t>
      </w:r>
      <w:r w:rsidRPr="008939B4">
        <w:rPr>
          <w:sz w:val="18"/>
          <w:szCs w:val="18"/>
        </w:rPr>
        <w:t xml:space="preserve"> SC 84-22, to denote a state of conflicting positions on the law.</w:t>
      </w:r>
    </w:p>
  </w:footnote>
  <w:footnote w:id="6">
    <w:p w14:paraId="45C5CD5E" w14:textId="77777777" w:rsidR="007B3B8D" w:rsidRDefault="007B3B8D" w:rsidP="007B3B8D">
      <w:pPr>
        <w:pStyle w:val="FootnoteText"/>
      </w:pPr>
      <w:r>
        <w:rPr>
          <w:rStyle w:val="FootnoteReference"/>
        </w:rPr>
        <w:footnoteRef/>
      </w:r>
      <w:r>
        <w:t xml:space="preserve"> See footnote 1 above.</w:t>
      </w:r>
    </w:p>
  </w:footnote>
  <w:footnote w:id="7">
    <w:p w14:paraId="4B9C5B25" w14:textId="48F1F943" w:rsidR="003A44AF" w:rsidRDefault="003A44AF" w:rsidP="003A44AF">
      <w:pPr>
        <w:pStyle w:val="FootnoteText"/>
      </w:pPr>
      <w:r>
        <w:rPr>
          <w:rStyle w:val="FootnoteReference"/>
        </w:rPr>
        <w:footnoteRef/>
      </w:r>
      <w:r>
        <w:t xml:space="preserve"> </w:t>
      </w:r>
      <w:r w:rsidRPr="00496173">
        <w:rPr>
          <w:rFonts w:eastAsia="Calibri" w:cstheme="minorHAnsi"/>
          <w:i/>
          <w:sz w:val="18"/>
          <w:szCs w:val="18"/>
        </w:rPr>
        <w:t>Moonrise Business Transactions (Private) Limited t/a Moonrise Motor Spares</w:t>
      </w:r>
      <w:r w:rsidRPr="00496173">
        <w:rPr>
          <w:rFonts w:eastAsia="Calibri" w:cstheme="minorHAnsi"/>
          <w:sz w:val="18"/>
          <w:szCs w:val="18"/>
        </w:rPr>
        <w:t xml:space="preserve"> v </w:t>
      </w:r>
      <w:r w:rsidRPr="00496173">
        <w:rPr>
          <w:rFonts w:eastAsia="Calibri" w:cstheme="minorHAnsi"/>
          <w:i/>
          <w:sz w:val="18"/>
          <w:szCs w:val="18"/>
        </w:rPr>
        <w:t>Shumayac Agencies (Private) Limited &amp; Ors</w:t>
      </w:r>
      <w:r w:rsidRPr="00496173">
        <w:rPr>
          <w:rFonts w:eastAsia="Calibri" w:cstheme="minorHAnsi"/>
          <w:sz w:val="18"/>
          <w:szCs w:val="18"/>
        </w:rPr>
        <w:t xml:space="preserve"> HH 376-23 </w:t>
      </w:r>
      <w:r>
        <w:rPr>
          <w:rFonts w:eastAsia="Calibri" w:cstheme="minorHAnsi"/>
          <w:sz w:val="18"/>
          <w:szCs w:val="18"/>
        </w:rPr>
        <w:t xml:space="preserve">at page 2 per </w:t>
      </w:r>
      <w:r w:rsidRPr="00496173">
        <w:rPr>
          <w:rFonts w:eastAsia="Calibri" w:cstheme="minorHAnsi"/>
          <w:sz w:val="18"/>
          <w:szCs w:val="18"/>
        </w:rPr>
        <w:t>DEME J</w:t>
      </w:r>
    </w:p>
  </w:footnote>
  <w:footnote w:id="8">
    <w:p w14:paraId="769B5874" w14:textId="77777777" w:rsidR="00512473" w:rsidRPr="00664C0C" w:rsidRDefault="00512473" w:rsidP="00512473">
      <w:pPr>
        <w:pStyle w:val="FootnoteText"/>
        <w:rPr>
          <w:rFonts w:ascii="Times New Roman" w:hAnsi="Times New Roman" w:cs="Times New Roman"/>
        </w:rPr>
      </w:pPr>
      <w:r w:rsidRPr="00664C0C">
        <w:rPr>
          <w:rStyle w:val="FootnoteReference"/>
          <w:rFonts w:ascii="Times New Roman" w:hAnsi="Times New Roman" w:cs="Times New Roman"/>
        </w:rPr>
        <w:footnoteRef/>
      </w:r>
      <w:r w:rsidRPr="00664C0C">
        <w:rPr>
          <w:rFonts w:ascii="Times New Roman" w:hAnsi="Times New Roman" w:cs="Times New Roman"/>
        </w:rPr>
        <w:t xml:space="preserve"> McLennan J S “No Contracting Out of Fiduciary Duty” 1991 </w:t>
      </w:r>
      <w:r w:rsidRPr="00664C0C">
        <w:rPr>
          <w:rFonts w:ascii="Times New Roman" w:hAnsi="Times New Roman" w:cs="Times New Roman"/>
          <w:i/>
        </w:rPr>
        <w:t>S</w:t>
      </w:r>
      <w:r>
        <w:rPr>
          <w:rFonts w:ascii="Times New Roman" w:hAnsi="Times New Roman" w:cs="Times New Roman"/>
          <w:i/>
        </w:rPr>
        <w:t xml:space="preserve">outh </w:t>
      </w:r>
      <w:r w:rsidRPr="00664C0C">
        <w:rPr>
          <w:rFonts w:ascii="Times New Roman" w:hAnsi="Times New Roman" w:cs="Times New Roman"/>
          <w:i/>
        </w:rPr>
        <w:t>A</w:t>
      </w:r>
      <w:r>
        <w:rPr>
          <w:rFonts w:ascii="Times New Roman" w:hAnsi="Times New Roman" w:cs="Times New Roman"/>
          <w:i/>
        </w:rPr>
        <w:t>frican</w:t>
      </w:r>
      <w:r w:rsidRPr="00664C0C">
        <w:rPr>
          <w:rFonts w:ascii="Times New Roman" w:hAnsi="Times New Roman" w:cs="Times New Roman"/>
          <w:i/>
        </w:rPr>
        <w:t xml:space="preserve"> Merc</w:t>
      </w:r>
      <w:r>
        <w:rPr>
          <w:rFonts w:ascii="Times New Roman" w:hAnsi="Times New Roman" w:cs="Times New Roman"/>
          <w:i/>
        </w:rPr>
        <w:t>antile</w:t>
      </w:r>
      <w:r w:rsidRPr="00664C0C">
        <w:rPr>
          <w:rFonts w:ascii="Times New Roman" w:hAnsi="Times New Roman" w:cs="Times New Roman"/>
          <w:i/>
        </w:rPr>
        <w:t xml:space="preserve"> L</w:t>
      </w:r>
      <w:r>
        <w:rPr>
          <w:rFonts w:ascii="Times New Roman" w:hAnsi="Times New Roman" w:cs="Times New Roman"/>
          <w:i/>
        </w:rPr>
        <w:t xml:space="preserve">aw </w:t>
      </w:r>
      <w:r w:rsidRPr="00664C0C">
        <w:rPr>
          <w:rFonts w:ascii="Times New Roman" w:hAnsi="Times New Roman" w:cs="Times New Roman"/>
          <w:i/>
        </w:rPr>
        <w:t>J</w:t>
      </w:r>
      <w:r>
        <w:rPr>
          <w:rFonts w:ascii="Times New Roman" w:hAnsi="Times New Roman" w:cs="Times New Roman"/>
          <w:i/>
        </w:rPr>
        <w:t>ournal</w:t>
      </w:r>
      <w:r w:rsidRPr="00664C0C">
        <w:rPr>
          <w:rFonts w:ascii="Times New Roman" w:hAnsi="Times New Roman" w:cs="Times New Roman"/>
        </w:rPr>
        <w:t xml:space="preserve"> 86-88</w:t>
      </w:r>
      <w:r>
        <w:rPr>
          <w:rFonts w:ascii="Times New Roman" w:hAnsi="Times New Roman" w:cs="Times New Roman"/>
        </w:rPr>
        <w:t>.</w:t>
      </w:r>
    </w:p>
    <w:p w14:paraId="409D62A9" w14:textId="77777777" w:rsidR="00512473" w:rsidRPr="00561512" w:rsidRDefault="00512473" w:rsidP="00512473">
      <w:pPr>
        <w:pStyle w:val="FootnoteText"/>
        <w:rPr>
          <w:lang w:val="en-US"/>
        </w:rPr>
      </w:pPr>
    </w:p>
  </w:footnote>
  <w:footnote w:id="9">
    <w:p w14:paraId="69D21187" w14:textId="77777777" w:rsidR="00CB6EEC" w:rsidRPr="00DE6212" w:rsidRDefault="00CB6EEC" w:rsidP="00DE6212">
      <w:pPr>
        <w:pStyle w:val="FootnoteText"/>
        <w:jc w:val="both"/>
        <w:rPr>
          <w:sz w:val="18"/>
          <w:szCs w:val="18"/>
        </w:rPr>
      </w:pPr>
      <w:r>
        <w:rPr>
          <w:rStyle w:val="FootnoteReference"/>
        </w:rPr>
        <w:footnoteRef/>
      </w:r>
      <w:r>
        <w:t>(</w:t>
      </w:r>
      <w:r w:rsidRPr="00DE6212">
        <w:rPr>
          <w:sz w:val="18"/>
          <w:szCs w:val="18"/>
        </w:rPr>
        <w:t>Effectively chief executive officers or managing directors) as defined by sections 221 (4) and (5) of COBA</w:t>
      </w:r>
    </w:p>
  </w:footnote>
  <w:footnote w:id="10">
    <w:p w14:paraId="3AF7512B" w14:textId="77777777" w:rsidR="00CB6EEC" w:rsidRPr="00DE6212" w:rsidRDefault="00CB6EEC" w:rsidP="00DE6212">
      <w:pPr>
        <w:pStyle w:val="FootnoteText"/>
        <w:jc w:val="both"/>
        <w:rPr>
          <w:sz w:val="18"/>
          <w:szCs w:val="18"/>
        </w:rPr>
      </w:pPr>
      <w:r w:rsidRPr="00DE6212">
        <w:rPr>
          <w:rStyle w:val="FootnoteReference"/>
          <w:sz w:val="18"/>
          <w:szCs w:val="18"/>
        </w:rPr>
        <w:footnoteRef/>
      </w:r>
      <w:r w:rsidRPr="00DE6212">
        <w:rPr>
          <w:sz w:val="18"/>
          <w:szCs w:val="18"/>
        </w:rPr>
        <w:t xml:space="preserve"> As per sections 20 and 20A of the Banking Act </w:t>
      </w:r>
      <w:r w:rsidRPr="00DE6212">
        <w:rPr>
          <w:i/>
          <w:iCs/>
          <w:sz w:val="18"/>
          <w:szCs w:val="18"/>
        </w:rPr>
        <w:t>[ Chapter 24:20] as an example.</w:t>
      </w:r>
    </w:p>
  </w:footnote>
  <w:footnote w:id="11">
    <w:p w14:paraId="3CF1B264" w14:textId="77777777" w:rsidR="00CB6EEC" w:rsidRPr="00DE6212" w:rsidRDefault="00CB6EEC" w:rsidP="00DE6212">
      <w:pPr>
        <w:pStyle w:val="FootnoteText"/>
        <w:jc w:val="both"/>
        <w:rPr>
          <w:sz w:val="18"/>
          <w:szCs w:val="18"/>
        </w:rPr>
      </w:pPr>
      <w:r w:rsidRPr="00DE6212">
        <w:rPr>
          <w:rStyle w:val="FootnoteReference"/>
          <w:sz w:val="18"/>
          <w:szCs w:val="18"/>
        </w:rPr>
        <w:footnoteRef/>
      </w:r>
      <w:r w:rsidRPr="00DE6212">
        <w:rPr>
          <w:sz w:val="18"/>
          <w:szCs w:val="18"/>
        </w:rPr>
        <w:t xml:space="preserve"> As defined in section 10 of the Public Finance Management 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391027711"/>
      <w:docPartObj>
        <w:docPartGallery w:val="Page Numbers (Top of Page)"/>
        <w:docPartUnique/>
      </w:docPartObj>
    </w:sdtPr>
    <w:sdtEndPr>
      <w:rPr>
        <w:noProof/>
      </w:rPr>
    </w:sdtEndPr>
    <w:sdtContent>
      <w:p w14:paraId="5FEFA0C1" w14:textId="547484A9" w:rsidR="00C07E99" w:rsidRPr="00C07E99" w:rsidRDefault="00337F15" w:rsidP="009702A4">
        <w:pPr>
          <w:pStyle w:val="Header"/>
          <w:jc w:val="right"/>
          <w:rPr>
            <w:b/>
            <w:bCs/>
            <w:noProof/>
            <w:sz w:val="18"/>
            <w:szCs w:val="18"/>
          </w:rPr>
        </w:pPr>
        <w:r w:rsidRPr="00C07E99">
          <w:rPr>
            <w:b/>
            <w:bCs/>
            <w:sz w:val="18"/>
            <w:szCs w:val="18"/>
          </w:rPr>
          <w:fldChar w:fldCharType="begin"/>
        </w:r>
        <w:r w:rsidRPr="00C07E99">
          <w:rPr>
            <w:b/>
            <w:bCs/>
            <w:sz w:val="18"/>
            <w:szCs w:val="18"/>
          </w:rPr>
          <w:instrText xml:space="preserve"> PAGE   \* MERGEFORMAT </w:instrText>
        </w:r>
        <w:r w:rsidRPr="00C07E99">
          <w:rPr>
            <w:b/>
            <w:bCs/>
            <w:sz w:val="18"/>
            <w:szCs w:val="18"/>
          </w:rPr>
          <w:fldChar w:fldCharType="separate"/>
        </w:r>
        <w:r w:rsidR="009702A4">
          <w:rPr>
            <w:b/>
            <w:bCs/>
            <w:noProof/>
            <w:sz w:val="18"/>
            <w:szCs w:val="18"/>
          </w:rPr>
          <w:t>1</w:t>
        </w:r>
        <w:r w:rsidRPr="00C07E99">
          <w:rPr>
            <w:b/>
            <w:bCs/>
            <w:noProof/>
            <w:sz w:val="18"/>
            <w:szCs w:val="18"/>
          </w:rPr>
          <w:fldChar w:fldCharType="end"/>
        </w:r>
      </w:p>
      <w:p w14:paraId="39D07C11" w14:textId="0B85C4C3" w:rsidR="00C07E99" w:rsidRPr="00C07E99" w:rsidRDefault="00C07E99" w:rsidP="009702A4">
        <w:pPr>
          <w:pStyle w:val="Header"/>
          <w:jc w:val="right"/>
          <w:rPr>
            <w:b/>
            <w:bCs/>
            <w:noProof/>
            <w:sz w:val="18"/>
            <w:szCs w:val="18"/>
          </w:rPr>
        </w:pPr>
        <w:r w:rsidRPr="00C07E99">
          <w:rPr>
            <w:b/>
            <w:bCs/>
            <w:noProof/>
            <w:sz w:val="18"/>
            <w:szCs w:val="18"/>
          </w:rPr>
          <w:t>HH 342-25</w:t>
        </w:r>
      </w:p>
      <w:p w14:paraId="12B649B7" w14:textId="118CBFDE" w:rsidR="00337F15" w:rsidRPr="00C07E99" w:rsidRDefault="00C07E99" w:rsidP="009702A4">
        <w:pPr>
          <w:pStyle w:val="Header"/>
          <w:jc w:val="right"/>
          <w:rPr>
            <w:b/>
            <w:bCs/>
            <w:sz w:val="18"/>
            <w:szCs w:val="18"/>
          </w:rPr>
        </w:pPr>
        <w:r w:rsidRPr="00C07E99">
          <w:rPr>
            <w:b/>
            <w:bCs/>
            <w:noProof/>
            <w:sz w:val="18"/>
            <w:szCs w:val="18"/>
          </w:rPr>
          <w:t>HCHC651/24</w:t>
        </w:r>
      </w:p>
    </w:sdtContent>
  </w:sdt>
  <w:p w14:paraId="5BF50414" w14:textId="77777777" w:rsidR="00337F15" w:rsidRDefault="00337F15" w:rsidP="009702A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0C2A"/>
    <w:multiLevelType w:val="hybridMultilevel"/>
    <w:tmpl w:val="BEF0A5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BD5CF5"/>
    <w:multiLevelType w:val="hybridMultilevel"/>
    <w:tmpl w:val="E094107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0CF11B6"/>
    <w:multiLevelType w:val="hybridMultilevel"/>
    <w:tmpl w:val="3B68698A"/>
    <w:lvl w:ilvl="0" w:tplc="9DC063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641177"/>
    <w:multiLevelType w:val="hybridMultilevel"/>
    <w:tmpl w:val="07F8FEAA"/>
    <w:lvl w:ilvl="0" w:tplc="54FE1A58">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98"/>
    <w:rsid w:val="00002106"/>
    <w:rsid w:val="00011788"/>
    <w:rsid w:val="00017427"/>
    <w:rsid w:val="00020960"/>
    <w:rsid w:val="00030BB2"/>
    <w:rsid w:val="000325ED"/>
    <w:rsid w:val="00035B36"/>
    <w:rsid w:val="000406D9"/>
    <w:rsid w:val="00047EF0"/>
    <w:rsid w:val="00057573"/>
    <w:rsid w:val="00062417"/>
    <w:rsid w:val="00071585"/>
    <w:rsid w:val="00075912"/>
    <w:rsid w:val="00085551"/>
    <w:rsid w:val="00091914"/>
    <w:rsid w:val="00093193"/>
    <w:rsid w:val="000973D9"/>
    <w:rsid w:val="000A31DF"/>
    <w:rsid w:val="000B0092"/>
    <w:rsid w:val="000B4746"/>
    <w:rsid w:val="000B4EBA"/>
    <w:rsid w:val="000C02C7"/>
    <w:rsid w:val="000C3981"/>
    <w:rsid w:val="000C6D72"/>
    <w:rsid w:val="000C7454"/>
    <w:rsid w:val="000D4B7E"/>
    <w:rsid w:val="00123673"/>
    <w:rsid w:val="00143F76"/>
    <w:rsid w:val="00146757"/>
    <w:rsid w:val="001569E2"/>
    <w:rsid w:val="00162474"/>
    <w:rsid w:val="00165510"/>
    <w:rsid w:val="0017018F"/>
    <w:rsid w:val="00176270"/>
    <w:rsid w:val="001963EB"/>
    <w:rsid w:val="001A15E1"/>
    <w:rsid w:val="001A643A"/>
    <w:rsid w:val="001A7206"/>
    <w:rsid w:val="001B7653"/>
    <w:rsid w:val="001C13A1"/>
    <w:rsid w:val="001D4B25"/>
    <w:rsid w:val="001E3A8C"/>
    <w:rsid w:val="001E7008"/>
    <w:rsid w:val="001F54C5"/>
    <w:rsid w:val="00206B45"/>
    <w:rsid w:val="00206DAF"/>
    <w:rsid w:val="0023085F"/>
    <w:rsid w:val="00235B3C"/>
    <w:rsid w:val="00240655"/>
    <w:rsid w:val="00240DC7"/>
    <w:rsid w:val="00243BB0"/>
    <w:rsid w:val="00246D4B"/>
    <w:rsid w:val="00247648"/>
    <w:rsid w:val="002518A5"/>
    <w:rsid w:val="002534E2"/>
    <w:rsid w:val="0027272B"/>
    <w:rsid w:val="00272ED7"/>
    <w:rsid w:val="00291615"/>
    <w:rsid w:val="00295952"/>
    <w:rsid w:val="002A1FFC"/>
    <w:rsid w:val="002B6F6D"/>
    <w:rsid w:val="002C6390"/>
    <w:rsid w:val="002C6404"/>
    <w:rsid w:val="002D6AD4"/>
    <w:rsid w:val="002D723B"/>
    <w:rsid w:val="002F7A76"/>
    <w:rsid w:val="0030388A"/>
    <w:rsid w:val="00307E0D"/>
    <w:rsid w:val="003117A6"/>
    <w:rsid w:val="00337F15"/>
    <w:rsid w:val="00350B38"/>
    <w:rsid w:val="00353201"/>
    <w:rsid w:val="003544DC"/>
    <w:rsid w:val="003566CE"/>
    <w:rsid w:val="00361010"/>
    <w:rsid w:val="00363771"/>
    <w:rsid w:val="00371982"/>
    <w:rsid w:val="00373318"/>
    <w:rsid w:val="00377E16"/>
    <w:rsid w:val="003808B6"/>
    <w:rsid w:val="00380DF4"/>
    <w:rsid w:val="0038516B"/>
    <w:rsid w:val="003869ED"/>
    <w:rsid w:val="003A44AF"/>
    <w:rsid w:val="003A6E06"/>
    <w:rsid w:val="003B20B1"/>
    <w:rsid w:val="003B43F1"/>
    <w:rsid w:val="003B5551"/>
    <w:rsid w:val="003C3FA6"/>
    <w:rsid w:val="003E41E6"/>
    <w:rsid w:val="003F3C91"/>
    <w:rsid w:val="0040773B"/>
    <w:rsid w:val="0041174F"/>
    <w:rsid w:val="00413B72"/>
    <w:rsid w:val="00415271"/>
    <w:rsid w:val="00417A2C"/>
    <w:rsid w:val="00422CDC"/>
    <w:rsid w:val="004262DC"/>
    <w:rsid w:val="00436067"/>
    <w:rsid w:val="00441981"/>
    <w:rsid w:val="0044376A"/>
    <w:rsid w:val="004545B4"/>
    <w:rsid w:val="0045484E"/>
    <w:rsid w:val="004605CB"/>
    <w:rsid w:val="00473CCD"/>
    <w:rsid w:val="00483EBF"/>
    <w:rsid w:val="00484FBF"/>
    <w:rsid w:val="0049126F"/>
    <w:rsid w:val="00495ED0"/>
    <w:rsid w:val="00496173"/>
    <w:rsid w:val="004978E7"/>
    <w:rsid w:val="004A2248"/>
    <w:rsid w:val="004A72B3"/>
    <w:rsid w:val="004B5D1A"/>
    <w:rsid w:val="004C13D8"/>
    <w:rsid w:val="004C6852"/>
    <w:rsid w:val="004D55CE"/>
    <w:rsid w:val="004E2C20"/>
    <w:rsid w:val="00500A95"/>
    <w:rsid w:val="00502291"/>
    <w:rsid w:val="00512473"/>
    <w:rsid w:val="00525C5E"/>
    <w:rsid w:val="005316DD"/>
    <w:rsid w:val="00532C87"/>
    <w:rsid w:val="0054783F"/>
    <w:rsid w:val="00570741"/>
    <w:rsid w:val="00572E37"/>
    <w:rsid w:val="005735EA"/>
    <w:rsid w:val="00576B01"/>
    <w:rsid w:val="00577DDD"/>
    <w:rsid w:val="005863D1"/>
    <w:rsid w:val="005A155B"/>
    <w:rsid w:val="005A1713"/>
    <w:rsid w:val="005C51DD"/>
    <w:rsid w:val="005D0F15"/>
    <w:rsid w:val="005D2270"/>
    <w:rsid w:val="005F4960"/>
    <w:rsid w:val="005F4A4A"/>
    <w:rsid w:val="005F7466"/>
    <w:rsid w:val="00615A8E"/>
    <w:rsid w:val="00617B9F"/>
    <w:rsid w:val="00617E95"/>
    <w:rsid w:val="00621F9E"/>
    <w:rsid w:val="0062583E"/>
    <w:rsid w:val="00625AC8"/>
    <w:rsid w:val="006375A3"/>
    <w:rsid w:val="006447F3"/>
    <w:rsid w:val="0065387D"/>
    <w:rsid w:val="00657736"/>
    <w:rsid w:val="00661C89"/>
    <w:rsid w:val="00675616"/>
    <w:rsid w:val="006822D8"/>
    <w:rsid w:val="006A0CAA"/>
    <w:rsid w:val="006A421F"/>
    <w:rsid w:val="006A680F"/>
    <w:rsid w:val="006C2BF9"/>
    <w:rsid w:val="006C4A20"/>
    <w:rsid w:val="006E15AA"/>
    <w:rsid w:val="006E5FD9"/>
    <w:rsid w:val="006E7C7E"/>
    <w:rsid w:val="006F512F"/>
    <w:rsid w:val="006F6C82"/>
    <w:rsid w:val="006F71A6"/>
    <w:rsid w:val="007065E8"/>
    <w:rsid w:val="00715318"/>
    <w:rsid w:val="00730ADD"/>
    <w:rsid w:val="00732C8C"/>
    <w:rsid w:val="00747820"/>
    <w:rsid w:val="00766342"/>
    <w:rsid w:val="00774191"/>
    <w:rsid w:val="00774DD7"/>
    <w:rsid w:val="00777545"/>
    <w:rsid w:val="0078216B"/>
    <w:rsid w:val="00787E11"/>
    <w:rsid w:val="007B0AA6"/>
    <w:rsid w:val="007B3B8D"/>
    <w:rsid w:val="007B4D5A"/>
    <w:rsid w:val="007C1C13"/>
    <w:rsid w:val="007D0EBD"/>
    <w:rsid w:val="007D401D"/>
    <w:rsid w:val="007F0DB4"/>
    <w:rsid w:val="00803066"/>
    <w:rsid w:val="00806E7C"/>
    <w:rsid w:val="00810A16"/>
    <w:rsid w:val="008157D8"/>
    <w:rsid w:val="008369C5"/>
    <w:rsid w:val="008456A8"/>
    <w:rsid w:val="00854DE7"/>
    <w:rsid w:val="00863C18"/>
    <w:rsid w:val="008700AB"/>
    <w:rsid w:val="00872C4B"/>
    <w:rsid w:val="008771DE"/>
    <w:rsid w:val="00883A90"/>
    <w:rsid w:val="00885607"/>
    <w:rsid w:val="0088573B"/>
    <w:rsid w:val="00885DFD"/>
    <w:rsid w:val="00893873"/>
    <w:rsid w:val="008939B4"/>
    <w:rsid w:val="00894197"/>
    <w:rsid w:val="00896FA5"/>
    <w:rsid w:val="008A4ED7"/>
    <w:rsid w:val="008B3117"/>
    <w:rsid w:val="008B651E"/>
    <w:rsid w:val="008B742F"/>
    <w:rsid w:val="008C3BE4"/>
    <w:rsid w:val="008C596F"/>
    <w:rsid w:val="008D5E19"/>
    <w:rsid w:val="008D70D2"/>
    <w:rsid w:val="008E319D"/>
    <w:rsid w:val="008E3570"/>
    <w:rsid w:val="00901006"/>
    <w:rsid w:val="00913DC9"/>
    <w:rsid w:val="00913F5E"/>
    <w:rsid w:val="00914CBC"/>
    <w:rsid w:val="0092603B"/>
    <w:rsid w:val="00927E45"/>
    <w:rsid w:val="00960836"/>
    <w:rsid w:val="0096408E"/>
    <w:rsid w:val="009702A4"/>
    <w:rsid w:val="00974BEC"/>
    <w:rsid w:val="00977BE5"/>
    <w:rsid w:val="009914BD"/>
    <w:rsid w:val="009966D7"/>
    <w:rsid w:val="00997101"/>
    <w:rsid w:val="009A5C1A"/>
    <w:rsid w:val="009B0A11"/>
    <w:rsid w:val="009D67CC"/>
    <w:rsid w:val="009E29DC"/>
    <w:rsid w:val="009F42BA"/>
    <w:rsid w:val="009F7699"/>
    <w:rsid w:val="00A01B1E"/>
    <w:rsid w:val="00A16326"/>
    <w:rsid w:val="00A2385B"/>
    <w:rsid w:val="00A26B98"/>
    <w:rsid w:val="00A474B8"/>
    <w:rsid w:val="00A70B5D"/>
    <w:rsid w:val="00A84EB0"/>
    <w:rsid w:val="00AA14C9"/>
    <w:rsid w:val="00AB1B99"/>
    <w:rsid w:val="00AB1BFF"/>
    <w:rsid w:val="00AB3C81"/>
    <w:rsid w:val="00AC733D"/>
    <w:rsid w:val="00AE2425"/>
    <w:rsid w:val="00AE3DDC"/>
    <w:rsid w:val="00AE47FD"/>
    <w:rsid w:val="00AF5A48"/>
    <w:rsid w:val="00B06E7A"/>
    <w:rsid w:val="00B170EE"/>
    <w:rsid w:val="00B208A0"/>
    <w:rsid w:val="00B2662C"/>
    <w:rsid w:val="00B32F72"/>
    <w:rsid w:val="00B44287"/>
    <w:rsid w:val="00B50A25"/>
    <w:rsid w:val="00B6563A"/>
    <w:rsid w:val="00B65AF7"/>
    <w:rsid w:val="00B66744"/>
    <w:rsid w:val="00B8354C"/>
    <w:rsid w:val="00B97F0F"/>
    <w:rsid w:val="00BC03BB"/>
    <w:rsid w:val="00BC32AC"/>
    <w:rsid w:val="00BD30FC"/>
    <w:rsid w:val="00BD5B9C"/>
    <w:rsid w:val="00BE76A5"/>
    <w:rsid w:val="00BF2D0C"/>
    <w:rsid w:val="00BF4C5E"/>
    <w:rsid w:val="00BF5A51"/>
    <w:rsid w:val="00C02B0B"/>
    <w:rsid w:val="00C07E99"/>
    <w:rsid w:val="00C20F39"/>
    <w:rsid w:val="00C473D5"/>
    <w:rsid w:val="00C500B1"/>
    <w:rsid w:val="00C61E53"/>
    <w:rsid w:val="00C65B83"/>
    <w:rsid w:val="00C82EE5"/>
    <w:rsid w:val="00C86D1F"/>
    <w:rsid w:val="00CA532B"/>
    <w:rsid w:val="00CB575A"/>
    <w:rsid w:val="00CB6EEC"/>
    <w:rsid w:val="00CC2060"/>
    <w:rsid w:val="00CC7A31"/>
    <w:rsid w:val="00CD30A0"/>
    <w:rsid w:val="00D021C5"/>
    <w:rsid w:val="00D04E8C"/>
    <w:rsid w:val="00D061D1"/>
    <w:rsid w:val="00D07D34"/>
    <w:rsid w:val="00D15F1F"/>
    <w:rsid w:val="00D166F1"/>
    <w:rsid w:val="00D20B66"/>
    <w:rsid w:val="00D314B1"/>
    <w:rsid w:val="00D32A15"/>
    <w:rsid w:val="00D331E6"/>
    <w:rsid w:val="00D37847"/>
    <w:rsid w:val="00D4162E"/>
    <w:rsid w:val="00D41EFC"/>
    <w:rsid w:val="00D570BD"/>
    <w:rsid w:val="00D635A7"/>
    <w:rsid w:val="00D9377A"/>
    <w:rsid w:val="00DB0980"/>
    <w:rsid w:val="00DC1D1E"/>
    <w:rsid w:val="00DD6B2B"/>
    <w:rsid w:val="00DE1E55"/>
    <w:rsid w:val="00DE3087"/>
    <w:rsid w:val="00DE6212"/>
    <w:rsid w:val="00DE6C55"/>
    <w:rsid w:val="00DF1F39"/>
    <w:rsid w:val="00E16ED9"/>
    <w:rsid w:val="00E2620D"/>
    <w:rsid w:val="00E436C6"/>
    <w:rsid w:val="00E43E20"/>
    <w:rsid w:val="00E52269"/>
    <w:rsid w:val="00E62E93"/>
    <w:rsid w:val="00E8430F"/>
    <w:rsid w:val="00E86FE3"/>
    <w:rsid w:val="00E87439"/>
    <w:rsid w:val="00E90098"/>
    <w:rsid w:val="00E9460D"/>
    <w:rsid w:val="00E94DF7"/>
    <w:rsid w:val="00EA6FD4"/>
    <w:rsid w:val="00EB2880"/>
    <w:rsid w:val="00EB2FA2"/>
    <w:rsid w:val="00EC5E9A"/>
    <w:rsid w:val="00EC7AB5"/>
    <w:rsid w:val="00ED780E"/>
    <w:rsid w:val="00EE63A6"/>
    <w:rsid w:val="00EF1AEB"/>
    <w:rsid w:val="00EF5C2A"/>
    <w:rsid w:val="00EF634A"/>
    <w:rsid w:val="00F0487B"/>
    <w:rsid w:val="00F24738"/>
    <w:rsid w:val="00F374AB"/>
    <w:rsid w:val="00F60DEE"/>
    <w:rsid w:val="00F65215"/>
    <w:rsid w:val="00F67C5C"/>
    <w:rsid w:val="00FA5750"/>
    <w:rsid w:val="00FB20C2"/>
    <w:rsid w:val="00FB45F4"/>
    <w:rsid w:val="00FD0805"/>
    <w:rsid w:val="00FD712C"/>
    <w:rsid w:val="00FD72DB"/>
    <w:rsid w:val="00FE32A2"/>
    <w:rsid w:val="00FF4F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8A3F"/>
  <w15:chartTrackingRefBased/>
  <w15:docId w15:val="{1B14C7DA-EC19-47AF-A5EA-2E4F9D0A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B9C"/>
  </w:style>
  <w:style w:type="paragraph" w:styleId="Heading5">
    <w:name w:val="heading 5"/>
    <w:basedOn w:val="Normal"/>
    <w:next w:val="Normal"/>
    <w:link w:val="Heading5Char"/>
    <w:uiPriority w:val="9"/>
    <w:semiHidden/>
    <w:unhideWhenUsed/>
    <w:qFormat/>
    <w:rsid w:val="007821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BEC"/>
    <w:rPr>
      <w:sz w:val="20"/>
      <w:szCs w:val="20"/>
    </w:rPr>
  </w:style>
  <w:style w:type="character" w:styleId="FootnoteReference">
    <w:name w:val="footnote reference"/>
    <w:basedOn w:val="DefaultParagraphFont"/>
    <w:uiPriority w:val="99"/>
    <w:semiHidden/>
    <w:unhideWhenUsed/>
    <w:rsid w:val="00974BEC"/>
    <w:rPr>
      <w:vertAlign w:val="superscript"/>
    </w:rPr>
  </w:style>
  <w:style w:type="paragraph" w:styleId="NoSpacing">
    <w:name w:val="No Spacing"/>
    <w:uiPriority w:val="1"/>
    <w:qFormat/>
    <w:rsid w:val="00337F15"/>
    <w:pPr>
      <w:spacing w:after="0" w:line="240" w:lineRule="auto"/>
    </w:pPr>
  </w:style>
  <w:style w:type="paragraph" w:styleId="Header">
    <w:name w:val="header"/>
    <w:basedOn w:val="Normal"/>
    <w:link w:val="HeaderChar"/>
    <w:uiPriority w:val="99"/>
    <w:unhideWhenUsed/>
    <w:rsid w:val="00337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F15"/>
  </w:style>
  <w:style w:type="paragraph" w:styleId="Footer">
    <w:name w:val="footer"/>
    <w:basedOn w:val="Normal"/>
    <w:link w:val="FooterChar"/>
    <w:uiPriority w:val="99"/>
    <w:unhideWhenUsed/>
    <w:rsid w:val="00337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F15"/>
  </w:style>
  <w:style w:type="paragraph" w:styleId="NormalWeb">
    <w:name w:val="Normal (Web)"/>
    <w:basedOn w:val="Normal"/>
    <w:uiPriority w:val="99"/>
    <w:semiHidden/>
    <w:unhideWhenUsed/>
    <w:rsid w:val="007821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estern">
    <w:name w:val="western"/>
    <w:basedOn w:val="Normal"/>
    <w:rsid w:val="0078216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5Char">
    <w:name w:val="Heading 5 Char"/>
    <w:basedOn w:val="DefaultParagraphFont"/>
    <w:link w:val="Heading5"/>
    <w:uiPriority w:val="9"/>
    <w:semiHidden/>
    <w:rsid w:val="0078216B"/>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617B9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752616">
      <w:bodyDiv w:val="1"/>
      <w:marLeft w:val="0"/>
      <w:marRight w:val="0"/>
      <w:marTop w:val="0"/>
      <w:marBottom w:val="0"/>
      <w:divBdr>
        <w:top w:val="none" w:sz="0" w:space="0" w:color="auto"/>
        <w:left w:val="none" w:sz="0" w:space="0" w:color="auto"/>
        <w:bottom w:val="none" w:sz="0" w:space="0" w:color="auto"/>
        <w:right w:val="none" w:sz="0" w:space="0" w:color="auto"/>
      </w:divBdr>
    </w:div>
    <w:div w:id="1877739668">
      <w:bodyDiv w:val="1"/>
      <w:marLeft w:val="0"/>
      <w:marRight w:val="0"/>
      <w:marTop w:val="0"/>
      <w:marBottom w:val="0"/>
      <w:divBdr>
        <w:top w:val="none" w:sz="0" w:space="0" w:color="auto"/>
        <w:left w:val="none" w:sz="0" w:space="0" w:color="auto"/>
        <w:bottom w:val="none" w:sz="0" w:space="0" w:color="auto"/>
        <w:right w:val="none" w:sz="0" w:space="0" w:color="auto"/>
      </w:divBdr>
    </w:div>
    <w:div w:id="1937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8AF1-0340-42CD-991E-22738FB9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IECMS</dc:creator>
  <cp:keywords/>
  <dc:description/>
  <cp:lastModifiedBy>JSC</cp:lastModifiedBy>
  <cp:revision>3</cp:revision>
  <cp:lastPrinted>2025-06-25T13:54:00Z</cp:lastPrinted>
  <dcterms:created xsi:type="dcterms:W3CDTF">2025-06-27T11:13:00Z</dcterms:created>
  <dcterms:modified xsi:type="dcterms:W3CDTF">2025-06-27T11:13:00Z</dcterms:modified>
</cp:coreProperties>
</file>